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lang w:val="en-US" w:eastAsia="zh-CN"/>
        </w:rPr>
      </w:pPr>
      <w:bookmarkStart w:id="0" w:name="_Toc15679"/>
      <w:r>
        <w:rPr>
          <w:rFonts w:hint="eastAsia" w:cs="宋体"/>
          <w:b/>
          <w:bCs/>
          <w:color w:val="auto"/>
          <w:sz w:val="40"/>
          <w:szCs w:val="40"/>
          <w:highlight w:val="none"/>
          <w:shd w:val="clear" w:color="auto" w:fill="auto"/>
          <w:lang w:val="en-US" w:eastAsia="zh-CN"/>
        </w:rPr>
        <w:t>原人民医院内科楼改造</w:t>
      </w:r>
      <w:r>
        <w:rPr>
          <w:rFonts w:hint="eastAsia" w:ascii="宋体" w:hAnsi="宋体" w:eastAsia="宋体" w:cs="宋体"/>
          <w:b/>
          <w:bCs/>
          <w:color w:val="auto"/>
          <w:sz w:val="40"/>
          <w:szCs w:val="40"/>
          <w:highlight w:val="none"/>
          <w:shd w:val="clear" w:color="auto" w:fill="auto"/>
          <w:lang w:val="en-US" w:eastAsia="zh-CN"/>
        </w:rPr>
        <w:t>项目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sz w:val="40"/>
          <w:szCs w:val="40"/>
          <w:highlight w:val="none"/>
          <w:shd w:val="clear" w:color="auto" w:fill="auto"/>
        </w:rPr>
      </w:pPr>
      <w:r>
        <w:rPr>
          <w:rFonts w:hint="eastAsia" w:ascii="宋体" w:hAnsi="宋体" w:eastAsia="宋体" w:cs="宋体"/>
          <w:b/>
          <w:bCs/>
          <w:color w:val="auto"/>
          <w:sz w:val="40"/>
          <w:szCs w:val="40"/>
          <w:highlight w:val="none"/>
          <w:shd w:val="clear" w:color="auto" w:fill="auto"/>
        </w:rPr>
        <w:t>支出绩效评价报告</w:t>
      </w:r>
      <w:bookmarkEnd w:id="0"/>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auto"/>
          <w:sz w:val="36"/>
          <w:szCs w:val="36"/>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项目名称：</w:t>
      </w:r>
      <w:r>
        <w:rPr>
          <w:rFonts w:hint="eastAsia" w:cs="宋体"/>
          <w:b/>
          <w:color w:val="auto"/>
          <w:kern w:val="2"/>
          <w:sz w:val="28"/>
          <w:szCs w:val="28"/>
          <w:highlight w:val="none"/>
          <w:shd w:val="clear" w:color="auto" w:fill="auto"/>
          <w:lang w:val="en-US" w:eastAsia="zh-CN"/>
        </w:rPr>
        <w:t>原人民医院内科楼改造项目</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实施单位：</w:t>
      </w:r>
      <w:r>
        <w:rPr>
          <w:rFonts w:hint="eastAsia" w:cs="宋体"/>
          <w:b/>
          <w:color w:val="auto"/>
          <w:kern w:val="2"/>
          <w:sz w:val="28"/>
          <w:szCs w:val="28"/>
          <w:highlight w:val="none"/>
          <w:shd w:val="clear" w:color="auto" w:fill="auto"/>
          <w:lang w:val="en-US" w:eastAsia="zh-CN"/>
        </w:rPr>
        <w:t>阜康市妇幼保健计划生育服务中心</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auto"/>
          <w:kern w:val="2"/>
          <w:sz w:val="28"/>
          <w:szCs w:val="28"/>
          <w:highlight w:val="none"/>
          <w:shd w:val="clear" w:color="auto" w:fill="auto"/>
          <w:lang w:val="en-US" w:eastAsia="zh-CN"/>
        </w:rPr>
      </w:pPr>
      <w:r>
        <w:rPr>
          <w:rFonts w:hint="eastAsia" w:ascii="宋体" w:hAnsi="宋体" w:eastAsia="宋体" w:cs="宋体"/>
          <w:b/>
          <w:color w:val="auto"/>
          <w:kern w:val="2"/>
          <w:sz w:val="28"/>
          <w:szCs w:val="28"/>
          <w:highlight w:val="none"/>
          <w:shd w:val="clear" w:color="auto" w:fill="auto"/>
          <w:lang w:val="en-US" w:eastAsia="zh-CN"/>
        </w:rPr>
        <w:t>主管部门：</w:t>
      </w:r>
      <w:r>
        <w:rPr>
          <w:rFonts w:hint="eastAsia" w:cs="宋体"/>
          <w:b/>
          <w:color w:val="auto"/>
          <w:kern w:val="2"/>
          <w:sz w:val="28"/>
          <w:szCs w:val="28"/>
          <w:highlight w:val="none"/>
          <w:shd w:val="clear" w:color="auto" w:fill="auto"/>
          <w:lang w:val="en-US" w:eastAsia="zh-CN"/>
        </w:rPr>
        <w:t>阜康市卫生健康委员会</w:t>
      </w:r>
    </w:p>
    <w:p>
      <w:pPr>
        <w:pStyle w:val="2"/>
        <w:outlineLvl w:val="9"/>
        <w:rPr>
          <w:rFonts w:hint="eastAsia" w:ascii="宋体" w:hAnsi="宋体" w:eastAsia="宋体" w:cs="宋体"/>
          <w:b/>
          <w:color w:val="auto"/>
          <w:kern w:val="2"/>
          <w:sz w:val="28"/>
          <w:szCs w:val="28"/>
          <w:highlight w:val="none"/>
          <w:shd w:val="clear" w:color="auto" w:fill="auto"/>
          <w:lang w:val="en-US" w:eastAsia="zh-CN"/>
        </w:rPr>
      </w:pPr>
    </w:p>
    <w:p>
      <w:pPr>
        <w:rPr>
          <w:rFonts w:hint="eastAsia"/>
          <w:color w:val="auto"/>
          <w:highlight w:val="none"/>
          <w:lang w:val="en-US" w:eastAsia="zh-CN"/>
        </w:rPr>
      </w:pPr>
      <w:r>
        <w:rPr>
          <w:rFonts w:hint="eastAsia"/>
          <w:color w:val="auto"/>
          <w:highlight w:val="none"/>
          <w:lang w:val="en-US" w:eastAsia="zh-CN"/>
        </w:rPr>
        <w:br w:type="page"/>
      </w:r>
    </w:p>
    <w:p>
      <w:pPr>
        <w:rPr>
          <w:rFonts w:hint="eastAsia"/>
          <w:color w:val="auto"/>
          <w:highlight w:val="none"/>
          <w:lang w:val="en-US" w:eastAsia="zh-CN"/>
        </w:rPr>
      </w:pPr>
    </w:p>
    <w:sdt>
      <w:sdtPr>
        <w:rPr>
          <w:rFonts w:ascii="宋体" w:hAnsi="宋体" w:eastAsia="宋体" w:cs="宋体"/>
          <w:b/>
          <w:bCs/>
          <w:color w:val="auto"/>
          <w:kern w:val="2"/>
          <w:sz w:val="28"/>
          <w:szCs w:val="40"/>
          <w:highlight w:val="none"/>
          <w:lang w:val="en-US" w:eastAsia="zh-CN" w:bidi="ar-SA"/>
        </w:rPr>
        <w:id w:val="147474046"/>
        <w15:color w:val="DBDBDB"/>
      </w:sdtPr>
      <w:sdtEndPr>
        <w:rPr>
          <w:rFonts w:hint="eastAsia" w:ascii="宋体" w:hAnsi="宋体" w:eastAsia="宋体" w:cs="宋体"/>
          <w:b/>
          <w:bCs/>
          <w:color w:val="auto"/>
          <w:kern w:val="2"/>
          <w:sz w:val="28"/>
          <w:szCs w:val="28"/>
          <w:highlight w:val="none"/>
          <w:lang w:val="en-US" w:eastAsia="zh-CN" w:bidi="ar-SA"/>
        </w:rPr>
      </w:sdtEndPr>
      <w:sdtContent>
        <w:p>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auto"/>
              <w:sz w:val="40"/>
              <w:szCs w:val="40"/>
              <w:highlight w:val="none"/>
            </w:rPr>
          </w:pPr>
          <w:r>
            <w:rPr>
              <w:rFonts w:ascii="宋体" w:hAnsi="宋体" w:eastAsia="宋体"/>
              <w:b/>
              <w:bCs/>
              <w:color w:val="auto"/>
              <w:sz w:val="40"/>
              <w:szCs w:val="40"/>
              <w:highlight w:val="none"/>
            </w:rPr>
            <w:t>目</w:t>
          </w:r>
          <w:r>
            <w:rPr>
              <w:rFonts w:hint="eastAsia"/>
              <w:b/>
              <w:bCs/>
              <w:color w:val="auto"/>
              <w:sz w:val="40"/>
              <w:szCs w:val="40"/>
              <w:highlight w:val="none"/>
              <w:lang w:val="en-US" w:eastAsia="zh-CN"/>
            </w:rPr>
            <w:t xml:space="preserve">  </w:t>
          </w:r>
          <w:r>
            <w:rPr>
              <w:rFonts w:ascii="宋体" w:hAnsi="宋体" w:eastAsia="宋体"/>
              <w:b/>
              <w:bCs/>
              <w:color w:val="auto"/>
              <w:sz w:val="40"/>
              <w:szCs w:val="40"/>
              <w:highlight w:val="none"/>
            </w:rPr>
            <w:t>录</w:t>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TOC \o "1-3" \h \u </w:instrText>
          </w:r>
          <w:r>
            <w:rPr>
              <w:rFonts w:hint="eastAsia"/>
              <w:color w:val="auto"/>
              <w:sz w:val="28"/>
              <w:szCs w:val="28"/>
              <w:highlight w:val="none"/>
              <w:lang w:val="en-US" w:eastAsia="zh-CN"/>
            </w:rPr>
            <w:fldChar w:fldCharType="separate"/>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_Toc17540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一、基本情况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_Toc17540 \h </w:instrText>
          </w:r>
          <w:r>
            <w:rPr>
              <w:b/>
              <w:bCs/>
              <w:color w:val="auto"/>
              <w:sz w:val="28"/>
              <w:szCs w:val="28"/>
              <w:highlight w:val="none"/>
            </w:rPr>
            <w:fldChar w:fldCharType="separate"/>
          </w:r>
          <w:r>
            <w:rPr>
              <w:b/>
              <w:bCs/>
              <w:color w:val="auto"/>
              <w:sz w:val="28"/>
              <w:szCs w:val="28"/>
              <w:highlight w:val="none"/>
            </w:rPr>
            <w:t>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_Toc18966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（一）项目概况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_Toc18966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_Toc2879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rPr>
            <w:t>（二）</w:t>
          </w:r>
          <w:r>
            <w:rPr>
              <w:rFonts w:hint="eastAsia" w:ascii="宋体" w:hAnsi="宋体" w:eastAsia="宋体" w:cs="宋体"/>
              <w:color w:val="auto"/>
              <w:sz w:val="28"/>
              <w:szCs w:val="28"/>
              <w:highlight w:val="none"/>
              <w:shd w:val="clear" w:color="auto" w:fill="auto"/>
            </w:rPr>
            <w:t>项目绩效目标</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_Toc2879 \h </w:instrText>
          </w:r>
          <w:r>
            <w:rPr>
              <w:color w:val="auto"/>
              <w:sz w:val="28"/>
              <w:szCs w:val="28"/>
              <w:highlight w:val="none"/>
            </w:rPr>
            <w:fldChar w:fldCharType="separate"/>
          </w:r>
          <w:r>
            <w:rPr>
              <w:color w:val="auto"/>
              <w:sz w:val="28"/>
              <w:szCs w:val="28"/>
              <w:highlight w:val="none"/>
            </w:rPr>
            <w:t>4</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_Toc2549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rPr>
            <w:t>二、绩效评价工作开展情况</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_Toc2549 \h </w:instrText>
          </w:r>
          <w:r>
            <w:rPr>
              <w:b/>
              <w:bCs/>
              <w:color w:val="auto"/>
              <w:sz w:val="28"/>
              <w:szCs w:val="28"/>
              <w:highlight w:val="none"/>
            </w:rPr>
            <w:fldChar w:fldCharType="separate"/>
          </w:r>
          <w:r>
            <w:rPr>
              <w:b/>
              <w:bCs/>
              <w:color w:val="auto"/>
              <w:sz w:val="28"/>
              <w:szCs w:val="28"/>
              <w:highlight w:val="none"/>
            </w:rPr>
            <w:t>5</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_Toc21778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eastAsia="zh-CN"/>
            </w:rPr>
            <w:t>（一）</w:t>
          </w:r>
          <w:r>
            <w:rPr>
              <w:rFonts w:hint="eastAsia" w:ascii="宋体" w:hAnsi="宋体" w:eastAsia="宋体" w:cs="宋体"/>
              <w:color w:val="auto"/>
              <w:sz w:val="28"/>
              <w:szCs w:val="28"/>
              <w:highlight w:val="none"/>
              <w:shd w:val="clear" w:color="auto" w:fill="auto"/>
              <w:lang w:eastAsia="zh-CN"/>
            </w:rPr>
            <w:t>绩效评价的目的、对象和范围</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_Toc21778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_Toc15902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fill="auto"/>
              <w:lang w:val="en-US" w:eastAsia="zh-CN"/>
            </w:rPr>
            <w:t>（二）</w:t>
          </w:r>
          <w:r>
            <w:rPr>
              <w:rFonts w:hint="eastAsia" w:ascii="宋体" w:hAnsi="宋体" w:eastAsia="宋体" w:cs="宋体"/>
              <w:color w:val="auto"/>
              <w:sz w:val="28"/>
              <w:szCs w:val="28"/>
              <w:highlight w:val="none"/>
              <w:shd w:val="clear" w:color="auto" w:fill="auto"/>
              <w:lang w:val="en-US" w:eastAsia="zh-CN"/>
            </w:rPr>
            <w:t>绩效评价原则、评价指标体系（附表说明）、评价方法、评价标准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_Toc15902 \h </w:instrText>
          </w:r>
          <w:r>
            <w:rPr>
              <w:color w:val="auto"/>
              <w:sz w:val="28"/>
              <w:szCs w:val="28"/>
              <w:highlight w:val="none"/>
            </w:rPr>
            <w:fldChar w:fldCharType="separate"/>
          </w:r>
          <w:r>
            <w:rPr>
              <w:color w:val="auto"/>
              <w:sz w:val="28"/>
              <w:szCs w:val="28"/>
              <w:highlight w:val="none"/>
            </w:rPr>
            <w:t>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_Toc1070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val="en-US" w:eastAsia="zh-CN"/>
            </w:rPr>
            <w:t>（三）绩效评价工作过程</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_Toc1070 \h </w:instrText>
          </w:r>
          <w:r>
            <w:rPr>
              <w:color w:val="auto"/>
              <w:sz w:val="28"/>
              <w:szCs w:val="28"/>
              <w:highlight w:val="none"/>
            </w:rPr>
            <w:fldChar w:fldCharType="separate"/>
          </w:r>
          <w:r>
            <w:rPr>
              <w:color w:val="auto"/>
              <w:sz w:val="28"/>
              <w:szCs w:val="28"/>
              <w:highlight w:val="none"/>
            </w:rPr>
            <w:t>11</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_Toc1100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三、</w:t>
          </w:r>
          <w:r>
            <w:rPr>
              <w:rFonts w:hint="eastAsia" w:ascii="宋体" w:hAnsi="宋体" w:eastAsia="宋体" w:cs="宋体"/>
              <w:b/>
              <w:bCs/>
              <w:color w:val="auto"/>
              <w:sz w:val="28"/>
              <w:szCs w:val="28"/>
              <w:highlight w:val="none"/>
              <w:shd w:val="clear" w:color="auto" w:fill="auto"/>
            </w:rPr>
            <w:t>综合评价情况及评价结论</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_Toc1100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_Toc9421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四、绩效评价指标分析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_Toc9421 \h </w:instrText>
          </w:r>
          <w:r>
            <w:rPr>
              <w:b/>
              <w:bCs/>
              <w:color w:val="auto"/>
              <w:sz w:val="28"/>
              <w:szCs w:val="28"/>
              <w:highlight w:val="none"/>
            </w:rPr>
            <w:fldChar w:fldCharType="separate"/>
          </w:r>
          <w:r>
            <w:rPr>
              <w:b/>
              <w:bCs/>
              <w:color w:val="auto"/>
              <w:sz w:val="28"/>
              <w:szCs w:val="28"/>
              <w:highlight w:val="none"/>
            </w:rPr>
            <w:t>13</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_Toc15355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rPr>
            <w:t>（一）项目决策情况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_Toc15355 \h </w:instrText>
          </w:r>
          <w:r>
            <w:rPr>
              <w:color w:val="auto"/>
              <w:sz w:val="28"/>
              <w:szCs w:val="28"/>
              <w:highlight w:val="none"/>
            </w:rPr>
            <w:fldChar w:fldCharType="separate"/>
          </w:r>
          <w:r>
            <w:rPr>
              <w:color w:val="auto"/>
              <w:sz w:val="28"/>
              <w:szCs w:val="28"/>
              <w:highlight w:val="none"/>
            </w:rPr>
            <w:t>13</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_Toc11361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二</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项目过程情况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_Toc11361 \h </w:instrText>
          </w:r>
          <w:r>
            <w:rPr>
              <w:color w:val="auto"/>
              <w:sz w:val="28"/>
              <w:szCs w:val="28"/>
              <w:highlight w:val="none"/>
            </w:rPr>
            <w:fldChar w:fldCharType="separate"/>
          </w:r>
          <w:r>
            <w:rPr>
              <w:color w:val="auto"/>
              <w:sz w:val="28"/>
              <w:szCs w:val="28"/>
              <w:highlight w:val="none"/>
            </w:rPr>
            <w:t>16</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_Toc16268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三</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项目产出情况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_Toc16268 \h </w:instrText>
          </w:r>
          <w:r>
            <w:rPr>
              <w:color w:val="auto"/>
              <w:sz w:val="28"/>
              <w:szCs w:val="28"/>
              <w:highlight w:val="none"/>
            </w:rPr>
            <w:fldChar w:fldCharType="separate"/>
          </w:r>
          <w:r>
            <w:rPr>
              <w:color w:val="auto"/>
              <w:sz w:val="28"/>
              <w:szCs w:val="28"/>
              <w:highlight w:val="none"/>
            </w:rPr>
            <w:t>17</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_Toc18446 </w:instrText>
          </w:r>
          <w:r>
            <w:rPr>
              <w:rFonts w:hint="eastAsia"/>
              <w:color w:val="auto"/>
              <w:sz w:val="28"/>
              <w:szCs w:val="28"/>
              <w:highlight w:val="none"/>
              <w:lang w:val="en-US" w:eastAsia="zh-CN"/>
            </w:rPr>
            <w:fldChar w:fldCharType="separate"/>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lang w:val="en-US" w:eastAsia="zh-CN"/>
            </w:rPr>
            <w:t>四</w:t>
          </w:r>
          <w:r>
            <w:rPr>
              <w:rFonts w:hint="eastAsia" w:ascii="宋体" w:hAnsi="宋体" w:eastAsia="宋体" w:cs="宋体"/>
              <w:color w:val="auto"/>
              <w:sz w:val="28"/>
              <w:szCs w:val="28"/>
              <w:highlight w:val="none"/>
              <w:shd w:val="clear" w:color="auto" w:fill="auto"/>
              <w:lang w:eastAsia="zh-CN"/>
            </w:rPr>
            <w:t>）</w:t>
          </w:r>
          <w:r>
            <w:rPr>
              <w:rFonts w:hint="eastAsia" w:ascii="宋体" w:hAnsi="宋体" w:eastAsia="宋体" w:cs="宋体"/>
              <w:color w:val="auto"/>
              <w:sz w:val="28"/>
              <w:szCs w:val="28"/>
              <w:highlight w:val="none"/>
              <w:shd w:val="clear" w:color="auto" w:fill="auto"/>
            </w:rPr>
            <w:t>项目效益情况</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_Toc18446 \h </w:instrText>
          </w:r>
          <w:r>
            <w:rPr>
              <w:color w:val="auto"/>
              <w:sz w:val="28"/>
              <w:szCs w:val="28"/>
              <w:highlight w:val="none"/>
            </w:rPr>
            <w:fldChar w:fldCharType="separate"/>
          </w:r>
          <w:r>
            <w:rPr>
              <w:color w:val="auto"/>
              <w:sz w:val="28"/>
              <w:szCs w:val="28"/>
              <w:highlight w:val="none"/>
            </w:rPr>
            <w:t>19</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_Toc19962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五、预算执行进度与指标偏差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_Toc19962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_Toc29934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六、主要经验及做法、存在的问题及原因分析</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_Toc29934 \h </w:instrText>
          </w:r>
          <w:r>
            <w:rPr>
              <w:b/>
              <w:bCs/>
              <w:color w:val="auto"/>
              <w:sz w:val="28"/>
              <w:szCs w:val="28"/>
              <w:highlight w:val="none"/>
            </w:rPr>
            <w:fldChar w:fldCharType="separate"/>
          </w:r>
          <w:r>
            <w:rPr>
              <w:b/>
              <w:bCs/>
              <w:color w:val="auto"/>
              <w:sz w:val="28"/>
              <w:szCs w:val="28"/>
              <w:highlight w:val="none"/>
            </w:rPr>
            <w:t>20</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_Toc13160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一</w:t>
          </w:r>
          <w:r>
            <w:rPr>
              <w:rFonts w:hint="eastAsia"/>
              <w:bCs/>
              <w:color w:val="auto"/>
              <w:sz w:val="28"/>
              <w:szCs w:val="28"/>
              <w:highlight w:val="none"/>
              <w:lang w:eastAsia="zh-CN"/>
            </w:rPr>
            <w:t>）</w:t>
          </w:r>
          <w:r>
            <w:rPr>
              <w:rFonts w:hint="eastAsia"/>
              <w:bCs/>
              <w:color w:val="auto"/>
              <w:sz w:val="28"/>
              <w:szCs w:val="28"/>
              <w:highlight w:val="none"/>
            </w:rPr>
            <w:t>主要经验及做法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_Toc13160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r>
            <w:rPr>
              <w:rFonts w:hint="eastAsia"/>
              <w:color w:val="auto"/>
              <w:sz w:val="28"/>
              <w:szCs w:val="28"/>
              <w:highlight w:val="none"/>
              <w:lang w:val="en-US" w:eastAsia="zh-CN"/>
            </w:rPr>
            <w:fldChar w:fldCharType="begin"/>
          </w:r>
          <w:r>
            <w:rPr>
              <w:rFonts w:hint="eastAsia"/>
              <w:color w:val="auto"/>
              <w:sz w:val="28"/>
              <w:szCs w:val="28"/>
              <w:highlight w:val="none"/>
              <w:lang w:val="en-US" w:eastAsia="zh-CN"/>
            </w:rPr>
            <w:instrText xml:space="preserve"> HYPERLINK \l _Toc9582 </w:instrText>
          </w:r>
          <w:r>
            <w:rPr>
              <w:rFonts w:hint="eastAsia"/>
              <w:color w:val="auto"/>
              <w:sz w:val="28"/>
              <w:szCs w:val="28"/>
              <w:highlight w:val="none"/>
              <w:lang w:val="en-US" w:eastAsia="zh-CN"/>
            </w:rPr>
            <w:fldChar w:fldCharType="separate"/>
          </w:r>
          <w:r>
            <w:rPr>
              <w:rFonts w:hint="eastAsia"/>
              <w:bCs/>
              <w:color w:val="auto"/>
              <w:sz w:val="28"/>
              <w:szCs w:val="28"/>
              <w:highlight w:val="none"/>
              <w:lang w:eastAsia="zh-CN"/>
            </w:rPr>
            <w:t>（</w:t>
          </w:r>
          <w:r>
            <w:rPr>
              <w:rFonts w:hint="eastAsia"/>
              <w:bCs/>
              <w:color w:val="auto"/>
              <w:sz w:val="28"/>
              <w:szCs w:val="28"/>
              <w:highlight w:val="none"/>
              <w:lang w:val="en-US" w:eastAsia="zh-CN"/>
            </w:rPr>
            <w:t>二</w:t>
          </w:r>
          <w:r>
            <w:rPr>
              <w:rFonts w:hint="eastAsia"/>
              <w:bCs/>
              <w:color w:val="auto"/>
              <w:sz w:val="28"/>
              <w:szCs w:val="28"/>
              <w:highlight w:val="none"/>
              <w:lang w:eastAsia="zh-CN"/>
            </w:rPr>
            <w:t>）</w:t>
          </w:r>
          <w:r>
            <w:rPr>
              <w:rFonts w:hint="eastAsia"/>
              <w:bCs/>
              <w:color w:val="auto"/>
              <w:sz w:val="28"/>
              <w:szCs w:val="28"/>
              <w:highlight w:val="none"/>
            </w:rPr>
            <w:t>存在的问题及原因分析</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_Toc9582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rFonts w:hint="eastAsia"/>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_Toc5230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七、有关建议</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_Toc5230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auto"/>
              <w:sz w:val="28"/>
              <w:szCs w:val="28"/>
              <w:highlight w:val="none"/>
            </w:rPr>
          </w:pPr>
          <w:r>
            <w:rPr>
              <w:rFonts w:hint="eastAsia"/>
              <w:b/>
              <w:bCs/>
              <w:color w:val="auto"/>
              <w:sz w:val="28"/>
              <w:szCs w:val="28"/>
              <w:highlight w:val="none"/>
              <w:lang w:val="en-US" w:eastAsia="zh-CN"/>
            </w:rPr>
            <w:fldChar w:fldCharType="begin"/>
          </w:r>
          <w:r>
            <w:rPr>
              <w:rFonts w:hint="eastAsia"/>
              <w:b/>
              <w:bCs/>
              <w:color w:val="auto"/>
              <w:sz w:val="28"/>
              <w:szCs w:val="28"/>
              <w:highlight w:val="none"/>
              <w:lang w:val="en-US" w:eastAsia="zh-CN"/>
            </w:rPr>
            <w:instrText xml:space="preserve"> HYPERLINK \l _Toc15618 </w:instrText>
          </w:r>
          <w:r>
            <w:rPr>
              <w:rFonts w:hint="eastAsia"/>
              <w:b/>
              <w:bCs/>
              <w:color w:val="auto"/>
              <w:sz w:val="28"/>
              <w:szCs w:val="28"/>
              <w:highlight w:val="none"/>
              <w:lang w:val="en-US" w:eastAsia="zh-CN"/>
            </w:rPr>
            <w:fldChar w:fldCharType="separate"/>
          </w:r>
          <w:r>
            <w:rPr>
              <w:rFonts w:hint="eastAsia" w:ascii="宋体" w:hAnsi="宋体" w:eastAsia="宋体" w:cs="宋体"/>
              <w:b/>
              <w:bCs/>
              <w:color w:val="auto"/>
              <w:sz w:val="28"/>
              <w:szCs w:val="28"/>
              <w:highlight w:val="none"/>
              <w:shd w:val="clear" w:color="auto" w:fill="auto"/>
              <w:lang w:val="en-US" w:eastAsia="zh-CN"/>
            </w:rPr>
            <w:t>八、其他需要说明的问题</w:t>
          </w:r>
          <w:r>
            <w:rPr>
              <w:b/>
              <w:bCs/>
              <w:color w:val="auto"/>
              <w:sz w:val="28"/>
              <w:szCs w:val="28"/>
              <w:highlight w:val="none"/>
            </w:rPr>
            <w:tab/>
          </w:r>
          <w:r>
            <w:rPr>
              <w:b/>
              <w:bCs/>
              <w:color w:val="auto"/>
              <w:sz w:val="28"/>
              <w:szCs w:val="28"/>
              <w:highlight w:val="none"/>
            </w:rPr>
            <w:fldChar w:fldCharType="begin"/>
          </w:r>
          <w:r>
            <w:rPr>
              <w:b/>
              <w:bCs/>
              <w:color w:val="auto"/>
              <w:sz w:val="28"/>
              <w:szCs w:val="28"/>
              <w:highlight w:val="none"/>
            </w:rPr>
            <w:instrText xml:space="preserve"> PAGEREF _Toc15618 \h </w:instrText>
          </w:r>
          <w:r>
            <w:rPr>
              <w:b/>
              <w:bCs/>
              <w:color w:val="auto"/>
              <w:sz w:val="28"/>
              <w:szCs w:val="28"/>
              <w:highlight w:val="none"/>
            </w:rPr>
            <w:fldChar w:fldCharType="separate"/>
          </w:r>
          <w:r>
            <w:rPr>
              <w:b/>
              <w:bCs/>
              <w:color w:val="auto"/>
              <w:sz w:val="28"/>
              <w:szCs w:val="28"/>
              <w:highlight w:val="none"/>
            </w:rPr>
            <w:t>21</w:t>
          </w:r>
          <w:r>
            <w:rPr>
              <w:b/>
              <w:bCs/>
              <w:color w:val="auto"/>
              <w:sz w:val="28"/>
              <w:szCs w:val="28"/>
              <w:highlight w:val="none"/>
            </w:rPr>
            <w:fldChar w:fldCharType="end"/>
          </w:r>
          <w:r>
            <w:rPr>
              <w:rFonts w:hint="eastAsia"/>
              <w:b/>
              <w:bCs/>
              <w:color w:val="auto"/>
              <w:sz w:val="28"/>
              <w:szCs w:val="28"/>
              <w:highlight w:val="none"/>
              <w:lang w:val="en-US" w:eastAsia="zh-CN"/>
            </w:rPr>
            <w:fldChar w:fldCharType="end"/>
          </w:r>
        </w:p>
        <w:p>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auto"/>
              <w:sz w:val="28"/>
              <w:szCs w:val="28"/>
              <w:highlight w:val="none"/>
            </w:rPr>
          </w:pPr>
        </w:p>
        <w:p>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auto"/>
              <w:highlight w:val="none"/>
              <w:lang w:val="en-US" w:eastAsia="zh-CN"/>
            </w:rPr>
            <w:sectPr>
              <w:pgSz w:w="11906" w:h="16838"/>
              <w:pgMar w:top="1928" w:right="1531" w:bottom="1701" w:left="1531" w:header="737" w:footer="851" w:gutter="0"/>
              <w:cols w:space="720" w:num="1"/>
              <w:docGrid w:type="lines" w:linePitch="408" w:charSpace="0"/>
            </w:sectPr>
          </w:pPr>
          <w:r>
            <w:rPr>
              <w:rFonts w:hint="eastAsia"/>
              <w:color w:val="auto"/>
              <w:sz w:val="28"/>
              <w:szCs w:val="28"/>
              <w:highlight w:val="none"/>
              <w:lang w:val="en-US" w:eastAsia="zh-CN"/>
            </w:rPr>
            <w:fldChar w:fldCharType="end"/>
          </w:r>
        </w:p>
      </w:sdtContent>
    </w:sdt>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cs="宋体"/>
          <w:b/>
          <w:bCs/>
          <w:color w:val="auto"/>
          <w:sz w:val="36"/>
          <w:szCs w:val="36"/>
          <w:highlight w:val="none"/>
          <w:shd w:val="clear" w:color="auto" w:fill="auto"/>
          <w:lang w:val="en-US" w:eastAsia="zh-CN"/>
        </w:rPr>
      </w:pPr>
      <w:bookmarkStart w:id="1" w:name="_Toc1194"/>
      <w:r>
        <w:rPr>
          <w:rFonts w:hint="eastAsia" w:cs="宋体"/>
          <w:b/>
          <w:bCs/>
          <w:color w:val="auto"/>
          <w:sz w:val="36"/>
          <w:szCs w:val="36"/>
          <w:highlight w:val="none"/>
          <w:shd w:val="clear" w:color="auto" w:fill="auto"/>
          <w:lang w:val="en-US" w:eastAsia="zh-CN"/>
        </w:rPr>
        <w:t>原人民医院内科楼改造项目项目</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auto"/>
          <w:highlight w:val="none"/>
          <w:shd w:val="clear" w:color="auto" w:fill="auto"/>
        </w:rPr>
      </w:pPr>
      <w:r>
        <w:rPr>
          <w:rFonts w:hint="eastAsia" w:ascii="宋体" w:hAnsi="宋体" w:eastAsia="宋体" w:cs="宋体"/>
          <w:b/>
          <w:bCs/>
          <w:color w:val="auto"/>
          <w:sz w:val="36"/>
          <w:szCs w:val="36"/>
          <w:highlight w:val="none"/>
          <w:shd w:val="clear" w:color="auto" w:fill="auto"/>
        </w:rPr>
        <w:t>支出绩效评价报告</w:t>
      </w:r>
      <w:bookmarkEnd w:id="1"/>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2" w:name="_Toc17540"/>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r>
        <w:rPr>
          <w:rFonts w:hint="eastAsia" w:ascii="宋体" w:hAnsi="宋体" w:eastAsia="宋体" w:cs="宋体"/>
          <w:b/>
          <w:bCs/>
          <w:color w:val="auto"/>
          <w:highlight w:val="none"/>
          <w:shd w:val="clear" w:color="auto" w:fill="auto"/>
        </w:rPr>
        <w:t>一、基本情况</w:t>
      </w:r>
      <w:bookmarkEnd w:id="2"/>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3" w:name="_Toc18966"/>
      <w:r>
        <w:rPr>
          <w:rFonts w:hint="eastAsia" w:ascii="宋体" w:hAnsi="宋体" w:eastAsia="宋体" w:cs="宋体"/>
          <w:color w:val="auto"/>
          <w:highlight w:val="none"/>
          <w:shd w:val="clear" w:color="auto" w:fill="auto"/>
        </w:rPr>
        <w:t>（一）项目概况</w:t>
      </w:r>
      <w:bookmarkEnd w:id="3"/>
    </w:p>
    <w:p>
      <w:pPr>
        <w:rPr>
          <w:rFonts w:hint="eastAsia" w:ascii="宋体" w:hAnsi="宋体" w:eastAsia="宋体" w:cs="宋体"/>
          <w:color w:val="auto"/>
          <w:highlight w:val="none"/>
          <w:shd w:val="clear" w:color="auto" w:fill="auto"/>
        </w:rPr>
      </w:pPr>
      <w:bookmarkStart w:id="4" w:name="_Toc5043"/>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项目背景</w:t>
      </w:r>
    </w:p>
    <w:bookmarkEnd w:id="4"/>
    <w:p>
      <w:pPr>
        <w:spacing w:line="520" w:lineRule="exact"/>
        <w:ind w:firstLine="560" w:firstLineChars="200"/>
        <w:rPr>
          <w:color w:val="auto"/>
          <w:sz w:val="28"/>
          <w:szCs w:val="28"/>
          <w:highlight w:val="none"/>
        </w:rPr>
      </w:pPr>
      <w:r>
        <w:rPr>
          <w:rFonts w:hAnsi="宋体"/>
          <w:color w:val="auto"/>
          <w:sz w:val="28"/>
          <w:szCs w:val="28"/>
          <w:highlight w:val="none"/>
        </w:rPr>
        <w:t>妇幼保健机构是公共卫生服务体系的重要组成部分。建设</w:t>
      </w:r>
      <w:r>
        <w:rPr>
          <w:rFonts w:hint="eastAsia" w:hAnsi="宋体"/>
          <w:color w:val="auto"/>
          <w:sz w:val="28"/>
          <w:szCs w:val="28"/>
          <w:highlight w:val="none"/>
        </w:rPr>
        <w:t>阜康市妇幼保健计划生育服务中心</w:t>
      </w:r>
      <w:r>
        <w:rPr>
          <w:rFonts w:hAnsi="宋体"/>
          <w:color w:val="auto"/>
          <w:sz w:val="28"/>
          <w:szCs w:val="28"/>
          <w:highlight w:val="none"/>
        </w:rPr>
        <w:t>的目的是通过优生优育，妇幼保健服务，降低妇女儿童的患疾率及死亡率，提高妇女、儿童的身心健康水平；保证我国</w:t>
      </w:r>
      <w:r>
        <w:rPr>
          <w:color w:val="auto"/>
          <w:sz w:val="28"/>
          <w:szCs w:val="28"/>
          <w:highlight w:val="none"/>
        </w:rPr>
        <w:t>“</w:t>
      </w:r>
      <w:r>
        <w:rPr>
          <w:rFonts w:hAnsi="宋体"/>
          <w:color w:val="auto"/>
          <w:sz w:val="28"/>
          <w:szCs w:val="28"/>
          <w:highlight w:val="none"/>
        </w:rPr>
        <w:t>控制人口数量、提高人口素质</w:t>
      </w:r>
      <w:r>
        <w:rPr>
          <w:color w:val="auto"/>
          <w:sz w:val="28"/>
          <w:szCs w:val="28"/>
          <w:highlight w:val="none"/>
        </w:rPr>
        <w:t>”</w:t>
      </w:r>
      <w:r>
        <w:rPr>
          <w:rFonts w:hAnsi="宋体"/>
          <w:color w:val="auto"/>
          <w:sz w:val="28"/>
          <w:szCs w:val="28"/>
          <w:highlight w:val="none"/>
        </w:rPr>
        <w:t>基本国策的实现；保证妇幼保健工作的顺利实施，并以此促进民族的兴旺，社会的发展。党和国家要求各相关部门认真贯彻执行《中华人民共和国母婴保健法》和妇幼保健工作有关政策法规，认真作好各项妇幼保健工作。</w:t>
      </w:r>
    </w:p>
    <w:p>
      <w:pPr>
        <w:spacing w:line="520" w:lineRule="exact"/>
        <w:ind w:firstLine="560" w:firstLineChars="200"/>
        <w:rPr>
          <w:color w:val="auto"/>
          <w:sz w:val="28"/>
          <w:szCs w:val="28"/>
          <w:highlight w:val="none"/>
        </w:rPr>
      </w:pPr>
      <w:r>
        <w:rPr>
          <w:rFonts w:hAnsi="宋体"/>
          <w:color w:val="auto"/>
          <w:sz w:val="28"/>
          <w:szCs w:val="28"/>
          <w:highlight w:val="none"/>
          <w:lang w:val="zh-CN"/>
        </w:rPr>
        <w:t>国家</w:t>
      </w:r>
      <w:r>
        <w:rPr>
          <w:color w:val="auto"/>
          <w:sz w:val="28"/>
          <w:szCs w:val="28"/>
          <w:highlight w:val="none"/>
          <w:lang w:val="zh-CN"/>
        </w:rPr>
        <w:t>“</w:t>
      </w:r>
      <w:r>
        <w:rPr>
          <w:rFonts w:hAnsi="宋体"/>
          <w:color w:val="auto"/>
          <w:sz w:val="28"/>
          <w:szCs w:val="28"/>
          <w:highlight w:val="none"/>
          <w:lang w:val="zh-CN"/>
        </w:rPr>
        <w:t>十二五</w:t>
      </w:r>
      <w:r>
        <w:rPr>
          <w:color w:val="auto"/>
          <w:sz w:val="28"/>
          <w:szCs w:val="28"/>
          <w:highlight w:val="none"/>
          <w:lang w:val="zh-CN"/>
        </w:rPr>
        <w:t>”</w:t>
      </w:r>
      <w:r>
        <w:rPr>
          <w:rFonts w:hAnsi="宋体"/>
          <w:color w:val="auto"/>
          <w:sz w:val="28"/>
          <w:szCs w:val="28"/>
          <w:highlight w:val="none"/>
          <w:lang w:val="zh-CN"/>
        </w:rPr>
        <w:t>规划将妇女儿童主要健康指标列入规划，对全面加强妇幼卫生工作提出了明确要求。国务院正式印发了《</w:t>
      </w:r>
      <w:r>
        <w:rPr>
          <w:color w:val="auto"/>
          <w:sz w:val="28"/>
          <w:szCs w:val="28"/>
          <w:highlight w:val="none"/>
          <w:lang w:val="zh-CN"/>
        </w:rPr>
        <w:t>2011</w:t>
      </w:r>
      <w:r>
        <w:rPr>
          <w:rFonts w:hAnsi="宋体"/>
          <w:color w:val="auto"/>
          <w:sz w:val="28"/>
          <w:szCs w:val="28"/>
          <w:highlight w:val="none"/>
          <w:lang w:val="zh-CN"/>
        </w:rPr>
        <w:t>～</w:t>
      </w:r>
      <w:r>
        <w:rPr>
          <w:color w:val="auto"/>
          <w:sz w:val="28"/>
          <w:szCs w:val="28"/>
          <w:highlight w:val="none"/>
          <w:lang w:val="zh-CN"/>
        </w:rPr>
        <w:t>2020</w:t>
      </w:r>
      <w:r>
        <w:rPr>
          <w:rFonts w:hAnsi="宋体"/>
          <w:color w:val="auto"/>
          <w:sz w:val="28"/>
          <w:szCs w:val="28"/>
          <w:highlight w:val="none"/>
          <w:lang w:val="zh-CN"/>
        </w:rPr>
        <w:t>年中国妇女儿童发展纲要》，为未来</w:t>
      </w:r>
      <w:r>
        <w:rPr>
          <w:color w:val="auto"/>
          <w:sz w:val="28"/>
          <w:szCs w:val="28"/>
          <w:highlight w:val="none"/>
          <w:lang w:val="zh-CN"/>
        </w:rPr>
        <w:t>10</w:t>
      </w:r>
      <w:r>
        <w:rPr>
          <w:rFonts w:hAnsi="宋体"/>
          <w:color w:val="auto"/>
          <w:sz w:val="28"/>
          <w:szCs w:val="28"/>
          <w:highlight w:val="none"/>
          <w:lang w:val="zh-CN"/>
        </w:rPr>
        <w:t>年妇女儿童健康发展描绘了蓝图，也为妇幼卫生事业发展提供了强有力的政策保障。同时，外部环境的变化也为妇幼保健工作的进一步开展提出了诸多挑战。加强妇幼卫生工作，对于提高全民族的健康素质，促进经济发展和社会和谐具有重要意义。</w:t>
      </w:r>
    </w:p>
    <w:p>
      <w:pPr>
        <w:widowControl/>
        <w:snapToGrid w:val="0"/>
        <w:spacing w:line="520" w:lineRule="exact"/>
        <w:ind w:firstLine="641"/>
        <w:rPr>
          <w:color w:val="auto"/>
          <w:sz w:val="28"/>
          <w:szCs w:val="28"/>
          <w:highlight w:val="none"/>
        </w:rPr>
      </w:pPr>
      <w:r>
        <w:rPr>
          <w:rFonts w:hAnsi="宋体"/>
          <w:color w:val="auto"/>
          <w:sz w:val="28"/>
          <w:szCs w:val="28"/>
          <w:highlight w:val="none"/>
        </w:rPr>
        <w:t>《新疆维吾尔自治区卫生事业</w:t>
      </w:r>
      <w:r>
        <w:rPr>
          <w:color w:val="auto"/>
          <w:sz w:val="28"/>
          <w:szCs w:val="28"/>
          <w:highlight w:val="none"/>
        </w:rPr>
        <w:t>“</w:t>
      </w:r>
      <w:r>
        <w:rPr>
          <w:rFonts w:hAnsi="宋体"/>
          <w:color w:val="auto"/>
          <w:sz w:val="28"/>
          <w:szCs w:val="28"/>
          <w:highlight w:val="none"/>
        </w:rPr>
        <w:t>十二五</w:t>
      </w:r>
      <w:r>
        <w:rPr>
          <w:color w:val="auto"/>
          <w:sz w:val="28"/>
          <w:szCs w:val="28"/>
          <w:highlight w:val="none"/>
        </w:rPr>
        <w:t>”</w:t>
      </w:r>
      <w:r>
        <w:rPr>
          <w:rFonts w:hAnsi="宋体"/>
          <w:color w:val="auto"/>
          <w:sz w:val="28"/>
          <w:szCs w:val="28"/>
          <w:highlight w:val="none"/>
        </w:rPr>
        <w:t>发展规划》提出：认真落实《中华人民共和国母婴保健法》，加强妇幼保健体系建设，健全妇幼卫生服务网络，提高妇幼卫生服务能力和水平，保证服务质量和效率，减少可避免的孕产妇和儿童死亡，加强新生儿疾病和妇女病的防治，全面提高妇女儿童健康水平。</w:t>
      </w:r>
    </w:p>
    <w:p>
      <w:pPr>
        <w:rPr>
          <w:rFonts w:hint="eastAsia"/>
          <w:color w:val="auto"/>
          <w:highlight w:val="none"/>
          <w:lang w:val="en-US" w:eastAsia="zh-CN"/>
        </w:rPr>
      </w:pPr>
      <w:r>
        <w:rPr>
          <w:rFonts w:hint="eastAsia" w:hAnsi="宋体"/>
          <w:color w:val="auto"/>
          <w:sz w:val="28"/>
          <w:szCs w:val="28"/>
          <w:highlight w:val="none"/>
        </w:rPr>
        <w:t>阜康市妇幼保健计划生育服务中心</w:t>
      </w:r>
      <w:r>
        <w:rPr>
          <w:rFonts w:hAnsi="宋体"/>
          <w:color w:val="auto"/>
          <w:sz w:val="28"/>
          <w:szCs w:val="28"/>
          <w:highlight w:val="none"/>
        </w:rPr>
        <w:t>现有业务用房建于</w:t>
      </w:r>
      <w:r>
        <w:rPr>
          <w:color w:val="auto"/>
          <w:sz w:val="28"/>
          <w:szCs w:val="28"/>
          <w:highlight w:val="none"/>
        </w:rPr>
        <w:t>1996</w:t>
      </w:r>
      <w:r>
        <w:rPr>
          <w:rFonts w:hAnsi="宋体"/>
          <w:color w:val="auto"/>
          <w:sz w:val="28"/>
          <w:szCs w:val="28"/>
          <w:highlight w:val="none"/>
        </w:rPr>
        <w:t>年，建筑面积</w:t>
      </w:r>
      <w:r>
        <w:rPr>
          <w:color w:val="auto"/>
          <w:sz w:val="28"/>
          <w:szCs w:val="28"/>
          <w:highlight w:val="none"/>
        </w:rPr>
        <w:t>887.7m</w:t>
      </w:r>
      <w:r>
        <w:rPr>
          <w:color w:val="auto"/>
          <w:sz w:val="28"/>
          <w:szCs w:val="28"/>
          <w:highlight w:val="none"/>
          <w:vertAlign w:val="superscript"/>
        </w:rPr>
        <w:t>2</w:t>
      </w:r>
      <w:r>
        <w:rPr>
          <w:rFonts w:hAnsi="宋体"/>
          <w:color w:val="auto"/>
          <w:sz w:val="28"/>
          <w:szCs w:val="28"/>
          <w:highlight w:val="none"/>
        </w:rPr>
        <w:t>，</w:t>
      </w:r>
      <w:r>
        <w:rPr>
          <w:rFonts w:hint="eastAsia" w:hAnsi="宋体"/>
          <w:color w:val="auto"/>
          <w:sz w:val="28"/>
          <w:szCs w:val="28"/>
          <w:highlight w:val="none"/>
        </w:rPr>
        <w:t>阜康市妇幼保健计划生育服务中心</w:t>
      </w:r>
      <w:r>
        <w:rPr>
          <w:rFonts w:hAnsi="宋体"/>
          <w:color w:val="auto"/>
          <w:sz w:val="28"/>
          <w:szCs w:val="28"/>
          <w:highlight w:val="none"/>
        </w:rPr>
        <w:t>业务用房面积小、条件差，使</w:t>
      </w:r>
      <w:r>
        <w:rPr>
          <w:rFonts w:hint="eastAsia" w:hAnsi="宋体"/>
          <w:color w:val="auto"/>
          <w:sz w:val="28"/>
          <w:szCs w:val="28"/>
          <w:highlight w:val="none"/>
        </w:rPr>
        <w:t>阜康市妇幼保健计划生育服务中心</w:t>
      </w:r>
      <w:r>
        <w:rPr>
          <w:rFonts w:hAnsi="宋体"/>
          <w:color w:val="auto"/>
          <w:sz w:val="28"/>
          <w:szCs w:val="28"/>
          <w:highlight w:val="none"/>
        </w:rPr>
        <w:t>的发展受到了很大的限制，不能满足辖区妇幼保健的需求。</w:t>
      </w:r>
      <w:r>
        <w:rPr>
          <w:rFonts w:hint="eastAsia" w:hAnsi="宋体"/>
          <w:color w:val="auto"/>
          <w:sz w:val="28"/>
          <w:szCs w:val="28"/>
          <w:highlight w:val="none"/>
        </w:rPr>
        <w:t>阜康市妇幼保健计划生育服务中心</w:t>
      </w:r>
      <w:r>
        <w:rPr>
          <w:rFonts w:hAnsi="宋体"/>
          <w:color w:val="auto"/>
          <w:sz w:val="28"/>
          <w:szCs w:val="28"/>
          <w:highlight w:val="none"/>
        </w:rPr>
        <w:t>核定人员</w:t>
      </w:r>
      <w:r>
        <w:rPr>
          <w:color w:val="auto"/>
          <w:sz w:val="28"/>
          <w:szCs w:val="28"/>
          <w:highlight w:val="none"/>
        </w:rPr>
        <w:t>40</w:t>
      </w:r>
      <w:r>
        <w:rPr>
          <w:rFonts w:hAnsi="宋体"/>
          <w:color w:val="auto"/>
          <w:sz w:val="28"/>
          <w:szCs w:val="28"/>
          <w:highlight w:val="none"/>
        </w:rPr>
        <w:t>人，病床为</w:t>
      </w:r>
      <w:r>
        <w:rPr>
          <w:rFonts w:hint="eastAsia"/>
          <w:color w:val="auto"/>
          <w:sz w:val="28"/>
          <w:szCs w:val="28"/>
          <w:highlight w:val="none"/>
        </w:rPr>
        <w:t>40</w:t>
      </w:r>
      <w:r>
        <w:rPr>
          <w:rFonts w:hAnsi="宋体"/>
          <w:color w:val="auto"/>
          <w:sz w:val="28"/>
          <w:szCs w:val="28"/>
          <w:highlight w:val="none"/>
        </w:rPr>
        <w:t>张，</w:t>
      </w:r>
      <w:r>
        <w:rPr>
          <w:rFonts w:hAnsi="宋体"/>
          <w:color w:val="auto"/>
          <w:kern w:val="0"/>
          <w:sz w:val="28"/>
          <w:szCs w:val="28"/>
          <w:highlight w:val="none"/>
        </w:rPr>
        <w:t>根据《关于抓紧编报</w:t>
      </w:r>
      <w:r>
        <w:rPr>
          <w:color w:val="auto"/>
          <w:kern w:val="0"/>
          <w:sz w:val="28"/>
          <w:szCs w:val="28"/>
          <w:highlight w:val="none"/>
        </w:rPr>
        <w:t>“</w:t>
      </w:r>
      <w:r>
        <w:rPr>
          <w:rFonts w:hAnsi="宋体"/>
          <w:color w:val="auto"/>
          <w:kern w:val="0"/>
          <w:sz w:val="28"/>
          <w:szCs w:val="28"/>
          <w:highlight w:val="none"/>
        </w:rPr>
        <w:t>十三五</w:t>
      </w:r>
      <w:r>
        <w:rPr>
          <w:color w:val="auto"/>
          <w:kern w:val="0"/>
          <w:sz w:val="28"/>
          <w:szCs w:val="28"/>
          <w:highlight w:val="none"/>
        </w:rPr>
        <w:t>”</w:t>
      </w:r>
      <w:r>
        <w:rPr>
          <w:rFonts w:hAnsi="宋体"/>
          <w:color w:val="auto"/>
          <w:kern w:val="0"/>
          <w:sz w:val="28"/>
          <w:szCs w:val="28"/>
          <w:highlight w:val="none"/>
        </w:rPr>
        <w:t>医疗卫生领域建设项目储备库（第一批）的通知》要求，县级妇幼健康服务机构公共卫生业务用房按</w:t>
      </w:r>
      <w:r>
        <w:rPr>
          <w:color w:val="auto"/>
          <w:kern w:val="0"/>
          <w:sz w:val="28"/>
          <w:szCs w:val="28"/>
          <w:highlight w:val="none"/>
        </w:rPr>
        <w:t>70m2/</w:t>
      </w:r>
      <w:r>
        <w:rPr>
          <w:rFonts w:hAnsi="宋体"/>
          <w:color w:val="auto"/>
          <w:kern w:val="0"/>
          <w:sz w:val="28"/>
          <w:szCs w:val="28"/>
          <w:highlight w:val="none"/>
        </w:rPr>
        <w:t>人计算，设置床位的，医疗业务用房面积按照</w:t>
      </w:r>
      <w:r>
        <w:rPr>
          <w:color w:val="auto"/>
          <w:kern w:val="0"/>
          <w:sz w:val="28"/>
          <w:szCs w:val="28"/>
          <w:highlight w:val="none"/>
        </w:rPr>
        <w:t>200</w:t>
      </w:r>
      <w:r>
        <w:rPr>
          <w:rFonts w:hAnsi="宋体"/>
          <w:color w:val="auto"/>
          <w:kern w:val="0"/>
          <w:sz w:val="28"/>
          <w:szCs w:val="28"/>
          <w:highlight w:val="none"/>
        </w:rPr>
        <w:t>床及以下，每张床按</w:t>
      </w:r>
      <w:r>
        <w:rPr>
          <w:color w:val="auto"/>
          <w:kern w:val="0"/>
          <w:sz w:val="28"/>
          <w:szCs w:val="28"/>
          <w:highlight w:val="none"/>
        </w:rPr>
        <w:t>88m</w:t>
      </w:r>
      <w:r>
        <w:rPr>
          <w:color w:val="auto"/>
          <w:kern w:val="0"/>
          <w:sz w:val="28"/>
          <w:szCs w:val="28"/>
          <w:highlight w:val="none"/>
          <w:vertAlign w:val="superscript"/>
        </w:rPr>
        <w:t>2</w:t>
      </w:r>
      <w:r>
        <w:rPr>
          <w:rFonts w:hAnsi="宋体"/>
          <w:color w:val="auto"/>
          <w:kern w:val="0"/>
          <w:sz w:val="28"/>
          <w:szCs w:val="28"/>
          <w:highlight w:val="none"/>
        </w:rPr>
        <w:t>的标准另行增加建筑面积。阜康市妇幼保健站</w:t>
      </w:r>
      <w:r>
        <w:rPr>
          <w:rFonts w:hint="eastAsia" w:hAnsi="宋体"/>
          <w:color w:val="auto"/>
          <w:kern w:val="0"/>
          <w:sz w:val="28"/>
          <w:szCs w:val="28"/>
          <w:highlight w:val="none"/>
        </w:rPr>
        <w:t>现有</w:t>
      </w:r>
      <w:r>
        <w:rPr>
          <w:rFonts w:hAnsi="宋体"/>
          <w:color w:val="auto"/>
          <w:kern w:val="0"/>
          <w:sz w:val="28"/>
          <w:szCs w:val="28"/>
          <w:highlight w:val="none"/>
        </w:rPr>
        <w:t>业务用房面积远远达不到要求，</w:t>
      </w:r>
      <w:r>
        <w:rPr>
          <w:rFonts w:hAnsi="宋体"/>
          <w:color w:val="auto"/>
          <w:sz w:val="28"/>
          <w:szCs w:val="28"/>
          <w:highlight w:val="none"/>
        </w:rPr>
        <w:t>不能满足全市妇幼保健工作的需求；现有医疗用房面积狭小，布局不符合行业管理规范，存在很大的</w:t>
      </w:r>
      <w:bookmarkStart w:id="89" w:name="_GoBack"/>
      <w:bookmarkEnd w:id="89"/>
      <w:r>
        <w:rPr>
          <w:rFonts w:hAnsi="宋体"/>
          <w:color w:val="auto"/>
          <w:sz w:val="28"/>
          <w:szCs w:val="28"/>
          <w:highlight w:val="none"/>
        </w:rPr>
        <w:t>安全隐患，影响了阜康市妇幼保健站各项业务工作的开展。根据</w:t>
      </w:r>
      <w:r>
        <w:rPr>
          <w:color w:val="auto"/>
          <w:sz w:val="28"/>
          <w:szCs w:val="28"/>
          <w:highlight w:val="none"/>
        </w:rPr>
        <w:t>“</w:t>
      </w:r>
      <w:r>
        <w:rPr>
          <w:rFonts w:hAnsi="宋体"/>
          <w:color w:val="auto"/>
          <w:sz w:val="28"/>
          <w:szCs w:val="28"/>
          <w:highlight w:val="none"/>
        </w:rPr>
        <w:t>两纲</w:t>
      </w:r>
      <w:r>
        <w:rPr>
          <w:color w:val="auto"/>
          <w:sz w:val="28"/>
          <w:szCs w:val="28"/>
          <w:highlight w:val="none"/>
        </w:rPr>
        <w:t>”</w:t>
      </w:r>
      <w:r>
        <w:rPr>
          <w:rFonts w:hAnsi="宋体"/>
          <w:color w:val="auto"/>
          <w:sz w:val="28"/>
          <w:szCs w:val="28"/>
          <w:highlight w:val="none"/>
        </w:rPr>
        <w:t>和卫生部《妇幼保健管理办法》的相关要求及阜康市妇女儿童的预防医疗保健服务的需求，阜康市妇幼保健站提出本项目建设申请。</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5" w:name="_Toc27343"/>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rPr>
        <w:t>主要内容及实施情况</w:t>
      </w:r>
      <w:bookmarkEnd w:id="5"/>
    </w:p>
    <w:p>
      <w:pPr>
        <w:spacing w:line="520" w:lineRule="exact"/>
        <w:ind w:firstLine="422" w:firstLineChars="150"/>
        <w:rPr>
          <w:rFonts w:hint="eastAsia" w:ascii="宋体" w:hAnsi="宋体" w:eastAsia="宋体" w:cs="宋体"/>
          <w:b w:val="0"/>
          <w:bCs w:val="0"/>
          <w:color w:val="auto"/>
          <w:kern w:val="2"/>
          <w:sz w:val="28"/>
          <w:szCs w:val="28"/>
          <w:highlight w:val="none"/>
          <w:shd w:val="clear" w:color="auto" w:fill="auto"/>
          <w:lang w:val="en-US" w:eastAsia="zh-CN" w:bidi="ar-SA"/>
        </w:rPr>
      </w:pPr>
      <w:bookmarkStart w:id="6" w:name="_Toc16592"/>
      <w:r>
        <w:rPr>
          <w:rFonts w:hint="eastAsia" w:hAnsi="宋体"/>
          <w:b/>
          <w:bCs/>
          <w:color w:val="auto"/>
          <w:sz w:val="28"/>
          <w:szCs w:val="28"/>
          <w:highlight w:val="none"/>
          <w:lang w:val="en-US" w:eastAsia="zh-CN"/>
        </w:rPr>
        <w:t>主要内容：</w:t>
      </w:r>
      <w:bookmarkEnd w:id="6"/>
      <w:r>
        <w:rPr>
          <w:rFonts w:hint="eastAsia" w:hAnsi="宋体"/>
          <w:color w:val="auto"/>
          <w:sz w:val="28"/>
          <w:szCs w:val="28"/>
          <w:highlight w:val="none"/>
        </w:rPr>
        <w:t>新建阜康市妇幼保健计划生育服务中心业务用房，</w:t>
      </w:r>
      <w:r>
        <w:rPr>
          <w:rFonts w:hAnsi="宋体"/>
          <w:color w:val="auto"/>
          <w:sz w:val="28"/>
          <w:szCs w:val="28"/>
          <w:highlight w:val="none"/>
        </w:rPr>
        <w:t>建筑面积</w:t>
      </w:r>
      <w:r>
        <w:rPr>
          <w:rFonts w:hint="eastAsia" w:hAnsi="宋体"/>
          <w:color w:val="auto"/>
          <w:sz w:val="28"/>
          <w:szCs w:val="28"/>
          <w:highlight w:val="none"/>
        </w:rPr>
        <w:t>6000</w:t>
      </w:r>
      <w:r>
        <w:rPr>
          <w:rFonts w:hAnsi="宋体"/>
          <w:color w:val="auto"/>
          <w:sz w:val="28"/>
          <w:szCs w:val="28"/>
          <w:highlight w:val="none"/>
        </w:rPr>
        <w:t>平方米</w:t>
      </w:r>
      <w:r>
        <w:rPr>
          <w:rFonts w:hint="eastAsia" w:hAnsi="宋体"/>
          <w:color w:val="auto"/>
          <w:sz w:val="28"/>
          <w:szCs w:val="28"/>
          <w:highlight w:val="none"/>
        </w:rPr>
        <w:t>，框架结构，地下一层，地上六层。主要建设保健用房、医技用房、辅助用房和行政用房，并完善相关配套设施。</w:t>
      </w:r>
    </w:p>
    <w:p>
      <w:pPr>
        <w:spacing w:line="480" w:lineRule="exact"/>
        <w:ind w:firstLine="562" w:firstLineChars="200"/>
        <w:rPr>
          <w:rFonts w:hint="eastAsia"/>
          <w:color w:val="auto"/>
          <w:sz w:val="28"/>
          <w:szCs w:val="28"/>
          <w:highlight w:val="none"/>
        </w:rPr>
      </w:pPr>
      <w:r>
        <w:rPr>
          <w:rFonts w:hint="eastAsia" w:cs="宋体"/>
          <w:b/>
          <w:bCs/>
          <w:color w:val="auto"/>
          <w:highlight w:val="none"/>
          <w:shd w:val="clear" w:color="auto" w:fill="auto"/>
          <w:lang w:val="en-US" w:eastAsia="zh-CN"/>
        </w:rPr>
        <w:t>组织实施</w:t>
      </w:r>
      <w:r>
        <w:rPr>
          <w:rFonts w:hint="eastAsia" w:ascii="宋体" w:hAnsi="宋体" w:eastAsia="宋体" w:cs="宋体"/>
          <w:b/>
          <w:bCs/>
          <w:color w:val="auto"/>
          <w:highlight w:val="none"/>
          <w:shd w:val="clear" w:color="auto" w:fill="auto"/>
          <w:lang w:val="en-US" w:eastAsia="zh-CN"/>
        </w:rPr>
        <w:t>：</w:t>
      </w:r>
      <w:r>
        <w:rPr>
          <w:rFonts w:hint="eastAsia"/>
          <w:color w:val="auto"/>
          <w:sz w:val="28"/>
          <w:szCs w:val="28"/>
          <w:highlight w:val="none"/>
        </w:rPr>
        <w:t>本项目</w:t>
      </w:r>
      <w:r>
        <w:rPr>
          <w:rFonts w:hint="eastAsia"/>
          <w:color w:val="auto"/>
          <w:sz w:val="28"/>
          <w:szCs w:val="28"/>
          <w:highlight w:val="none"/>
          <w:lang w:eastAsia="zh-CN"/>
        </w:rPr>
        <w:t>自</w:t>
      </w:r>
      <w:r>
        <w:rPr>
          <w:rFonts w:hint="eastAsia"/>
          <w:color w:val="auto"/>
          <w:sz w:val="28"/>
          <w:szCs w:val="28"/>
          <w:highlight w:val="none"/>
          <w:lang w:val="en-US" w:eastAsia="zh-CN"/>
        </w:rPr>
        <w:t>2018年3月15日经发改委文件批复，</w:t>
      </w:r>
      <w:r>
        <w:rPr>
          <w:rFonts w:hint="eastAsia"/>
          <w:color w:val="auto"/>
          <w:sz w:val="28"/>
          <w:szCs w:val="28"/>
          <w:highlight w:val="none"/>
        </w:rPr>
        <w:t>建设期为二年，整个工程分以下三个阶段来实施。</w:t>
      </w:r>
    </w:p>
    <w:p>
      <w:pPr>
        <w:spacing w:line="480" w:lineRule="exact"/>
        <w:ind w:firstLine="560" w:firstLineChars="200"/>
        <w:rPr>
          <w:rFonts w:hint="eastAsia"/>
          <w:color w:val="auto"/>
          <w:sz w:val="28"/>
          <w:szCs w:val="28"/>
          <w:highlight w:val="none"/>
        </w:rPr>
      </w:pPr>
      <w:r>
        <w:rPr>
          <w:rFonts w:hint="eastAsia"/>
          <w:color w:val="auto"/>
          <w:sz w:val="28"/>
          <w:szCs w:val="28"/>
          <w:highlight w:val="none"/>
        </w:rPr>
        <w:t>第一阶段：项目前期工作，主要完成以下工作任务：</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sz w:val="28"/>
          <w:szCs w:val="28"/>
          <w:highlight w:val="none"/>
        </w:rPr>
        <w:t>1、成立“阜康市妇幼保健计划生育服务中心项目建设领导小组”，对项目的全过程进行领导。</w:t>
      </w:r>
      <w:r>
        <w:rPr>
          <w:rFonts w:hint="eastAsia" w:ascii="宋体" w:hAnsi="宋体" w:eastAsia="宋体" w:cs="宋体"/>
          <w:color w:val="auto"/>
          <w:highlight w:val="none"/>
          <w:shd w:val="clear" w:color="auto" w:fill="auto"/>
          <w:lang w:val="en-US" w:eastAsia="zh-CN"/>
        </w:rPr>
        <w:t>组长为</w:t>
      </w:r>
      <w:r>
        <w:rPr>
          <w:rFonts w:hint="eastAsia" w:cs="宋体"/>
          <w:color w:val="auto"/>
          <w:highlight w:val="none"/>
          <w:shd w:val="clear" w:color="auto" w:fill="auto"/>
          <w:lang w:val="en-US" w:eastAsia="zh-CN"/>
        </w:rPr>
        <w:t>卢红梅</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严新萍</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项目负责人为雒晓萌,</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杨蕊、温静、那孜拉、吴幸玲</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温静</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那孜拉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杨蕊负责物资采购，吴幸玲</w:t>
      </w:r>
      <w:r>
        <w:rPr>
          <w:rFonts w:hint="eastAsia" w:ascii="宋体" w:hAnsi="宋体" w:eastAsia="宋体" w:cs="宋体"/>
          <w:color w:val="auto"/>
          <w:highlight w:val="none"/>
          <w:shd w:val="clear" w:color="auto" w:fill="auto"/>
          <w:lang w:val="en-US" w:eastAsia="zh-CN"/>
        </w:rPr>
        <w:t>负责资金拨付工作。</w:t>
      </w:r>
    </w:p>
    <w:p>
      <w:pPr>
        <w:spacing w:line="480" w:lineRule="exact"/>
        <w:ind w:firstLine="560" w:firstLineChars="200"/>
        <w:rPr>
          <w:rFonts w:hint="eastAsia"/>
          <w:color w:val="auto"/>
          <w:sz w:val="28"/>
          <w:szCs w:val="28"/>
          <w:highlight w:val="none"/>
        </w:rPr>
      </w:pPr>
      <w:r>
        <w:rPr>
          <w:rFonts w:hint="eastAsia"/>
          <w:color w:val="auto"/>
          <w:sz w:val="28"/>
          <w:szCs w:val="28"/>
          <w:highlight w:val="none"/>
        </w:rPr>
        <w:t>2、编写、报批项目可行性研究报告与施工图设计。</w:t>
      </w:r>
    </w:p>
    <w:p>
      <w:pPr>
        <w:spacing w:line="480" w:lineRule="exact"/>
        <w:ind w:firstLine="560" w:firstLineChars="200"/>
        <w:rPr>
          <w:rFonts w:hint="eastAsia"/>
          <w:color w:val="auto"/>
          <w:sz w:val="28"/>
          <w:szCs w:val="28"/>
          <w:highlight w:val="none"/>
        </w:rPr>
      </w:pPr>
      <w:r>
        <w:rPr>
          <w:rFonts w:hint="eastAsia"/>
          <w:color w:val="auto"/>
          <w:sz w:val="28"/>
          <w:szCs w:val="28"/>
          <w:highlight w:val="none"/>
        </w:rPr>
        <w:t>3、筹措、落实资金和相-关施工文件，做好项目建设招投标，落实施工队伍等一切前期准备工作。</w:t>
      </w:r>
    </w:p>
    <w:p>
      <w:pPr>
        <w:spacing w:line="480" w:lineRule="exact"/>
        <w:ind w:firstLine="560" w:firstLineChars="200"/>
        <w:rPr>
          <w:rFonts w:hint="eastAsia"/>
          <w:color w:val="auto"/>
          <w:sz w:val="28"/>
          <w:szCs w:val="28"/>
          <w:highlight w:val="none"/>
        </w:rPr>
      </w:pPr>
      <w:r>
        <w:rPr>
          <w:rFonts w:hint="eastAsia"/>
          <w:color w:val="auto"/>
          <w:sz w:val="28"/>
          <w:szCs w:val="28"/>
          <w:highlight w:val="none"/>
        </w:rPr>
        <w:t>第二阶段：项目工程建设期。在本阶段将完成项目的土建施工、建筑内外装修和室外附属工程。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olor w:val="auto"/>
          <w:sz w:val="28"/>
          <w:szCs w:val="28"/>
          <w:highlight w:val="none"/>
        </w:rPr>
        <w:t>第三阶段：项目验收期。</w:t>
      </w:r>
      <w:r>
        <w:rPr>
          <w:rFonts w:hint="eastAsia" w:cs="宋体"/>
          <w:b w:val="0"/>
          <w:bCs w:val="0"/>
          <w:color w:val="auto"/>
          <w:kern w:val="2"/>
          <w:sz w:val="28"/>
          <w:szCs w:val="28"/>
          <w:highlight w:val="none"/>
          <w:shd w:val="clear" w:color="auto" w:fill="auto"/>
          <w:lang w:val="en-US" w:eastAsia="zh-CN" w:bidi="ar-SA"/>
        </w:rPr>
        <w:t>我单位根据各级要求</w:t>
      </w:r>
      <w:r>
        <w:rPr>
          <w:rFonts w:hint="eastAsia" w:ascii="宋体" w:hAnsi="宋体" w:eastAsia="宋体" w:cs="宋体"/>
          <w:color w:val="auto"/>
          <w:highlight w:val="none"/>
          <w:shd w:val="clear" w:color="auto" w:fill="auto"/>
          <w:lang w:val="en-US" w:eastAsia="zh-CN"/>
        </w:rPr>
        <w:t>确定项目领导小组，明确责任分工：组长为</w:t>
      </w:r>
      <w:r>
        <w:rPr>
          <w:rFonts w:hint="eastAsia" w:cs="宋体"/>
          <w:color w:val="auto"/>
          <w:highlight w:val="none"/>
          <w:shd w:val="clear" w:color="auto" w:fill="auto"/>
          <w:lang w:val="en-US" w:eastAsia="zh-CN"/>
        </w:rPr>
        <w:t>卢红梅</w:t>
      </w:r>
      <w:r>
        <w:rPr>
          <w:rFonts w:hint="eastAsia" w:ascii="宋体" w:hAnsi="宋体" w:eastAsia="宋体" w:cs="宋体"/>
          <w:color w:val="auto"/>
          <w:highlight w:val="none"/>
          <w:shd w:val="clear" w:color="auto" w:fill="auto"/>
          <w:lang w:val="en-US" w:eastAsia="zh-CN"/>
        </w:rPr>
        <w:t>，副组长为</w:t>
      </w:r>
      <w:r>
        <w:rPr>
          <w:rFonts w:hint="eastAsia" w:cs="宋体"/>
          <w:color w:val="auto"/>
          <w:highlight w:val="none"/>
          <w:shd w:val="clear" w:color="auto" w:fill="auto"/>
          <w:lang w:val="en-US" w:eastAsia="zh-CN"/>
        </w:rPr>
        <w:t>严新萍</w:t>
      </w:r>
      <w:r>
        <w:rPr>
          <w:rFonts w:hint="eastAsia" w:ascii="宋体" w:hAnsi="宋体" w:eastAsia="宋体" w:cs="宋体"/>
          <w:color w:val="auto"/>
          <w:highlight w:val="none"/>
          <w:shd w:val="clear" w:color="auto" w:fill="auto"/>
          <w:lang w:val="en-US" w:eastAsia="zh-CN"/>
        </w:rPr>
        <w:t>，</w:t>
      </w:r>
      <w:r>
        <w:rPr>
          <w:rFonts w:hint="eastAsia" w:cs="宋体"/>
          <w:color w:val="auto"/>
          <w:highlight w:val="none"/>
          <w:shd w:val="clear" w:color="auto" w:fill="auto"/>
          <w:lang w:val="en-US" w:eastAsia="zh-CN"/>
        </w:rPr>
        <w:t>项目负责人为雒晓萌,</w:t>
      </w:r>
      <w:r>
        <w:rPr>
          <w:rFonts w:hint="eastAsia" w:ascii="宋体" w:hAnsi="宋体" w:eastAsia="宋体" w:cs="宋体"/>
          <w:color w:val="auto"/>
          <w:highlight w:val="none"/>
          <w:shd w:val="clear" w:color="auto" w:fill="auto"/>
          <w:lang w:val="en-US" w:eastAsia="zh-CN"/>
        </w:rPr>
        <w:t>组员为</w:t>
      </w:r>
      <w:r>
        <w:rPr>
          <w:rFonts w:hint="eastAsia" w:cs="宋体"/>
          <w:color w:val="auto"/>
          <w:highlight w:val="none"/>
          <w:shd w:val="clear" w:color="auto" w:fill="auto"/>
          <w:lang w:val="en-US" w:eastAsia="zh-CN"/>
        </w:rPr>
        <w:t>杨蕊、温静、那孜拉、吴幸玲</w:t>
      </w:r>
      <w:r>
        <w:rPr>
          <w:rFonts w:hint="eastAsia" w:ascii="宋体" w:hAnsi="宋体" w:eastAsia="宋体" w:cs="宋体"/>
          <w:color w:val="auto"/>
          <w:highlight w:val="none"/>
          <w:shd w:val="clear" w:color="auto" w:fill="auto"/>
          <w:lang w:val="en-US" w:eastAsia="zh-CN"/>
        </w:rPr>
        <w:t>，其中：</w:t>
      </w:r>
      <w:r>
        <w:rPr>
          <w:rFonts w:hint="eastAsia" w:cs="宋体"/>
          <w:color w:val="auto"/>
          <w:highlight w:val="none"/>
          <w:shd w:val="clear" w:color="auto" w:fill="auto"/>
          <w:lang w:val="en-US" w:eastAsia="zh-CN"/>
        </w:rPr>
        <w:t>温静</w:t>
      </w:r>
      <w:r>
        <w:rPr>
          <w:rFonts w:hint="eastAsia" w:ascii="宋体" w:hAnsi="宋体" w:eastAsia="宋体" w:cs="宋体"/>
          <w:color w:val="auto"/>
          <w:highlight w:val="none"/>
          <w:shd w:val="clear" w:color="auto" w:fill="auto"/>
          <w:lang w:val="en-US" w:eastAsia="zh-CN"/>
        </w:rPr>
        <w:t>负责监管工作，</w:t>
      </w:r>
      <w:r>
        <w:rPr>
          <w:rFonts w:hint="eastAsia" w:cs="宋体"/>
          <w:color w:val="auto"/>
          <w:highlight w:val="none"/>
          <w:shd w:val="clear" w:color="auto" w:fill="auto"/>
          <w:lang w:val="en-US" w:eastAsia="zh-CN"/>
        </w:rPr>
        <w:t>那孜拉</w:t>
      </w:r>
      <w:r>
        <w:rPr>
          <w:rFonts w:hint="eastAsia" w:ascii="宋体" w:hAnsi="宋体" w:eastAsia="宋体" w:cs="宋体"/>
          <w:color w:val="auto"/>
          <w:highlight w:val="none"/>
          <w:shd w:val="clear" w:color="auto" w:fill="auto"/>
          <w:lang w:val="en-US" w:eastAsia="zh-CN"/>
        </w:rPr>
        <w:t>负责项目档案资料，</w:t>
      </w:r>
      <w:r>
        <w:rPr>
          <w:rFonts w:hint="eastAsia" w:cs="宋体"/>
          <w:color w:val="auto"/>
          <w:highlight w:val="none"/>
          <w:shd w:val="clear" w:color="auto" w:fill="auto"/>
          <w:lang w:val="en-US" w:eastAsia="zh-CN"/>
        </w:rPr>
        <w:t>杨蕊负责物资采购，吴幸玲</w:t>
      </w:r>
      <w:r>
        <w:rPr>
          <w:rFonts w:hint="eastAsia" w:ascii="宋体" w:hAnsi="宋体" w:eastAsia="宋体" w:cs="宋体"/>
          <w:color w:val="auto"/>
          <w:highlight w:val="none"/>
          <w:shd w:val="clear" w:color="auto" w:fill="auto"/>
          <w:lang w:val="en-US" w:eastAsia="zh-CN"/>
        </w:rPr>
        <w:t>负责资金拨付工作。</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7" w:name="_Toc1858"/>
      <w:r>
        <w:rPr>
          <w:rFonts w:hint="eastAsia" w:ascii="宋体" w:hAnsi="宋体" w:eastAsia="宋体" w:cs="宋体"/>
          <w:color w:val="auto"/>
          <w:highlight w:val="none"/>
          <w:shd w:val="clear" w:color="auto" w:fill="auto"/>
          <w:lang w:val="en-US" w:eastAsia="zh-CN"/>
        </w:rPr>
        <w:t>3.资金投入和使用情况</w:t>
      </w:r>
      <w:bookmarkEnd w:id="7"/>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项目资金安排落实、总投入等情况分析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原人民医院内科楼改造项目</w:t>
      </w:r>
      <w:r>
        <w:rPr>
          <w:rFonts w:hint="eastAsia" w:ascii="宋体" w:hAnsi="宋体" w:eastAsia="宋体" w:cs="宋体"/>
          <w:color w:val="auto"/>
          <w:highlight w:val="none"/>
          <w:shd w:val="clear" w:color="auto" w:fill="auto"/>
          <w:lang w:val="en-US" w:eastAsia="zh-CN"/>
        </w:rPr>
        <w:t>项目预算安排总额为</w:t>
      </w:r>
      <w:r>
        <w:rPr>
          <w:rFonts w:hint="eastAsia" w:cs="宋体"/>
          <w:color w:val="auto"/>
          <w:highlight w:val="none"/>
          <w:shd w:val="clear" w:color="auto" w:fill="auto"/>
          <w:lang w:val="en-US" w:eastAsia="zh-CN"/>
        </w:rPr>
        <w:t>131.38</w:t>
      </w:r>
      <w:r>
        <w:rPr>
          <w:rFonts w:hint="eastAsia" w:ascii="宋体" w:hAnsi="宋体" w:eastAsia="宋体" w:cs="宋体"/>
          <w:color w:val="auto"/>
          <w:highlight w:val="none"/>
          <w:shd w:val="clear" w:color="auto" w:fill="auto"/>
          <w:lang w:val="en-US" w:eastAsia="zh-CN"/>
        </w:rPr>
        <w:t>万元，其中财政资</w:t>
      </w:r>
      <w:r>
        <w:rPr>
          <w:rFonts w:hint="eastAsia" w:cs="宋体"/>
          <w:color w:val="auto"/>
          <w:highlight w:val="none"/>
          <w:shd w:val="clear" w:color="auto" w:fill="auto"/>
          <w:lang w:val="en-US" w:eastAsia="zh-CN"/>
        </w:rPr>
        <w:t>金131.38</w:t>
      </w:r>
      <w:r>
        <w:rPr>
          <w:rFonts w:hint="eastAsia" w:ascii="宋体" w:hAnsi="宋体" w:eastAsia="宋体" w:cs="宋体"/>
          <w:color w:val="auto"/>
          <w:highlight w:val="none"/>
          <w:shd w:val="clear" w:color="auto" w:fill="auto"/>
          <w:lang w:val="en-US" w:eastAsia="zh-CN"/>
        </w:rPr>
        <w:t>万元，其他资金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年实际收到预算资金</w:t>
      </w:r>
      <w:r>
        <w:rPr>
          <w:rFonts w:hint="eastAsia" w:cs="宋体"/>
          <w:color w:val="auto"/>
          <w:highlight w:val="none"/>
          <w:shd w:val="clear" w:color="auto" w:fill="auto"/>
          <w:lang w:val="en-US" w:eastAsia="zh-CN"/>
        </w:rPr>
        <w:t>131.38</w:t>
      </w:r>
      <w:r>
        <w:rPr>
          <w:rFonts w:hint="eastAsia" w:ascii="宋体" w:hAnsi="宋体" w:eastAsia="宋体" w:cs="宋体"/>
          <w:color w:val="auto"/>
          <w:highlight w:val="none"/>
          <w:shd w:val="clear" w:color="auto" w:fill="auto"/>
          <w:lang w:val="en-US" w:eastAsia="zh-CN"/>
        </w:rPr>
        <w:t>万元，预算资金到位率为</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auto"/>
          <w:spacing w:val="-4"/>
          <w:highlight w:val="none"/>
          <w:shd w:val="clear" w:color="auto" w:fill="auto"/>
        </w:rPr>
      </w:pP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lang w:val="en-US" w:eastAsia="zh-CN"/>
        </w:rPr>
        <w:t>2</w:t>
      </w:r>
      <w:r>
        <w:rPr>
          <w:rFonts w:hint="eastAsia" w:ascii="宋体" w:hAnsi="宋体" w:eastAsia="宋体" w:cs="宋体"/>
          <w:bCs/>
          <w:color w:val="auto"/>
          <w:spacing w:val="-4"/>
          <w:highlight w:val="none"/>
          <w:shd w:val="clear" w:color="auto" w:fill="auto"/>
          <w:lang w:eastAsia="zh-CN"/>
        </w:rPr>
        <w:t>）</w:t>
      </w:r>
      <w:r>
        <w:rPr>
          <w:rFonts w:hint="eastAsia" w:ascii="宋体" w:hAnsi="宋体" w:eastAsia="宋体" w:cs="宋体"/>
          <w:bCs/>
          <w:color w:val="auto"/>
          <w:spacing w:val="-4"/>
          <w:highlight w:val="none"/>
          <w:shd w:val="clear" w:color="auto" w:fill="auto"/>
        </w:rPr>
        <w:t>项目资金实际使用情况分析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截至2023年12月31日，原人民医院内科楼改造项目</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rPr>
        <w:t>实际支付资金</w:t>
      </w:r>
      <w:r>
        <w:rPr>
          <w:rFonts w:hint="eastAsia" w:cs="宋体"/>
          <w:color w:val="auto"/>
          <w:highlight w:val="none"/>
          <w:shd w:val="clear" w:color="auto" w:fill="auto"/>
          <w:lang w:val="en-US" w:eastAsia="zh-CN"/>
        </w:rPr>
        <w:t>131.38</w:t>
      </w:r>
      <w:r>
        <w:rPr>
          <w:rFonts w:hint="eastAsia" w:ascii="宋体" w:hAnsi="宋体" w:eastAsia="宋体" w:cs="宋体"/>
          <w:color w:val="auto"/>
          <w:highlight w:val="none"/>
          <w:shd w:val="clear" w:color="auto" w:fill="auto"/>
        </w:rPr>
        <w:t>万元，预算执行率</w:t>
      </w:r>
      <w:r>
        <w:rPr>
          <w:rFonts w:hint="eastAsia" w:cs="宋体"/>
          <w:color w:val="auto"/>
          <w:highlight w:val="none"/>
          <w:shd w:val="clear" w:color="auto" w:fill="auto"/>
          <w:lang w:val="en-US" w:eastAsia="zh-CN"/>
        </w:rPr>
        <w:t>100</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结</w:t>
      </w:r>
      <w:r>
        <w:rPr>
          <w:rFonts w:hint="eastAsia" w:cs="宋体"/>
          <w:color w:val="auto"/>
          <w:highlight w:val="none"/>
          <w:shd w:val="clear" w:color="auto" w:fill="auto"/>
          <w:lang w:val="en-US" w:eastAsia="zh-CN"/>
        </w:rPr>
        <w:t>转</w:t>
      </w:r>
      <w:r>
        <w:rPr>
          <w:rFonts w:hint="eastAsia" w:ascii="宋体" w:hAnsi="宋体" w:eastAsia="宋体" w:cs="宋体"/>
          <w:color w:val="auto"/>
          <w:highlight w:val="none"/>
          <w:shd w:val="clear" w:color="auto" w:fill="auto"/>
          <w:lang w:eastAsia="zh-CN"/>
        </w:rPr>
        <w:t>结余资金</w:t>
      </w:r>
      <w:r>
        <w:rPr>
          <w:rFonts w:hint="eastAsia" w:cs="宋体"/>
          <w:color w:val="auto"/>
          <w:highlight w:val="none"/>
          <w:shd w:val="clear" w:color="auto" w:fill="auto"/>
          <w:lang w:val="en-US" w:eastAsia="zh-CN"/>
        </w:rPr>
        <w:t>0</w:t>
      </w:r>
      <w:r>
        <w:rPr>
          <w:rFonts w:hint="eastAsia" w:ascii="宋体" w:hAnsi="宋体" w:eastAsia="宋体" w:cs="宋体"/>
          <w:color w:val="auto"/>
          <w:highlight w:val="none"/>
          <w:shd w:val="clear" w:color="auto" w:fill="auto"/>
          <w:lang w:val="en-US" w:eastAsia="zh-CN"/>
        </w:rPr>
        <w:t>万元，已上缴国库。</w:t>
      </w:r>
      <w:r>
        <w:rPr>
          <w:rFonts w:hint="eastAsia" w:ascii="宋体" w:hAnsi="宋体" w:eastAsia="宋体" w:cs="宋体"/>
          <w:color w:val="auto"/>
          <w:highlight w:val="none"/>
          <w:shd w:val="clear" w:color="auto" w:fill="auto"/>
        </w:rPr>
        <w:t>项目资金主要用于</w:t>
      </w:r>
      <w:r>
        <w:rPr>
          <w:rFonts w:hint="eastAsia" w:cs="宋体"/>
          <w:color w:val="auto"/>
          <w:highlight w:val="none"/>
          <w:shd w:val="clear" w:color="auto" w:fill="auto"/>
          <w:lang w:val="en-US" w:eastAsia="zh-CN"/>
        </w:rPr>
        <w:t>项目工程款等方面，达到了促进妇幼保健服务业务的发展，提高了妇女儿童健康水平的效益。</w:t>
      </w:r>
    </w:p>
    <w:p>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auto"/>
          <w:highlight w:val="none"/>
          <w:shd w:val="clear" w:color="auto" w:fill="auto"/>
        </w:rPr>
      </w:pPr>
      <w:bookmarkStart w:id="8" w:name="_Toc2879"/>
      <w:r>
        <w:rPr>
          <w:rFonts w:hint="eastAsia" w:ascii="宋体" w:hAnsi="宋体" w:eastAsia="宋体" w:cs="宋体"/>
          <w:color w:val="auto"/>
          <w:highlight w:val="none"/>
          <w:shd w:val="clear" w:color="auto" w:fill="auto"/>
        </w:rPr>
        <w:t>项目绩效目标</w:t>
      </w:r>
      <w:bookmarkEnd w:id="8"/>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9" w:name="_Toc10047"/>
      <w:r>
        <w:rPr>
          <w:rFonts w:hint="eastAsia" w:ascii="宋体" w:hAnsi="宋体" w:eastAsia="宋体" w:cs="宋体"/>
          <w:color w:val="auto"/>
          <w:highlight w:val="none"/>
          <w:shd w:val="clear" w:color="auto" w:fill="auto"/>
          <w:lang w:val="en-US" w:eastAsia="zh-CN"/>
        </w:rPr>
        <w:t>1.总体目标</w:t>
      </w:r>
      <w:bookmarkEnd w:id="9"/>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原人民医院内科楼改造项目</w:t>
      </w:r>
      <w:r>
        <w:rPr>
          <w:rFonts w:hint="eastAsia" w:ascii="宋体" w:hAnsi="宋体" w:eastAsia="宋体" w:cs="宋体"/>
          <w:color w:val="auto"/>
          <w:highlight w:val="none"/>
          <w:shd w:val="clear" w:color="auto" w:fill="auto"/>
          <w:lang w:val="en-US" w:eastAsia="zh-CN"/>
        </w:rPr>
        <w:t>项目</w:t>
      </w:r>
      <w:r>
        <w:rPr>
          <w:rFonts w:hint="eastAsia" w:cs="宋体"/>
          <w:color w:val="auto"/>
          <w:highlight w:val="none"/>
          <w:shd w:val="clear" w:color="auto" w:fill="auto"/>
          <w:lang w:val="en-US" w:eastAsia="zh-CN"/>
        </w:rPr>
        <w:t>绩效总体目标为：2023年完成原市医院内科楼9025.25平方米室内装饰装修、地面、电气、排水、消防等改造工程，工程质量合格率100%，为保证阜康市妇幼保健服务中心顺利搬迁，有效促进妇幼保健服务业务的发展，提高妇女儿童健康水平。</w:t>
      </w:r>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0" w:name="_Toc4487"/>
      <w:r>
        <w:rPr>
          <w:rFonts w:hint="eastAsia" w:ascii="宋体" w:hAnsi="宋体" w:eastAsia="宋体" w:cs="宋体"/>
          <w:color w:val="auto"/>
          <w:highlight w:val="none"/>
          <w:shd w:val="clear" w:color="auto" w:fill="auto"/>
          <w:lang w:val="en-US" w:eastAsia="zh-CN"/>
        </w:rPr>
        <w:t>2.阶段性目标</w:t>
      </w:r>
      <w:bookmarkEnd w:id="10"/>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auto"/>
          <w:highlight w:val="none"/>
          <w:shd w:val="clear" w:color="auto" w:fill="auto"/>
          <w:lang w:eastAsia="zh-CN"/>
        </w:rPr>
      </w:pPr>
      <w:r>
        <w:rPr>
          <w:rFonts w:hint="eastAsia" w:ascii="宋体" w:hAnsi="宋体" w:eastAsia="宋体" w:cs="宋体"/>
          <w:bCs/>
          <w:color w:val="auto"/>
          <w:highlight w:val="none"/>
          <w:shd w:val="clear" w:color="auto" w:fill="auto"/>
          <w:lang w:eastAsia="zh-CN"/>
        </w:rPr>
        <w:t>根据《预算法</w:t>
      </w:r>
      <w:r>
        <w:rPr>
          <w:rFonts w:hint="eastAsia"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号）、《自治区党委自治区人民政府关于全面实施预算绩效管理的实施意见》（新党发〔2018〕30号）、</w:t>
      </w:r>
      <w:r>
        <w:rPr>
          <w:rFonts w:hint="eastAsia" w:ascii="宋体" w:hAnsi="宋体" w:eastAsia="宋体" w:cs="宋体"/>
          <w:color w:val="auto"/>
          <w:highlight w:val="none"/>
          <w:shd w:val="clear" w:color="auto" w:fill="auto"/>
        </w:rPr>
        <w:t>《自治区财政支出绩效评价管理暂行办法》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新财预〔2018〕189号</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等文件</w:t>
      </w:r>
      <w:r>
        <w:rPr>
          <w:rFonts w:hint="eastAsia" w:ascii="宋体" w:hAnsi="宋体" w:eastAsia="宋体" w:cs="宋体"/>
          <w:bCs/>
          <w:color w:val="auto"/>
          <w:highlight w:val="none"/>
          <w:shd w:val="clear" w:color="auto" w:fill="auto"/>
          <w:lang w:eastAsia="zh-CN"/>
        </w:rPr>
        <w:t>的规定，结合项目实施单位的规章制度以及财务相关资料，评价小组对项目绩效目标进行了进一步的完善，完善</w:t>
      </w:r>
      <w:r>
        <w:rPr>
          <w:rFonts w:hint="eastAsia" w:ascii="宋体" w:hAnsi="宋体" w:eastAsia="宋体" w:cs="宋体"/>
          <w:bCs/>
          <w:color w:val="auto"/>
          <w:highlight w:val="none"/>
          <w:shd w:val="clear" w:color="auto" w:fill="auto"/>
          <w:lang w:val="en-US" w:eastAsia="zh-CN"/>
        </w:rPr>
        <w:t>后</w:t>
      </w:r>
      <w:r>
        <w:rPr>
          <w:rFonts w:hint="eastAsia" w:ascii="宋体" w:hAnsi="宋体" w:eastAsia="宋体" w:cs="宋体"/>
          <w:bCs/>
          <w:color w:val="auto"/>
          <w:highlight w:val="none"/>
          <w:shd w:val="clear" w:color="auto" w:fill="auto"/>
          <w:lang w:eastAsia="zh-CN"/>
        </w:rPr>
        <w:t>绩效目标如下：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w:t>
      </w:r>
      <w:r>
        <w:rPr>
          <w:rFonts w:hint="eastAsia" w:ascii="宋体" w:hAnsi="宋体" w:eastAsia="宋体" w:cs="宋体"/>
          <w:color w:val="auto"/>
          <w:highlight w:val="none"/>
          <w:shd w:val="clear" w:color="auto" w:fill="auto"/>
          <w:lang w:val="en-US" w:eastAsia="zh-CN"/>
        </w:rPr>
        <w:t>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①数量指标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改造面积</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为=9025.25平方米；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改造层数</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为'=6层；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②质量指标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工程质量合格率</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为'=100%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时效</w:t>
      </w:r>
      <w:r>
        <w:rPr>
          <w:rFonts w:hint="eastAsia" w:ascii="宋体" w:hAnsi="宋体" w:eastAsia="宋体" w:cs="宋体"/>
          <w:color w:val="auto"/>
          <w:highlight w:val="none"/>
          <w:shd w:val="clear" w:color="auto" w:fill="auto"/>
          <w:lang w:val="en-US" w:eastAsia="zh-CN"/>
        </w:rPr>
        <w:t>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开工时间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2019年5月</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完工时间</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为20</w:t>
      </w:r>
      <w:r>
        <w:rPr>
          <w:rFonts w:hint="eastAsia" w:cs="宋体"/>
          <w:color w:val="auto"/>
          <w:highlight w:val="none"/>
          <w:shd w:val="clear" w:color="auto" w:fill="auto"/>
          <w:lang w:val="en-US" w:eastAsia="zh-CN"/>
        </w:rPr>
        <w:t>19年10月</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（2）项目</w:t>
      </w:r>
      <w:r>
        <w:rPr>
          <w:rFonts w:hint="eastAsia" w:ascii="宋体" w:hAnsi="宋体" w:eastAsia="宋体" w:cs="宋体"/>
          <w:color w:val="auto"/>
          <w:highlight w:val="none"/>
          <w:shd w:val="clear" w:color="auto" w:fill="auto"/>
          <w:lang w:val="en-US" w:eastAsia="zh-CN"/>
        </w:rPr>
        <w:t>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val="en-US" w:eastAsia="zh-CN"/>
        </w:rPr>
        <w:t>①经济成本指标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项目总成本（万元）</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≤131.38</w:t>
      </w:r>
      <w:r>
        <w:rPr>
          <w:rFonts w:hint="eastAsia" w:ascii="宋体" w:hAnsi="宋体" w:eastAsia="宋体" w:cs="宋体"/>
          <w:color w:val="auto"/>
          <w:highlight w:val="none"/>
          <w:shd w:val="clear" w:color="auto" w:fill="auto"/>
          <w:lang w:val="en-US" w:eastAsia="zh-CN"/>
        </w:rPr>
        <w:t>万元；</w:t>
      </w:r>
    </w:p>
    <w:p>
      <w:pPr>
        <w:pStyle w:val="2"/>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②社会成本指标</w:t>
      </w:r>
    </w:p>
    <w:p>
      <w:pPr>
        <w:pageBreakBefore w:val="0"/>
        <w:widowControl w:val="0"/>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cs="宋体"/>
          <w:color w:val="auto"/>
          <w:highlight w:val="none"/>
          <w:shd w:val="clear" w:color="auto" w:fill="auto"/>
          <w:lang w:val="en-US" w:eastAsia="zh-CN"/>
        </w:rPr>
        <w:t>（本项目不涉及社会成本指标）</w:t>
      </w:r>
      <w:r>
        <w:rPr>
          <w:rFonts w:hint="eastAsia" w:ascii="宋体" w:hAnsi="宋体" w:eastAsia="宋体" w:cs="宋体"/>
          <w:color w:val="auto"/>
          <w:highlight w:val="none"/>
          <w:shd w:val="clear" w:color="auto" w:fill="auto"/>
          <w:lang w:val="en-US" w:eastAsia="zh-CN"/>
        </w:rPr>
        <w:t>；</w:t>
      </w:r>
    </w:p>
    <w:p>
      <w:pPr>
        <w:pStyle w:val="2"/>
        <w:rPr>
          <w:rFonts w:hint="eastAsia" w:ascii="宋体" w:hAnsi="宋体" w:eastAsia="宋体" w:cs="宋体"/>
          <w:b w:val="0"/>
          <w:bCs w:val="0"/>
          <w:color w:val="auto"/>
          <w:kern w:val="2"/>
          <w:sz w:val="28"/>
          <w:szCs w:val="28"/>
          <w:highlight w:val="none"/>
          <w:shd w:val="clear" w:color="auto" w:fill="auto"/>
          <w:lang w:val="en-US" w:eastAsia="zh-CN" w:bidi="ar-SA"/>
        </w:rPr>
      </w:pPr>
      <w:r>
        <w:rPr>
          <w:rFonts w:hint="eastAsia" w:ascii="宋体" w:hAnsi="宋体" w:eastAsia="宋体" w:cs="宋体"/>
          <w:b w:val="0"/>
          <w:bCs w:val="0"/>
          <w:color w:val="auto"/>
          <w:kern w:val="2"/>
          <w:sz w:val="28"/>
          <w:szCs w:val="28"/>
          <w:highlight w:val="none"/>
          <w:shd w:val="clear" w:color="auto" w:fill="auto"/>
          <w:lang w:val="en-US" w:eastAsia="zh-CN" w:bidi="ar-SA"/>
        </w:rPr>
        <w:t>③生态环境成本指标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b w:val="0"/>
          <w:bCs w:val="0"/>
          <w:color w:val="auto"/>
          <w:kern w:val="2"/>
          <w:sz w:val="28"/>
          <w:szCs w:val="28"/>
          <w:highlight w:val="none"/>
          <w:shd w:val="clear" w:color="auto" w:fill="auto"/>
          <w:lang w:val="en-US" w:eastAsia="zh-CN" w:bidi="ar-SA"/>
        </w:rPr>
        <w:t>生态环境成本指标</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）项目效益</w:t>
      </w:r>
      <w:r>
        <w:rPr>
          <w:rFonts w:hint="eastAsia" w:ascii="宋体" w:hAnsi="宋体" w:eastAsia="宋体" w:cs="宋体"/>
          <w:color w:val="auto"/>
          <w:highlight w:val="none"/>
          <w:shd w:val="clear" w:color="auto" w:fill="auto"/>
          <w:lang w:val="en-US" w:eastAsia="zh-CN"/>
        </w:rPr>
        <w:t>目标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①经济效益指标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（本项目不涉及经济效益）</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②社会效益指标</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促进妇幼保健服务业务的发展</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促进</w:t>
      </w:r>
      <w:r>
        <w:rPr>
          <w:rFonts w:hint="eastAsia" w:ascii="宋体" w:hAnsi="宋体" w:eastAsia="宋体" w:cs="宋体"/>
          <w:color w:val="auto"/>
          <w:highlight w:val="none"/>
          <w:shd w:val="clear" w:color="auto" w:fill="auto"/>
          <w:lang w:val="en-US" w:eastAsia="zh-CN"/>
        </w:rPr>
        <w:t>；</w:t>
      </w:r>
    </w:p>
    <w:p>
      <w:pPr>
        <w:rPr>
          <w:rFonts w:hint="eastAsia"/>
          <w:color w:val="auto"/>
          <w:highlight w:val="none"/>
          <w:lang w:val="en-US" w:eastAsia="zh-CN"/>
        </w:rPr>
      </w:pPr>
      <w:r>
        <w:rPr>
          <w:rFonts w:hint="eastAsia" w:ascii="宋体" w:hAnsi="宋体" w:eastAsia="宋体" w:cs="宋体"/>
          <w:color w:val="auto"/>
          <w:highlight w:val="none"/>
          <w:shd w:val="clear" w:color="auto" w:fill="auto"/>
          <w:lang w:eastAsia="zh-CN"/>
        </w:rPr>
        <w:t>“</w:t>
      </w:r>
      <w:r>
        <w:rPr>
          <w:rFonts w:hint="eastAsia"/>
          <w:color w:val="auto"/>
          <w:highlight w:val="none"/>
          <w:lang w:val="en-US" w:eastAsia="zh-CN"/>
        </w:rPr>
        <w:t>提高妇女儿童健康水平</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指标，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为</w:t>
      </w:r>
      <w:r>
        <w:rPr>
          <w:rFonts w:hint="eastAsia" w:cs="宋体"/>
          <w:color w:val="auto"/>
          <w:highlight w:val="none"/>
          <w:shd w:val="clear" w:color="auto" w:fill="auto"/>
          <w:lang w:val="en-US" w:eastAsia="zh-CN"/>
        </w:rPr>
        <w:t>提高</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③</w:t>
      </w:r>
      <w:r>
        <w:rPr>
          <w:rFonts w:hint="eastAsia" w:cs="宋体"/>
          <w:color w:val="auto"/>
          <w:highlight w:val="none"/>
          <w:shd w:val="clear" w:color="auto" w:fill="auto"/>
          <w:lang w:val="en-US" w:eastAsia="zh-CN"/>
        </w:rPr>
        <w:t>生态效益指标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（本项目不涉及生态效益）</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④可持续影响</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（本项目不涉及</w:t>
      </w:r>
      <w:r>
        <w:rPr>
          <w:rFonts w:hint="eastAsia" w:ascii="宋体" w:hAnsi="宋体" w:eastAsia="宋体" w:cs="宋体"/>
          <w:color w:val="auto"/>
          <w:highlight w:val="none"/>
          <w:shd w:val="clear" w:color="auto" w:fill="auto"/>
          <w:lang w:val="en-US" w:eastAsia="zh-CN"/>
        </w:rPr>
        <w:t>可持续影响</w:t>
      </w:r>
      <w:r>
        <w:rPr>
          <w:rFonts w:hint="eastAsia" w:cs="宋体"/>
          <w:color w:val="auto"/>
          <w:highlight w:val="none"/>
          <w:shd w:val="clear" w:color="auto" w:fill="auto"/>
          <w:lang w:val="en-US" w:eastAsia="zh-CN"/>
        </w:rPr>
        <w:t>）</w:t>
      </w:r>
      <w:r>
        <w:rPr>
          <w:rFonts w:hint="eastAsia" w:ascii="宋体" w:hAnsi="宋体" w:eastAsia="宋体" w:cs="宋体"/>
          <w:color w:val="auto"/>
          <w:highlight w:val="none"/>
          <w:shd w:val="clear" w:color="auto" w:fill="auto"/>
          <w:lang w:val="en-US" w:eastAsia="zh-CN"/>
        </w:rPr>
        <w:t>；</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cs="宋体"/>
          <w:color w:val="auto"/>
          <w:highlight w:val="none"/>
          <w:shd w:val="clear" w:color="auto" w:fill="auto"/>
          <w:lang w:val="en-US" w:eastAsia="zh-CN"/>
        </w:rPr>
        <w:t>⑤</w:t>
      </w:r>
      <w:r>
        <w:rPr>
          <w:rFonts w:hint="eastAsia" w:ascii="宋体" w:hAnsi="宋体" w:eastAsia="宋体" w:cs="宋体"/>
          <w:color w:val="auto"/>
          <w:highlight w:val="none"/>
          <w:shd w:val="clear" w:color="auto" w:fill="auto"/>
          <w:lang w:val="en-US" w:eastAsia="zh-CN"/>
        </w:rPr>
        <w:t>满意度指标</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11" w:name="_Toc2549"/>
      <w:r>
        <w:rPr>
          <w:rFonts w:hint="eastAsia" w:cs="宋体"/>
          <w:color w:val="auto"/>
          <w:highlight w:val="none"/>
          <w:shd w:val="clear" w:color="auto" w:fill="auto"/>
          <w:lang w:val="en-US" w:eastAsia="zh-CN"/>
        </w:rPr>
        <w:t>（本项目不涉及满意度指标）</w:t>
      </w:r>
      <w:r>
        <w:rPr>
          <w:rFonts w:hint="eastAsia" w:ascii="宋体" w:hAnsi="宋体" w:eastAsia="宋体" w:cs="宋体"/>
          <w:color w:val="auto"/>
          <w:highlight w:val="none"/>
          <w:shd w:val="clear" w:color="auto" w:fill="auto"/>
          <w:lang w:val="en-US" w:eastAsia="zh-CN"/>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rPr>
        <w:t>二、绩效评价工作开展情况</w:t>
      </w:r>
      <w:bookmarkEnd w:id="11"/>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eastAsia="zh-CN"/>
        </w:rPr>
      </w:pPr>
      <w:bookmarkStart w:id="12" w:name="_Toc22922"/>
      <w:bookmarkStart w:id="13" w:name="_Toc12868"/>
      <w:bookmarkStart w:id="14" w:name="_Toc5258"/>
      <w:bookmarkStart w:id="15" w:name="_Toc22169_WPSOffice_Level2"/>
      <w:bookmarkStart w:id="16" w:name="_Toc480473081"/>
      <w:bookmarkStart w:id="17" w:name="_Toc26632"/>
      <w:bookmarkStart w:id="18" w:name="_Toc5462343"/>
      <w:bookmarkStart w:id="19" w:name="_Toc21664"/>
      <w:bookmarkStart w:id="20" w:name="_Toc21778"/>
      <w:r>
        <w:rPr>
          <w:rFonts w:hint="eastAsia" w:ascii="宋体" w:hAnsi="宋体" w:eastAsia="宋体" w:cs="宋体"/>
          <w:color w:val="auto"/>
          <w:sz w:val="32"/>
          <w:szCs w:val="32"/>
          <w:highlight w:val="none"/>
          <w:shd w:val="clear" w:color="auto" w:fill="auto"/>
          <w:lang w:eastAsia="zh-CN"/>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shd w:val="clear" w:color="auto" w:fill="auto"/>
          <w:lang w:eastAsia="zh-CN"/>
        </w:rPr>
        <w:t>、对象和范围</w:t>
      </w:r>
      <w:bookmarkEnd w:id="20"/>
    </w:p>
    <w:p>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bookmarkStart w:id="21" w:name="_Toc15732"/>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sz w:val="32"/>
          <w:szCs w:val="32"/>
          <w:highlight w:val="none"/>
          <w:shd w:val="clear" w:color="auto" w:fill="auto"/>
          <w:lang w:eastAsia="zh-CN"/>
        </w:rPr>
        <w:t>绩效评价的目的</w:t>
      </w:r>
      <w:bookmarkEnd w:id="21"/>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为全面了解</w:t>
      </w:r>
      <w:r>
        <w:rPr>
          <w:rFonts w:hint="eastAsia" w:ascii="宋体" w:hAnsi="宋体" w:eastAsia="宋体" w:cs="宋体"/>
          <w:color w:val="auto"/>
          <w:highlight w:val="none"/>
          <w:shd w:val="clear" w:color="auto" w:fill="auto"/>
          <w:lang w:val="en-US" w:eastAsia="zh-CN"/>
        </w:rPr>
        <w:t>该</w:t>
      </w:r>
      <w:r>
        <w:rPr>
          <w:rFonts w:hint="eastAsia" w:ascii="宋体" w:hAnsi="宋体" w:eastAsia="宋体" w:cs="宋体"/>
          <w:color w:val="auto"/>
          <w:highlight w:val="none"/>
          <w:shd w:val="clear" w:color="auto" w:fill="auto"/>
          <w:lang w:eastAsia="zh-CN"/>
        </w:rPr>
        <w:t>项目预算编制合理性、资金使用合规性、项目管理的规范性、</w:t>
      </w:r>
      <w:r>
        <w:rPr>
          <w:rFonts w:hint="eastAsia" w:ascii="宋体" w:hAnsi="宋体" w:eastAsia="宋体" w:cs="宋体"/>
          <w:color w:val="auto"/>
          <w:highlight w:val="none"/>
          <w:shd w:val="clear" w:color="auto" w:fill="auto"/>
          <w:lang w:val="en-US" w:eastAsia="zh-CN"/>
        </w:rPr>
        <w:t>绩效</w:t>
      </w:r>
      <w:r>
        <w:rPr>
          <w:rFonts w:hint="eastAsia" w:ascii="宋体" w:hAnsi="宋体" w:eastAsia="宋体" w:cs="宋体"/>
          <w:color w:val="auto"/>
          <w:highlight w:val="none"/>
          <w:shd w:val="clear" w:color="auto" w:fill="auto"/>
          <w:lang w:eastAsia="zh-CN"/>
        </w:rPr>
        <w:t>目标的实现情况、服务对象的满意度等，通过本次</w:t>
      </w:r>
      <w:r>
        <w:rPr>
          <w:rFonts w:hint="eastAsia" w:ascii="宋体" w:hAnsi="宋体" w:eastAsia="宋体" w:cs="宋体"/>
          <w:color w:val="auto"/>
          <w:highlight w:val="none"/>
          <w:shd w:val="clear" w:color="auto" w:fill="auto"/>
          <w:lang w:val="en-US" w:eastAsia="zh-CN"/>
        </w:rPr>
        <w:t>部门</w:t>
      </w:r>
      <w:r>
        <w:rPr>
          <w:rFonts w:hint="eastAsia" w:ascii="宋体" w:hAnsi="宋体" w:eastAsia="宋体" w:cs="宋体"/>
          <w:color w:val="auto"/>
          <w:highlight w:val="none"/>
          <w:shd w:val="clear" w:color="auto" w:fill="auto"/>
          <w:lang w:eastAsia="zh-CN"/>
        </w:rPr>
        <w:t>绩效评价来总结经验和教训，促进项目成果转化和应用，为今后类似项目的长效管理，提供可行性参考建议。</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22" w:name="_Toc30609"/>
      <w:r>
        <w:rPr>
          <w:rFonts w:hint="eastAsia" w:ascii="宋体" w:hAnsi="宋体" w:eastAsia="宋体" w:cs="宋体"/>
          <w:color w:val="auto"/>
          <w:highlight w:val="none"/>
          <w:shd w:val="clear" w:color="auto" w:fill="auto"/>
          <w:lang w:val="en-US" w:eastAsia="zh-CN"/>
        </w:rPr>
        <w:t>2.绩效评价的对象和范围</w:t>
      </w:r>
      <w:bookmarkEnd w:id="2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此次我单位根据</w:t>
      </w:r>
      <w:r>
        <w:rPr>
          <w:rFonts w:hint="eastAsia" w:ascii="宋体" w:hAnsi="宋体" w:eastAsia="宋体" w:cs="宋体"/>
          <w:color w:val="auto"/>
          <w:highlight w:val="none"/>
          <w:shd w:val="clear" w:color="auto" w:fill="auto"/>
        </w:rPr>
        <w:t>《财政支出绩效评价管理暂行办法》（</w:t>
      </w:r>
      <w:r>
        <w:rPr>
          <w:rFonts w:hint="eastAsia" w:ascii="宋体" w:hAnsi="宋体" w:eastAsia="宋体" w:cs="宋体"/>
          <w:color w:val="auto"/>
          <w:highlight w:val="none"/>
          <w:shd w:val="clear" w:color="auto" w:fill="auto"/>
          <w:lang w:eastAsia="zh-CN"/>
        </w:rPr>
        <w:t>财预〔2020〕10号</w:t>
      </w:r>
      <w:r>
        <w:rPr>
          <w:rFonts w:hint="eastAsia" w:ascii="宋体" w:hAnsi="宋体" w:eastAsia="宋体" w:cs="宋体"/>
          <w:color w:val="auto"/>
          <w:highlight w:val="none"/>
          <w:shd w:val="clear" w:color="auto" w:fill="auto"/>
        </w:rPr>
        <w:t>）</w:t>
      </w:r>
      <w:r>
        <w:rPr>
          <w:rFonts w:hint="eastAsia" w:ascii="宋体" w:hAnsi="宋体" w:eastAsia="宋体" w:cs="宋体"/>
          <w:color w:val="auto"/>
          <w:highlight w:val="none"/>
          <w:shd w:val="clear" w:color="auto" w:fill="auto"/>
          <w:lang w:val="en-US" w:eastAsia="zh-CN"/>
        </w:rPr>
        <w:t>文件要求对</w:t>
      </w:r>
      <w:r>
        <w:rPr>
          <w:rFonts w:hint="eastAsia" w:cs="宋体"/>
          <w:color w:val="auto"/>
          <w:highlight w:val="none"/>
          <w:shd w:val="clear" w:color="auto" w:fill="auto"/>
          <w:lang w:val="en-US" w:eastAsia="zh-CN"/>
        </w:rPr>
        <w:t>2023</w:t>
      </w:r>
      <w:r>
        <w:rPr>
          <w:rFonts w:hint="eastAsia" w:ascii="宋体" w:hAnsi="宋体" w:eastAsia="宋体" w:cs="宋体"/>
          <w:color w:val="auto"/>
          <w:highlight w:val="none"/>
          <w:shd w:val="clear" w:color="auto" w:fill="auto"/>
          <w:lang w:val="en-US" w:eastAsia="zh-CN"/>
        </w:rPr>
        <w:t>年度我单位实施的</w:t>
      </w:r>
      <w:r>
        <w:rPr>
          <w:rFonts w:hint="eastAsia" w:cs="宋体"/>
          <w:color w:val="auto"/>
          <w:highlight w:val="none"/>
          <w:shd w:val="clear" w:color="auto" w:fill="auto"/>
          <w:lang w:val="en-US" w:eastAsia="zh-CN"/>
        </w:rPr>
        <w:t>原人民医院内科楼改造项目</w:t>
      </w:r>
      <w:r>
        <w:rPr>
          <w:rFonts w:hint="eastAsia" w:ascii="宋体" w:hAnsi="宋体" w:eastAsia="宋体" w:cs="宋体"/>
          <w:color w:val="auto"/>
          <w:highlight w:val="none"/>
          <w:shd w:val="clear" w:color="auto" w:fill="auto"/>
          <w:lang w:val="en-US" w:eastAsia="zh-CN"/>
        </w:rPr>
        <w:t>项目开展部门绩效评价。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本次绩效评价主要围绕项目决策、项目管理、项目产出、项目效益四个维度，对该专项资金的预算编制、项目实施、监督管理、资金支出使用、绩效目标的实现情况以及受益对象的满意度等开展综合评价。</w:t>
      </w:r>
    </w:p>
    <w:p>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auto"/>
          <w:sz w:val="32"/>
          <w:szCs w:val="32"/>
          <w:highlight w:val="none"/>
          <w:shd w:val="clear" w:color="auto" w:fill="auto"/>
          <w:lang w:val="en-US" w:eastAsia="zh-CN"/>
        </w:rPr>
      </w:pPr>
      <w:bookmarkStart w:id="23" w:name="_Toc15902"/>
      <w:r>
        <w:rPr>
          <w:rFonts w:hint="eastAsia" w:ascii="宋体" w:hAnsi="宋体" w:eastAsia="宋体" w:cs="宋体"/>
          <w:color w:val="auto"/>
          <w:sz w:val="32"/>
          <w:szCs w:val="32"/>
          <w:highlight w:val="none"/>
          <w:shd w:val="clear" w:color="auto" w:fill="auto"/>
          <w:lang w:val="en-US" w:eastAsia="zh-CN"/>
        </w:rPr>
        <w:t>绩效评价原则、评价指标体系（附表说明）、评价方法、评价标准</w:t>
      </w:r>
      <w:bookmarkEnd w:id="23"/>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rPr>
      </w:pPr>
      <w:bookmarkStart w:id="24" w:name="_Toc24506"/>
      <w:r>
        <w:rPr>
          <w:rFonts w:hint="eastAsia" w:ascii="宋体" w:hAnsi="宋体" w:eastAsia="宋体" w:cs="宋体"/>
          <w:color w:val="auto"/>
          <w:highlight w:val="none"/>
          <w:shd w:val="clear" w:color="auto" w:fill="auto"/>
          <w:lang w:val="en-US" w:eastAsia="zh-CN"/>
        </w:rPr>
        <w:t>1.</w:t>
      </w:r>
      <w:r>
        <w:rPr>
          <w:rFonts w:hint="eastAsia" w:ascii="宋体" w:hAnsi="宋体" w:eastAsia="宋体" w:cs="宋体"/>
          <w:color w:val="auto"/>
          <w:highlight w:val="none"/>
          <w:shd w:val="clear" w:color="auto" w:fill="auto"/>
        </w:rPr>
        <w:t>绩效评价原则</w:t>
      </w:r>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依据</w:t>
      </w:r>
      <w:r>
        <w:rPr>
          <w:rFonts w:hint="eastAsia" w:ascii="宋体" w:hAnsi="宋体" w:eastAsia="宋体" w:cs="宋体"/>
          <w:bCs/>
          <w:color w:val="auto"/>
          <w:highlight w:val="none"/>
          <w:shd w:val="clear" w:color="auto" w:fill="auto"/>
          <w:lang w:eastAsia="zh-CN"/>
        </w:rPr>
        <w:t>《财政支出绩效评价管理暂行办法》（财预〔20</w:t>
      </w:r>
      <w:r>
        <w:rPr>
          <w:rFonts w:hint="eastAsia" w:ascii="宋体" w:hAnsi="宋体" w:eastAsia="宋体" w:cs="宋体"/>
          <w:bCs/>
          <w:color w:val="auto"/>
          <w:highlight w:val="none"/>
          <w:shd w:val="clear" w:color="auto" w:fill="auto"/>
          <w:lang w:val="en-US" w:eastAsia="zh-CN"/>
        </w:rPr>
        <w:t>20</w:t>
      </w:r>
      <w:r>
        <w:rPr>
          <w:rFonts w:hint="eastAsia" w:ascii="宋体" w:hAnsi="宋体" w:eastAsia="宋体" w:cs="宋体"/>
          <w:bCs/>
          <w:color w:val="auto"/>
          <w:highlight w:val="none"/>
          <w:shd w:val="clear" w:color="auto" w:fill="auto"/>
          <w:lang w:eastAsia="zh-CN"/>
        </w:rPr>
        <w:t>〕</w:t>
      </w:r>
      <w:r>
        <w:rPr>
          <w:rFonts w:hint="eastAsia" w:ascii="宋体" w:hAnsi="宋体" w:eastAsia="宋体" w:cs="宋体"/>
          <w:bCs/>
          <w:color w:val="auto"/>
          <w:highlight w:val="none"/>
          <w:shd w:val="clear" w:color="auto" w:fill="auto"/>
          <w:lang w:val="en-US" w:eastAsia="zh-CN"/>
        </w:rPr>
        <w:t>10</w:t>
      </w:r>
      <w:r>
        <w:rPr>
          <w:rFonts w:hint="eastAsia" w:ascii="宋体" w:hAnsi="宋体" w:eastAsia="宋体" w:cs="宋体"/>
          <w:bCs/>
          <w:color w:val="auto"/>
          <w:highlight w:val="none"/>
          <w:shd w:val="clear" w:color="auto" w:fill="auto"/>
          <w:lang w:eastAsia="zh-CN"/>
        </w:rPr>
        <w:t>号）</w:t>
      </w:r>
      <w:r>
        <w:rPr>
          <w:rFonts w:hint="eastAsia" w:ascii="宋体" w:hAnsi="宋体" w:eastAsia="宋体" w:cs="宋体"/>
          <w:color w:val="auto"/>
          <w:highlight w:val="none"/>
          <w:shd w:val="clear" w:color="auto" w:fill="auto"/>
          <w:lang w:eastAsia="zh-CN"/>
        </w:rPr>
        <w:t>本次绩效评价秉承科学规范、公正公开、分级分类、绩效相关等原则，按照从投入、过程到产出效果和影响的绩效逻辑路径，结合</w:t>
      </w:r>
      <w:r>
        <w:rPr>
          <w:rFonts w:hint="eastAsia" w:cs="宋体"/>
          <w:color w:val="auto"/>
          <w:highlight w:val="none"/>
          <w:shd w:val="clear" w:color="auto" w:fill="auto"/>
          <w:lang w:val="en-US" w:eastAsia="zh-CN"/>
        </w:rPr>
        <w:t>原人民医院内科楼改造项目</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eastAsia="zh-CN"/>
        </w:rPr>
        <w:t>实际开展情况，运用定量和定性分析相结合的方法，总结经验做法，反思项目实施和管理中的问题，以切实提升财政资金管理的科学化、规范化和精细化水平。</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根据以上原则，绩效评价应遵循如下要求：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cs="宋体"/>
          <w:color w:val="auto"/>
          <w:highlight w:val="none"/>
          <w:shd w:val="clear" w:color="auto" w:fill="auto"/>
          <w:lang w:eastAsia="zh-CN"/>
        </w:rPr>
        <w:t>（</w:t>
      </w:r>
      <w:r>
        <w:rPr>
          <w:rFonts w:hint="eastAsia" w:cs="宋体"/>
          <w:color w:val="auto"/>
          <w:highlight w:val="none"/>
          <w:shd w:val="clear" w:color="auto" w:fill="auto"/>
          <w:lang w:val="en-US" w:eastAsia="zh-CN"/>
        </w:rPr>
        <w:t>1</w:t>
      </w:r>
      <w:r>
        <w:rPr>
          <w:rFonts w:hint="eastAsia" w:cs="宋体"/>
          <w:color w:val="auto"/>
          <w:highlight w:val="none"/>
          <w:shd w:val="clear" w:color="auto" w:fill="auto"/>
          <w:lang w:eastAsia="zh-CN"/>
        </w:rPr>
        <w:t>）</w:t>
      </w:r>
      <w:r>
        <w:rPr>
          <w:rFonts w:hint="eastAsia" w:ascii="宋体" w:hAnsi="宋体" w:eastAsia="宋体" w:cs="宋体"/>
          <w:color w:val="auto"/>
          <w:highlight w:val="none"/>
          <w:shd w:val="clear" w:color="auto" w:fill="auto"/>
          <w:lang w:eastAsia="zh-CN"/>
        </w:rPr>
        <w:t>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）统筹兼顾。单位自评、部门评价和财政评价应职责明确，各有侧重，相互衔接。单位自评应由项目单位自主实施，即“谁支出、谁自评”。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lang w:eastAsia="zh-CN"/>
        </w:rPr>
        <w:t>）激励约束。绩效评价结果应与预算安排、政策调整、改进管理实质性挂钩，体现奖优罚劣和激励相容导向，有效要安排、低效要压减、无效要问责。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eastAsia="zh-CN"/>
        </w:rPr>
      </w:pPr>
      <w:r>
        <w:rPr>
          <w:rFonts w:hint="eastAsia" w:ascii="宋体" w:hAnsi="宋体" w:eastAsia="宋体" w:cs="宋体"/>
          <w:color w:val="auto"/>
          <w:highlight w:val="none"/>
          <w:shd w:val="clear" w:color="auto" w:fill="auto"/>
          <w:lang w:eastAsia="zh-CN"/>
        </w:rPr>
        <w:t>（</w:t>
      </w:r>
      <w:r>
        <w:rPr>
          <w:rFonts w:hint="eastAsia" w:cs="宋体"/>
          <w:color w:val="auto"/>
          <w:highlight w:val="none"/>
          <w:shd w:val="clear" w:color="auto" w:fill="auto"/>
          <w:lang w:val="en-US" w:eastAsia="zh-CN"/>
        </w:rPr>
        <w:t>4</w:t>
      </w:r>
      <w:r>
        <w:rPr>
          <w:rFonts w:hint="eastAsia" w:ascii="宋体" w:hAnsi="宋体" w:eastAsia="宋体" w:cs="宋体"/>
          <w:color w:val="auto"/>
          <w:highlight w:val="none"/>
          <w:shd w:val="clear" w:color="auto" w:fill="auto"/>
          <w:lang w:eastAsia="zh-CN"/>
        </w:rPr>
        <w:t>）公开透明。绩效评价结果应依法依规公开，并自觉接受社会监督。</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eastAsia="zh-CN"/>
        </w:rPr>
      </w:pPr>
      <w:bookmarkStart w:id="25" w:name="_Toc26131"/>
      <w:bookmarkStart w:id="26" w:name="_Toc419984722"/>
      <w:bookmarkStart w:id="27" w:name="_Toc1913"/>
      <w:bookmarkStart w:id="28" w:name="_Toc428278230"/>
      <w:bookmarkStart w:id="29" w:name="_Toc24396"/>
      <w:r>
        <w:rPr>
          <w:rFonts w:hint="eastAsia" w:ascii="宋体" w:hAnsi="宋体" w:eastAsia="宋体" w:cs="宋体"/>
          <w:color w:val="auto"/>
          <w:highlight w:val="none"/>
          <w:shd w:val="clear" w:color="auto" w:fill="auto"/>
          <w:lang w:val="en-US" w:eastAsia="zh-CN"/>
        </w:rPr>
        <w:t>2.</w:t>
      </w:r>
      <w:r>
        <w:rPr>
          <w:rFonts w:hint="eastAsia" w:ascii="宋体" w:hAnsi="宋体" w:eastAsia="宋体" w:cs="宋体"/>
          <w:color w:val="auto"/>
          <w:highlight w:val="none"/>
          <w:shd w:val="clear" w:color="auto" w:fill="auto"/>
          <w:lang w:eastAsia="zh-CN"/>
        </w:rPr>
        <w:t>绩效评价指标体系及绩效评价</w:t>
      </w:r>
      <w:bookmarkEnd w:id="25"/>
      <w:bookmarkEnd w:id="26"/>
      <w:bookmarkEnd w:id="27"/>
      <w:bookmarkEnd w:id="28"/>
      <w:r>
        <w:rPr>
          <w:rFonts w:hint="eastAsia" w:ascii="宋体" w:hAnsi="宋体" w:eastAsia="宋体" w:cs="宋体"/>
          <w:color w:val="auto"/>
          <w:highlight w:val="none"/>
          <w:shd w:val="clear" w:color="auto" w:fill="auto"/>
          <w:lang w:val="en-US" w:eastAsia="zh-CN"/>
        </w:rPr>
        <w:t>标准</w:t>
      </w:r>
      <w:bookmarkEnd w:id="29"/>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我单位</w:t>
      </w:r>
      <w:r>
        <w:rPr>
          <w:rFonts w:hint="eastAsia" w:ascii="宋体" w:hAnsi="宋体" w:eastAsia="宋体" w:cs="宋体"/>
          <w:color w:val="auto"/>
          <w:highlight w:val="none"/>
          <w:shd w:val="clear" w:color="auto" w:fill="auto"/>
          <w:lang w:val="zh-TW" w:eastAsia="zh-TW"/>
        </w:rPr>
        <w:t>根据项目的</w:t>
      </w:r>
      <w:r>
        <w:rPr>
          <w:rFonts w:hint="eastAsia" w:ascii="宋体" w:hAnsi="宋体" w:eastAsia="宋体" w:cs="宋体"/>
          <w:color w:val="auto"/>
          <w:highlight w:val="none"/>
          <w:shd w:val="clear" w:color="auto" w:fill="auto"/>
          <w:lang w:val="en-US" w:eastAsia="zh-CN"/>
        </w:rPr>
        <w:t>实施</w:t>
      </w:r>
      <w:r>
        <w:rPr>
          <w:rFonts w:hint="eastAsia" w:ascii="宋体" w:hAnsi="宋体" w:eastAsia="宋体" w:cs="宋体"/>
          <w:color w:val="auto"/>
          <w:highlight w:val="none"/>
          <w:shd w:val="clear" w:color="auto" w:fill="auto"/>
          <w:lang w:val="zh-TW" w:eastAsia="zh-TW"/>
        </w:rPr>
        <w:t>资料研读及前期调研，结合项目的实际开展情况，最终形成了项目绩效评价指标体系</w:t>
      </w:r>
      <w:r>
        <w:rPr>
          <w:rFonts w:hint="eastAsia" w:ascii="宋体" w:hAnsi="宋体" w:eastAsia="宋体" w:cs="宋体"/>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指标体系结构如下</w:t>
      </w:r>
      <w:r>
        <w:rPr>
          <w:rFonts w:hint="eastAsia" w:cs="宋体"/>
          <w:b/>
          <w:bCs/>
          <w:color w:val="auto"/>
          <w:highlight w:val="none"/>
          <w:shd w:val="clear" w:color="auto" w:fill="auto"/>
          <w:lang w:val="en-US" w:eastAsia="zh-CN"/>
        </w:rPr>
        <w:t>（详见上传的附件）</w:t>
      </w:r>
      <w:r>
        <w:rPr>
          <w:rFonts w:hint="eastAsia" w:ascii="宋体" w:hAnsi="宋体" w:eastAsia="宋体" w:cs="宋体"/>
          <w:color w:val="auto"/>
          <w:highlight w:val="none"/>
          <w:shd w:val="clear" w:color="auto" w:fill="auto"/>
          <w:lang w:val="en-US" w:eastAsia="zh-CN"/>
        </w:rPr>
        <w:t>：</w:t>
      </w:r>
    </w:p>
    <w:p>
      <w:pPr>
        <w:jc w:val="center"/>
        <w:rPr>
          <w:rFonts w:hint="default"/>
          <w:b/>
          <w:bCs/>
          <w:color w:val="auto"/>
          <w:sz w:val="28"/>
          <w:szCs w:val="28"/>
          <w:highlight w:val="none"/>
          <w:lang w:val="en-US" w:eastAsia="zh-CN"/>
        </w:rPr>
      </w:pPr>
      <w:r>
        <w:rPr>
          <w:rFonts w:hint="eastAsia"/>
          <w:b/>
          <w:bCs/>
          <w:color w:val="auto"/>
          <w:sz w:val="28"/>
          <w:szCs w:val="28"/>
          <w:highlight w:val="none"/>
          <w:lang w:val="zh-TW" w:eastAsia="zh-TW"/>
        </w:rPr>
        <w:t>项目绩效评价指标体系</w:t>
      </w:r>
    </w:p>
    <w:tbl>
      <w:tblPr>
        <w:tblStyle w:val="11"/>
        <w:tblW w:w="86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一级指标</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二级指标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三级指标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指标解释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rPr>
            </w:pPr>
            <w:r>
              <w:rPr>
                <w:rFonts w:hint="eastAsia" w:ascii="宋体" w:hAnsi="宋体" w:eastAsia="宋体" w:cs="宋体"/>
                <w:b/>
                <w:bCs/>
                <w:color w:val="auto"/>
                <w:kern w:val="0"/>
                <w:sz w:val="20"/>
                <w:szCs w:val="20"/>
                <w:highlight w:val="none"/>
                <w:shd w:val="clear" w:color="auto" w:fill="auto"/>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决策</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立项依据</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充分性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项目立项是否符合法律法规、相关政策、发展规划以及部门职责，用以反映和考核项目立项依据情况。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①项目立项是否符合国家法律法规、国民经济发展规划和相关政策；</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②项目立项是否符合行业发展规划和政策要求；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③项目立项是否与部门职责范围相符，属于部门履职所需；</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④项目是否属于公共财政支持范围，是否符合中央、地方事权支出责任划分原则；</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⑤项目是否与相关部门同类项目或部门内部相关项目重复。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立项程序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规范性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项目申请、设立过程是否符合相关要求，用以反映和考核项目立项的规范情况。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①项目是否按照规定的程序申请设立；</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②审批文件、材料是否符合相关要求；</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③事前是否已经过必要的可行性研究、专家论证、风险评估、绩效评估、集体决策。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项目所设定的绩效目标是否依据充分，是否符合客观实际，用以反映和考核项目绩效目标与项目实施的相符情况。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（如未设定预算绩效目标，也可考核其他工作任务目标）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①项目是否有绩效目标；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②项目绩效目标与实际工作内容是否具有相关性；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③项目预期产出效益和效果是否符合正常的业绩水平；</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④是否与预算确定的项目投资额或资金量相匹配。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明确性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依据绩效目标设定的绩效指标是否清晰、细化、可衡量等，用以反映和考核项目绩效目标的明细化情况。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①是否将项目绩效目标细化分解为具体的绩效指标；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②是否通过清晰、可衡量的指标值予以体现；</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③是否与项目目标任务数或计划数相对应。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资金投入</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科学性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①预算编制是否经过科学论证；</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②预算内容与项目内容是否匹配；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③预算额度测算依据是否充分，是否按照标准编制；</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④预算确定的项目投资额或资金量是否与工作任务相匹配。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资金分配</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合理性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项目预算资金分配是否有测算依据，与补助单位或地方实际是否相适应，用以反映和考核项目预算资金分配的科学性、合理性情况。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①预算资金分配依据是否充分；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②资金分配额度是否合理，与项目单位或地方实际是否相适应。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过程</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资金管理</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实际到位资金与预算资金的比率，用以反映和考核资金落实情况对项目实施的总体保障程度。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资金到位率=（实际到位资金/预算资金）×100%。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实际到位资金：一定时期（本年度或项目期）内落实到具体项目的资金。</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预算资金：一定时期（本年度或项目期）内预算安排到具体项目的资金。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预算执行率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项目预算资金是否按照计划执行，用以反映或考核项目预算执行情况。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预算执行率=（实际支出资金/实际到位资金）×100%。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实际支出资金：一定时期（本年度或项目期）内项目实际拨付的资金。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资金使用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合规性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项目资金使用是否符合相关的财务管理制度规定，用以反映和考核项目资金的规范运行情况。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①是否符合国家财经法规和财务管理制度以及有关专项资金管理办法的规定；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②资金的拨付是否有完整的审批程序和手续；</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③是否符合项目预算批复或合同规定的用途；</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④是否存在截留、挤占、挪用、虚列支出等情况。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组织实施</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健全性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项目实施单位的财务和业务管理制度是否健全，用以反映和考核财务和业务管理制度对项目顺利实施的保障情况。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①是否已制定或具有相应的财务和业务管理制度；</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②财务和业务管理制度是否合法、合规、完整。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制度执行</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有效性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项目实施是否符合相关管理规定，用以反映和考核相关管理制度的有效执行情况。</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lang w:eastAsia="zh-CN"/>
              </w:rPr>
              <w:t>评价标准</w:t>
            </w:r>
            <w:r>
              <w:rPr>
                <w:rFonts w:hint="eastAsia" w:ascii="宋体" w:hAnsi="宋体" w:eastAsia="宋体" w:cs="宋体"/>
                <w:color w:val="auto"/>
                <w:kern w:val="0"/>
                <w:sz w:val="20"/>
                <w:szCs w:val="20"/>
                <w:highlight w:val="none"/>
                <w:shd w:val="clear" w:color="auto" w:fill="auto"/>
              </w:rPr>
              <w:t>：</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①是否遵守相关法律法规和相关管理规定；</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②项目调整及支出调整手续是否完备；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③项目合同书、验收报告、技术鉴定等资料是否齐全并及时归档；</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④项目实施的人员条件、场地设备、信息支撑等是否落实到位。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w:t>
            </w: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产出数量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实际完成率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项目实施的实际产出数与计划产出数的比率，用以反映和考核项目产出数量目标的实现程度。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实际完成率=（实际产出数/计划产出数）×100%。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实际产出数：一定时期（本年度或项目期）内项目实际产出的产品或提供的服务数量。</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计划产出数：项目绩效目标确定的在一定时期（本年度或项目期）内计划产出的产品或提供的服务数量。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产出质量</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项目完成的质量达标产出数与实际产出数的比率，用以反映和考核项目产出质量目标的实现程度。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质量达标率=（质量达标产出数/实际产出数）×100%。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产出时效</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完成及时性</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项目实际完成时间与计划完成时间的比较，用以反映和考核项目产出时效目标的实现程度。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实际完成时间：项目实施单位完成该项目实际所耗用的时间。</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计划完成时间：按照项目实施计划或相关规定完成该项目所需的时间。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产出成本</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成本节约率</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完成项目计划工作目标的实际节约成本与计划成本的比率，用以反映和考核项目的成本节约程度。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成本节约率=[（计划成本-实际成本）/计划成本]×100%。</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lang w:eastAsia="zh-CN"/>
              </w:rPr>
            </w:pPr>
            <w:r>
              <w:rPr>
                <w:rFonts w:hint="eastAsia" w:ascii="宋体" w:hAnsi="宋体" w:eastAsia="宋体" w:cs="宋体"/>
                <w:color w:val="auto"/>
                <w:kern w:val="0"/>
                <w:sz w:val="20"/>
                <w:szCs w:val="20"/>
                <w:highlight w:val="none"/>
                <w:shd w:val="clear" w:color="auto" w:fill="auto"/>
              </w:rPr>
              <w:t>实际成本：项目实施单位如期、保质、保量完成既定工作目标实际所耗费的支出。</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计划成本：项目实施单位为完成工作目标计划安排的支出，一般以项目预算为参考。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效益</w:t>
            </w:r>
          </w:p>
        </w:tc>
        <w:tc>
          <w:tcPr>
            <w:tcW w:w="1196" w:type="dxa"/>
            <w:vMerge w:val="restart"/>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项目效益</w:t>
            </w: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实施效益</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项目实施所产生的效益。</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项目实施所产生的社会效益、经济效益、生态效益、可持续影响等。可根据项目实际情况有选择地设置和细化。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196" w:type="dxa"/>
            <w:vMerge w:val="continue"/>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p>
        </w:tc>
        <w:tc>
          <w:tcPr>
            <w:tcW w:w="1050"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满意度</w:t>
            </w:r>
          </w:p>
        </w:tc>
        <w:tc>
          <w:tcPr>
            <w:tcW w:w="1996"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社会公众或服务对象对项目实施效果的满意程度。</w:t>
            </w:r>
          </w:p>
        </w:tc>
        <w:tc>
          <w:tcPr>
            <w:tcW w:w="3793"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auto"/>
                <w:kern w:val="0"/>
                <w:sz w:val="20"/>
                <w:szCs w:val="20"/>
                <w:highlight w:val="none"/>
                <w:shd w:val="clear" w:color="auto" w:fill="auto"/>
              </w:rPr>
            </w:pPr>
            <w:r>
              <w:rPr>
                <w:rFonts w:hint="eastAsia" w:ascii="宋体" w:hAnsi="宋体" w:eastAsia="宋体" w:cs="宋体"/>
                <w:color w:val="auto"/>
                <w:kern w:val="0"/>
                <w:sz w:val="20"/>
                <w:szCs w:val="20"/>
                <w:highlight w:val="none"/>
                <w:shd w:val="clear" w:color="auto" w:fill="auto"/>
              </w:rPr>
              <w:t>社会公众或服务对象是指因该项目实施而受到影响的部门（单位）、群体或个人。一般采取社会调查的方式。</w:t>
            </w:r>
          </w:p>
        </w:tc>
      </w:tr>
    </w:tbl>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highlight w:val="none"/>
          <w:shd w:val="clear" w:color="auto" w:fill="auto"/>
          <w:lang w:val="en-US" w:eastAsia="zh-CN"/>
        </w:rPr>
      </w:pPr>
      <w:bookmarkStart w:id="30" w:name="_Toc9941"/>
      <w:r>
        <w:rPr>
          <w:rFonts w:hint="eastAsia" w:ascii="宋体" w:hAnsi="宋体" w:eastAsia="宋体" w:cs="宋体"/>
          <w:color w:val="auto"/>
          <w:highlight w:val="none"/>
          <w:shd w:val="clear" w:color="auto" w:fill="auto"/>
          <w:lang w:val="en-US" w:eastAsia="zh-CN"/>
        </w:rPr>
        <w:t>3.</w:t>
      </w:r>
      <w:r>
        <w:rPr>
          <w:rFonts w:hint="eastAsia" w:ascii="宋体" w:hAnsi="宋体" w:eastAsia="宋体" w:cs="宋体"/>
          <w:color w:val="auto"/>
          <w:highlight w:val="none"/>
          <w:shd w:val="clear" w:color="auto" w:fill="auto"/>
        </w:rPr>
        <w:t>评价</w:t>
      </w:r>
      <w:r>
        <w:rPr>
          <w:rFonts w:hint="eastAsia" w:ascii="宋体" w:hAnsi="宋体" w:eastAsia="宋体" w:cs="宋体"/>
          <w:color w:val="auto"/>
          <w:highlight w:val="none"/>
          <w:shd w:val="clear" w:color="auto" w:fill="auto"/>
          <w:lang w:val="en-US" w:eastAsia="zh-CN"/>
        </w:rPr>
        <w:t>方法</w:t>
      </w:r>
      <w:bookmarkEnd w:id="3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rPr>
        <w:t>本次绩效评价采用的方法</w:t>
      </w:r>
      <w:r>
        <w:rPr>
          <w:rFonts w:hint="eastAsia" w:cs="宋体"/>
          <w:color w:val="auto"/>
          <w:highlight w:val="none"/>
          <w:shd w:val="clear" w:color="auto" w:fill="auto"/>
          <w:lang w:val="en-US" w:eastAsia="zh-CN"/>
        </w:rPr>
        <w:t>为</w:t>
      </w:r>
      <w:r>
        <w:rPr>
          <w:rFonts w:hint="eastAsia" w:ascii="宋体" w:hAnsi="宋体" w:eastAsia="宋体" w:cs="宋体"/>
          <w:color w:val="auto"/>
          <w:highlight w:val="none"/>
          <w:shd w:val="clear" w:color="auto" w:fill="auto"/>
        </w:rPr>
        <w:t>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en-US" w:eastAsia="zh-CN"/>
        </w:rPr>
        <w:t>对项目绩效目标</w:t>
      </w:r>
      <w:r>
        <w:rPr>
          <w:rFonts w:hint="eastAsia" w:cs="宋体"/>
          <w:color w:val="auto"/>
          <w:highlight w:val="none"/>
          <w:shd w:val="clear" w:color="auto" w:fill="auto"/>
          <w:lang w:val="en-US" w:eastAsia="zh-CN"/>
        </w:rPr>
        <w:t>预期目标值</w:t>
      </w:r>
      <w:r>
        <w:rPr>
          <w:rFonts w:hint="eastAsia" w:ascii="宋体" w:hAnsi="宋体" w:eastAsia="宋体" w:cs="宋体"/>
          <w:color w:val="auto"/>
          <w:highlight w:val="none"/>
          <w:shd w:val="clear" w:color="auto" w:fill="auto"/>
          <w:lang w:val="en-US" w:eastAsia="zh-CN"/>
        </w:rPr>
        <w:t>与实施情况进行比较，以及采取公众问卷及抽样调查等方式进行评判的方法对</w:t>
      </w:r>
      <w:r>
        <w:rPr>
          <w:rFonts w:hint="eastAsia" w:cs="宋体"/>
          <w:color w:val="auto"/>
          <w:highlight w:val="none"/>
          <w:shd w:val="clear" w:color="auto" w:fill="auto"/>
          <w:lang w:val="en-US" w:eastAsia="zh-CN"/>
        </w:rPr>
        <w:t>原人民医院内科楼改造项目</w:t>
      </w:r>
      <w:r>
        <w:rPr>
          <w:rFonts w:hint="eastAsia" w:ascii="宋体" w:hAnsi="宋体" w:eastAsia="宋体" w:cs="宋体"/>
          <w:color w:val="auto"/>
          <w:highlight w:val="none"/>
          <w:shd w:val="clear" w:color="auto" w:fill="auto"/>
          <w:lang w:val="en-US" w:eastAsia="zh-CN"/>
        </w:rPr>
        <w:t>项目进行评价。</w:t>
      </w:r>
    </w:p>
    <w:p>
      <w:pPr>
        <w:pStyle w:val="5"/>
        <w:rPr>
          <w:rFonts w:hint="default" w:ascii="宋体" w:hAnsi="宋体" w:eastAsia="宋体" w:cs="宋体"/>
          <w:color w:val="auto"/>
          <w:highlight w:val="none"/>
          <w:shd w:val="clear" w:color="auto" w:fill="auto"/>
          <w:lang w:val="en-US" w:eastAsia="zh-CN"/>
        </w:rPr>
      </w:pPr>
      <w:bookmarkStart w:id="31" w:name="_Toc25391"/>
      <w:r>
        <w:rPr>
          <w:rFonts w:hint="eastAsia" w:ascii="宋体" w:hAnsi="宋体" w:eastAsia="宋体" w:cs="宋体"/>
          <w:color w:val="auto"/>
          <w:highlight w:val="none"/>
          <w:shd w:val="clear" w:color="auto" w:fill="auto"/>
          <w:lang w:val="en-US" w:eastAsia="zh-CN"/>
        </w:rPr>
        <w:t>4.评价标准</w:t>
      </w:r>
      <w:bookmarkEnd w:id="31"/>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（1）计划标准。指以预先制定的目标、计划、预算、定额等作为评价标准。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（2）行业标准。指参照国家公布的行业指标数据制定的评价标准。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（3）历史标准。指参照历史数据制定的评价标准，为体现绩效改进的原则，在可实现的条件下应当确定相对较高的评价标准。</w:t>
      </w:r>
    </w:p>
    <w:p>
      <w:pPr>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（4）财政部门和预算部门确认或认可的其他标准。</w:t>
      </w:r>
    </w:p>
    <w:p>
      <w:pPr>
        <w:pStyle w:val="5"/>
        <w:outlineLvl w:val="1"/>
        <w:rPr>
          <w:rFonts w:hint="default" w:ascii="宋体" w:hAnsi="宋体" w:eastAsia="宋体" w:cs="宋体"/>
          <w:color w:val="auto"/>
          <w:highlight w:val="none"/>
          <w:shd w:val="clear" w:color="auto" w:fill="auto"/>
          <w:lang w:val="en-US" w:eastAsia="zh-CN"/>
        </w:rPr>
      </w:pPr>
      <w:bookmarkStart w:id="32" w:name="_Toc1070"/>
      <w:r>
        <w:rPr>
          <w:rFonts w:hint="eastAsia" w:ascii="宋体" w:hAnsi="宋体" w:eastAsia="宋体" w:cs="宋体"/>
          <w:color w:val="auto"/>
          <w:highlight w:val="none"/>
          <w:shd w:val="clear" w:color="auto" w:fill="auto"/>
          <w:lang w:val="en-US" w:eastAsia="zh-CN"/>
        </w:rPr>
        <w:t>（三）绩效评价工作过程</w:t>
      </w:r>
      <w:bookmarkEnd w:id="32"/>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auto"/>
          <w:highlight w:val="none"/>
          <w:shd w:val="clear" w:color="auto" w:fill="auto"/>
          <w:lang w:val="en-US" w:eastAsia="zh-CN"/>
        </w:rPr>
      </w:pPr>
      <w:bookmarkStart w:id="33" w:name="_Toc12862"/>
      <w:r>
        <w:rPr>
          <w:rFonts w:hint="eastAsia" w:ascii="宋体" w:hAnsi="宋体" w:eastAsia="宋体" w:cs="宋体"/>
          <w:color w:val="auto"/>
          <w:highlight w:val="none"/>
          <w:shd w:val="clear" w:color="auto" w:fill="auto"/>
          <w:lang w:val="en-US" w:eastAsia="zh-CN"/>
        </w:rPr>
        <w:t>1.前期准备</w:t>
      </w:r>
      <w:bookmarkEnd w:id="33"/>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（1）成立绩效评价项目小组</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为确保该项目绩效评价的顺利实施，评价机构组建了绩效评价项目小组。项目小组负责建立联络制度、明确评价责任人、制定评价方案、实施具体评价等工作。</w:t>
      </w:r>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4" w:name="_Toc31571"/>
      <w:r>
        <w:rPr>
          <w:rFonts w:hint="eastAsia" w:ascii="宋体" w:hAnsi="宋体" w:eastAsia="宋体" w:cs="宋体"/>
          <w:b w:val="0"/>
          <w:bCs w:val="0"/>
          <w:color w:val="auto"/>
          <w:kern w:val="2"/>
          <w:sz w:val="28"/>
          <w:szCs w:val="24"/>
          <w:highlight w:val="none"/>
          <w:shd w:val="clear" w:color="auto" w:fill="auto"/>
          <w:lang w:val="en-US" w:eastAsia="zh-CN" w:bidi="ar-SA"/>
        </w:rPr>
        <w:t>（2）开展前期调研</w:t>
      </w:r>
      <w:bookmarkEnd w:id="3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5" w:name="_Toc21240"/>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绩效评价项目小组依据此次绩效评价受委托内容，对拟评价的项目实施前期调研。通过调研对</w:t>
      </w:r>
      <w:r>
        <w:rPr>
          <w:rFonts w:hint="eastAsia" w:ascii="宋体" w:hAnsi="宋体" w:cs="宋体"/>
          <w:b w:val="0"/>
          <w:bCs w:val="0"/>
          <w:color w:val="auto"/>
          <w:sz w:val="28"/>
          <w:szCs w:val="28"/>
          <w:highlight w:val="none"/>
          <w:shd w:val="clear" w:color="auto" w:fill="auto"/>
          <w:lang w:val="en-US" w:eastAsia="zh-CN"/>
        </w:rPr>
        <w:t>原人民医院内科楼改造项目</w:t>
      </w:r>
      <w:r>
        <w:rPr>
          <w:rFonts w:hint="eastAsia" w:ascii="宋体" w:hAnsi="宋体" w:eastAsia="宋体" w:cs="宋体"/>
          <w:b w:val="0"/>
          <w:bCs w:val="0"/>
          <w:color w:val="auto"/>
          <w:sz w:val="28"/>
          <w:szCs w:val="28"/>
          <w:highlight w:val="none"/>
          <w:shd w:val="clear" w:color="auto" w:fill="auto"/>
          <w:lang w:val="en-US" w:eastAsia="zh-CN"/>
        </w:rPr>
        <w:t>项目</w:t>
      </w:r>
      <w:r>
        <w:rPr>
          <w:rFonts w:hint="eastAsia" w:ascii="宋体" w:hAnsi="宋体" w:eastAsia="宋体" w:cs="宋体"/>
          <w:b w:val="0"/>
          <w:bCs w:val="0"/>
          <w:color w:val="auto"/>
          <w:kern w:val="2"/>
          <w:sz w:val="28"/>
          <w:szCs w:val="24"/>
          <w:highlight w:val="none"/>
          <w:shd w:val="clear" w:color="auto" w:fill="auto"/>
          <w:lang w:val="en-US" w:eastAsia="zh-CN" w:bidi="ar-SA"/>
        </w:rPr>
        <w:t>实施内容、目标信息、预算信息以及其他的一些项目基本信息，有了初步了解，为制定绩效评价工作方案做好准备。</w:t>
      </w:r>
      <w:bookmarkEnd w:id="3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6" w:name="_Toc27977"/>
      <w:r>
        <w:rPr>
          <w:rFonts w:hint="eastAsia" w:ascii="宋体" w:hAnsi="宋体" w:eastAsia="宋体" w:cs="宋体"/>
          <w:b w:val="0"/>
          <w:bCs w:val="0"/>
          <w:color w:val="auto"/>
          <w:kern w:val="2"/>
          <w:sz w:val="28"/>
          <w:szCs w:val="24"/>
          <w:highlight w:val="none"/>
          <w:shd w:val="clear" w:color="auto" w:fill="auto"/>
          <w:lang w:val="en-US" w:eastAsia="zh-CN" w:bidi="ar-SA"/>
        </w:rPr>
        <w:t>（3）制订绩效评价工作方案</w:t>
      </w:r>
      <w:bookmarkEnd w:id="3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7" w:name="_Toc1965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绩效评价项目小组根据有关规定和评价对象的特点以及前期调研收集的一些信息，拟定详细的绩效评价工作方案</w:t>
      </w:r>
      <w:r>
        <w:rPr>
          <w:rFonts w:hint="eastAsia" w:ascii="宋体" w:hAnsi="宋体" w:cs="宋体"/>
          <w:b w:val="0"/>
          <w:bCs w:val="0"/>
          <w:color w:val="auto"/>
          <w:kern w:val="2"/>
          <w:sz w:val="28"/>
          <w:szCs w:val="24"/>
          <w:highlight w:val="none"/>
          <w:shd w:val="clear" w:color="auto" w:fill="auto"/>
          <w:lang w:val="en-US" w:eastAsia="zh-CN" w:bidi="ar-SA"/>
        </w:rPr>
        <w:t>。</w:t>
      </w:r>
      <w:bookmarkEnd w:id="3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auto"/>
          <w:kern w:val="2"/>
          <w:sz w:val="28"/>
          <w:szCs w:val="24"/>
          <w:highlight w:val="none"/>
          <w:shd w:val="clear" w:color="auto" w:fill="auto"/>
          <w:lang w:val="en-US" w:eastAsia="zh-CN" w:bidi="ar-SA"/>
        </w:rPr>
      </w:pPr>
      <w:bookmarkStart w:id="38" w:name="_Toc11353"/>
      <w:r>
        <w:rPr>
          <w:rFonts w:hint="eastAsia" w:ascii="宋体" w:hAnsi="宋体" w:eastAsia="宋体" w:cs="宋体"/>
          <w:b w:val="0"/>
          <w:bCs w:val="0"/>
          <w:color w:val="auto"/>
          <w:kern w:val="2"/>
          <w:sz w:val="28"/>
          <w:szCs w:val="24"/>
          <w:highlight w:val="none"/>
          <w:shd w:val="clear" w:color="auto" w:fill="auto"/>
          <w:lang w:val="en-US" w:eastAsia="zh-CN" w:bidi="ar-SA"/>
        </w:rPr>
        <w:t>2.具体实施</w:t>
      </w:r>
      <w:bookmarkEnd w:id="3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39" w:name="_Toc14111"/>
      <w:r>
        <w:rPr>
          <w:rFonts w:hint="eastAsia" w:ascii="宋体" w:hAnsi="宋体" w:eastAsia="宋体" w:cs="宋体"/>
          <w:b w:val="0"/>
          <w:bCs w:val="0"/>
          <w:color w:val="auto"/>
          <w:kern w:val="2"/>
          <w:sz w:val="28"/>
          <w:szCs w:val="24"/>
          <w:highlight w:val="none"/>
          <w:shd w:val="clear" w:color="auto" w:fill="auto"/>
          <w:lang w:val="en-US" w:eastAsia="zh-CN" w:bidi="ar-SA"/>
        </w:rPr>
        <w:t>（1）收集基础资料</w:t>
      </w:r>
      <w:bookmarkEnd w:id="3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0" w:name="_Toc28524"/>
      <w:r>
        <w:rPr>
          <w:rFonts w:hint="eastAsia" w:ascii="宋体" w:hAnsi="宋体" w:eastAsia="宋体" w:cs="宋体"/>
          <w:b w:val="0"/>
          <w:bCs w:val="0"/>
          <w:color w:val="auto"/>
          <w:kern w:val="2"/>
          <w:sz w:val="28"/>
          <w:szCs w:val="24"/>
          <w:highlight w:val="none"/>
          <w:shd w:val="clear" w:color="auto" w:fill="auto"/>
          <w:lang w:val="en-US" w:eastAsia="zh-CN" w:bidi="ar-SA"/>
        </w:rPr>
        <w:t>根据评价工作的需要和要求，在前期调研的基础上，通过多种渠道全面收集项目基础信息资料，主要包括：</w:t>
      </w:r>
      <w:bookmarkEnd w:id="4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1" w:name="_Toc32216"/>
      <w:r>
        <w:rPr>
          <w:rFonts w:hint="eastAsia" w:ascii="宋体" w:hAnsi="宋体" w:eastAsia="宋体" w:cs="宋体"/>
          <w:b w:val="0"/>
          <w:bCs w:val="0"/>
          <w:color w:val="auto"/>
          <w:kern w:val="2"/>
          <w:sz w:val="28"/>
          <w:szCs w:val="24"/>
          <w:highlight w:val="none"/>
          <w:shd w:val="clear" w:color="auto" w:fill="auto"/>
          <w:lang w:val="en-US" w:eastAsia="zh-CN" w:bidi="ar-SA"/>
        </w:rPr>
        <w:t>①被评价单位基本概况，如单位职能、事业发展规划、预决算情况、项目立项依据等；</w:t>
      </w:r>
      <w:bookmarkEnd w:id="4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2" w:name="_Toc10505"/>
      <w:r>
        <w:rPr>
          <w:rFonts w:hint="eastAsia" w:ascii="宋体" w:hAnsi="宋体" w:eastAsia="宋体" w:cs="宋体"/>
          <w:b w:val="0"/>
          <w:bCs w:val="0"/>
          <w:color w:val="auto"/>
          <w:kern w:val="2"/>
          <w:sz w:val="28"/>
          <w:szCs w:val="24"/>
          <w:highlight w:val="none"/>
          <w:shd w:val="clear" w:color="auto" w:fill="auto"/>
          <w:lang w:val="en-US" w:eastAsia="zh-CN" w:bidi="ar-SA"/>
        </w:rPr>
        <w:t>②绩效目标及其设立依据和调整情况；</w:t>
      </w:r>
      <w:bookmarkEnd w:id="4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3" w:name="_Toc28365"/>
      <w:r>
        <w:rPr>
          <w:rFonts w:hint="eastAsia" w:ascii="宋体" w:hAnsi="宋体" w:eastAsia="宋体" w:cs="宋体"/>
          <w:b w:val="0"/>
          <w:bCs w:val="0"/>
          <w:color w:val="auto"/>
          <w:kern w:val="2"/>
          <w:sz w:val="28"/>
          <w:szCs w:val="24"/>
          <w:highlight w:val="none"/>
          <w:shd w:val="clear" w:color="auto" w:fill="auto"/>
          <w:lang w:val="en-US" w:eastAsia="zh-CN" w:bidi="ar-SA"/>
        </w:rPr>
        <w:t>③管理措施及组织实施情况；</w:t>
      </w:r>
      <w:bookmarkEnd w:id="4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4" w:name="_Toc10091"/>
      <w:r>
        <w:rPr>
          <w:rFonts w:hint="eastAsia" w:ascii="宋体" w:hAnsi="宋体" w:eastAsia="宋体" w:cs="宋体"/>
          <w:b w:val="0"/>
          <w:bCs w:val="0"/>
          <w:color w:val="auto"/>
          <w:kern w:val="2"/>
          <w:sz w:val="28"/>
          <w:szCs w:val="24"/>
          <w:highlight w:val="none"/>
          <w:shd w:val="clear" w:color="auto" w:fill="auto"/>
          <w:lang w:val="en-US" w:eastAsia="zh-CN" w:bidi="ar-SA"/>
        </w:rPr>
        <w:t>④被评价单位总结分析的绩效目标完成情况及绩效报告；</w:t>
      </w:r>
      <w:bookmarkEnd w:id="44"/>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5" w:name="_Toc1"/>
      <w:r>
        <w:rPr>
          <w:rFonts w:hint="eastAsia" w:ascii="宋体" w:hAnsi="宋体" w:eastAsia="宋体" w:cs="宋体"/>
          <w:b w:val="0"/>
          <w:bCs w:val="0"/>
          <w:color w:val="auto"/>
          <w:kern w:val="2"/>
          <w:sz w:val="28"/>
          <w:szCs w:val="24"/>
          <w:highlight w:val="none"/>
          <w:shd w:val="clear" w:color="auto" w:fill="auto"/>
          <w:lang w:val="en-US" w:eastAsia="zh-CN" w:bidi="ar-SA"/>
        </w:rPr>
        <w:t>⑤与绩效评价相关的计划标准、行业标准、历史标准等；</w:t>
      </w:r>
      <w:bookmarkEnd w:id="45"/>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6" w:name="_Toc20059"/>
      <w:r>
        <w:rPr>
          <w:rFonts w:hint="eastAsia" w:ascii="宋体" w:hAnsi="宋体" w:cs="宋体"/>
          <w:b w:val="0"/>
          <w:bCs w:val="0"/>
          <w:color w:val="auto"/>
          <w:kern w:val="2"/>
          <w:sz w:val="28"/>
          <w:szCs w:val="24"/>
          <w:highlight w:val="none"/>
          <w:shd w:val="clear" w:color="auto" w:fill="auto"/>
          <w:lang w:val="en-US" w:eastAsia="zh-CN" w:bidi="ar-SA"/>
        </w:rPr>
        <w:t>⑥</w:t>
      </w:r>
      <w:r>
        <w:rPr>
          <w:rFonts w:hint="eastAsia" w:ascii="宋体" w:hAnsi="宋体" w:eastAsia="宋体" w:cs="宋体"/>
          <w:b w:val="0"/>
          <w:bCs w:val="0"/>
          <w:color w:val="auto"/>
          <w:kern w:val="2"/>
          <w:sz w:val="28"/>
          <w:szCs w:val="24"/>
          <w:highlight w:val="none"/>
          <w:shd w:val="clear" w:color="auto" w:fill="auto"/>
          <w:lang w:val="en-US" w:eastAsia="zh-CN" w:bidi="ar-SA"/>
        </w:rPr>
        <w:t>其他必要的相关资料等。</w:t>
      </w:r>
      <w:bookmarkEnd w:id="46"/>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7" w:name="_Toc31911"/>
      <w:r>
        <w:rPr>
          <w:rFonts w:hint="eastAsia" w:ascii="宋体" w:hAnsi="宋体" w:eastAsia="宋体" w:cs="宋体"/>
          <w:b w:val="0"/>
          <w:bCs w:val="0"/>
          <w:color w:val="auto"/>
          <w:kern w:val="2"/>
          <w:sz w:val="28"/>
          <w:szCs w:val="24"/>
          <w:highlight w:val="none"/>
          <w:shd w:val="clear" w:color="auto" w:fill="auto"/>
          <w:lang w:val="en-US" w:eastAsia="zh-CN" w:bidi="ar-SA"/>
        </w:rPr>
        <w:t>（2）整理、研读基础资料</w:t>
      </w:r>
      <w:bookmarkEnd w:id="47"/>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48" w:name="_Toc167"/>
      <w:r>
        <w:rPr>
          <w:rFonts w:hint="eastAsia" w:ascii="宋体" w:hAnsi="宋体" w:eastAsia="宋体" w:cs="宋体"/>
          <w:b w:val="0"/>
          <w:bCs w:val="0"/>
          <w:color w:val="auto"/>
          <w:kern w:val="2"/>
          <w:sz w:val="28"/>
          <w:szCs w:val="24"/>
          <w:highlight w:val="none"/>
          <w:shd w:val="clear" w:color="auto" w:fill="auto"/>
          <w:lang w:val="en-US" w:eastAsia="zh-CN" w:bidi="ar-SA"/>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auto"/>
          <w:kern w:val="2"/>
          <w:sz w:val="28"/>
          <w:szCs w:val="24"/>
          <w:highlight w:val="none"/>
          <w:shd w:val="clear" w:color="auto" w:fill="auto"/>
          <w:lang w:val="en-US" w:eastAsia="zh-CN" w:bidi="ar-SA"/>
        </w:rPr>
      </w:pPr>
      <w:bookmarkStart w:id="49" w:name="_Toc30513"/>
      <w:r>
        <w:rPr>
          <w:rFonts w:hint="eastAsia" w:ascii="宋体" w:hAnsi="宋体" w:eastAsia="宋体" w:cs="宋体"/>
          <w:b w:val="0"/>
          <w:bCs w:val="0"/>
          <w:color w:val="auto"/>
          <w:kern w:val="2"/>
          <w:sz w:val="28"/>
          <w:szCs w:val="24"/>
          <w:highlight w:val="none"/>
          <w:shd w:val="clear" w:color="auto" w:fill="auto"/>
          <w:lang w:val="en-US" w:eastAsia="zh-CN" w:bidi="ar-SA"/>
        </w:rPr>
        <w:t>3.</w:t>
      </w:r>
      <w:r>
        <w:rPr>
          <w:rFonts w:hint="eastAsia" w:ascii="宋体" w:hAnsi="宋体" w:cs="宋体"/>
          <w:b w:val="0"/>
          <w:bCs w:val="0"/>
          <w:color w:val="auto"/>
          <w:kern w:val="2"/>
          <w:sz w:val="28"/>
          <w:szCs w:val="24"/>
          <w:highlight w:val="none"/>
          <w:shd w:val="clear" w:color="auto" w:fill="auto"/>
          <w:lang w:val="en-US" w:eastAsia="zh-CN" w:bidi="ar-SA"/>
        </w:rPr>
        <w:t>分析评价和撰写报告</w:t>
      </w:r>
      <w:bookmarkEnd w:id="49"/>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0" w:name="_Toc15974"/>
      <w:r>
        <w:rPr>
          <w:rFonts w:hint="eastAsia"/>
          <w:b w:val="0"/>
          <w:bCs w:val="0"/>
          <w:color w:val="auto"/>
          <w:sz w:val="28"/>
          <w:szCs w:val="28"/>
          <w:highlight w:val="none"/>
        </w:rPr>
        <w:t>（</w:t>
      </w:r>
      <w:r>
        <w:rPr>
          <w:rFonts w:hint="eastAsia" w:ascii="宋体" w:hAnsi="宋体" w:cs="宋体"/>
          <w:b w:val="0"/>
          <w:bCs w:val="0"/>
          <w:color w:val="auto"/>
          <w:kern w:val="2"/>
          <w:sz w:val="28"/>
          <w:szCs w:val="28"/>
          <w:highlight w:val="none"/>
          <w:shd w:val="clear" w:color="auto" w:fill="auto"/>
          <w:lang w:val="en-US" w:eastAsia="zh-CN" w:bidi="ar-SA"/>
        </w:rPr>
        <w:t>1</w:t>
      </w:r>
      <w:r>
        <w:rPr>
          <w:rFonts w:hint="eastAsia" w:ascii="宋体" w:hAnsi="宋体" w:eastAsia="宋体" w:cs="宋体"/>
          <w:b w:val="0"/>
          <w:bCs w:val="0"/>
          <w:color w:val="auto"/>
          <w:kern w:val="2"/>
          <w:sz w:val="28"/>
          <w:szCs w:val="28"/>
          <w:highlight w:val="none"/>
          <w:shd w:val="clear" w:color="auto" w:fill="auto"/>
          <w:lang w:val="en-US" w:eastAsia="zh-CN" w:bidi="ar-SA"/>
        </w:rPr>
        <w:t>）综合分析评价</w:t>
      </w:r>
      <w:bookmarkEnd w:id="50"/>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8"/>
          <w:highlight w:val="none"/>
          <w:shd w:val="clear" w:color="auto" w:fill="auto"/>
          <w:lang w:val="en-US" w:eastAsia="zh-CN" w:bidi="ar-SA"/>
        </w:rPr>
      </w:pPr>
      <w:bookmarkStart w:id="51" w:name="_Toc4352"/>
      <w:r>
        <w:rPr>
          <w:rFonts w:hint="eastAsia" w:ascii="宋体" w:hAnsi="宋体" w:eastAsia="宋体" w:cs="宋体"/>
          <w:b w:val="0"/>
          <w:bCs w:val="0"/>
          <w:color w:val="auto"/>
          <w:kern w:val="2"/>
          <w:sz w:val="28"/>
          <w:szCs w:val="28"/>
          <w:highlight w:val="none"/>
          <w:shd w:val="clear" w:color="auto" w:fill="auto"/>
          <w:lang w:val="en-US" w:eastAsia="zh-CN" w:bidi="ar-SA"/>
        </w:rPr>
        <w:t>①根据所收集的基础资料，结合现场核查的有关情况，整理出绩效评价所需的项目材料和基础数据。</w:t>
      </w:r>
      <w:bookmarkEnd w:id="51"/>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auto"/>
          <w:kern w:val="2"/>
          <w:sz w:val="28"/>
          <w:szCs w:val="24"/>
          <w:highlight w:val="none"/>
          <w:shd w:val="clear" w:color="auto" w:fill="auto"/>
          <w:lang w:val="en-US" w:eastAsia="zh-CN" w:bidi="ar-SA"/>
        </w:rPr>
      </w:pPr>
      <w:bookmarkStart w:id="52" w:name="_Toc26231"/>
      <w:r>
        <w:rPr>
          <w:rFonts w:hint="eastAsia" w:ascii="宋体" w:hAnsi="宋体" w:eastAsia="宋体" w:cs="宋体"/>
          <w:b w:val="0"/>
          <w:bCs w:val="0"/>
          <w:color w:val="auto"/>
          <w:kern w:val="2"/>
          <w:sz w:val="28"/>
          <w:szCs w:val="28"/>
          <w:highlight w:val="none"/>
          <w:shd w:val="clear" w:color="auto" w:fill="auto"/>
          <w:lang w:val="en-US" w:eastAsia="zh-CN" w:bidi="ar-SA"/>
        </w:rPr>
        <w:t>②将初步评价结论、调整</w:t>
      </w:r>
      <w:r>
        <w:rPr>
          <w:rFonts w:hint="eastAsia" w:ascii="宋体" w:hAnsi="宋体" w:eastAsia="宋体" w:cs="宋体"/>
          <w:b w:val="0"/>
          <w:bCs w:val="0"/>
          <w:color w:val="auto"/>
          <w:kern w:val="2"/>
          <w:sz w:val="28"/>
          <w:szCs w:val="24"/>
          <w:highlight w:val="none"/>
          <w:shd w:val="clear" w:color="auto" w:fill="auto"/>
          <w:lang w:val="en-US" w:eastAsia="zh-CN" w:bidi="ar-SA"/>
        </w:rPr>
        <w:t>事项、专家咨询意见和有关说明等</w:t>
      </w:r>
      <w:r>
        <w:rPr>
          <w:rFonts w:hint="eastAsia" w:ascii="宋体" w:hAnsi="宋体" w:cs="宋体"/>
          <w:b w:val="0"/>
          <w:bCs w:val="0"/>
          <w:color w:val="auto"/>
          <w:kern w:val="2"/>
          <w:sz w:val="28"/>
          <w:szCs w:val="24"/>
          <w:highlight w:val="none"/>
          <w:shd w:val="clear" w:color="auto" w:fill="auto"/>
          <w:lang w:val="en-US" w:eastAsia="zh-CN" w:bidi="ar-SA"/>
        </w:rPr>
        <w:t>提交单位内部讨论</w:t>
      </w:r>
      <w:r>
        <w:rPr>
          <w:rFonts w:hint="eastAsia" w:ascii="宋体" w:hAnsi="宋体" w:eastAsia="宋体" w:cs="宋体"/>
          <w:b w:val="0"/>
          <w:bCs w:val="0"/>
          <w:color w:val="auto"/>
          <w:kern w:val="2"/>
          <w:sz w:val="28"/>
          <w:szCs w:val="24"/>
          <w:highlight w:val="none"/>
          <w:shd w:val="clear" w:color="auto" w:fill="auto"/>
          <w:lang w:val="en-US" w:eastAsia="zh-CN" w:bidi="ar-SA"/>
        </w:rPr>
        <w:t>并征求意见。之后，对所征求的意见及时地进行收集和整理。</w:t>
      </w:r>
      <w:bookmarkEnd w:id="52"/>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3" w:name="_Toc27759"/>
      <w:r>
        <w:rPr>
          <w:rFonts w:hint="eastAsia" w:ascii="宋体" w:hAnsi="宋体" w:eastAsia="宋体" w:cs="宋体"/>
          <w:b w:val="0"/>
          <w:bCs w:val="0"/>
          <w:color w:val="auto"/>
          <w:kern w:val="2"/>
          <w:sz w:val="28"/>
          <w:szCs w:val="24"/>
          <w:highlight w:val="none"/>
          <w:shd w:val="clear" w:color="auto" w:fill="auto"/>
          <w:lang w:val="en-US" w:eastAsia="zh-CN" w:bidi="ar-SA"/>
        </w:rPr>
        <w:t>（</w:t>
      </w:r>
      <w:r>
        <w:rPr>
          <w:rFonts w:hint="eastAsia" w:ascii="宋体" w:hAnsi="宋体" w:cs="宋体"/>
          <w:b w:val="0"/>
          <w:bCs w:val="0"/>
          <w:color w:val="auto"/>
          <w:kern w:val="2"/>
          <w:sz w:val="28"/>
          <w:szCs w:val="24"/>
          <w:highlight w:val="none"/>
          <w:shd w:val="clear" w:color="auto" w:fill="auto"/>
          <w:lang w:val="en-US" w:eastAsia="zh-CN" w:bidi="ar-SA"/>
        </w:rPr>
        <w:t>2</w:t>
      </w:r>
      <w:r>
        <w:rPr>
          <w:rFonts w:hint="eastAsia" w:ascii="宋体" w:hAnsi="宋体" w:eastAsia="宋体" w:cs="宋体"/>
          <w:b w:val="0"/>
          <w:bCs w:val="0"/>
          <w:color w:val="auto"/>
          <w:kern w:val="2"/>
          <w:sz w:val="28"/>
          <w:szCs w:val="24"/>
          <w:highlight w:val="none"/>
          <w:shd w:val="clear" w:color="auto" w:fill="auto"/>
          <w:lang w:val="en-US" w:eastAsia="zh-CN" w:bidi="ar-SA"/>
        </w:rPr>
        <w:t>）撰写报告</w:t>
      </w:r>
      <w:bookmarkEnd w:id="53"/>
    </w:p>
    <w:p>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auto"/>
          <w:kern w:val="2"/>
          <w:sz w:val="28"/>
          <w:szCs w:val="24"/>
          <w:highlight w:val="none"/>
          <w:shd w:val="clear" w:color="auto" w:fill="auto"/>
          <w:lang w:val="en-US" w:eastAsia="zh-CN" w:bidi="ar-SA"/>
        </w:rPr>
      </w:pPr>
      <w:bookmarkStart w:id="54" w:name="_Toc15579"/>
      <w:r>
        <w:rPr>
          <w:rFonts w:hint="eastAsia" w:ascii="宋体" w:hAnsi="宋体" w:eastAsia="宋体" w:cs="宋体"/>
          <w:b w:val="0"/>
          <w:bCs w:val="0"/>
          <w:color w:val="auto"/>
          <w:kern w:val="2"/>
          <w:sz w:val="28"/>
          <w:szCs w:val="24"/>
          <w:highlight w:val="none"/>
          <w:shd w:val="clear" w:color="auto" w:fill="auto"/>
          <w:lang w:val="en-US" w:eastAsia="zh-CN" w:bidi="ar-SA"/>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auto"/>
          <w:kern w:val="2"/>
          <w:sz w:val="28"/>
          <w:szCs w:val="24"/>
          <w:highlight w:val="none"/>
          <w:shd w:val="clear" w:color="auto" w:fill="auto"/>
          <w:lang w:val="en-US" w:eastAsia="zh-CN" w:bidi="ar-SA"/>
        </w:rPr>
        <w:t>最终</w:t>
      </w:r>
      <w:r>
        <w:rPr>
          <w:rFonts w:hint="eastAsia" w:ascii="宋体" w:hAnsi="宋体" w:eastAsia="宋体" w:cs="宋体"/>
          <w:b w:val="0"/>
          <w:bCs w:val="0"/>
          <w:color w:val="auto"/>
          <w:kern w:val="2"/>
          <w:sz w:val="28"/>
          <w:szCs w:val="24"/>
          <w:highlight w:val="none"/>
          <w:shd w:val="clear" w:color="auto" w:fill="auto"/>
          <w:lang w:val="en-US" w:eastAsia="zh-CN" w:bidi="ar-SA"/>
        </w:rPr>
        <w:t>形成评价结果。</w:t>
      </w:r>
      <w:bookmarkEnd w:id="54"/>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rPr>
      </w:pPr>
      <w:bookmarkStart w:id="55" w:name="_Toc1100"/>
      <w:r>
        <w:rPr>
          <w:rFonts w:hint="eastAsia" w:ascii="宋体" w:hAnsi="宋体" w:eastAsia="宋体" w:cs="宋体"/>
          <w:b/>
          <w:bCs/>
          <w:color w:val="auto"/>
          <w:highlight w:val="none"/>
          <w:shd w:val="clear" w:color="auto" w:fill="auto"/>
          <w:lang w:val="en-US" w:eastAsia="zh-CN"/>
        </w:rPr>
        <w:t>三、</w:t>
      </w:r>
      <w:r>
        <w:rPr>
          <w:rFonts w:hint="eastAsia" w:ascii="宋体" w:hAnsi="宋体" w:eastAsia="宋体" w:cs="宋体"/>
          <w:b/>
          <w:bCs/>
          <w:color w:val="auto"/>
          <w:highlight w:val="none"/>
          <w:shd w:val="clear" w:color="auto" w:fill="auto"/>
        </w:rPr>
        <w:t>综合评价情况及评价结论</w:t>
      </w:r>
      <w:bookmarkEnd w:id="55"/>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highlight w:val="none"/>
          <w:shd w:val="clear" w:color="auto" w:fill="auto"/>
          <w:lang w:val="zh-TW" w:eastAsia="zh-TW"/>
        </w:rPr>
      </w:pPr>
      <w:r>
        <w:rPr>
          <w:rFonts w:hint="eastAsia" w:ascii="宋体" w:hAnsi="宋体" w:eastAsia="宋体" w:cs="宋体"/>
          <w:color w:val="auto"/>
          <w:highlight w:val="none"/>
          <w:shd w:val="clear" w:color="auto" w:fill="auto"/>
          <w:lang w:val="en-US" w:eastAsia="zh-CN"/>
        </w:rPr>
        <w:t>此次绩效评价</w:t>
      </w:r>
      <w:r>
        <w:rPr>
          <w:rFonts w:hint="eastAsia" w:ascii="宋体" w:hAnsi="宋体" w:eastAsia="宋体" w:cs="宋体"/>
          <w:color w:val="auto"/>
          <w:highlight w:val="none"/>
          <w:shd w:val="clear" w:color="auto" w:fill="auto"/>
          <w:lang w:val="zh-TW" w:eastAsia="zh-TW"/>
        </w:rPr>
        <w:t>通过组论证的评价指标体系及评分标准，</w:t>
      </w:r>
      <w:r>
        <w:rPr>
          <w:rFonts w:hint="eastAsia" w:ascii="宋体" w:hAnsi="宋体" w:eastAsia="宋体" w:cs="宋体"/>
          <w:color w:val="auto"/>
          <w:highlight w:val="none"/>
          <w:shd w:val="clear" w:color="auto" w:fill="auto"/>
        </w:rPr>
        <w:t>采用的方法比较法</w:t>
      </w:r>
      <w:r>
        <w:rPr>
          <w:rFonts w:hint="eastAsia" w:ascii="宋体" w:hAnsi="宋体" w:eastAsia="宋体" w:cs="宋体"/>
          <w:color w:val="auto"/>
          <w:highlight w:val="none"/>
          <w:shd w:val="clear" w:color="auto" w:fill="auto"/>
          <w:lang w:eastAsia="zh-CN"/>
        </w:rPr>
        <w:t>、因素分析法、公众评判法，</w:t>
      </w:r>
      <w:r>
        <w:rPr>
          <w:rFonts w:hint="eastAsia" w:ascii="宋体" w:hAnsi="宋体" w:eastAsia="宋体" w:cs="宋体"/>
          <w:color w:val="auto"/>
          <w:highlight w:val="none"/>
          <w:shd w:val="clear" w:color="auto" w:fill="auto"/>
          <w:lang w:val="zh-TW" w:eastAsia="zh-TW"/>
        </w:rPr>
        <w:t>对</w:t>
      </w:r>
      <w:r>
        <w:rPr>
          <w:rFonts w:hint="eastAsia" w:cs="宋体"/>
          <w:color w:val="auto"/>
          <w:highlight w:val="none"/>
          <w:shd w:val="clear" w:color="auto" w:fill="auto"/>
          <w:lang w:val="en-US" w:eastAsia="zh-CN"/>
        </w:rPr>
        <w:t>原人民医院内科楼改造项目</w:t>
      </w:r>
      <w:r>
        <w:rPr>
          <w:rFonts w:hint="eastAsia" w:ascii="宋体" w:hAnsi="宋体" w:eastAsia="宋体" w:cs="宋体"/>
          <w:color w:val="auto"/>
          <w:highlight w:val="none"/>
          <w:shd w:val="clear" w:color="auto" w:fill="auto"/>
          <w:lang w:val="en-US" w:eastAsia="zh-CN"/>
        </w:rPr>
        <w:t>项目</w:t>
      </w:r>
      <w:r>
        <w:rPr>
          <w:rFonts w:hint="eastAsia" w:ascii="宋体" w:hAnsi="宋体" w:eastAsia="宋体" w:cs="宋体"/>
          <w:color w:val="auto"/>
          <w:highlight w:val="none"/>
          <w:shd w:val="clear" w:color="auto" w:fill="auto"/>
          <w:lang w:val="zh-TW" w:eastAsia="zh-TW"/>
        </w:rPr>
        <w:t>绩效进行客观评价，最终评分结果：总分为</w:t>
      </w:r>
      <w:r>
        <w:rPr>
          <w:rFonts w:hint="eastAsia" w:cs="宋体"/>
          <w:color w:val="auto"/>
          <w:highlight w:val="none"/>
          <w:shd w:val="clear" w:color="auto" w:fill="auto"/>
          <w:lang w:val="en-US" w:eastAsia="zh-CN"/>
        </w:rPr>
        <w:t>97.6</w:t>
      </w:r>
      <w:r>
        <w:rPr>
          <w:rFonts w:hint="eastAsia" w:ascii="宋体" w:hAnsi="宋体" w:eastAsia="宋体" w:cs="宋体"/>
          <w:color w:val="auto"/>
          <w:highlight w:val="none"/>
          <w:shd w:val="clear" w:color="auto" w:fill="auto"/>
          <w:lang w:val="zh-TW" w:eastAsia="zh-TW"/>
        </w:rPr>
        <w:t>分，绩效评级为“</w:t>
      </w:r>
      <w:r>
        <w:rPr>
          <w:rFonts w:hint="eastAsia" w:cs="宋体"/>
          <w:color w:val="auto"/>
          <w:highlight w:val="none"/>
          <w:shd w:val="clear" w:color="auto" w:fill="auto"/>
          <w:lang w:val="en-US" w:eastAsia="zh-CN"/>
        </w:rPr>
        <w:t>优</w:t>
      </w:r>
      <w:r>
        <w:rPr>
          <w:rFonts w:hint="eastAsia" w:ascii="宋体" w:hAnsi="宋体" w:eastAsia="宋体" w:cs="宋体"/>
          <w:color w:val="auto"/>
          <w:highlight w:val="none"/>
          <w:shd w:val="clear" w:color="auto" w:fill="auto"/>
          <w:lang w:val="zh-TW" w:eastAsia="zh-TW"/>
        </w:rPr>
        <w:t>”。各部分权重和绩效</w:t>
      </w:r>
      <w:r>
        <w:rPr>
          <w:rFonts w:hint="eastAsia" w:ascii="宋体" w:hAnsi="宋体" w:eastAsia="宋体" w:cs="宋体"/>
          <w:color w:val="auto"/>
          <w:highlight w:val="none"/>
          <w:shd w:val="clear" w:color="auto" w:fill="auto"/>
          <w:lang w:val="en-US" w:eastAsia="zh-CN"/>
        </w:rPr>
        <w:t>汇总</w:t>
      </w:r>
      <w:r>
        <w:rPr>
          <w:rFonts w:hint="eastAsia" w:ascii="宋体" w:hAnsi="宋体" w:eastAsia="宋体" w:cs="宋体"/>
          <w:color w:val="auto"/>
          <w:highlight w:val="none"/>
          <w:shd w:val="clear" w:color="auto" w:fill="auto"/>
          <w:lang w:val="zh-TW" w:eastAsia="zh-TW"/>
        </w:rPr>
        <w:t>分值如下表</w:t>
      </w:r>
      <w:r>
        <w:rPr>
          <w:rFonts w:hint="eastAsia" w:ascii="宋体" w:hAnsi="宋体" w:eastAsia="宋体" w:cs="宋体"/>
          <w:b/>
          <w:bCs/>
          <w:color w:val="auto"/>
          <w:kern w:val="0"/>
          <w:sz w:val="28"/>
          <w:szCs w:val="28"/>
          <w:highlight w:val="none"/>
          <w:shd w:val="clear" w:color="auto" w:fill="auto"/>
          <w:lang w:val="en-US" w:eastAsia="zh-CN"/>
        </w:rPr>
        <w:t>3-1</w:t>
      </w:r>
      <w:r>
        <w:rPr>
          <w:rFonts w:hint="eastAsia" w:ascii="宋体" w:hAnsi="宋体" w:eastAsia="宋体" w:cs="宋体"/>
          <w:color w:val="auto"/>
          <w:highlight w:val="none"/>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zh-TW" w:eastAsia="zh-TW"/>
        </w:rPr>
        <w:t>：</w:t>
      </w:r>
    </w:p>
    <w:tbl>
      <w:tblPr>
        <w:tblStyle w:val="11"/>
        <w:tblW w:w="8289" w:type="dxa"/>
        <w:jc w:val="center"/>
        <w:tblInd w:w="0" w:type="dxa"/>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tblPrEx>
          <w:shd w:val="clear" w:color="auto" w:fill="auto"/>
          <w:tblLayout w:type="fixed"/>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en-US" w:eastAsia="zh-CN"/>
              </w:rPr>
              <w:t>表3-1：</w:t>
            </w:r>
            <w:r>
              <w:rPr>
                <w:rFonts w:hint="eastAsia" w:cs="宋体"/>
                <w:b/>
                <w:bCs/>
                <w:color w:val="auto"/>
                <w:highlight w:val="none"/>
                <w:shd w:val="clear" w:color="auto" w:fill="auto"/>
                <w:lang w:val="en-US" w:eastAsia="zh-CN"/>
              </w:rPr>
              <w:t>原人民医院内科楼改造项目</w:t>
            </w:r>
            <w:r>
              <w:rPr>
                <w:rFonts w:hint="eastAsia" w:ascii="宋体" w:hAnsi="宋体" w:eastAsia="宋体" w:cs="宋体"/>
                <w:b/>
                <w:bCs/>
                <w:color w:val="auto"/>
                <w:highlight w:val="none"/>
                <w:shd w:val="clear" w:color="auto" w:fill="auto"/>
                <w:lang w:val="en-US" w:eastAsia="zh-CN"/>
              </w:rPr>
              <w:t>项目</w:t>
            </w:r>
            <w:r>
              <w:rPr>
                <w:rFonts w:hint="eastAsia" w:ascii="宋体" w:hAnsi="宋体" w:eastAsia="宋体" w:cs="宋体"/>
                <w:b/>
                <w:bCs/>
                <w:color w:val="auto"/>
                <w:kern w:val="0"/>
                <w:sz w:val="28"/>
                <w:szCs w:val="28"/>
                <w:highlight w:val="none"/>
                <w:shd w:val="clear" w:color="auto" w:fill="auto"/>
                <w:lang w:val="en-US" w:eastAsia="zh-CN"/>
              </w:rPr>
              <w:t>得分表</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4"/>
                <w:szCs w:val="24"/>
                <w:highlight w:val="none"/>
                <w:shd w:val="clear" w:color="auto" w:fill="auto"/>
              </w:rPr>
            </w:pP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1"/>
                <w:szCs w:val="21"/>
                <w:highlight w:val="none"/>
                <w:shd w:val="clear" w:color="auto" w:fill="auto"/>
                <w:lang w:val="en-US" w:eastAsia="zh-CN"/>
              </w:rPr>
            </w:pPr>
            <w:r>
              <w:rPr>
                <w:rFonts w:hint="eastAsia" w:ascii="宋体" w:hAnsi="宋体" w:eastAsia="宋体" w:cs="宋体"/>
                <w:b/>
                <w:bCs/>
                <w:color w:val="auto"/>
                <w:kern w:val="0"/>
                <w:sz w:val="21"/>
                <w:szCs w:val="21"/>
                <w:highlight w:val="none"/>
                <w:shd w:val="clear" w:color="auto" w:fill="auto"/>
                <w:lang w:val="en-US" w:eastAsia="zh-CN"/>
              </w:rPr>
              <w:t>合计</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ascii="宋体" w:hAnsi="宋体" w:eastAsia="宋体" w:cs="宋体"/>
                <w:color w:val="auto"/>
                <w:kern w:val="0"/>
                <w:sz w:val="21"/>
                <w:szCs w:val="21"/>
                <w:highlight w:val="none"/>
                <w:shd w:val="clear" w:color="auto" w:fill="auto"/>
                <w:lang w:val="en-US" w:eastAsia="zh-CN"/>
              </w:rPr>
              <w:t>100</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19.6</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28</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97.6</w:t>
            </w:r>
          </w:p>
        </w:tc>
      </w:tr>
      <w:tr>
        <w:tblPrEx>
          <w:tblLayout w:type="fixed"/>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auto"/>
                <w:kern w:val="0"/>
                <w:sz w:val="21"/>
                <w:szCs w:val="21"/>
                <w:highlight w:val="none"/>
                <w:shd w:val="clear" w:color="auto" w:fill="auto"/>
                <w:lang w:val="en-US" w:eastAsia="zh-CN"/>
              </w:rPr>
            </w:pPr>
            <w:r>
              <w:rPr>
                <w:rFonts w:hint="eastAsia" w:ascii="宋体" w:hAnsi="宋体" w:eastAsia="宋体" w:cs="宋体"/>
                <w:b w:val="0"/>
                <w:bCs w:val="0"/>
                <w:color w:val="auto"/>
                <w:kern w:val="0"/>
                <w:sz w:val="21"/>
                <w:szCs w:val="21"/>
                <w:highlight w:val="none"/>
                <w:shd w:val="clear" w:color="auto" w:fill="auto"/>
                <w:lang w:val="en-US" w:eastAsia="zh-CN"/>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98</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93</w:t>
            </w:r>
            <w:r>
              <w:rPr>
                <w:rFonts w:hint="eastAsia" w:ascii="宋体" w:hAnsi="宋体" w:eastAsia="宋体" w:cs="宋体"/>
                <w:color w:val="auto"/>
                <w:kern w:val="0"/>
                <w:sz w:val="21"/>
                <w:szCs w:val="21"/>
                <w:highlight w:val="none"/>
                <w:shd w:val="clear" w:color="auto" w:fill="auto"/>
                <w:lang w:val="en-US" w:eastAsia="zh-CN"/>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100</w:t>
            </w:r>
            <w:r>
              <w:rPr>
                <w:rFonts w:hint="eastAsia" w:ascii="宋体" w:hAnsi="宋体" w:eastAsia="宋体" w:cs="宋体"/>
                <w:color w:val="auto"/>
                <w:kern w:val="0"/>
                <w:sz w:val="21"/>
                <w:szCs w:val="21"/>
                <w:highlight w:val="none"/>
                <w:shd w:val="clear" w:color="auto" w:fill="auto"/>
                <w:lang w:val="en-US" w:eastAsia="zh-CN"/>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1"/>
                <w:szCs w:val="21"/>
                <w:highlight w:val="none"/>
                <w:shd w:val="clear" w:color="auto" w:fill="auto"/>
                <w:lang w:val="en-US" w:eastAsia="zh-CN"/>
              </w:rPr>
            </w:pPr>
            <w:r>
              <w:rPr>
                <w:rFonts w:hint="eastAsia" w:cs="宋体"/>
                <w:color w:val="auto"/>
                <w:kern w:val="0"/>
                <w:sz w:val="21"/>
                <w:szCs w:val="21"/>
                <w:highlight w:val="none"/>
                <w:shd w:val="clear" w:color="auto" w:fill="auto"/>
                <w:lang w:val="en-US" w:eastAsia="zh-CN"/>
              </w:rPr>
              <w:t>97.6</w:t>
            </w:r>
            <w:r>
              <w:rPr>
                <w:rFonts w:hint="eastAsia" w:ascii="宋体" w:hAnsi="宋体" w:eastAsia="宋体" w:cs="宋体"/>
                <w:color w:val="auto"/>
                <w:kern w:val="0"/>
                <w:sz w:val="21"/>
                <w:szCs w:val="21"/>
                <w:highlight w:val="none"/>
                <w:shd w:val="clear" w:color="auto" w:fill="auto"/>
                <w:lang w:val="en-US" w:eastAsia="zh-CN"/>
              </w:rPr>
              <w:t>%</w:t>
            </w:r>
          </w:p>
        </w:tc>
      </w:tr>
    </w:tbl>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56" w:name="_Toc9421"/>
      <w:r>
        <w:rPr>
          <w:rFonts w:hint="eastAsia" w:ascii="宋体" w:hAnsi="宋体" w:eastAsia="宋体" w:cs="宋体"/>
          <w:b/>
          <w:bCs/>
          <w:color w:val="auto"/>
          <w:highlight w:val="none"/>
          <w:shd w:val="clear" w:color="auto" w:fill="auto"/>
          <w:lang w:val="en-US" w:eastAsia="zh-CN"/>
        </w:rPr>
        <w:t>四、绩效评价指标分析</w:t>
      </w:r>
      <w:bookmarkEnd w:id="56"/>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57" w:name="_Toc15355"/>
      <w:r>
        <w:rPr>
          <w:rFonts w:hint="eastAsia" w:ascii="宋体" w:hAnsi="宋体" w:eastAsia="宋体" w:cs="宋体"/>
          <w:color w:val="auto"/>
          <w:highlight w:val="none"/>
          <w:shd w:val="clear" w:color="auto" w:fill="auto"/>
        </w:rPr>
        <w:t>（一）项目决策情况</w:t>
      </w:r>
      <w:bookmarkEnd w:id="57"/>
    </w:p>
    <w:p>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auto"/>
          <w:highlight w:val="none"/>
          <w:shd w:val="clear" w:color="auto" w:fill="auto"/>
          <w:lang w:val="en-US" w:eastAsia="zh-CN"/>
        </w:rPr>
      </w:pPr>
      <w:r>
        <w:rPr>
          <w:rFonts w:hint="eastAsia" w:ascii="宋体" w:hAnsi="宋体" w:eastAsia="宋体" w:cs="宋体"/>
          <w:color w:val="auto"/>
          <w:highlight w:val="none"/>
          <w:shd w:val="clear" w:color="auto" w:fill="auto"/>
          <w:lang w:val="en-US" w:eastAsia="zh-CN"/>
        </w:rPr>
        <w:t>项目决策由3个二级指标和6个三级指标构成，权重分20分，实际得分</w:t>
      </w:r>
      <w:r>
        <w:rPr>
          <w:rFonts w:hint="eastAsia" w:cs="宋体"/>
          <w:color w:val="auto"/>
          <w:highlight w:val="none"/>
          <w:shd w:val="clear" w:color="auto" w:fill="auto"/>
          <w:lang w:val="en-US" w:eastAsia="zh-CN"/>
        </w:rPr>
        <w:t>19.6</w:t>
      </w:r>
      <w:r>
        <w:rPr>
          <w:rFonts w:hint="eastAsia" w:ascii="宋体" w:hAnsi="宋体" w:eastAsia="宋体" w:cs="宋体"/>
          <w:color w:val="auto"/>
          <w:highlight w:val="none"/>
          <w:shd w:val="clear" w:color="auto" w:fill="auto"/>
          <w:lang w:val="en-US" w:eastAsia="zh-CN"/>
        </w:rPr>
        <w:t>分，</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b/>
          <w:bCs/>
          <w:color w:val="auto"/>
          <w:kern w:val="2"/>
          <w:highlight w:val="none"/>
          <w:u w:color="000000"/>
          <w:shd w:val="clear" w:color="auto" w:fill="auto"/>
          <w:lang w:val="en-US" w:eastAsia="zh-CN"/>
        </w:rPr>
        <w:t>4</w:t>
      </w:r>
      <w:r>
        <w:rPr>
          <w:rFonts w:hint="eastAsia" w:ascii="宋体" w:hAnsi="宋体" w:eastAsia="宋体" w:cs="宋体"/>
          <w:b/>
          <w:bCs/>
          <w:color w:val="auto"/>
          <w:kern w:val="2"/>
          <w:highlight w:val="none"/>
          <w:u w:color="000000"/>
          <w:shd w:val="clear" w:color="auto" w:fill="auto"/>
          <w:lang w:eastAsia="zh-CN"/>
        </w:rPr>
        <w:t>-1</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highlight w:val="none"/>
          <w:shd w:val="clear" w:color="auto" w:fill="auto"/>
          <w:lang w:val="zh-TW" w:eastAsia="zh-CN"/>
        </w:rPr>
        <w:t>（</w:t>
      </w:r>
      <w:r>
        <w:rPr>
          <w:rFonts w:hint="eastAsia" w:cs="宋体"/>
          <w:b/>
          <w:bCs/>
          <w:color w:val="auto"/>
          <w:highlight w:val="none"/>
          <w:shd w:val="clear" w:color="auto" w:fill="auto"/>
          <w:lang w:val="en-US" w:eastAsia="zh-CN"/>
        </w:rPr>
        <w:t>详见上传的附件</w:t>
      </w:r>
      <w:r>
        <w:rPr>
          <w:rFonts w:hint="eastAsia" w:cs="宋体"/>
          <w:b/>
          <w:bCs/>
          <w:color w:val="auto"/>
          <w:highlight w:val="none"/>
          <w:shd w:val="clear" w:color="auto" w:fill="auto"/>
          <w:lang w:val="zh-TW" w:eastAsia="zh-CN"/>
        </w:rPr>
        <w:t>）</w:t>
      </w:r>
      <w:r>
        <w:rPr>
          <w:rFonts w:hint="eastAsia" w:ascii="宋体" w:hAnsi="宋体" w:eastAsia="宋体" w:cs="宋体"/>
          <w:color w:val="auto"/>
          <w:highlight w:val="none"/>
          <w:shd w:val="clear" w:color="auto" w:fill="auto"/>
          <w:lang w:val="en-US" w:eastAsia="zh-CN"/>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4-1</w:t>
      </w:r>
      <w:r>
        <w:rPr>
          <w:rFonts w:hint="eastAsia" w:ascii="宋体" w:hAnsi="宋体" w:eastAsia="宋体" w:cs="宋体"/>
          <w:b/>
          <w:bCs/>
          <w:color w:val="auto"/>
          <w:kern w:val="0"/>
          <w:sz w:val="28"/>
          <w:szCs w:val="28"/>
          <w:highlight w:val="none"/>
          <w:shd w:val="clear" w:color="auto" w:fill="auto"/>
          <w:lang w:val="zh-TW" w:eastAsia="zh-TW"/>
        </w:rPr>
        <w:t>项目决策指标及分值</w:t>
      </w:r>
    </w:p>
    <w:tbl>
      <w:tblPr>
        <w:tblStyle w:val="11"/>
        <w:tblW w:w="8447" w:type="dxa"/>
        <w:jc w:val="center"/>
        <w:tblInd w:w="0" w:type="dxa"/>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tblPrEx>
          <w:tblLayout w:type="fixed"/>
          <w:tblCellMar>
            <w:top w:w="0" w:type="dxa"/>
            <w:left w:w="0" w:type="dxa"/>
            <w:bottom w:w="0" w:type="dxa"/>
            <w:right w:w="0" w:type="dxa"/>
          </w:tblCellMar>
        </w:tblPrEx>
        <w:trPr>
          <w:gridAfter w:val="1"/>
          <w:wAfter w:w="3" w:type="dxa"/>
          <w:trHeight w:val="522" w:hRule="atLeast"/>
          <w:tblHeader/>
          <w:jc w:val="center"/>
        </w:trPr>
        <w:tc>
          <w:tcPr>
            <w:tcW w:w="107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794"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项目决策</w:t>
            </w:r>
          </w:p>
        </w:tc>
        <w:tc>
          <w:tcPr>
            <w:tcW w:w="960"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项目立项</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立项依据充分性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立项程序规范性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2.6</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w:t>
            </w:r>
          </w:p>
        </w:tc>
        <w:tc>
          <w:tcPr>
            <w:tcW w:w="794"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绩效目标合理性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绩效指标明确性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资金投入</w:t>
            </w:r>
          </w:p>
        </w:tc>
        <w:tc>
          <w:tcPr>
            <w:tcW w:w="794" w:type="dxa"/>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5</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预算编制科学性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r>
      <w:tr>
        <w:tblPrEx>
          <w:tblLayout w:type="fixed"/>
          <w:tblCellMar>
            <w:top w:w="0" w:type="dxa"/>
            <w:left w:w="0" w:type="dxa"/>
            <w:bottom w:w="0" w:type="dxa"/>
            <w:right w:w="0" w:type="dxa"/>
          </w:tblCellMar>
        </w:tblPrEx>
        <w:trPr>
          <w:gridAfter w:val="1"/>
          <w:wAfter w:w="3" w:type="dxa"/>
          <w:trHeight w:val="334" w:hRule="atLeast"/>
          <w:tblHeader/>
          <w:jc w:val="center"/>
        </w:trPr>
        <w:tc>
          <w:tcPr>
            <w:tcW w:w="1077"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60"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94" w:type="dxa"/>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资金分配合理性</w:t>
            </w: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w:t>
            </w:r>
          </w:p>
        </w:tc>
      </w:tr>
      <w:tr>
        <w:tblPrEx>
          <w:tblLayout w:type="fixed"/>
          <w:tblCellMar>
            <w:top w:w="0" w:type="dxa"/>
            <w:left w:w="0" w:type="dxa"/>
            <w:bottom w:w="0" w:type="dxa"/>
            <w:right w:w="0" w:type="dxa"/>
          </w:tblCellMar>
        </w:tblPrEx>
        <w:trPr>
          <w:trHeight w:val="334" w:hRule="atLeast"/>
          <w:tblHeader/>
          <w:jc w:val="center"/>
        </w:trPr>
        <w:tc>
          <w:tcPr>
            <w:tcW w:w="3285"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79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7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41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077"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19.6</w:t>
            </w:r>
          </w:p>
        </w:tc>
      </w:tr>
    </w:tbl>
    <w:p>
      <w:pPr>
        <w:bidi w:val="0"/>
        <w:outlineLvl w:val="2"/>
        <w:rPr>
          <w:rFonts w:hint="default"/>
          <w:b/>
          <w:bCs/>
          <w:color w:val="auto"/>
          <w:highlight w:val="none"/>
          <w:lang w:val="en-US" w:eastAsia="zh-CN"/>
        </w:rPr>
      </w:pPr>
      <w:bookmarkStart w:id="58" w:name="_Toc13522"/>
      <w:r>
        <w:rPr>
          <w:rFonts w:hint="eastAsia"/>
          <w:b/>
          <w:bCs/>
          <w:color w:val="auto"/>
          <w:highlight w:val="none"/>
          <w:lang w:val="en-US" w:eastAsia="zh-CN"/>
        </w:rPr>
        <w:t>1.立项依据充分性</w:t>
      </w:r>
      <w:bookmarkEnd w:id="58"/>
    </w:p>
    <w:p>
      <w:pPr>
        <w:spacing w:line="520" w:lineRule="exact"/>
        <w:ind w:firstLine="560" w:firstLineChars="200"/>
        <w:rPr>
          <w:rFonts w:hint="eastAsia" w:hAnsi="宋体" w:eastAsia="宋体"/>
          <w:color w:val="auto"/>
          <w:sz w:val="28"/>
          <w:szCs w:val="28"/>
          <w:highlight w:val="none"/>
          <w:lang w:eastAsia="zh-CN"/>
        </w:rPr>
      </w:pPr>
      <w:r>
        <w:rPr>
          <w:rFonts w:hint="eastAsia"/>
          <w:color w:val="auto"/>
          <w:highlight w:val="none"/>
          <w:lang w:eastAsia="zh-CN"/>
        </w:rPr>
        <w:t>①项目立项符合</w:t>
      </w:r>
      <w:r>
        <w:rPr>
          <w:rFonts w:hAnsi="宋体"/>
          <w:color w:val="auto"/>
          <w:sz w:val="28"/>
          <w:szCs w:val="28"/>
          <w:highlight w:val="none"/>
        </w:rPr>
        <w:t>《中华人民共和国母婴保健法》</w:t>
      </w:r>
      <w:r>
        <w:rPr>
          <w:rFonts w:hint="eastAsia" w:hAnsi="宋体"/>
          <w:color w:val="auto"/>
          <w:sz w:val="28"/>
          <w:szCs w:val="28"/>
          <w:highlight w:val="none"/>
          <w:lang w:eastAsia="zh-CN"/>
        </w:rPr>
        <w:t>、</w:t>
      </w:r>
      <w:r>
        <w:rPr>
          <w:rFonts w:hAnsi="宋体"/>
          <w:color w:val="auto"/>
          <w:sz w:val="28"/>
          <w:szCs w:val="28"/>
          <w:highlight w:val="none"/>
        </w:rPr>
        <w:t>《妇女权益保障法》</w:t>
      </w:r>
      <w:r>
        <w:rPr>
          <w:rFonts w:hint="eastAsia" w:hAnsi="宋体"/>
          <w:color w:val="auto"/>
          <w:sz w:val="28"/>
          <w:szCs w:val="28"/>
          <w:highlight w:val="none"/>
          <w:lang w:eastAsia="zh-CN"/>
        </w:rPr>
        <w:t>、</w:t>
      </w:r>
      <w:r>
        <w:rPr>
          <w:rFonts w:hAnsi="宋体"/>
          <w:color w:val="auto"/>
          <w:sz w:val="28"/>
          <w:szCs w:val="28"/>
          <w:highlight w:val="none"/>
        </w:rPr>
        <w:t>《中国妇女发展纲要（</w:t>
      </w:r>
      <w:r>
        <w:rPr>
          <w:color w:val="auto"/>
          <w:sz w:val="28"/>
          <w:szCs w:val="28"/>
          <w:highlight w:val="none"/>
        </w:rPr>
        <w:t>20</w:t>
      </w:r>
      <w:r>
        <w:rPr>
          <w:rFonts w:hint="eastAsia"/>
          <w:color w:val="auto"/>
          <w:sz w:val="28"/>
          <w:szCs w:val="28"/>
          <w:highlight w:val="none"/>
        </w:rPr>
        <w:t>11</w:t>
      </w:r>
      <w:r>
        <w:rPr>
          <w:color w:val="auto"/>
          <w:sz w:val="28"/>
          <w:szCs w:val="28"/>
          <w:highlight w:val="none"/>
        </w:rPr>
        <w:t>-20</w:t>
      </w:r>
      <w:r>
        <w:rPr>
          <w:rFonts w:hint="eastAsia"/>
          <w:color w:val="auto"/>
          <w:sz w:val="28"/>
          <w:szCs w:val="28"/>
          <w:highlight w:val="none"/>
        </w:rPr>
        <w:t>20</w:t>
      </w:r>
      <w:r>
        <w:rPr>
          <w:rFonts w:hAnsi="宋体"/>
          <w:color w:val="auto"/>
          <w:sz w:val="28"/>
          <w:szCs w:val="28"/>
          <w:highlight w:val="none"/>
        </w:rPr>
        <w:t>年）》</w:t>
      </w:r>
      <w:r>
        <w:rPr>
          <w:rFonts w:hint="eastAsia" w:hAnsi="宋体"/>
          <w:color w:val="auto"/>
          <w:sz w:val="28"/>
          <w:szCs w:val="28"/>
          <w:highlight w:val="none"/>
          <w:lang w:eastAsia="zh-CN"/>
        </w:rPr>
        <w:t>、</w:t>
      </w:r>
      <w:r>
        <w:rPr>
          <w:rFonts w:hAnsi="宋体"/>
          <w:color w:val="auto"/>
          <w:sz w:val="28"/>
          <w:szCs w:val="28"/>
          <w:highlight w:val="none"/>
        </w:rPr>
        <w:t>《中国儿童发展纲要（</w:t>
      </w:r>
      <w:r>
        <w:rPr>
          <w:color w:val="auto"/>
          <w:sz w:val="28"/>
          <w:szCs w:val="28"/>
          <w:highlight w:val="none"/>
        </w:rPr>
        <w:t>20</w:t>
      </w:r>
      <w:r>
        <w:rPr>
          <w:rFonts w:hint="eastAsia"/>
          <w:color w:val="auto"/>
          <w:sz w:val="28"/>
          <w:szCs w:val="28"/>
          <w:highlight w:val="none"/>
        </w:rPr>
        <w:t>11</w:t>
      </w:r>
      <w:r>
        <w:rPr>
          <w:color w:val="auto"/>
          <w:sz w:val="28"/>
          <w:szCs w:val="28"/>
          <w:highlight w:val="none"/>
        </w:rPr>
        <w:t>-20</w:t>
      </w:r>
      <w:r>
        <w:rPr>
          <w:rFonts w:hint="eastAsia"/>
          <w:color w:val="auto"/>
          <w:sz w:val="28"/>
          <w:szCs w:val="28"/>
          <w:highlight w:val="none"/>
        </w:rPr>
        <w:t>20</w:t>
      </w:r>
      <w:r>
        <w:rPr>
          <w:rFonts w:hAnsi="宋体"/>
          <w:color w:val="auto"/>
          <w:sz w:val="28"/>
          <w:szCs w:val="28"/>
          <w:highlight w:val="none"/>
        </w:rPr>
        <w:t>年）》</w:t>
      </w:r>
      <w:r>
        <w:rPr>
          <w:rFonts w:hint="eastAsia" w:hAnsi="宋体"/>
          <w:color w:val="auto"/>
          <w:sz w:val="28"/>
          <w:szCs w:val="28"/>
          <w:highlight w:val="none"/>
          <w:lang w:eastAsia="zh-CN"/>
        </w:rPr>
        <w:t>、</w:t>
      </w:r>
      <w:r>
        <w:rPr>
          <w:rFonts w:hAnsi="宋体"/>
          <w:color w:val="auto"/>
          <w:kern w:val="0"/>
          <w:sz w:val="28"/>
          <w:szCs w:val="28"/>
          <w:highlight w:val="none"/>
          <w:lang w:val="zh-CN"/>
        </w:rPr>
        <w:t>卫生部关于印发《卫生部关于支持新疆卫生事业跨越式发展的指导意见》的通知（卫规财发</w:t>
      </w:r>
      <w:r>
        <w:rPr>
          <w:color w:val="auto"/>
          <w:kern w:val="0"/>
          <w:sz w:val="28"/>
          <w:szCs w:val="28"/>
          <w:highlight w:val="none"/>
          <w:lang w:val="zh-CN"/>
        </w:rPr>
        <w:t>[2010]68</w:t>
      </w:r>
      <w:r>
        <w:rPr>
          <w:rFonts w:hAnsi="宋体"/>
          <w:color w:val="auto"/>
          <w:kern w:val="0"/>
          <w:sz w:val="28"/>
          <w:szCs w:val="28"/>
          <w:highlight w:val="none"/>
          <w:lang w:val="zh-CN"/>
        </w:rPr>
        <w:t>号）</w:t>
      </w:r>
      <w:r>
        <w:rPr>
          <w:rFonts w:hint="eastAsia" w:hAnsi="宋体"/>
          <w:color w:val="auto"/>
          <w:kern w:val="0"/>
          <w:sz w:val="28"/>
          <w:szCs w:val="28"/>
          <w:highlight w:val="none"/>
          <w:lang w:val="zh-CN"/>
        </w:rPr>
        <w:t>、</w:t>
      </w:r>
      <w:r>
        <w:rPr>
          <w:rFonts w:hint="eastAsia" w:hAnsi="宋体"/>
          <w:color w:val="auto"/>
          <w:sz w:val="28"/>
          <w:szCs w:val="28"/>
          <w:highlight w:val="none"/>
        </w:rPr>
        <w:t>卫生部</w:t>
      </w:r>
      <w:r>
        <w:rPr>
          <w:rFonts w:hAnsi="宋体"/>
          <w:color w:val="auto"/>
          <w:sz w:val="28"/>
          <w:szCs w:val="28"/>
          <w:highlight w:val="none"/>
        </w:rPr>
        <w:t>《妇幼保健机构管理办法</w:t>
      </w:r>
      <w:r>
        <w:rPr>
          <w:rFonts w:hint="eastAsia" w:hAnsi="宋体"/>
          <w:color w:val="auto"/>
          <w:sz w:val="28"/>
          <w:szCs w:val="28"/>
          <w:highlight w:val="none"/>
        </w:rPr>
        <w:t>》</w:t>
      </w:r>
      <w:r>
        <w:rPr>
          <w:rFonts w:hint="eastAsia" w:hAnsi="宋体"/>
          <w:color w:val="auto"/>
          <w:sz w:val="28"/>
          <w:szCs w:val="28"/>
          <w:highlight w:val="none"/>
          <w:lang w:eastAsia="zh-CN"/>
        </w:rPr>
        <w:t>、</w:t>
      </w:r>
      <w:r>
        <w:rPr>
          <w:rFonts w:hAnsi="宋体"/>
          <w:color w:val="auto"/>
          <w:kern w:val="0"/>
          <w:sz w:val="28"/>
          <w:szCs w:val="28"/>
          <w:highlight w:val="none"/>
          <w:lang w:val="zh-CN"/>
        </w:rPr>
        <w:t>《新疆维吾尔自治区卫生资源配置标准》（新政办发</w:t>
      </w:r>
      <w:r>
        <w:rPr>
          <w:color w:val="auto"/>
          <w:kern w:val="0"/>
          <w:sz w:val="28"/>
          <w:szCs w:val="28"/>
          <w:highlight w:val="none"/>
          <w:lang w:val="zh-CN"/>
        </w:rPr>
        <w:t>[2002]118</w:t>
      </w:r>
      <w:r>
        <w:rPr>
          <w:rFonts w:hAnsi="宋体"/>
          <w:color w:val="auto"/>
          <w:kern w:val="0"/>
          <w:sz w:val="28"/>
          <w:szCs w:val="28"/>
          <w:highlight w:val="none"/>
          <w:lang w:val="zh-CN"/>
        </w:rPr>
        <w:t>号）</w:t>
      </w:r>
      <w:r>
        <w:rPr>
          <w:rFonts w:hint="eastAsia" w:hAnsi="宋体"/>
          <w:color w:val="auto"/>
          <w:kern w:val="0"/>
          <w:sz w:val="28"/>
          <w:szCs w:val="28"/>
          <w:highlight w:val="none"/>
          <w:lang w:val="zh-CN"/>
        </w:rPr>
        <w:t>、</w:t>
      </w:r>
      <w:r>
        <w:rPr>
          <w:rFonts w:hAnsi="宋体"/>
          <w:color w:val="auto"/>
          <w:sz w:val="28"/>
          <w:szCs w:val="28"/>
          <w:highlight w:val="none"/>
          <w:lang w:val="zh-CN"/>
        </w:rPr>
        <w:t>《新疆维吾尔自治区医疗机构管理办法》（新疆维吾尔自治区人民政府第</w:t>
      </w:r>
      <w:r>
        <w:rPr>
          <w:color w:val="auto"/>
          <w:sz w:val="28"/>
          <w:szCs w:val="28"/>
          <w:highlight w:val="none"/>
          <w:lang w:val="zh-CN"/>
        </w:rPr>
        <w:t>59</w:t>
      </w:r>
      <w:r>
        <w:rPr>
          <w:rFonts w:hAnsi="宋体"/>
          <w:color w:val="auto"/>
          <w:sz w:val="28"/>
          <w:szCs w:val="28"/>
          <w:highlight w:val="none"/>
          <w:lang w:val="zh-CN"/>
        </w:rPr>
        <w:t>号令）</w:t>
      </w:r>
      <w:r>
        <w:rPr>
          <w:rFonts w:hint="eastAsia" w:hAnsi="宋体"/>
          <w:color w:val="auto"/>
          <w:sz w:val="28"/>
          <w:szCs w:val="28"/>
          <w:highlight w:val="none"/>
          <w:lang w:val="zh-CN"/>
        </w:rPr>
        <w:t>、</w:t>
      </w:r>
      <w:r>
        <w:rPr>
          <w:rFonts w:hAnsi="宋体"/>
          <w:color w:val="auto"/>
          <w:sz w:val="28"/>
          <w:szCs w:val="28"/>
          <w:highlight w:val="none"/>
        </w:rPr>
        <w:t>《</w:t>
      </w:r>
      <w:r>
        <w:rPr>
          <w:rFonts w:hint="eastAsia" w:hAnsi="宋体"/>
          <w:color w:val="auto"/>
          <w:sz w:val="28"/>
          <w:szCs w:val="28"/>
          <w:highlight w:val="none"/>
        </w:rPr>
        <w:t>新疆维吾尔自治区</w:t>
      </w:r>
      <w:r>
        <w:rPr>
          <w:rFonts w:hAnsi="宋体"/>
          <w:color w:val="auto"/>
          <w:sz w:val="28"/>
          <w:szCs w:val="28"/>
          <w:highlight w:val="none"/>
        </w:rPr>
        <w:t>国民经济和社会发展第十</w:t>
      </w:r>
      <w:r>
        <w:rPr>
          <w:rFonts w:hint="eastAsia" w:hAnsi="宋体"/>
          <w:color w:val="auto"/>
          <w:sz w:val="28"/>
          <w:szCs w:val="28"/>
          <w:highlight w:val="none"/>
        </w:rPr>
        <w:t>三</w:t>
      </w:r>
      <w:r>
        <w:rPr>
          <w:rFonts w:hAnsi="宋体"/>
          <w:color w:val="auto"/>
          <w:sz w:val="28"/>
          <w:szCs w:val="28"/>
          <w:highlight w:val="none"/>
        </w:rPr>
        <w:t>个五年规划纲要》</w:t>
      </w:r>
      <w:r>
        <w:rPr>
          <w:rFonts w:hint="eastAsia" w:hAnsi="宋体"/>
          <w:color w:val="auto"/>
          <w:sz w:val="28"/>
          <w:szCs w:val="28"/>
          <w:highlight w:val="none"/>
          <w:lang w:eastAsia="zh-CN"/>
        </w:rPr>
        <w:t>、</w:t>
      </w:r>
      <w:r>
        <w:rPr>
          <w:rFonts w:hAnsi="宋体"/>
          <w:color w:val="auto"/>
          <w:sz w:val="28"/>
          <w:szCs w:val="28"/>
          <w:highlight w:val="none"/>
        </w:rPr>
        <w:t>《昌吉</w:t>
      </w:r>
      <w:r>
        <w:rPr>
          <w:rFonts w:hint="eastAsia" w:hAnsi="宋体"/>
          <w:color w:val="auto"/>
          <w:sz w:val="28"/>
          <w:szCs w:val="28"/>
          <w:highlight w:val="none"/>
        </w:rPr>
        <w:t>州</w:t>
      </w:r>
      <w:r>
        <w:rPr>
          <w:rFonts w:hAnsi="宋体"/>
          <w:color w:val="auto"/>
          <w:sz w:val="28"/>
          <w:szCs w:val="28"/>
          <w:highlight w:val="none"/>
        </w:rPr>
        <w:t>国民经济和社会发展第十</w:t>
      </w:r>
      <w:r>
        <w:rPr>
          <w:rFonts w:hint="eastAsia" w:hAnsi="宋体"/>
          <w:color w:val="auto"/>
          <w:sz w:val="28"/>
          <w:szCs w:val="28"/>
          <w:highlight w:val="none"/>
        </w:rPr>
        <w:t>三</w:t>
      </w:r>
      <w:r>
        <w:rPr>
          <w:rFonts w:hAnsi="宋体"/>
          <w:color w:val="auto"/>
          <w:sz w:val="28"/>
          <w:szCs w:val="28"/>
          <w:highlight w:val="none"/>
        </w:rPr>
        <w:t>个五年规划纲要》</w:t>
      </w:r>
      <w:r>
        <w:rPr>
          <w:rFonts w:hint="eastAsia" w:hAnsi="宋体"/>
          <w:color w:val="auto"/>
          <w:sz w:val="28"/>
          <w:szCs w:val="28"/>
          <w:highlight w:val="none"/>
          <w:lang w:eastAsia="zh-CN"/>
        </w:rPr>
        <w:t>、</w:t>
      </w:r>
      <w:r>
        <w:rPr>
          <w:rFonts w:hAnsi="宋体"/>
          <w:color w:val="auto"/>
          <w:sz w:val="28"/>
          <w:szCs w:val="28"/>
          <w:highlight w:val="none"/>
        </w:rPr>
        <w:t>《</w:t>
      </w:r>
      <w:r>
        <w:rPr>
          <w:rFonts w:hint="eastAsia" w:hAnsi="宋体"/>
          <w:color w:val="auto"/>
          <w:sz w:val="28"/>
          <w:szCs w:val="28"/>
          <w:highlight w:val="none"/>
        </w:rPr>
        <w:t>阜康市</w:t>
      </w:r>
      <w:r>
        <w:rPr>
          <w:rFonts w:hAnsi="宋体"/>
          <w:color w:val="auto"/>
          <w:sz w:val="28"/>
          <w:szCs w:val="28"/>
          <w:highlight w:val="none"/>
        </w:rPr>
        <w:t>国民经济和社会发展第十</w:t>
      </w:r>
      <w:r>
        <w:rPr>
          <w:rFonts w:hint="eastAsia" w:hAnsi="宋体"/>
          <w:color w:val="auto"/>
          <w:sz w:val="28"/>
          <w:szCs w:val="28"/>
          <w:highlight w:val="none"/>
        </w:rPr>
        <w:t>三</w:t>
      </w:r>
      <w:r>
        <w:rPr>
          <w:rFonts w:hAnsi="宋体"/>
          <w:color w:val="auto"/>
          <w:sz w:val="28"/>
          <w:szCs w:val="28"/>
          <w:highlight w:val="none"/>
        </w:rPr>
        <w:t>个五年规划纲要》</w:t>
      </w:r>
      <w:r>
        <w:rPr>
          <w:rFonts w:hint="eastAsia"/>
          <w:color w:val="auto"/>
          <w:sz w:val="28"/>
          <w:szCs w:val="28"/>
          <w:highlight w:val="none"/>
          <w:lang w:eastAsia="zh-CN"/>
        </w:rPr>
        <w:t>、</w:t>
      </w:r>
      <w:r>
        <w:rPr>
          <w:rFonts w:hAnsi="宋体"/>
          <w:color w:val="auto"/>
          <w:sz w:val="28"/>
          <w:szCs w:val="28"/>
          <w:highlight w:val="none"/>
        </w:rPr>
        <w:t>《昌吉州</w:t>
      </w:r>
      <w:r>
        <w:rPr>
          <w:rFonts w:hint="eastAsia" w:hAnsi="宋体"/>
          <w:color w:val="auto"/>
          <w:sz w:val="28"/>
          <w:szCs w:val="28"/>
          <w:highlight w:val="none"/>
        </w:rPr>
        <w:t>医疗</w:t>
      </w:r>
      <w:r>
        <w:rPr>
          <w:rFonts w:hAnsi="宋体"/>
          <w:color w:val="auto"/>
          <w:sz w:val="28"/>
          <w:szCs w:val="28"/>
          <w:highlight w:val="none"/>
        </w:rPr>
        <w:t>卫生事业</w:t>
      </w:r>
      <w:r>
        <w:rPr>
          <w:rFonts w:hint="eastAsia"/>
          <w:color w:val="auto"/>
          <w:sz w:val="28"/>
          <w:szCs w:val="28"/>
          <w:highlight w:val="none"/>
        </w:rPr>
        <w:t>第十三个五年</w:t>
      </w:r>
      <w:r>
        <w:rPr>
          <w:rFonts w:hAnsi="宋体"/>
          <w:color w:val="auto"/>
          <w:sz w:val="28"/>
          <w:szCs w:val="28"/>
          <w:highlight w:val="none"/>
        </w:rPr>
        <w:t>发展规划》</w:t>
      </w:r>
      <w:r>
        <w:rPr>
          <w:rFonts w:hint="eastAsia" w:hAnsi="宋体"/>
          <w:color w:val="auto"/>
          <w:sz w:val="28"/>
          <w:szCs w:val="28"/>
          <w:highlight w:val="none"/>
          <w:lang w:eastAsia="zh-CN"/>
        </w:rPr>
        <w:t>、</w:t>
      </w:r>
      <w:r>
        <w:rPr>
          <w:rFonts w:hint="eastAsia" w:hAnsi="宋体"/>
          <w:color w:val="auto"/>
          <w:sz w:val="28"/>
          <w:szCs w:val="28"/>
          <w:highlight w:val="none"/>
        </w:rPr>
        <w:t>《阜康市城镇总体规划》（2010—2030）</w:t>
      </w:r>
      <w:r>
        <w:rPr>
          <w:rFonts w:hint="eastAsia" w:hAnsi="宋体"/>
          <w:color w:val="auto"/>
          <w:sz w:val="28"/>
          <w:szCs w:val="28"/>
          <w:highlight w:val="none"/>
          <w:lang w:eastAsia="zh-CN"/>
        </w:rPr>
        <w:t>。</w:t>
      </w:r>
    </w:p>
    <w:p>
      <w:pPr>
        <w:bidi w:val="0"/>
        <w:rPr>
          <w:rFonts w:hint="eastAsia"/>
          <w:color w:val="auto"/>
          <w:highlight w:val="none"/>
          <w:lang w:eastAsia="zh-CN"/>
        </w:rPr>
      </w:pPr>
      <w:r>
        <w:rPr>
          <w:rFonts w:hint="eastAsia"/>
          <w:color w:val="auto"/>
          <w:highlight w:val="none"/>
          <w:lang w:eastAsia="zh-CN"/>
        </w:rPr>
        <w:t>②项目立项符合</w:t>
      </w:r>
      <w:r>
        <w:rPr>
          <w:rFonts w:hAnsi="宋体"/>
          <w:color w:val="auto"/>
          <w:sz w:val="28"/>
          <w:szCs w:val="28"/>
          <w:highlight w:val="none"/>
        </w:rPr>
        <w:t>加强妇幼保健体系建设，健全妇幼卫生服务网络，提高妇幼卫生服务能力和水平，保证服务质量和效率，减少可避免的孕产妇和儿童死亡，加强新生儿疾病和妇女病的防治，全面提高妇女儿童健康水平。</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③项目立项与</w:t>
      </w:r>
      <w:r>
        <w:rPr>
          <w:rFonts w:hint="eastAsia"/>
          <w:color w:val="auto"/>
          <w:highlight w:val="none"/>
          <w:lang w:val="en-US" w:eastAsia="zh-CN"/>
        </w:rPr>
        <w:t>切实</w:t>
      </w:r>
      <w:r>
        <w:rPr>
          <w:rFonts w:hAnsi="宋体"/>
          <w:color w:val="auto"/>
          <w:sz w:val="28"/>
          <w:szCs w:val="28"/>
          <w:highlight w:val="none"/>
        </w:rPr>
        <w:t>加强新生儿疾病和妇女病的防治，全面提高妇女儿童健康水平</w:t>
      </w:r>
      <w:r>
        <w:rPr>
          <w:rFonts w:hint="eastAsia"/>
          <w:color w:val="auto"/>
          <w:highlight w:val="none"/>
          <w:lang w:eastAsia="zh-CN"/>
        </w:rPr>
        <w:t>相符，属于部门履职所需；</w:t>
      </w:r>
    </w:p>
    <w:p>
      <w:pPr>
        <w:bidi w:val="0"/>
        <w:rPr>
          <w:rFonts w:hint="eastAsia"/>
          <w:color w:val="auto"/>
          <w:highlight w:val="none"/>
          <w:lang w:eastAsia="zh-CN"/>
        </w:rPr>
      </w:pPr>
      <w:r>
        <w:rPr>
          <w:rFonts w:hint="eastAsia"/>
          <w:color w:val="auto"/>
          <w:highlight w:val="none"/>
          <w:lang w:eastAsia="zh-CN"/>
        </w:rPr>
        <w:t>④项目属于公共财政支持范围，符合中央、地方事权支出责任划分原则；</w:t>
      </w:r>
    </w:p>
    <w:p>
      <w:pPr>
        <w:bidi w:val="0"/>
        <w:rPr>
          <w:rFonts w:hint="eastAsia"/>
          <w:color w:val="auto"/>
          <w:highlight w:val="none"/>
          <w:lang w:eastAsia="zh-CN"/>
        </w:rPr>
      </w:pPr>
      <w:r>
        <w:rPr>
          <w:rFonts w:hint="eastAsia"/>
          <w:color w:val="auto"/>
          <w:highlight w:val="none"/>
          <w:lang w:eastAsia="zh-CN"/>
        </w:rPr>
        <w:t>⑤项目与相关部门同类项目或部门内部相关项目</w:t>
      </w:r>
      <w:r>
        <w:rPr>
          <w:rFonts w:hint="eastAsia"/>
          <w:color w:val="auto"/>
          <w:highlight w:val="none"/>
          <w:lang w:val="en-US" w:eastAsia="zh-CN"/>
        </w:rPr>
        <w:t>不</w:t>
      </w:r>
      <w:r>
        <w:rPr>
          <w:rFonts w:hint="eastAsia"/>
          <w:color w:val="auto"/>
          <w:highlight w:val="none"/>
          <w:lang w:eastAsia="zh-CN"/>
        </w:rPr>
        <w:t>重复。</w:t>
      </w:r>
    </w:p>
    <w:p>
      <w:pPr>
        <w:bidi w:val="0"/>
        <w:rPr>
          <w:rFonts w:hint="default"/>
          <w:color w:val="auto"/>
          <w:highlight w:val="none"/>
          <w:lang w:val="en-US"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59" w:name="_Toc21976"/>
      <w:r>
        <w:rPr>
          <w:rFonts w:hint="eastAsia"/>
          <w:b/>
          <w:bCs/>
          <w:color w:val="auto"/>
          <w:highlight w:val="none"/>
          <w:lang w:val="en-US" w:eastAsia="zh-CN"/>
        </w:rPr>
        <w:t>2.立项程序规范性</w:t>
      </w:r>
      <w:bookmarkEnd w:id="59"/>
    </w:p>
    <w:p>
      <w:pPr>
        <w:bidi w:val="0"/>
        <w:rPr>
          <w:rFonts w:hint="eastAsia"/>
          <w:color w:val="auto"/>
          <w:highlight w:val="none"/>
          <w:lang w:eastAsia="zh-CN"/>
        </w:rPr>
      </w:pPr>
      <w:r>
        <w:rPr>
          <w:rFonts w:hint="eastAsia"/>
          <w:color w:val="auto"/>
          <w:highlight w:val="none"/>
          <w:lang w:eastAsia="zh-CN"/>
        </w:rPr>
        <w:t>①项目按照规定的程序申请设立；</w:t>
      </w:r>
    </w:p>
    <w:p>
      <w:pPr>
        <w:bidi w:val="0"/>
        <w:rPr>
          <w:rFonts w:hint="eastAsia"/>
          <w:color w:val="auto"/>
          <w:highlight w:val="none"/>
          <w:lang w:eastAsia="zh-CN"/>
        </w:rPr>
      </w:pPr>
      <w:r>
        <w:rPr>
          <w:rFonts w:hint="eastAsia"/>
          <w:color w:val="auto"/>
          <w:highlight w:val="none"/>
          <w:lang w:eastAsia="zh-CN"/>
        </w:rPr>
        <w:t>②审批文件、材料符合相关要求；</w:t>
      </w:r>
    </w:p>
    <w:p>
      <w:pPr>
        <w:bidi w:val="0"/>
        <w:rPr>
          <w:rFonts w:hint="default"/>
          <w:color w:val="auto"/>
          <w:highlight w:val="none"/>
          <w:lang w:val="en-US" w:eastAsia="zh-CN"/>
        </w:rPr>
      </w:pPr>
      <w:r>
        <w:rPr>
          <w:rFonts w:hint="eastAsia"/>
          <w:color w:val="auto"/>
          <w:highlight w:val="none"/>
          <w:lang w:eastAsia="zh-CN"/>
        </w:rPr>
        <w:t>③事前经过必要的可行性研究、专家论证、集体决策，未进行风险评估、绩效评估，扣</w:t>
      </w:r>
      <w:r>
        <w:rPr>
          <w:rFonts w:hint="eastAsia"/>
          <w:color w:val="auto"/>
          <w:highlight w:val="none"/>
          <w:lang w:val="en-US" w:eastAsia="zh-CN"/>
        </w:rPr>
        <w:t>0.4分。</w:t>
      </w:r>
    </w:p>
    <w:p>
      <w:pPr>
        <w:bidi w:val="0"/>
        <w:rPr>
          <w:rFonts w:hint="eastAsia"/>
          <w:color w:val="auto"/>
          <w:highlight w:val="none"/>
          <w:lang w:eastAsia="zh-CN"/>
        </w:rPr>
      </w:pPr>
      <w:r>
        <w:rPr>
          <w:rFonts w:hint="eastAsia"/>
          <w:b/>
          <w:bCs/>
          <w:color w:val="auto"/>
          <w:highlight w:val="none"/>
          <w:lang w:val="en-US" w:eastAsia="zh-CN"/>
        </w:rPr>
        <w:t>综上，该项指标满分3分，得分2.6分。</w:t>
      </w:r>
    </w:p>
    <w:p>
      <w:pPr>
        <w:bidi w:val="0"/>
        <w:outlineLvl w:val="2"/>
        <w:rPr>
          <w:rFonts w:hint="default"/>
          <w:b/>
          <w:bCs/>
          <w:color w:val="auto"/>
          <w:highlight w:val="none"/>
          <w:lang w:val="en-US" w:eastAsia="zh-CN"/>
        </w:rPr>
      </w:pPr>
      <w:bookmarkStart w:id="60" w:name="_Toc15382"/>
      <w:r>
        <w:rPr>
          <w:rFonts w:hint="eastAsia"/>
          <w:b/>
          <w:bCs/>
          <w:color w:val="auto"/>
          <w:highlight w:val="none"/>
          <w:lang w:val="en-US" w:eastAsia="zh-CN"/>
        </w:rPr>
        <w:t>3.绩效目标合理性</w:t>
      </w:r>
      <w:bookmarkEnd w:id="60"/>
    </w:p>
    <w:p>
      <w:pPr>
        <w:bidi w:val="0"/>
        <w:rPr>
          <w:rFonts w:hint="eastAsia"/>
          <w:color w:val="auto"/>
          <w:highlight w:val="none"/>
          <w:lang w:eastAsia="zh-CN"/>
        </w:rPr>
      </w:pPr>
      <w:r>
        <w:rPr>
          <w:rFonts w:hint="eastAsia"/>
          <w:color w:val="auto"/>
          <w:highlight w:val="none"/>
          <w:lang w:eastAsia="zh-CN"/>
        </w:rPr>
        <w:t>①项目有绩效目标；</w:t>
      </w:r>
    </w:p>
    <w:p>
      <w:pPr>
        <w:bidi w:val="0"/>
        <w:rPr>
          <w:rFonts w:hint="eastAsia"/>
          <w:color w:val="auto"/>
          <w:highlight w:val="none"/>
          <w:lang w:eastAsia="zh-CN"/>
        </w:rPr>
      </w:pPr>
      <w:r>
        <w:rPr>
          <w:rFonts w:hint="eastAsia"/>
          <w:color w:val="auto"/>
          <w:highlight w:val="none"/>
          <w:lang w:eastAsia="zh-CN"/>
        </w:rPr>
        <w:t>②项目绩效目标与实际工作内容具有相关性；</w:t>
      </w:r>
    </w:p>
    <w:p>
      <w:pPr>
        <w:bidi w:val="0"/>
        <w:rPr>
          <w:rFonts w:hint="eastAsia"/>
          <w:color w:val="auto"/>
          <w:highlight w:val="none"/>
          <w:lang w:eastAsia="zh-CN"/>
        </w:rPr>
      </w:pPr>
      <w:r>
        <w:rPr>
          <w:rFonts w:hint="eastAsia"/>
          <w:color w:val="auto"/>
          <w:highlight w:val="none"/>
          <w:lang w:eastAsia="zh-CN"/>
        </w:rPr>
        <w:t>③项目预期产出效益和效果符合正常的业绩水平；</w:t>
      </w:r>
    </w:p>
    <w:p>
      <w:pPr>
        <w:bidi w:val="0"/>
        <w:rPr>
          <w:rFonts w:hint="eastAsia"/>
          <w:color w:val="auto"/>
          <w:highlight w:val="none"/>
          <w:lang w:eastAsia="zh-CN"/>
        </w:rPr>
      </w:pPr>
      <w:r>
        <w:rPr>
          <w:rFonts w:hint="eastAsia"/>
          <w:color w:val="auto"/>
          <w:highlight w:val="none"/>
          <w:lang w:eastAsia="zh-CN"/>
        </w:rPr>
        <w:t>④与预算确定的项目投资额或资金量相匹配。</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1" w:name="_Toc10650"/>
      <w:r>
        <w:rPr>
          <w:rFonts w:hint="eastAsia"/>
          <w:b/>
          <w:bCs/>
          <w:color w:val="auto"/>
          <w:highlight w:val="none"/>
          <w:lang w:val="en-US" w:eastAsia="zh-CN"/>
        </w:rPr>
        <w:t>4.绩效指标明确性</w:t>
      </w:r>
      <w:bookmarkEnd w:id="61"/>
    </w:p>
    <w:p>
      <w:pPr>
        <w:bidi w:val="0"/>
        <w:rPr>
          <w:rFonts w:hint="default"/>
          <w:color w:val="auto"/>
          <w:highlight w:val="none"/>
          <w:lang w:val="en-US" w:eastAsia="zh-CN"/>
        </w:rPr>
      </w:pPr>
      <w:r>
        <w:rPr>
          <w:rFonts w:hint="eastAsia"/>
          <w:color w:val="auto"/>
          <w:highlight w:val="none"/>
          <w:lang w:eastAsia="zh-CN"/>
        </w:rPr>
        <w:t>①将项目绩效目标细化分解为具体的绩效指标，一级指标</w:t>
      </w:r>
      <w:r>
        <w:rPr>
          <w:rFonts w:hint="eastAsia"/>
          <w:color w:val="auto"/>
          <w:highlight w:val="none"/>
          <w:lang w:val="en-US" w:eastAsia="zh-CN"/>
        </w:rPr>
        <w:t>3个，二级指标5个，三级指标8个。</w:t>
      </w:r>
    </w:p>
    <w:p>
      <w:pPr>
        <w:bidi w:val="0"/>
        <w:rPr>
          <w:rFonts w:hint="default"/>
          <w:color w:val="auto"/>
          <w:highlight w:val="none"/>
          <w:lang w:val="en-US" w:eastAsia="zh-CN"/>
        </w:rPr>
      </w:pPr>
      <w:r>
        <w:rPr>
          <w:rFonts w:hint="eastAsia"/>
          <w:color w:val="auto"/>
          <w:highlight w:val="none"/>
          <w:lang w:eastAsia="zh-CN"/>
        </w:rPr>
        <w:t>②通过清晰、可衡量的指标值予以体现，量化率到到</w:t>
      </w:r>
      <w:r>
        <w:rPr>
          <w:rFonts w:hint="eastAsia"/>
          <w:color w:val="auto"/>
          <w:highlight w:val="none"/>
          <w:lang w:val="en-US" w:eastAsia="zh-CN"/>
        </w:rPr>
        <w:t>75%。</w:t>
      </w:r>
    </w:p>
    <w:p>
      <w:pPr>
        <w:bidi w:val="0"/>
        <w:rPr>
          <w:rFonts w:hint="eastAsia"/>
          <w:color w:val="auto"/>
          <w:highlight w:val="none"/>
          <w:lang w:eastAsia="zh-CN"/>
        </w:rPr>
      </w:pPr>
      <w:r>
        <w:rPr>
          <w:rFonts w:hint="eastAsia"/>
          <w:color w:val="auto"/>
          <w:highlight w:val="none"/>
          <w:lang w:eastAsia="zh-CN"/>
        </w:rPr>
        <w:t>③与项目目标任务数或计划数相对应。</w:t>
      </w:r>
    </w:p>
    <w:p>
      <w:pPr>
        <w:bidi w:val="0"/>
        <w:rPr>
          <w:rFonts w:hint="eastAsia"/>
          <w:color w:val="auto"/>
          <w:highlight w:val="none"/>
          <w:lang w:eastAsia="zh-CN"/>
        </w:rPr>
      </w:pPr>
      <w:r>
        <w:rPr>
          <w:rFonts w:hint="eastAsia"/>
          <w:b/>
          <w:bCs/>
          <w:color w:val="auto"/>
          <w:highlight w:val="none"/>
          <w:lang w:val="en-US" w:eastAsia="zh-CN"/>
        </w:rPr>
        <w:t>综上，该项指标满分5分，得分5分。</w:t>
      </w:r>
    </w:p>
    <w:p>
      <w:pPr>
        <w:bidi w:val="0"/>
        <w:outlineLvl w:val="2"/>
        <w:rPr>
          <w:rFonts w:hint="default"/>
          <w:b/>
          <w:bCs/>
          <w:color w:val="auto"/>
          <w:highlight w:val="none"/>
          <w:lang w:val="en-US" w:eastAsia="zh-CN"/>
        </w:rPr>
      </w:pPr>
      <w:bookmarkStart w:id="62" w:name="_Toc19401"/>
      <w:r>
        <w:rPr>
          <w:rFonts w:hint="eastAsia"/>
          <w:b/>
          <w:bCs/>
          <w:color w:val="auto"/>
          <w:highlight w:val="none"/>
          <w:lang w:val="en-US" w:eastAsia="zh-CN"/>
        </w:rPr>
        <w:t>5.预算编制科学性</w:t>
      </w:r>
      <w:bookmarkEnd w:id="62"/>
    </w:p>
    <w:p>
      <w:pPr>
        <w:bidi w:val="0"/>
        <w:rPr>
          <w:rFonts w:hint="eastAsia"/>
          <w:color w:val="auto"/>
          <w:highlight w:val="none"/>
          <w:lang w:eastAsia="zh-CN"/>
        </w:rPr>
      </w:pPr>
      <w:r>
        <w:rPr>
          <w:rFonts w:hint="eastAsia"/>
          <w:color w:val="auto"/>
          <w:highlight w:val="none"/>
          <w:lang w:eastAsia="zh-CN"/>
        </w:rPr>
        <w:t>①预算编制经过科学论证；</w:t>
      </w:r>
    </w:p>
    <w:p>
      <w:pPr>
        <w:bidi w:val="0"/>
        <w:rPr>
          <w:rFonts w:hint="eastAsia"/>
          <w:color w:val="auto"/>
          <w:highlight w:val="none"/>
          <w:lang w:eastAsia="zh-CN"/>
        </w:rPr>
      </w:pPr>
      <w:r>
        <w:rPr>
          <w:rFonts w:hint="eastAsia"/>
          <w:color w:val="auto"/>
          <w:highlight w:val="none"/>
          <w:lang w:eastAsia="zh-CN"/>
        </w:rPr>
        <w:t>②预算内容与项目内容匹配；</w:t>
      </w:r>
    </w:p>
    <w:p>
      <w:pPr>
        <w:bidi w:val="0"/>
        <w:rPr>
          <w:rFonts w:hint="eastAsia"/>
          <w:color w:val="auto"/>
          <w:highlight w:val="none"/>
          <w:lang w:eastAsia="zh-CN"/>
        </w:rPr>
      </w:pPr>
      <w:r>
        <w:rPr>
          <w:rFonts w:hint="eastAsia"/>
          <w:color w:val="auto"/>
          <w:highlight w:val="none"/>
          <w:lang w:eastAsia="zh-CN"/>
        </w:rPr>
        <w:t>③预算额度测算依据充分，按照标准编制；</w:t>
      </w:r>
    </w:p>
    <w:p>
      <w:pPr>
        <w:bidi w:val="0"/>
        <w:rPr>
          <w:rFonts w:hint="eastAsia"/>
          <w:color w:val="auto"/>
          <w:highlight w:val="none"/>
          <w:lang w:eastAsia="zh-CN"/>
        </w:rPr>
      </w:pPr>
      <w:r>
        <w:rPr>
          <w:rFonts w:hint="eastAsia"/>
          <w:color w:val="auto"/>
          <w:highlight w:val="none"/>
          <w:lang w:eastAsia="zh-CN"/>
        </w:rPr>
        <w:t>④预算确定的项目投资额或资金量与工作任务相匹配。</w:t>
      </w:r>
    </w:p>
    <w:p>
      <w:pPr>
        <w:bidi w:val="0"/>
        <w:rPr>
          <w:rFonts w:hint="eastAsia"/>
          <w:color w:val="auto"/>
          <w:highlight w:val="none"/>
          <w:lang w:eastAsia="zh-CN"/>
        </w:rPr>
      </w:pPr>
      <w:r>
        <w:rPr>
          <w:rFonts w:hint="eastAsia"/>
          <w:b/>
          <w:bCs/>
          <w:color w:val="auto"/>
          <w:highlight w:val="none"/>
          <w:lang w:val="en-US" w:eastAsia="zh-CN"/>
        </w:rPr>
        <w:t>综上，该项指标满分2分，得分2分。</w:t>
      </w:r>
    </w:p>
    <w:p>
      <w:pPr>
        <w:bidi w:val="0"/>
        <w:outlineLvl w:val="2"/>
        <w:rPr>
          <w:rFonts w:hint="default"/>
          <w:b/>
          <w:bCs/>
          <w:color w:val="auto"/>
          <w:highlight w:val="none"/>
          <w:lang w:val="en-US" w:eastAsia="zh-CN"/>
        </w:rPr>
      </w:pPr>
      <w:bookmarkStart w:id="63" w:name="_Toc697"/>
      <w:r>
        <w:rPr>
          <w:rFonts w:hint="eastAsia"/>
          <w:b/>
          <w:bCs/>
          <w:color w:val="auto"/>
          <w:highlight w:val="none"/>
          <w:lang w:val="en-US" w:eastAsia="zh-CN"/>
        </w:rPr>
        <w:t>6.资金分配合理性</w:t>
      </w:r>
      <w:bookmarkEnd w:id="63"/>
    </w:p>
    <w:p>
      <w:pPr>
        <w:bidi w:val="0"/>
        <w:rPr>
          <w:rFonts w:hint="eastAsia"/>
          <w:color w:val="auto"/>
          <w:highlight w:val="none"/>
          <w:lang w:eastAsia="zh-CN"/>
        </w:rPr>
      </w:pPr>
      <w:r>
        <w:rPr>
          <w:rFonts w:hint="eastAsia"/>
          <w:color w:val="auto"/>
          <w:highlight w:val="none"/>
          <w:lang w:eastAsia="zh-CN"/>
        </w:rPr>
        <w:t>①预算资金分配依据充分；</w:t>
      </w:r>
    </w:p>
    <w:p>
      <w:pPr>
        <w:bidi w:val="0"/>
        <w:rPr>
          <w:rFonts w:hint="eastAsia"/>
          <w:color w:val="auto"/>
          <w:highlight w:val="none"/>
          <w:lang w:eastAsia="zh-CN"/>
        </w:rPr>
      </w:pPr>
      <w:r>
        <w:rPr>
          <w:rFonts w:hint="eastAsia"/>
          <w:color w:val="auto"/>
          <w:highlight w:val="none"/>
          <w:lang w:eastAsia="zh-CN"/>
        </w:rPr>
        <w:t>②资金分配额度合理，与项目单位或地方实际相适应。</w:t>
      </w:r>
    </w:p>
    <w:p>
      <w:pPr>
        <w:bidi w:val="0"/>
        <w:rPr>
          <w:rFonts w:hint="eastAsia"/>
          <w:color w:val="auto"/>
          <w:highlight w:val="none"/>
          <w:lang w:eastAsia="zh-CN"/>
        </w:rPr>
      </w:pPr>
      <w:r>
        <w:rPr>
          <w:rFonts w:hint="eastAsia"/>
          <w:b/>
          <w:bCs/>
          <w:color w:val="auto"/>
          <w:highlight w:val="none"/>
          <w:lang w:val="en-US" w:eastAsia="zh-CN"/>
        </w:rPr>
        <w:t>综上，该项指标满分3分，得分3分。</w:t>
      </w:r>
    </w:p>
    <w:p>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auto"/>
          <w:highlight w:val="none"/>
          <w:shd w:val="clear" w:color="auto" w:fill="auto"/>
        </w:rPr>
      </w:pPr>
      <w:bookmarkStart w:id="64" w:name="_Toc11361"/>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二</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项目过程情况</w:t>
      </w:r>
      <w:bookmarkEnd w:id="64"/>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rPr>
        <w:t>过程</w:t>
      </w:r>
      <w:r>
        <w:rPr>
          <w:rFonts w:hint="eastAsia" w:ascii="宋体" w:hAnsi="宋体" w:eastAsia="宋体" w:cs="宋体"/>
          <w:color w:val="auto"/>
          <w:kern w:val="2"/>
          <w:highlight w:val="none"/>
          <w:u w:color="000000"/>
          <w:shd w:val="clear" w:color="auto" w:fill="auto"/>
          <w:lang w:eastAsia="zh-CN"/>
        </w:rPr>
        <w:t>管理</w:t>
      </w:r>
      <w:r>
        <w:rPr>
          <w:rFonts w:hint="eastAsia" w:ascii="宋体" w:hAnsi="宋体" w:eastAsia="宋体" w:cs="宋体"/>
          <w:color w:val="auto"/>
          <w:kern w:val="2"/>
          <w:highlight w:val="none"/>
          <w:u w:color="000000"/>
          <w:shd w:val="clear" w:color="auto" w:fill="auto"/>
          <w:lang w:val="zh-TW" w:eastAsia="zh-TW"/>
        </w:rPr>
        <w:t>类指标由</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ascii="宋体" w:hAnsi="宋体" w:eastAsia="宋体" w:cs="宋体"/>
          <w:color w:val="auto"/>
          <w:kern w:val="2"/>
          <w:highlight w:val="none"/>
          <w:u w:color="000000"/>
          <w:shd w:val="clear" w:color="auto" w:fill="auto"/>
          <w:lang w:val="en-US" w:eastAsia="zh-CN"/>
        </w:rPr>
        <w:t>5</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-2</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4-2</w:t>
      </w:r>
      <w:r>
        <w:rPr>
          <w:rFonts w:hint="eastAsia" w:ascii="宋体" w:hAnsi="宋体" w:eastAsia="宋体" w:cs="宋体"/>
          <w:b/>
          <w:bCs/>
          <w:color w:val="auto"/>
          <w:kern w:val="0"/>
          <w:sz w:val="28"/>
          <w:szCs w:val="28"/>
          <w:highlight w:val="none"/>
          <w:shd w:val="clear" w:color="auto" w:fill="auto"/>
          <w:lang w:val="zh-TW" w:eastAsia="zh-TW"/>
        </w:rPr>
        <w:t>项目</w:t>
      </w:r>
      <w:r>
        <w:rPr>
          <w:rFonts w:hint="eastAsia" w:ascii="宋体" w:hAnsi="宋体" w:eastAsia="宋体" w:cs="宋体"/>
          <w:b/>
          <w:bCs/>
          <w:color w:val="auto"/>
          <w:kern w:val="0"/>
          <w:sz w:val="28"/>
          <w:szCs w:val="28"/>
          <w:highlight w:val="none"/>
          <w:shd w:val="clear" w:color="auto" w:fill="auto"/>
          <w:lang w:val="zh-TW" w:eastAsia="zh-CN"/>
        </w:rPr>
        <w:t>管理</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17" w:type="dxa"/>
        <w:jc w:val="center"/>
        <w:tblInd w:w="0" w:type="dxa"/>
        <w:tblLayout w:type="fixed"/>
        <w:tblCellMar>
          <w:top w:w="0" w:type="dxa"/>
          <w:left w:w="0" w:type="dxa"/>
          <w:bottom w:w="0" w:type="dxa"/>
          <w:right w:w="0" w:type="dxa"/>
        </w:tblCellMar>
      </w:tblPr>
      <w:tblGrid>
        <w:gridCol w:w="1182"/>
        <w:gridCol w:w="738"/>
        <w:gridCol w:w="1248"/>
        <w:gridCol w:w="1176"/>
        <w:gridCol w:w="1833"/>
        <w:gridCol w:w="987"/>
        <w:gridCol w:w="1153"/>
      </w:tblGrid>
      <w:tr>
        <w:tblPrEx>
          <w:tblLayout w:type="fixed"/>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4</w:t>
            </w:r>
          </w:p>
        </w:tc>
      </w:tr>
      <w:tr>
        <w:tblPrEx>
          <w:tblLayout w:type="fixed"/>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w:t>
            </w:r>
          </w:p>
        </w:tc>
      </w:tr>
    </w:tbl>
    <w:p>
      <w:pPr>
        <w:bidi w:val="0"/>
        <w:outlineLvl w:val="2"/>
        <w:rPr>
          <w:rFonts w:hint="default"/>
          <w:b/>
          <w:bCs/>
          <w:color w:val="auto"/>
          <w:highlight w:val="none"/>
          <w:lang w:val="en-US" w:eastAsia="zh-CN"/>
        </w:rPr>
      </w:pPr>
      <w:bookmarkStart w:id="65" w:name="_Toc3886"/>
      <w:r>
        <w:rPr>
          <w:rFonts w:hint="eastAsia"/>
          <w:b/>
          <w:bCs/>
          <w:color w:val="auto"/>
          <w:highlight w:val="none"/>
          <w:lang w:val="en-US" w:eastAsia="zh-CN"/>
        </w:rPr>
        <w:t>1.资金到位率</w:t>
      </w:r>
      <w:bookmarkEnd w:id="65"/>
    </w:p>
    <w:p>
      <w:pPr>
        <w:bidi w:val="0"/>
        <w:rPr>
          <w:rFonts w:hint="default"/>
          <w:b/>
          <w:bCs/>
          <w:color w:val="auto"/>
          <w:highlight w:val="none"/>
          <w:lang w:val="en-US" w:eastAsia="zh-CN"/>
        </w:rPr>
      </w:pPr>
      <w:r>
        <w:rPr>
          <w:rFonts w:hint="eastAsia"/>
          <w:color w:val="auto"/>
          <w:highlight w:val="none"/>
          <w:lang w:eastAsia="zh-CN"/>
        </w:rPr>
        <w:t>资金到位率=（</w:t>
      </w:r>
      <w:r>
        <w:rPr>
          <w:rFonts w:hint="eastAsia"/>
          <w:color w:val="auto"/>
          <w:highlight w:val="none"/>
          <w:lang w:val="en-US" w:eastAsia="zh-CN"/>
        </w:rPr>
        <w:t>131.38万元</w:t>
      </w:r>
      <w:r>
        <w:rPr>
          <w:rFonts w:hint="eastAsia"/>
          <w:color w:val="auto"/>
          <w:highlight w:val="none"/>
          <w:lang w:eastAsia="zh-CN"/>
        </w:rPr>
        <w:t>/</w:t>
      </w:r>
      <w:r>
        <w:rPr>
          <w:rFonts w:hint="eastAsia"/>
          <w:color w:val="auto"/>
          <w:highlight w:val="none"/>
          <w:lang w:val="en-US" w:eastAsia="zh-CN"/>
        </w:rPr>
        <w:t>131.38万元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6" w:name="_Toc9705"/>
      <w:r>
        <w:rPr>
          <w:rFonts w:hint="eastAsia"/>
          <w:b/>
          <w:bCs/>
          <w:color w:val="auto"/>
          <w:highlight w:val="none"/>
          <w:lang w:val="en-US" w:eastAsia="zh-CN"/>
        </w:rPr>
        <w:t>2.预算执行率</w:t>
      </w:r>
      <w:bookmarkEnd w:id="66"/>
    </w:p>
    <w:p>
      <w:pPr>
        <w:bidi w:val="0"/>
        <w:rPr>
          <w:rFonts w:hint="default"/>
          <w:color w:val="auto"/>
          <w:highlight w:val="none"/>
          <w:lang w:val="en-US" w:eastAsia="zh-CN"/>
        </w:rPr>
      </w:pPr>
      <w:r>
        <w:rPr>
          <w:rFonts w:hint="eastAsia"/>
          <w:color w:val="auto"/>
          <w:highlight w:val="none"/>
          <w:lang w:eastAsia="zh-CN"/>
        </w:rPr>
        <w:t>预算执行率=（</w:t>
      </w:r>
      <w:r>
        <w:rPr>
          <w:rFonts w:hint="eastAsia"/>
          <w:color w:val="auto"/>
          <w:highlight w:val="none"/>
          <w:lang w:val="en-US" w:eastAsia="zh-CN"/>
        </w:rPr>
        <w:t>131.38万元</w:t>
      </w:r>
      <w:r>
        <w:rPr>
          <w:rFonts w:hint="eastAsia"/>
          <w:color w:val="auto"/>
          <w:highlight w:val="none"/>
          <w:lang w:eastAsia="zh-CN"/>
        </w:rPr>
        <w:t>/</w:t>
      </w:r>
      <w:r>
        <w:rPr>
          <w:rFonts w:hint="eastAsia"/>
          <w:color w:val="auto"/>
          <w:highlight w:val="none"/>
          <w:lang w:val="en-US" w:eastAsia="zh-CN"/>
        </w:rPr>
        <w:t>131.38万元</w:t>
      </w:r>
      <w:r>
        <w:rPr>
          <w:rFonts w:hint="eastAsia"/>
          <w:color w:val="auto"/>
          <w:highlight w:val="none"/>
          <w:lang w:eastAsia="zh-CN"/>
        </w:rPr>
        <w:t>）×100%。</w:t>
      </w:r>
      <w:r>
        <w:rPr>
          <w:rFonts w:hint="eastAsia"/>
          <w:b/>
          <w:bCs/>
          <w:color w:val="auto"/>
          <w:highlight w:val="none"/>
          <w:lang w:val="en-US" w:eastAsia="zh-CN"/>
        </w:rPr>
        <w:t>=100%</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outlineLvl w:val="2"/>
        <w:rPr>
          <w:rFonts w:hint="default"/>
          <w:b/>
          <w:bCs/>
          <w:color w:val="auto"/>
          <w:highlight w:val="none"/>
          <w:lang w:val="en-US" w:eastAsia="zh-CN"/>
        </w:rPr>
      </w:pPr>
      <w:bookmarkStart w:id="67" w:name="_Toc18691"/>
      <w:r>
        <w:rPr>
          <w:rFonts w:hint="eastAsia"/>
          <w:b/>
          <w:bCs/>
          <w:color w:val="auto"/>
          <w:highlight w:val="none"/>
          <w:lang w:val="en-US" w:eastAsia="zh-CN"/>
        </w:rPr>
        <w:t>3.资金使用合规性</w:t>
      </w:r>
      <w:bookmarkEnd w:id="67"/>
    </w:p>
    <w:p>
      <w:pPr>
        <w:bidi w:val="0"/>
        <w:rPr>
          <w:rFonts w:hint="eastAsia"/>
          <w:color w:val="auto"/>
          <w:highlight w:val="none"/>
          <w:lang w:eastAsia="zh-CN"/>
        </w:rPr>
      </w:pPr>
      <w:r>
        <w:rPr>
          <w:rFonts w:hint="eastAsia"/>
          <w:color w:val="auto"/>
          <w:highlight w:val="none"/>
          <w:lang w:eastAsia="zh-CN"/>
        </w:rPr>
        <w:t>①符合国家《</w:t>
      </w:r>
      <w:r>
        <w:rPr>
          <w:rFonts w:hint="eastAsia"/>
          <w:color w:val="auto"/>
          <w:highlight w:val="none"/>
          <w:lang w:val="en-US" w:eastAsia="zh-CN"/>
        </w:rPr>
        <w:t>政府会计准则</w:t>
      </w:r>
      <w:r>
        <w:rPr>
          <w:rFonts w:hint="eastAsia"/>
          <w:color w:val="auto"/>
          <w:highlight w:val="none"/>
          <w:lang w:eastAsia="zh-CN"/>
        </w:rPr>
        <w:t>》、《工程建设</w:t>
      </w:r>
      <w:r>
        <w:rPr>
          <w:rFonts w:hint="eastAsia"/>
          <w:color w:val="auto"/>
          <w:highlight w:val="none"/>
          <w:lang w:val="en-US" w:eastAsia="zh-CN"/>
        </w:rPr>
        <w:t>项目资金使用办法</w:t>
      </w:r>
      <w:r>
        <w:rPr>
          <w:rFonts w:hint="eastAsia"/>
          <w:color w:val="auto"/>
          <w:highlight w:val="none"/>
          <w:lang w:eastAsia="zh-CN"/>
        </w:rPr>
        <w:t>》以及有关专项资金管理办法的规定；</w:t>
      </w:r>
    </w:p>
    <w:p>
      <w:pPr>
        <w:bidi w:val="0"/>
        <w:rPr>
          <w:rFonts w:hint="eastAsia"/>
          <w:color w:val="auto"/>
          <w:highlight w:val="none"/>
          <w:lang w:eastAsia="zh-CN"/>
        </w:rPr>
      </w:pPr>
      <w:r>
        <w:rPr>
          <w:rFonts w:hint="eastAsia"/>
          <w:color w:val="auto"/>
          <w:highlight w:val="none"/>
          <w:lang w:eastAsia="zh-CN"/>
        </w:rPr>
        <w:t>②资金的拨付有完整的审批程序和手续；</w:t>
      </w:r>
    </w:p>
    <w:p>
      <w:pPr>
        <w:bidi w:val="0"/>
        <w:rPr>
          <w:rFonts w:hint="eastAsia"/>
          <w:color w:val="auto"/>
          <w:highlight w:val="none"/>
          <w:lang w:eastAsia="zh-CN"/>
        </w:rPr>
      </w:pPr>
      <w:r>
        <w:rPr>
          <w:rFonts w:hint="eastAsia"/>
          <w:color w:val="auto"/>
          <w:highlight w:val="none"/>
          <w:lang w:eastAsia="zh-CN"/>
        </w:rPr>
        <w:t>③符合项目预算批复或合同规定的用途；</w:t>
      </w:r>
    </w:p>
    <w:p>
      <w:pPr>
        <w:bidi w:val="0"/>
        <w:rPr>
          <w:rFonts w:hint="eastAsia"/>
          <w:color w:val="auto"/>
          <w:highlight w:val="none"/>
          <w:lang w:eastAsia="zh-CN"/>
        </w:rPr>
      </w:pPr>
      <w:r>
        <w:rPr>
          <w:rFonts w:hint="eastAsia"/>
          <w:color w:val="auto"/>
          <w:highlight w:val="none"/>
          <w:lang w:eastAsia="zh-CN"/>
        </w:rPr>
        <w:t>④</w:t>
      </w:r>
      <w:r>
        <w:rPr>
          <w:rFonts w:hint="eastAsia"/>
          <w:color w:val="auto"/>
          <w:highlight w:val="none"/>
          <w:lang w:val="en-US" w:eastAsia="zh-CN"/>
        </w:rPr>
        <w:t>不</w:t>
      </w:r>
      <w:r>
        <w:rPr>
          <w:rFonts w:hint="eastAsia"/>
          <w:color w:val="auto"/>
          <w:highlight w:val="none"/>
          <w:lang w:eastAsia="zh-CN"/>
        </w:rPr>
        <w:t>存在截留、挤占、挪用、虚列支出等情况。</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rPr>
          <w:rFonts w:hint="default"/>
          <w:b/>
          <w:bCs/>
          <w:color w:val="auto"/>
          <w:highlight w:val="none"/>
          <w:lang w:val="en-US" w:eastAsia="zh-CN"/>
        </w:rPr>
      </w:pPr>
      <w:r>
        <w:rPr>
          <w:rFonts w:hint="eastAsia"/>
          <w:b/>
          <w:bCs/>
          <w:color w:val="auto"/>
          <w:highlight w:val="none"/>
          <w:lang w:val="en-US" w:eastAsia="zh-CN"/>
        </w:rPr>
        <w:t>4.管理制度健全性</w:t>
      </w:r>
    </w:p>
    <w:p>
      <w:pPr>
        <w:bidi w:val="0"/>
        <w:rPr>
          <w:rFonts w:hint="eastAsia"/>
          <w:color w:val="auto"/>
          <w:highlight w:val="none"/>
          <w:lang w:eastAsia="zh-CN"/>
        </w:rPr>
      </w:pPr>
      <w:r>
        <w:rPr>
          <w:rFonts w:hint="eastAsia"/>
          <w:color w:val="auto"/>
          <w:highlight w:val="none"/>
          <w:lang w:eastAsia="zh-CN"/>
        </w:rPr>
        <w:t>①已制定或具有相应的《</w:t>
      </w:r>
      <w:r>
        <w:rPr>
          <w:rFonts w:hint="eastAsia"/>
          <w:color w:val="auto"/>
          <w:highlight w:val="none"/>
          <w:lang w:val="en-US" w:eastAsia="zh-CN"/>
        </w:rPr>
        <w:t>阜康市妇幼保健计划生育服务中心财务管理制度</w:t>
      </w:r>
      <w:r>
        <w:rPr>
          <w:rFonts w:hint="eastAsia"/>
          <w:color w:val="auto"/>
          <w:highlight w:val="none"/>
          <w:lang w:eastAsia="zh-CN"/>
        </w:rPr>
        <w:t>》、《工程建设</w:t>
      </w:r>
      <w:r>
        <w:rPr>
          <w:rFonts w:hint="eastAsia"/>
          <w:color w:val="auto"/>
          <w:highlight w:val="none"/>
          <w:lang w:val="en-US" w:eastAsia="zh-CN"/>
        </w:rPr>
        <w:t>项目资金使用办法</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②财务和业务管理制度合法、合规、完整。</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bidi w:val="0"/>
        <w:ind w:left="1403" w:leftChars="200" w:hanging="843" w:hangingChars="300"/>
        <w:outlineLvl w:val="2"/>
        <w:rPr>
          <w:rFonts w:hint="eastAsia"/>
          <w:b/>
          <w:bCs/>
          <w:color w:val="auto"/>
          <w:highlight w:val="none"/>
          <w:lang w:val="en-US" w:eastAsia="zh-CN"/>
        </w:rPr>
      </w:pPr>
      <w:bookmarkStart w:id="68" w:name="_Toc31684"/>
      <w:r>
        <w:rPr>
          <w:rFonts w:hint="eastAsia"/>
          <w:b/>
          <w:bCs/>
          <w:color w:val="auto"/>
          <w:highlight w:val="none"/>
          <w:lang w:val="en-US" w:eastAsia="zh-CN"/>
        </w:rPr>
        <w:t>5.制度执行有效性</w:t>
      </w:r>
      <w:bookmarkEnd w:id="68"/>
    </w:p>
    <w:p>
      <w:pPr>
        <w:bidi w:val="0"/>
        <w:rPr>
          <w:rFonts w:hint="eastAsia"/>
          <w:color w:val="auto"/>
          <w:highlight w:val="none"/>
          <w:lang w:eastAsia="zh-CN"/>
        </w:rPr>
      </w:pPr>
      <w:r>
        <w:rPr>
          <w:rFonts w:hint="eastAsia"/>
          <w:color w:val="auto"/>
          <w:highlight w:val="none"/>
          <w:lang w:eastAsia="zh-CN"/>
        </w:rPr>
        <w:t>①遵守相关法律法规和相关管理规定；</w:t>
      </w:r>
    </w:p>
    <w:p>
      <w:pPr>
        <w:bidi w:val="0"/>
        <w:rPr>
          <w:rFonts w:hint="eastAsia"/>
          <w:color w:val="auto"/>
          <w:highlight w:val="none"/>
          <w:lang w:eastAsia="zh-CN"/>
        </w:rPr>
      </w:pPr>
      <w:r>
        <w:rPr>
          <w:rFonts w:hint="eastAsia"/>
          <w:color w:val="auto"/>
          <w:highlight w:val="none"/>
          <w:lang w:eastAsia="zh-CN"/>
        </w:rPr>
        <w:t>②项目</w:t>
      </w:r>
      <w:r>
        <w:rPr>
          <w:rFonts w:hint="eastAsia"/>
          <w:color w:val="auto"/>
          <w:highlight w:val="none"/>
          <w:lang w:val="en-US" w:eastAsia="zh-CN"/>
        </w:rPr>
        <w:t>未调整</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eastAsia="zh-CN"/>
        </w:rPr>
        <w:t>③项目合同书、验收报告、审计报告等资料齐全并及时归档；</w:t>
      </w:r>
    </w:p>
    <w:p>
      <w:pPr>
        <w:bidi w:val="0"/>
        <w:rPr>
          <w:rFonts w:hint="eastAsia"/>
          <w:color w:val="auto"/>
          <w:highlight w:val="none"/>
          <w:lang w:eastAsia="zh-CN"/>
        </w:rPr>
      </w:pPr>
      <w:r>
        <w:rPr>
          <w:rFonts w:hint="eastAsia"/>
          <w:color w:val="auto"/>
          <w:highlight w:val="none"/>
          <w:lang w:eastAsia="zh-CN"/>
        </w:rPr>
        <w:t>④项目实施</w:t>
      </w:r>
      <w:r>
        <w:rPr>
          <w:rFonts w:hint="eastAsia" w:cs="宋体"/>
          <w:b w:val="0"/>
          <w:bCs w:val="0"/>
          <w:color w:val="auto"/>
          <w:kern w:val="2"/>
          <w:sz w:val="28"/>
          <w:szCs w:val="28"/>
          <w:highlight w:val="none"/>
          <w:shd w:val="clear" w:color="auto" w:fill="auto"/>
          <w:lang w:val="en-US" w:eastAsia="zh-CN" w:bidi="ar-SA"/>
        </w:rPr>
        <w:t>的施工、监理、跟踪审计人员到场</w:t>
      </w:r>
      <w:r>
        <w:rPr>
          <w:rFonts w:hint="eastAsia"/>
          <w:color w:val="auto"/>
          <w:highlight w:val="none"/>
          <w:shd w:val="clear"/>
          <w:lang w:eastAsia="zh-CN"/>
        </w:rPr>
        <w:t>、施工设备、</w:t>
      </w:r>
      <w:r>
        <w:rPr>
          <w:rFonts w:hint="eastAsia"/>
          <w:color w:val="auto"/>
          <w:highlight w:val="none"/>
          <w:shd w:val="clear"/>
          <w:lang w:val="en-US" w:eastAsia="zh-CN"/>
        </w:rPr>
        <w:t>信息化系统</w:t>
      </w:r>
      <w:r>
        <w:rPr>
          <w:rFonts w:hint="eastAsia"/>
          <w:color w:val="auto"/>
          <w:highlight w:val="none"/>
          <w:shd w:val="clear"/>
          <w:lang w:eastAsia="zh-CN"/>
        </w:rPr>
        <w:t>等落实到</w:t>
      </w:r>
      <w:r>
        <w:rPr>
          <w:rFonts w:hint="eastAsia"/>
          <w:color w:val="auto"/>
          <w:highlight w:val="none"/>
          <w:lang w:eastAsia="zh-CN"/>
        </w:rPr>
        <w:t>位。</w:t>
      </w:r>
    </w:p>
    <w:p>
      <w:pPr>
        <w:bidi w:val="0"/>
        <w:rPr>
          <w:rFonts w:hint="eastAsia"/>
          <w:color w:val="auto"/>
          <w:highlight w:val="none"/>
          <w:lang w:eastAsia="zh-CN"/>
        </w:rPr>
      </w:pPr>
      <w:r>
        <w:rPr>
          <w:rFonts w:hint="eastAsia"/>
          <w:b/>
          <w:bCs/>
          <w:color w:val="auto"/>
          <w:highlight w:val="none"/>
          <w:lang w:val="en-US" w:eastAsia="zh-CN"/>
        </w:rPr>
        <w:t>综上，该项指标满分4分，得分4分。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69" w:name="_Toc16268"/>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三</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项目产出情况</w:t>
      </w:r>
      <w:bookmarkEnd w:id="69"/>
    </w:p>
    <w:p>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ascii="宋体" w:hAnsi="宋体" w:eastAsia="宋体" w:cs="宋体"/>
          <w:color w:val="auto"/>
          <w:highlight w:val="none"/>
          <w:shd w:val="clear" w:color="auto" w:fill="auto"/>
          <w:lang w:val="en-US" w:eastAsia="zh-CN"/>
        </w:rPr>
        <w:t>产出</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6</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28</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3</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4-3项目产出</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1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750" w:hRule="atLeast"/>
        </w:trPr>
        <w:tc>
          <w:tcPr>
            <w:tcW w:w="63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一级指标</w:t>
            </w: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年度指标值</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标杆分值</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全年实际完成值</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15" w:hRule="atLeast"/>
        </w:trPr>
        <w:tc>
          <w:tcPr>
            <w:tcW w:w="634"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产出</w:t>
            </w: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数量指标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改造面积</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'=9025.25平方米</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9025.25平方米</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改造层数</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'=6层</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6层</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15"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质量指标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工程质量合格率</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10</w:t>
            </w:r>
            <w:r>
              <w:rPr>
                <w:rFonts w:hint="eastAsia" w:ascii="宋体" w:hAnsi="宋体" w:eastAsia="宋体" w:cs="宋体"/>
                <w:color w:val="auto"/>
                <w:kern w:val="0"/>
                <w:sz w:val="20"/>
                <w:szCs w:val="20"/>
                <w:highlight w:val="none"/>
                <w:shd w:val="clear" w:color="auto" w:fill="auto"/>
                <w:lang w:val="en-US" w:eastAsia="zh-CN"/>
              </w:rPr>
              <w:t>0%</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100%</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restart"/>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时效指标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开工时间</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2019年5月</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2019年5月</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10"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完工时间</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2019年10月</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2021年1月</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28" w:hRule="atLeast"/>
        </w:trPr>
        <w:tc>
          <w:tcPr>
            <w:tcW w:w="634" w:type="dxa"/>
            <w:vMerge w:val="continue"/>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92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成本指标</w:t>
            </w:r>
          </w:p>
        </w:tc>
        <w:tc>
          <w:tcPr>
            <w:tcW w:w="2644"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项目总成本（万元）</w:t>
            </w:r>
          </w:p>
        </w:tc>
        <w:tc>
          <w:tcPr>
            <w:tcW w:w="1437"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w:t>
            </w:r>
            <w:r>
              <w:rPr>
                <w:rFonts w:hint="eastAsia" w:cs="宋体"/>
                <w:color w:val="auto"/>
                <w:kern w:val="0"/>
                <w:sz w:val="20"/>
                <w:szCs w:val="20"/>
                <w:highlight w:val="none"/>
                <w:shd w:val="clear" w:color="auto" w:fill="auto"/>
                <w:lang w:val="en-US" w:eastAsia="zh-CN"/>
              </w:rPr>
              <w:t>131.38</w:t>
            </w:r>
            <w:r>
              <w:rPr>
                <w:rFonts w:hint="eastAsia" w:ascii="宋体" w:hAnsi="宋体" w:eastAsia="宋体" w:cs="宋体"/>
                <w:color w:val="auto"/>
                <w:kern w:val="0"/>
                <w:sz w:val="20"/>
                <w:szCs w:val="20"/>
                <w:highlight w:val="none"/>
                <w:shd w:val="clear" w:color="auto" w:fill="auto"/>
                <w:lang w:val="en-US" w:eastAsia="zh-CN"/>
              </w:rPr>
              <w:t>万元</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6</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131.38万元</w:t>
            </w: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Ex>
        <w:trPr>
          <w:trHeight w:val="403" w:hRule="atLeast"/>
        </w:trPr>
        <w:tc>
          <w:tcPr>
            <w:tcW w:w="5643" w:type="dxa"/>
            <w:gridSpan w:val="4"/>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558"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c>
          <w:tcPr>
            <w:tcW w:w="1365"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31" w:type="dxa"/>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rPr>
          <w:rFonts w:hint="default"/>
          <w:b/>
          <w:bCs/>
          <w:color w:val="auto"/>
          <w:highlight w:val="none"/>
          <w:lang w:val="en-US" w:eastAsia="zh-CN"/>
        </w:rPr>
      </w:pPr>
      <w:bookmarkStart w:id="70" w:name="_Toc11067"/>
      <w:r>
        <w:rPr>
          <w:rFonts w:hint="eastAsia"/>
          <w:b/>
          <w:bCs/>
          <w:color w:val="auto"/>
          <w:highlight w:val="none"/>
          <w:lang w:val="en-US" w:eastAsia="zh-CN"/>
        </w:rPr>
        <w:t>1.项目完成数量</w:t>
      </w:r>
      <w:bookmarkEnd w:id="70"/>
    </w:p>
    <w:p>
      <w:pPr>
        <w:bidi w:val="0"/>
        <w:rPr>
          <w:rFonts w:hint="eastAsia"/>
          <w:color w:val="auto"/>
          <w:highlight w:val="none"/>
          <w:lang w:val="en-US" w:eastAsia="zh-CN"/>
        </w:rPr>
      </w:pPr>
      <w:r>
        <w:rPr>
          <w:rFonts w:hint="eastAsia"/>
          <w:color w:val="auto"/>
          <w:highlight w:val="none"/>
          <w:lang w:eastAsia="zh-CN"/>
        </w:rPr>
        <w:t>“</w:t>
      </w:r>
      <w:r>
        <w:rPr>
          <w:rFonts w:hint="eastAsia" w:cs="宋体"/>
          <w:color w:val="auto"/>
          <w:kern w:val="0"/>
          <w:sz w:val="28"/>
          <w:szCs w:val="28"/>
          <w:highlight w:val="none"/>
          <w:shd w:val="clear" w:color="auto" w:fill="auto"/>
          <w:lang w:val="en-US" w:eastAsia="zh-CN"/>
        </w:rPr>
        <w:t>改造面积</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=9025.25平方米</w:t>
      </w:r>
      <w:r>
        <w:rPr>
          <w:rFonts w:hint="eastAsia"/>
          <w:color w:val="auto"/>
          <w:highlight w:val="none"/>
          <w:lang w:val="en-US" w:eastAsia="zh-CN"/>
        </w:rPr>
        <w:t>，实际完成为</w:t>
      </w:r>
      <w:r>
        <w:rPr>
          <w:rFonts w:hint="eastAsia" w:cs="宋体"/>
          <w:color w:val="auto"/>
          <w:kern w:val="0"/>
          <w:sz w:val="28"/>
          <w:szCs w:val="28"/>
          <w:highlight w:val="none"/>
          <w:shd w:val="clear" w:color="auto" w:fill="auto"/>
          <w:lang w:val="en-US" w:eastAsia="zh-CN"/>
        </w:rPr>
        <w:t>9025.25平方米</w:t>
      </w:r>
      <w:r>
        <w:rPr>
          <w:rFonts w:hint="eastAsia"/>
          <w:color w:val="auto"/>
          <w:highlight w:val="none"/>
          <w:lang w:val="en-US" w:eastAsia="zh-CN"/>
        </w:rPr>
        <w:t>。实际完成率=（9025.25/9025.25）×100%=100%。</w:t>
      </w:r>
    </w:p>
    <w:p>
      <w:pPr>
        <w:bidi w:val="0"/>
        <w:rPr>
          <w:rFonts w:hint="eastAsia"/>
          <w:color w:val="auto"/>
          <w:highlight w:val="none"/>
          <w:lang w:val="en-US" w:eastAsia="zh-CN"/>
        </w:rPr>
      </w:pPr>
      <w:r>
        <w:rPr>
          <w:rFonts w:hint="eastAsia"/>
          <w:color w:val="auto"/>
          <w:highlight w:val="none"/>
          <w:lang w:eastAsia="zh-CN"/>
        </w:rPr>
        <w:t>“</w:t>
      </w:r>
      <w:r>
        <w:rPr>
          <w:rFonts w:hint="eastAsia" w:cs="宋体"/>
          <w:color w:val="auto"/>
          <w:kern w:val="0"/>
          <w:sz w:val="28"/>
          <w:szCs w:val="28"/>
          <w:highlight w:val="none"/>
          <w:shd w:val="clear" w:color="auto" w:fill="auto"/>
          <w:lang w:val="en-US" w:eastAsia="zh-CN"/>
        </w:rPr>
        <w:t>改造层数</w:t>
      </w:r>
      <w:r>
        <w:rPr>
          <w:rFonts w:hint="eastAsia"/>
          <w:color w:val="auto"/>
          <w:highlight w:val="none"/>
          <w:lang w:eastAsia="zh-CN"/>
        </w:rPr>
        <w:t>”</w:t>
      </w:r>
      <w:r>
        <w:rPr>
          <w:rFonts w:hint="eastAsia"/>
          <w:color w:val="auto"/>
          <w:highlight w:val="none"/>
          <w:lang w:val="en-US" w:eastAsia="zh-CN"/>
        </w:rPr>
        <w:t>指标，预期目标值为</w:t>
      </w:r>
      <w:r>
        <w:rPr>
          <w:rFonts w:hint="eastAsia" w:cs="宋体"/>
          <w:color w:val="auto"/>
          <w:kern w:val="0"/>
          <w:sz w:val="28"/>
          <w:szCs w:val="28"/>
          <w:highlight w:val="none"/>
          <w:shd w:val="clear" w:color="auto" w:fill="auto"/>
          <w:lang w:val="en-US" w:eastAsia="zh-CN"/>
        </w:rPr>
        <w:t>=6层</w:t>
      </w:r>
      <w:r>
        <w:rPr>
          <w:rFonts w:hint="eastAsia"/>
          <w:color w:val="auto"/>
          <w:highlight w:val="none"/>
          <w:lang w:val="en-US" w:eastAsia="zh-CN"/>
        </w:rPr>
        <w:t>，实际完成为</w:t>
      </w:r>
      <w:r>
        <w:rPr>
          <w:rFonts w:hint="eastAsia" w:cs="宋体"/>
          <w:color w:val="auto"/>
          <w:kern w:val="0"/>
          <w:sz w:val="28"/>
          <w:szCs w:val="28"/>
          <w:highlight w:val="none"/>
          <w:shd w:val="clear" w:color="auto" w:fill="auto"/>
          <w:lang w:val="en-US" w:eastAsia="zh-CN"/>
        </w:rPr>
        <w:t>6层</w:t>
      </w:r>
      <w:r>
        <w:rPr>
          <w:rFonts w:hint="eastAsia"/>
          <w:color w:val="auto"/>
          <w:highlight w:val="none"/>
          <w:lang w:val="en-US" w:eastAsia="zh-CN"/>
        </w:rPr>
        <w:t>。实际完成率=（6/6）×100%=100%。</w:t>
      </w:r>
    </w:p>
    <w:p>
      <w:pPr>
        <w:bidi w:val="0"/>
        <w:rPr>
          <w:rFonts w:hint="eastAsia"/>
          <w:color w:val="auto"/>
          <w:highlight w:val="none"/>
          <w:lang w:eastAsia="zh-CN"/>
        </w:rPr>
      </w:pPr>
      <w:r>
        <w:rPr>
          <w:rFonts w:hint="eastAsia"/>
          <w:b/>
          <w:bCs/>
          <w:color w:val="auto"/>
          <w:highlight w:val="none"/>
          <w:lang w:val="en-US" w:eastAsia="zh-CN"/>
        </w:rPr>
        <w:t>综上，该项指标满分10分，得分10分。</w:t>
      </w:r>
    </w:p>
    <w:p>
      <w:pPr>
        <w:bidi w:val="0"/>
        <w:outlineLvl w:val="2"/>
        <w:rPr>
          <w:rFonts w:hint="default"/>
          <w:b/>
          <w:bCs/>
          <w:color w:val="auto"/>
          <w:highlight w:val="none"/>
          <w:lang w:val="en-US" w:eastAsia="zh-CN"/>
        </w:rPr>
      </w:pPr>
      <w:bookmarkStart w:id="71" w:name="_Toc31739"/>
      <w:r>
        <w:rPr>
          <w:rFonts w:hint="eastAsia"/>
          <w:b/>
          <w:bCs/>
          <w:color w:val="auto"/>
          <w:highlight w:val="none"/>
          <w:lang w:val="en-US" w:eastAsia="zh-CN"/>
        </w:rPr>
        <w:t>2.项目完成质量</w:t>
      </w:r>
      <w:bookmarkEnd w:id="71"/>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cs="宋体"/>
          <w:color w:val="auto"/>
          <w:kern w:val="0"/>
          <w:sz w:val="28"/>
          <w:szCs w:val="28"/>
          <w:highlight w:val="none"/>
          <w:shd w:val="clear" w:color="auto" w:fill="auto"/>
          <w:lang w:val="en-US" w:eastAsia="zh-CN"/>
        </w:rPr>
        <w:t>工程质量合格率</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ascii="宋体" w:hAnsi="宋体" w:eastAsia="宋体" w:cs="宋体"/>
          <w:color w:val="auto"/>
          <w:kern w:val="0"/>
          <w:sz w:val="28"/>
          <w:szCs w:val="28"/>
          <w:highlight w:val="none"/>
          <w:shd w:val="clear" w:color="auto" w:fill="auto"/>
          <w:lang w:val="en-US" w:eastAsia="zh-CN"/>
        </w:rPr>
        <w:t>≥</w:t>
      </w:r>
      <w:r>
        <w:rPr>
          <w:rFonts w:hint="eastAsia" w:cs="宋体"/>
          <w:color w:val="auto"/>
          <w:kern w:val="0"/>
          <w:sz w:val="28"/>
          <w:szCs w:val="28"/>
          <w:highlight w:val="none"/>
          <w:shd w:val="clear" w:color="auto" w:fill="auto"/>
          <w:lang w:val="en-US" w:eastAsia="zh-CN"/>
        </w:rPr>
        <w:t>10</w:t>
      </w:r>
      <w:r>
        <w:rPr>
          <w:rFonts w:hint="eastAsia" w:ascii="宋体" w:hAnsi="宋体" w:eastAsia="宋体" w:cs="宋体"/>
          <w:color w:val="auto"/>
          <w:kern w:val="0"/>
          <w:sz w:val="28"/>
          <w:szCs w:val="28"/>
          <w:highlight w:val="none"/>
          <w:shd w:val="clear" w:color="auto" w:fill="auto"/>
          <w:lang w:val="en-US" w:eastAsia="zh-CN"/>
        </w:rPr>
        <w:t>0%</w:t>
      </w:r>
      <w:r>
        <w:rPr>
          <w:rFonts w:hint="eastAsia"/>
          <w:color w:val="auto"/>
          <w:sz w:val="28"/>
          <w:szCs w:val="28"/>
          <w:highlight w:val="none"/>
          <w:lang w:val="en-US" w:eastAsia="zh-CN"/>
        </w:rPr>
        <w:t>，实际完成为</w:t>
      </w:r>
      <w:r>
        <w:rPr>
          <w:rFonts w:hint="eastAsia" w:ascii="宋体" w:hAnsi="宋体" w:eastAsia="宋体" w:cs="宋体"/>
          <w:color w:val="auto"/>
          <w:kern w:val="0"/>
          <w:sz w:val="28"/>
          <w:szCs w:val="28"/>
          <w:highlight w:val="none"/>
          <w:shd w:val="clear" w:color="auto" w:fill="auto"/>
          <w:lang w:val="en-US" w:eastAsia="zh-CN"/>
        </w:rPr>
        <w:t>100%</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综上，该项指标满分13分，得分13分。</w:t>
      </w:r>
    </w:p>
    <w:p>
      <w:pPr>
        <w:bidi w:val="0"/>
        <w:outlineLvl w:val="2"/>
        <w:rPr>
          <w:rFonts w:hint="default"/>
          <w:b/>
          <w:bCs/>
          <w:color w:val="auto"/>
          <w:highlight w:val="none"/>
          <w:lang w:val="en-US" w:eastAsia="zh-CN"/>
        </w:rPr>
      </w:pPr>
      <w:bookmarkStart w:id="72" w:name="_Toc18307"/>
      <w:r>
        <w:rPr>
          <w:rFonts w:hint="eastAsia"/>
          <w:b/>
          <w:bCs/>
          <w:color w:val="auto"/>
          <w:highlight w:val="none"/>
          <w:lang w:val="en-US" w:eastAsia="zh-CN"/>
        </w:rPr>
        <w:t>3.项目完成时效</w:t>
      </w:r>
      <w:bookmarkEnd w:id="72"/>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cs="宋体"/>
          <w:color w:val="auto"/>
          <w:kern w:val="0"/>
          <w:sz w:val="28"/>
          <w:szCs w:val="28"/>
          <w:highlight w:val="none"/>
          <w:shd w:val="clear" w:color="auto" w:fill="auto"/>
          <w:lang w:val="en-US" w:eastAsia="zh-CN"/>
        </w:rPr>
        <w:t>开工时间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cs="宋体"/>
          <w:color w:val="auto"/>
          <w:kern w:val="0"/>
          <w:sz w:val="28"/>
          <w:szCs w:val="28"/>
          <w:highlight w:val="none"/>
          <w:shd w:val="clear" w:color="auto" w:fill="auto"/>
          <w:lang w:val="en-US" w:eastAsia="zh-CN"/>
        </w:rPr>
        <w:t>2019年5月</w:t>
      </w:r>
      <w:r>
        <w:rPr>
          <w:rFonts w:hint="eastAsia"/>
          <w:color w:val="auto"/>
          <w:sz w:val="28"/>
          <w:szCs w:val="28"/>
          <w:highlight w:val="none"/>
          <w:lang w:val="en-US" w:eastAsia="zh-CN"/>
        </w:rPr>
        <w:t>，实际完成为</w:t>
      </w:r>
      <w:r>
        <w:rPr>
          <w:rFonts w:hint="eastAsia" w:cs="宋体"/>
          <w:color w:val="auto"/>
          <w:kern w:val="0"/>
          <w:sz w:val="28"/>
          <w:szCs w:val="28"/>
          <w:highlight w:val="none"/>
          <w:shd w:val="clear" w:color="auto" w:fill="auto"/>
          <w:lang w:val="en-US" w:eastAsia="zh-CN"/>
        </w:rPr>
        <w:t>2019年5月</w:t>
      </w:r>
      <w:r>
        <w:rPr>
          <w:rFonts w:hint="eastAsia"/>
          <w:color w:val="auto"/>
          <w:sz w:val="28"/>
          <w:szCs w:val="28"/>
          <w:highlight w:val="none"/>
          <w:lang w:val="en-US" w:eastAsia="zh-CN"/>
        </w:rPr>
        <w:t>；</w:t>
      </w:r>
    </w:p>
    <w:p>
      <w:pPr>
        <w:bidi w:val="0"/>
        <w:rPr>
          <w:rFonts w:hint="eastAsia"/>
          <w:color w:val="auto"/>
          <w:sz w:val="28"/>
          <w:szCs w:val="28"/>
          <w:highlight w:val="none"/>
          <w:lang w:eastAsia="zh-CN"/>
        </w:rPr>
      </w:pPr>
      <w:r>
        <w:rPr>
          <w:rFonts w:hint="eastAsia"/>
          <w:color w:val="auto"/>
          <w:sz w:val="28"/>
          <w:szCs w:val="28"/>
          <w:highlight w:val="none"/>
          <w:lang w:eastAsia="zh-CN"/>
        </w:rPr>
        <w:t>“</w:t>
      </w:r>
      <w:r>
        <w:rPr>
          <w:rFonts w:hint="eastAsia" w:cs="宋体"/>
          <w:color w:val="auto"/>
          <w:kern w:val="0"/>
          <w:sz w:val="28"/>
          <w:szCs w:val="28"/>
          <w:highlight w:val="none"/>
          <w:shd w:val="clear" w:color="auto" w:fill="auto"/>
          <w:lang w:val="en-US" w:eastAsia="zh-CN"/>
        </w:rPr>
        <w:t>完工时间</w:t>
      </w:r>
      <w:r>
        <w:rPr>
          <w:rFonts w:hint="eastAsia"/>
          <w:color w:val="auto"/>
          <w:sz w:val="28"/>
          <w:szCs w:val="28"/>
          <w:highlight w:val="none"/>
          <w:lang w:eastAsia="zh-CN"/>
        </w:rPr>
        <w:t>”</w:t>
      </w:r>
      <w:r>
        <w:rPr>
          <w:rFonts w:hint="eastAsia"/>
          <w:color w:val="auto"/>
          <w:sz w:val="28"/>
          <w:szCs w:val="28"/>
          <w:highlight w:val="none"/>
          <w:lang w:val="en-US" w:eastAsia="zh-CN"/>
        </w:rPr>
        <w:t>指标，预期目标值为</w:t>
      </w:r>
      <w:r>
        <w:rPr>
          <w:rFonts w:hint="eastAsia" w:cs="宋体"/>
          <w:color w:val="auto"/>
          <w:kern w:val="0"/>
          <w:sz w:val="28"/>
          <w:szCs w:val="28"/>
          <w:highlight w:val="none"/>
          <w:shd w:val="clear" w:color="auto" w:fill="auto"/>
          <w:lang w:val="en-US" w:eastAsia="zh-CN"/>
        </w:rPr>
        <w:t>2019年10月</w:t>
      </w:r>
      <w:r>
        <w:rPr>
          <w:rFonts w:hint="eastAsia"/>
          <w:color w:val="auto"/>
          <w:sz w:val="28"/>
          <w:szCs w:val="28"/>
          <w:highlight w:val="none"/>
          <w:lang w:val="en-US" w:eastAsia="zh-CN"/>
        </w:rPr>
        <w:t>，实际完成为</w:t>
      </w:r>
      <w:r>
        <w:rPr>
          <w:rFonts w:hint="eastAsia" w:cs="宋体"/>
          <w:color w:val="auto"/>
          <w:kern w:val="0"/>
          <w:sz w:val="28"/>
          <w:szCs w:val="28"/>
          <w:highlight w:val="none"/>
          <w:shd w:val="clear" w:color="auto" w:fill="auto"/>
          <w:lang w:val="en-US" w:eastAsia="zh-CN"/>
        </w:rPr>
        <w:t>2021年1月，扣2分</w:t>
      </w:r>
      <w:r>
        <w:rPr>
          <w:rFonts w:hint="eastAsia"/>
          <w:color w:val="auto"/>
          <w:sz w:val="28"/>
          <w:szCs w:val="28"/>
          <w:highlight w:val="none"/>
          <w:lang w:val="en-US" w:eastAsia="zh-CN"/>
        </w:rPr>
        <w:t>。</w:t>
      </w:r>
    </w:p>
    <w:p>
      <w:pPr>
        <w:bidi w:val="0"/>
        <w:rPr>
          <w:rFonts w:hint="eastAsia"/>
          <w:color w:val="auto"/>
          <w:highlight w:val="none"/>
          <w:lang w:eastAsia="zh-CN"/>
        </w:rPr>
      </w:pPr>
      <w:r>
        <w:rPr>
          <w:rFonts w:hint="eastAsia"/>
          <w:b/>
          <w:bCs/>
          <w:color w:val="auto"/>
          <w:highlight w:val="none"/>
          <w:lang w:val="en-US" w:eastAsia="zh-CN"/>
        </w:rPr>
        <w:t>综上，该项指标满分4分，得分2分。</w:t>
      </w:r>
    </w:p>
    <w:p>
      <w:pPr>
        <w:bidi w:val="0"/>
        <w:outlineLvl w:val="2"/>
        <w:rPr>
          <w:rFonts w:hint="default"/>
          <w:b/>
          <w:bCs/>
          <w:color w:val="auto"/>
          <w:highlight w:val="none"/>
          <w:lang w:val="en-US" w:eastAsia="zh-CN"/>
        </w:rPr>
      </w:pPr>
      <w:bookmarkStart w:id="73" w:name="_Toc32765"/>
      <w:r>
        <w:rPr>
          <w:rFonts w:hint="eastAsia"/>
          <w:b/>
          <w:bCs/>
          <w:color w:val="auto"/>
          <w:highlight w:val="none"/>
          <w:lang w:val="en-US" w:eastAsia="zh-CN"/>
        </w:rPr>
        <w:t>4.项目完成成本</w:t>
      </w:r>
      <w:bookmarkEnd w:id="73"/>
    </w:p>
    <w:p>
      <w:pPr>
        <w:bidi w:val="0"/>
        <w:rPr>
          <w:rFonts w:hint="eastAsia"/>
          <w:color w:val="auto"/>
          <w:sz w:val="28"/>
          <w:szCs w:val="28"/>
          <w:highlight w:val="none"/>
          <w:lang w:val="en-US" w:eastAsia="zh-CN"/>
        </w:rPr>
      </w:pPr>
      <w:r>
        <w:rPr>
          <w:rFonts w:hint="eastAsia"/>
          <w:color w:val="auto"/>
          <w:sz w:val="28"/>
          <w:szCs w:val="28"/>
          <w:highlight w:val="none"/>
          <w:lang w:eastAsia="zh-CN"/>
        </w:rPr>
        <w:t>“</w:t>
      </w:r>
      <w:r>
        <w:rPr>
          <w:rFonts w:hint="eastAsia"/>
          <w:color w:val="auto"/>
          <w:sz w:val="28"/>
          <w:szCs w:val="28"/>
          <w:highlight w:val="none"/>
          <w:lang w:val="en-US" w:eastAsia="zh-CN"/>
        </w:rPr>
        <w:t>项目总成本（万元）</w:t>
      </w:r>
      <w:r>
        <w:rPr>
          <w:rFonts w:hint="eastAsia"/>
          <w:color w:val="auto"/>
          <w:sz w:val="28"/>
          <w:szCs w:val="28"/>
          <w:highlight w:val="none"/>
          <w:lang w:eastAsia="zh-CN"/>
        </w:rPr>
        <w:t>”</w:t>
      </w:r>
      <w:r>
        <w:rPr>
          <w:rFonts w:hint="eastAsia"/>
          <w:color w:val="auto"/>
          <w:sz w:val="28"/>
          <w:szCs w:val="28"/>
          <w:highlight w:val="none"/>
          <w:lang w:val="en-US" w:eastAsia="zh-CN"/>
        </w:rPr>
        <w:t>指标，预期目标值为131.38万元，实际完成为131.38万元；</w:t>
      </w:r>
    </w:p>
    <w:p>
      <w:pPr>
        <w:bidi w:val="0"/>
        <w:rPr>
          <w:rFonts w:hint="eastAsia"/>
          <w:color w:val="auto"/>
          <w:highlight w:val="none"/>
          <w:lang w:eastAsia="zh-CN"/>
        </w:rPr>
      </w:pPr>
      <w:r>
        <w:rPr>
          <w:rFonts w:hint="eastAsia"/>
          <w:color w:val="auto"/>
          <w:highlight w:val="none"/>
          <w:lang w:val="en-US" w:eastAsia="zh-CN"/>
        </w:rPr>
        <w:t>实际完成率=（131.38万元/131.38万元）×100%=100%。</w:t>
      </w:r>
    </w:p>
    <w:p>
      <w:pPr>
        <w:bidi w:val="0"/>
        <w:rPr>
          <w:rFonts w:hint="eastAsia"/>
          <w:color w:val="auto"/>
          <w:highlight w:val="none"/>
          <w:lang w:eastAsia="zh-CN"/>
        </w:rPr>
      </w:pPr>
      <w:r>
        <w:rPr>
          <w:rFonts w:hint="eastAsia"/>
          <w:b/>
          <w:bCs/>
          <w:color w:val="auto"/>
          <w:highlight w:val="none"/>
          <w:lang w:val="en-US" w:eastAsia="zh-CN"/>
        </w:rPr>
        <w:t>综上，该项指标满分6分，得分6分。</w:t>
      </w:r>
    </w:p>
    <w:p>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auto"/>
          <w:highlight w:val="none"/>
          <w:shd w:val="clear" w:color="auto" w:fill="auto"/>
        </w:rPr>
      </w:pPr>
      <w:bookmarkStart w:id="74" w:name="_Toc18446"/>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lang w:val="en-US" w:eastAsia="zh-CN"/>
        </w:rPr>
        <w:t>四</w:t>
      </w:r>
      <w:r>
        <w:rPr>
          <w:rFonts w:hint="eastAsia" w:ascii="宋体" w:hAnsi="宋体" w:eastAsia="宋体" w:cs="宋体"/>
          <w:color w:val="auto"/>
          <w:highlight w:val="none"/>
          <w:shd w:val="clear" w:color="auto" w:fill="auto"/>
          <w:lang w:eastAsia="zh-CN"/>
        </w:rPr>
        <w:t>）</w:t>
      </w:r>
      <w:r>
        <w:rPr>
          <w:rFonts w:hint="eastAsia" w:ascii="宋体" w:hAnsi="宋体" w:eastAsia="宋体" w:cs="宋体"/>
          <w:color w:val="auto"/>
          <w:highlight w:val="none"/>
          <w:shd w:val="clear" w:color="auto" w:fill="auto"/>
        </w:rPr>
        <w:t>项目效益情况</w:t>
      </w:r>
      <w:bookmarkEnd w:id="74"/>
    </w:p>
    <w:p>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auto"/>
          <w:kern w:val="2"/>
          <w:highlight w:val="none"/>
          <w:u w:color="000000"/>
          <w:shd w:val="clear" w:color="auto" w:fill="auto"/>
          <w:lang w:val="zh-TW" w:eastAsia="zh-TW"/>
        </w:rPr>
      </w:pPr>
      <w:r>
        <w:rPr>
          <w:rFonts w:hint="eastAsia" w:ascii="宋体" w:hAnsi="宋体" w:eastAsia="宋体" w:cs="宋体"/>
          <w:color w:val="auto"/>
          <w:kern w:val="2"/>
          <w:highlight w:val="none"/>
          <w:u w:color="000000"/>
          <w:shd w:val="clear" w:color="auto" w:fill="auto"/>
          <w:lang w:val="zh-TW" w:eastAsia="zh-TW"/>
        </w:rPr>
        <w:t>项目</w:t>
      </w:r>
      <w:r>
        <w:rPr>
          <w:rFonts w:hint="eastAsia" w:cs="宋体"/>
          <w:color w:val="auto"/>
          <w:highlight w:val="none"/>
          <w:shd w:val="clear" w:color="auto" w:fill="auto"/>
          <w:lang w:val="en-US" w:eastAsia="zh-CN"/>
        </w:rPr>
        <w:t>效益</w:t>
      </w:r>
      <w:r>
        <w:rPr>
          <w:rFonts w:hint="eastAsia" w:ascii="宋体" w:hAnsi="宋体" w:eastAsia="宋体" w:cs="宋体"/>
          <w:color w:val="auto"/>
          <w:kern w:val="2"/>
          <w:highlight w:val="none"/>
          <w:u w:color="000000"/>
          <w:shd w:val="clear" w:color="auto" w:fill="auto"/>
          <w:lang w:val="zh-TW" w:eastAsia="zh-TW"/>
        </w:rPr>
        <w:t>类指标由</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val="zh-TW" w:eastAsia="zh-CN"/>
        </w:rPr>
        <w:t>二</w:t>
      </w:r>
      <w:r>
        <w:rPr>
          <w:rFonts w:hint="eastAsia" w:ascii="宋体" w:hAnsi="宋体" w:eastAsia="宋体" w:cs="宋体"/>
          <w:color w:val="auto"/>
          <w:kern w:val="2"/>
          <w:highlight w:val="none"/>
          <w:u w:color="000000"/>
          <w:shd w:val="clear" w:color="auto" w:fill="auto"/>
          <w:lang w:val="zh-TW" w:eastAsia="zh-TW"/>
        </w:rPr>
        <w:t>级指标和</w:t>
      </w:r>
      <w:r>
        <w:rPr>
          <w:rFonts w:hint="eastAsia" w:cs="宋体"/>
          <w:color w:val="auto"/>
          <w:kern w:val="2"/>
          <w:highlight w:val="none"/>
          <w:u w:color="000000"/>
          <w:shd w:val="clear" w:color="auto" w:fill="auto"/>
          <w:lang w:val="en-US" w:eastAsia="zh-CN"/>
        </w:rPr>
        <w:t>2</w:t>
      </w:r>
      <w:r>
        <w:rPr>
          <w:rFonts w:hint="eastAsia" w:ascii="宋体" w:hAnsi="宋体" w:eastAsia="宋体" w:cs="宋体"/>
          <w:color w:val="auto"/>
          <w:kern w:val="2"/>
          <w:highlight w:val="none"/>
          <w:u w:color="000000"/>
          <w:shd w:val="clear" w:color="auto" w:fill="auto"/>
          <w:lang w:val="zh-TW" w:eastAsia="zh-TW"/>
        </w:rPr>
        <w:t>个</w:t>
      </w:r>
      <w:r>
        <w:rPr>
          <w:rFonts w:hint="eastAsia" w:ascii="宋体" w:hAnsi="宋体" w:eastAsia="宋体" w:cs="宋体"/>
          <w:color w:val="auto"/>
          <w:kern w:val="2"/>
          <w:highlight w:val="none"/>
          <w:u w:color="000000"/>
          <w:shd w:val="clear" w:color="auto" w:fill="auto"/>
          <w:lang w:eastAsia="zh-CN"/>
        </w:rPr>
        <w:t>三</w:t>
      </w:r>
      <w:r>
        <w:rPr>
          <w:rFonts w:hint="eastAsia" w:ascii="宋体" w:hAnsi="宋体" w:eastAsia="宋体" w:cs="宋体"/>
          <w:color w:val="auto"/>
          <w:kern w:val="2"/>
          <w:highlight w:val="none"/>
          <w:u w:color="000000"/>
          <w:shd w:val="clear" w:color="auto" w:fill="auto"/>
          <w:lang w:val="zh-TW" w:eastAsia="zh-TW"/>
        </w:rPr>
        <w:t>级指标构成，权重分</w:t>
      </w:r>
      <w:r>
        <w:rPr>
          <w:rFonts w:hint="eastAsia" w:ascii="宋体" w:hAnsi="宋体" w:eastAsia="宋体"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分，实际得分</w:t>
      </w:r>
      <w:r>
        <w:rPr>
          <w:rFonts w:hint="eastAsia" w:cs="宋体"/>
          <w:color w:val="auto"/>
          <w:kern w:val="2"/>
          <w:highlight w:val="none"/>
          <w:u w:color="000000"/>
          <w:shd w:val="clear" w:color="auto" w:fill="auto"/>
          <w:lang w:val="en-US" w:eastAsia="zh-CN"/>
        </w:rPr>
        <w:t>30</w:t>
      </w:r>
      <w:r>
        <w:rPr>
          <w:rFonts w:hint="eastAsia" w:ascii="宋体" w:hAnsi="宋体" w:eastAsia="宋体" w:cs="宋体"/>
          <w:color w:val="auto"/>
          <w:kern w:val="2"/>
          <w:highlight w:val="none"/>
          <w:u w:color="000000"/>
          <w:shd w:val="clear" w:color="auto" w:fill="auto"/>
          <w:lang w:val="zh-TW" w:eastAsia="zh-TW"/>
        </w:rPr>
        <w:t>分</w:t>
      </w:r>
      <w:r>
        <w:rPr>
          <w:rFonts w:hint="eastAsia" w:ascii="宋体" w:hAnsi="宋体" w:eastAsia="宋体" w:cs="宋体"/>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各指标业绩值和绩效分值如表</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eastAsia="zh-CN"/>
        </w:rPr>
        <w:t>-</w:t>
      </w:r>
      <w:r>
        <w:rPr>
          <w:rFonts w:hint="eastAsia" w:ascii="宋体" w:hAnsi="宋体" w:eastAsia="宋体" w:cs="宋体"/>
          <w:color w:val="auto"/>
          <w:kern w:val="2"/>
          <w:highlight w:val="none"/>
          <w:u w:color="000000"/>
          <w:shd w:val="clear" w:color="auto" w:fill="auto"/>
          <w:lang w:val="en-US" w:eastAsia="zh-CN"/>
        </w:rPr>
        <w:t>4</w:t>
      </w:r>
      <w:r>
        <w:rPr>
          <w:rFonts w:hint="eastAsia" w:ascii="宋体" w:hAnsi="宋体" w:eastAsia="宋体" w:cs="宋体"/>
          <w:color w:val="auto"/>
          <w:kern w:val="2"/>
          <w:highlight w:val="none"/>
          <w:u w:color="000000"/>
          <w:shd w:val="clear" w:color="auto" w:fill="auto"/>
          <w:lang w:val="zh-TW" w:eastAsia="zh-TW"/>
        </w:rPr>
        <w:t>所示</w:t>
      </w:r>
      <w:r>
        <w:rPr>
          <w:rFonts w:hint="eastAsia" w:cs="宋体"/>
          <w:b/>
          <w:bCs/>
          <w:color w:val="auto"/>
          <w:kern w:val="2"/>
          <w:highlight w:val="none"/>
          <w:u w:color="000000"/>
          <w:shd w:val="clear" w:color="auto" w:fill="auto"/>
          <w:lang w:val="zh-TW" w:eastAsia="zh-CN"/>
        </w:rPr>
        <w:t>（</w:t>
      </w:r>
      <w:r>
        <w:rPr>
          <w:rFonts w:hint="eastAsia" w:cs="宋体"/>
          <w:b/>
          <w:bCs/>
          <w:color w:val="auto"/>
          <w:kern w:val="2"/>
          <w:highlight w:val="none"/>
          <w:u w:color="000000"/>
          <w:shd w:val="clear" w:color="auto" w:fill="auto"/>
          <w:lang w:val="en-US" w:eastAsia="zh-CN"/>
        </w:rPr>
        <w:t>详见上传的附件</w:t>
      </w:r>
      <w:r>
        <w:rPr>
          <w:rFonts w:hint="eastAsia" w:cs="宋体"/>
          <w:b/>
          <w:bCs/>
          <w:color w:val="auto"/>
          <w:kern w:val="2"/>
          <w:highlight w:val="none"/>
          <w:u w:color="000000"/>
          <w:shd w:val="clear" w:color="auto" w:fill="auto"/>
          <w:lang w:val="zh-TW" w:eastAsia="zh-CN"/>
        </w:rPr>
        <w:t>）</w:t>
      </w:r>
      <w:r>
        <w:rPr>
          <w:rFonts w:hint="eastAsia" w:ascii="宋体" w:hAnsi="宋体" w:eastAsia="宋体" w:cs="宋体"/>
          <w:color w:val="auto"/>
          <w:kern w:val="2"/>
          <w:highlight w:val="none"/>
          <w:u w:color="000000"/>
          <w:shd w:val="clear" w:color="auto" w:fill="auto"/>
          <w:lang w:val="zh-TW" w:eastAsia="zh-TW"/>
        </w:rPr>
        <w:t>：</w:t>
      </w:r>
    </w:p>
    <w:p>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auto"/>
          <w:kern w:val="0"/>
          <w:sz w:val="28"/>
          <w:szCs w:val="28"/>
          <w:highlight w:val="none"/>
          <w:shd w:val="clear" w:color="auto" w:fill="auto"/>
          <w:lang w:val="en-US" w:eastAsia="zh-CN"/>
        </w:rPr>
      </w:pPr>
      <w:r>
        <w:rPr>
          <w:rFonts w:hint="eastAsia" w:ascii="宋体" w:hAnsi="宋体" w:eastAsia="宋体" w:cs="宋体"/>
          <w:b/>
          <w:bCs/>
          <w:color w:val="auto"/>
          <w:kern w:val="0"/>
          <w:sz w:val="28"/>
          <w:szCs w:val="28"/>
          <w:highlight w:val="none"/>
          <w:shd w:val="clear" w:color="auto" w:fill="auto"/>
          <w:lang w:val="zh-TW" w:eastAsia="zh-TW"/>
        </w:rPr>
        <w:t>表</w:t>
      </w:r>
      <w:r>
        <w:rPr>
          <w:rFonts w:hint="eastAsia" w:ascii="宋体" w:hAnsi="宋体" w:eastAsia="宋体" w:cs="宋体"/>
          <w:b/>
          <w:bCs/>
          <w:color w:val="auto"/>
          <w:kern w:val="0"/>
          <w:sz w:val="28"/>
          <w:szCs w:val="28"/>
          <w:highlight w:val="none"/>
          <w:shd w:val="clear" w:color="auto" w:fill="auto"/>
          <w:lang w:val="en-US" w:eastAsia="zh-CN"/>
        </w:rPr>
        <w:t>4-4项目效益</w:t>
      </w:r>
      <w:r>
        <w:rPr>
          <w:rFonts w:hint="eastAsia" w:ascii="宋体" w:hAnsi="宋体" w:eastAsia="宋体" w:cs="宋体"/>
          <w:b/>
          <w:bCs/>
          <w:color w:val="auto"/>
          <w:kern w:val="0"/>
          <w:sz w:val="28"/>
          <w:szCs w:val="28"/>
          <w:highlight w:val="none"/>
          <w:shd w:val="clear" w:color="auto" w:fill="auto"/>
          <w:lang w:val="zh-TW" w:eastAsia="zh-TW"/>
        </w:rPr>
        <w:t>指标及分值</w:t>
      </w:r>
      <w:r>
        <w:rPr>
          <w:rFonts w:hint="eastAsia" w:ascii="宋体" w:hAnsi="宋体" w:eastAsia="宋体" w:cs="宋体"/>
          <w:b/>
          <w:bCs/>
          <w:color w:val="auto"/>
          <w:kern w:val="0"/>
          <w:sz w:val="28"/>
          <w:szCs w:val="28"/>
          <w:highlight w:val="none"/>
          <w:shd w:val="clear" w:color="auto" w:fill="auto"/>
          <w:lang w:val="en-US" w:eastAsia="zh-CN"/>
        </w:rPr>
        <w:t>情况</w:t>
      </w:r>
    </w:p>
    <w:tbl>
      <w:tblPr>
        <w:tblStyle w:val="11"/>
        <w:tblW w:w="8372" w:type="dxa"/>
        <w:jc w:val="center"/>
        <w:tblInd w:w="0" w:type="dxa"/>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tblPrEx>
          <w:tblLayout w:type="fixed"/>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一级</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年度指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标杆</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全年实</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指标</w:t>
            </w:r>
          </w:p>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auto"/>
                <w:kern w:val="0"/>
                <w:sz w:val="20"/>
                <w:szCs w:val="20"/>
                <w:highlight w:val="none"/>
                <w:shd w:val="clear" w:color="auto" w:fill="auto"/>
                <w:lang w:val="en-US" w:eastAsia="zh-CN"/>
              </w:rPr>
            </w:pPr>
            <w:r>
              <w:rPr>
                <w:rFonts w:hint="eastAsia" w:ascii="宋体" w:hAnsi="宋体" w:eastAsia="宋体" w:cs="宋体"/>
                <w:b/>
                <w:bCs/>
                <w:color w:val="auto"/>
                <w:kern w:val="0"/>
                <w:sz w:val="20"/>
                <w:szCs w:val="20"/>
                <w:highlight w:val="none"/>
                <w:shd w:val="clear" w:color="auto" w:fill="auto"/>
                <w:lang w:val="en-US" w:eastAsia="zh-CN"/>
              </w:rPr>
              <w:t>得分</w:t>
            </w:r>
          </w:p>
        </w:tc>
      </w:tr>
      <w:tr>
        <w:tblPrEx>
          <w:tblLayout w:type="fixed"/>
          <w:tblCellMar>
            <w:top w:w="0" w:type="dxa"/>
            <w:left w:w="0" w:type="dxa"/>
            <w:bottom w:w="0" w:type="dxa"/>
            <w:right w:w="0" w:type="dxa"/>
          </w:tblCellMar>
        </w:tblPrEx>
        <w:trPr>
          <w:trHeight w:val="436" w:hRule="atLeast"/>
          <w:jc w:val="center"/>
        </w:trPr>
        <w:tc>
          <w:tcPr>
            <w:tcW w:w="685" w:type="dxa"/>
            <w:vMerge w:val="restart"/>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效益</w:t>
            </w: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restart"/>
            <w:tcBorders>
              <w:top w:val="single" w:color="000000" w:sz="4" w:space="0"/>
              <w:left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促进妇幼保健服务业务的发展</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促进</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vMerge w:val="continue"/>
            <w:tcBorders>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提高妇女儿童健康水平</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auto"/>
                <w:kern w:val="0"/>
                <w:sz w:val="20"/>
                <w:szCs w:val="20"/>
                <w:highlight w:val="none"/>
                <w:shd w:val="clear" w:color="auto" w:fill="auto"/>
                <w:lang w:val="en-US" w:eastAsia="zh-CN"/>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cs="宋体"/>
                <w:color w:val="auto"/>
                <w:kern w:val="0"/>
                <w:sz w:val="20"/>
                <w:szCs w:val="20"/>
                <w:highlight w:val="none"/>
                <w:shd w:val="clear" w:color="auto" w:fill="auto"/>
                <w:lang w:val="en-US" w:eastAsia="zh-CN"/>
              </w:rPr>
              <w:t>/</w:t>
            </w:r>
          </w:p>
        </w:tc>
      </w:tr>
      <w:tr>
        <w:tblPrEx>
          <w:tblLayout w:type="fixed"/>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患者满意度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90%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10</w:t>
            </w:r>
          </w:p>
        </w:tc>
      </w:tr>
      <w:tr>
        <w:tblPrEx>
          <w:tblLayout w:type="fixed"/>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r>
              <w:rPr>
                <w:rFonts w:hint="eastAsia" w:ascii="宋体" w:hAnsi="宋体" w:eastAsia="宋体" w:cs="宋体"/>
                <w:color w:val="auto"/>
                <w:kern w:val="0"/>
                <w:sz w:val="20"/>
                <w:szCs w:val="20"/>
                <w:highlight w:val="none"/>
                <w:shd w:val="clear" w:color="auto" w:fill="auto"/>
                <w:lang w:val="en-US" w:eastAsia="zh-CN"/>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auto"/>
                <w:kern w:val="0"/>
                <w:sz w:val="20"/>
                <w:szCs w:val="20"/>
                <w:highlight w:val="none"/>
                <w:shd w:val="clear" w:color="auto" w:fill="auto"/>
                <w:lang w:val="en-US" w:eastAsia="zh-CN"/>
              </w:rPr>
            </w:pPr>
            <w:r>
              <w:rPr>
                <w:rFonts w:hint="eastAsia" w:cs="宋体"/>
                <w:color w:val="auto"/>
                <w:kern w:val="0"/>
                <w:sz w:val="20"/>
                <w:szCs w:val="20"/>
                <w:highlight w:val="none"/>
                <w:shd w:val="clear" w:color="auto" w:fill="auto"/>
                <w:lang w:val="en-US" w:eastAsia="zh-CN"/>
              </w:rPr>
              <w:t>30</w:t>
            </w:r>
          </w:p>
        </w:tc>
      </w:tr>
    </w:tbl>
    <w:p>
      <w:pPr>
        <w:bidi w:val="0"/>
        <w:outlineLvl w:val="2"/>
        <w:rPr>
          <w:rFonts w:hint="default"/>
          <w:b/>
          <w:bCs/>
          <w:color w:val="auto"/>
          <w:highlight w:val="none"/>
          <w:lang w:val="en-US" w:eastAsia="zh-CN"/>
        </w:rPr>
      </w:pPr>
      <w:bookmarkStart w:id="75" w:name="_Toc8010"/>
      <w:r>
        <w:rPr>
          <w:rFonts w:hint="eastAsia"/>
          <w:b/>
          <w:bCs/>
          <w:color w:val="auto"/>
          <w:highlight w:val="none"/>
          <w:lang w:val="en-US" w:eastAsia="zh-CN"/>
        </w:rPr>
        <w:t>1.经济效益指标</w:t>
      </w:r>
      <w:bookmarkEnd w:id="75"/>
    </w:p>
    <w:p>
      <w:pPr>
        <w:bidi w:val="0"/>
        <w:rPr>
          <w:rFonts w:hint="eastAsia"/>
          <w:b/>
          <w:bCs/>
          <w:color w:val="auto"/>
          <w:highlight w:val="none"/>
          <w:lang w:val="en-US" w:eastAsia="zh-CN"/>
        </w:rPr>
      </w:pPr>
      <w:r>
        <w:rPr>
          <w:rFonts w:hint="eastAsia"/>
          <w:color w:val="auto"/>
          <w:highlight w:val="none"/>
          <w:lang w:val="en-US" w:eastAsia="zh-CN"/>
        </w:rPr>
        <w:t>本项目不存在经济效益指标。</w:t>
      </w:r>
    </w:p>
    <w:p>
      <w:pPr>
        <w:bidi w:val="0"/>
        <w:outlineLvl w:val="2"/>
        <w:rPr>
          <w:rFonts w:hint="eastAsia"/>
          <w:b/>
          <w:bCs/>
          <w:color w:val="auto"/>
          <w:highlight w:val="none"/>
          <w:lang w:val="en-US" w:eastAsia="zh-CN"/>
        </w:rPr>
      </w:pPr>
      <w:bookmarkStart w:id="76" w:name="_Toc27006"/>
      <w:r>
        <w:rPr>
          <w:rFonts w:hint="eastAsia"/>
          <w:b/>
          <w:bCs/>
          <w:color w:val="auto"/>
          <w:highlight w:val="none"/>
          <w:lang w:val="en-US" w:eastAsia="zh-CN"/>
        </w:rPr>
        <w:t>2.社会效益指标</w:t>
      </w:r>
      <w:bookmarkEnd w:id="76"/>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促进妇幼保健服务业务的发展</w:t>
      </w:r>
      <w:r>
        <w:rPr>
          <w:rFonts w:hint="eastAsia"/>
          <w:color w:val="auto"/>
          <w:highlight w:val="none"/>
          <w:lang w:eastAsia="zh-CN"/>
        </w:rPr>
        <w:t>”</w:t>
      </w:r>
      <w:r>
        <w:rPr>
          <w:rFonts w:hint="eastAsia"/>
          <w:color w:val="auto"/>
          <w:highlight w:val="none"/>
          <w:lang w:val="en-US" w:eastAsia="zh-CN"/>
        </w:rPr>
        <w:t>指标，预期目标值为促进，实际完成为100%。</w:t>
      </w:r>
    </w:p>
    <w:p>
      <w:pPr>
        <w:bidi w:val="0"/>
        <w:rPr>
          <w:rFonts w:hint="eastAsia"/>
          <w:color w:val="auto"/>
          <w:highlight w:val="none"/>
          <w:lang w:val="en-US" w:eastAsia="zh-CN"/>
        </w:rPr>
      </w:pPr>
      <w:r>
        <w:rPr>
          <w:rFonts w:hint="eastAsia"/>
          <w:color w:val="auto"/>
          <w:highlight w:val="none"/>
          <w:lang w:eastAsia="zh-CN"/>
        </w:rPr>
        <w:t>“</w:t>
      </w:r>
      <w:r>
        <w:rPr>
          <w:rFonts w:hint="eastAsia"/>
          <w:color w:val="auto"/>
          <w:highlight w:val="none"/>
          <w:lang w:val="en-US" w:eastAsia="zh-CN"/>
        </w:rPr>
        <w:t>提高妇女儿童健康水平</w:t>
      </w:r>
      <w:r>
        <w:rPr>
          <w:rFonts w:hint="eastAsia"/>
          <w:color w:val="auto"/>
          <w:highlight w:val="none"/>
          <w:lang w:eastAsia="zh-CN"/>
        </w:rPr>
        <w:t>”</w:t>
      </w:r>
      <w:r>
        <w:rPr>
          <w:rFonts w:hint="eastAsia"/>
          <w:color w:val="auto"/>
          <w:highlight w:val="none"/>
          <w:lang w:val="en-US" w:eastAsia="zh-CN"/>
        </w:rPr>
        <w:t>指标，预期目标值为提高，实际完成为100%。</w:t>
      </w:r>
    </w:p>
    <w:p>
      <w:pPr>
        <w:bidi w:val="0"/>
        <w:rPr>
          <w:rFonts w:hint="eastAsia"/>
          <w:color w:val="auto"/>
          <w:highlight w:val="none"/>
          <w:lang w:val="en-US" w:eastAsia="zh-CN"/>
        </w:rPr>
      </w:pPr>
      <w:r>
        <w:rPr>
          <w:rFonts w:hint="eastAsia"/>
          <w:b/>
          <w:bCs/>
          <w:color w:val="auto"/>
          <w:highlight w:val="none"/>
          <w:lang w:val="en-US" w:eastAsia="zh-CN"/>
        </w:rPr>
        <w:t>综上，该项指标满分20分，得分20分。</w:t>
      </w:r>
    </w:p>
    <w:p>
      <w:pPr>
        <w:bidi w:val="0"/>
        <w:outlineLvl w:val="2"/>
        <w:rPr>
          <w:rFonts w:hint="eastAsia"/>
          <w:color w:val="auto"/>
          <w:highlight w:val="none"/>
          <w:lang w:val="en-US" w:eastAsia="zh-CN"/>
        </w:rPr>
      </w:pPr>
      <w:bookmarkStart w:id="77" w:name="_Toc23106"/>
      <w:r>
        <w:rPr>
          <w:rFonts w:hint="eastAsia"/>
          <w:b/>
          <w:bCs/>
          <w:color w:val="auto"/>
          <w:highlight w:val="none"/>
          <w:lang w:val="en-US" w:eastAsia="zh-CN"/>
        </w:rPr>
        <w:t>3.生态效益指标</w:t>
      </w:r>
      <w:bookmarkEnd w:id="77"/>
    </w:p>
    <w:p>
      <w:pPr>
        <w:bidi w:val="0"/>
        <w:rPr>
          <w:rFonts w:hint="eastAsia"/>
          <w:color w:val="auto"/>
          <w:highlight w:val="none"/>
          <w:lang w:val="en-US" w:eastAsia="zh-CN"/>
        </w:rPr>
      </w:pPr>
      <w:r>
        <w:rPr>
          <w:rFonts w:hint="eastAsia"/>
          <w:color w:val="auto"/>
          <w:highlight w:val="none"/>
          <w:lang w:val="en-US" w:eastAsia="zh-CN"/>
        </w:rPr>
        <w:t>本项目不存在生态效益指标</w:t>
      </w:r>
      <w:r>
        <w:rPr>
          <w:rFonts w:hint="eastAsia"/>
          <w:b w:val="0"/>
          <w:bCs w:val="0"/>
          <w:color w:val="auto"/>
          <w:highlight w:val="none"/>
          <w:lang w:val="en-US" w:eastAsia="zh-CN"/>
        </w:rPr>
        <w:t>。</w:t>
      </w:r>
    </w:p>
    <w:p>
      <w:pPr>
        <w:bidi w:val="0"/>
        <w:outlineLvl w:val="2"/>
        <w:rPr>
          <w:rFonts w:hint="eastAsia"/>
          <w:b/>
          <w:bCs/>
          <w:color w:val="auto"/>
          <w:highlight w:val="none"/>
          <w:lang w:val="en-US" w:eastAsia="zh-CN"/>
        </w:rPr>
      </w:pPr>
      <w:bookmarkStart w:id="78" w:name="_Toc3271"/>
      <w:r>
        <w:rPr>
          <w:rFonts w:hint="eastAsia"/>
          <w:b/>
          <w:bCs/>
          <w:color w:val="auto"/>
          <w:highlight w:val="none"/>
          <w:lang w:val="en-US" w:eastAsia="zh-CN"/>
        </w:rPr>
        <w:t>4.满意度指标</w:t>
      </w:r>
      <w:bookmarkEnd w:id="78"/>
    </w:p>
    <w:p>
      <w:pPr>
        <w:bidi w:val="0"/>
        <w:rPr>
          <w:rFonts w:hint="eastAsia"/>
          <w:color w:val="auto"/>
          <w:highlight w:val="none"/>
          <w:lang w:val="en-US" w:eastAsia="zh-CN"/>
        </w:rPr>
      </w:pPr>
      <w:bookmarkStart w:id="79" w:name="_Toc19962"/>
      <w:r>
        <w:rPr>
          <w:rFonts w:hint="eastAsia"/>
          <w:color w:val="auto"/>
          <w:highlight w:val="none"/>
          <w:lang w:eastAsia="zh-CN"/>
        </w:rPr>
        <w:t>“</w:t>
      </w:r>
      <w:r>
        <w:rPr>
          <w:rFonts w:hint="eastAsia"/>
          <w:color w:val="auto"/>
          <w:highlight w:val="none"/>
          <w:lang w:val="en-US" w:eastAsia="zh-CN"/>
        </w:rPr>
        <w:t>患者满意度</w:t>
      </w:r>
      <w:r>
        <w:rPr>
          <w:rFonts w:hint="eastAsia"/>
          <w:color w:val="auto"/>
          <w:highlight w:val="none"/>
          <w:lang w:eastAsia="zh-CN"/>
        </w:rPr>
        <w:t>”</w:t>
      </w:r>
      <w:r>
        <w:rPr>
          <w:rFonts w:hint="eastAsia"/>
          <w:color w:val="auto"/>
          <w:highlight w:val="none"/>
          <w:lang w:val="en-US" w:eastAsia="zh-CN"/>
        </w:rPr>
        <w:t>指标，预期目标值为90%，实际完成为90%。</w:t>
      </w:r>
    </w:p>
    <w:p>
      <w:pPr>
        <w:bidi w:val="0"/>
        <w:rPr>
          <w:rFonts w:hint="eastAsia"/>
          <w:color w:val="auto"/>
          <w:highlight w:val="none"/>
          <w:lang w:val="en-US" w:eastAsia="zh-CN"/>
        </w:rPr>
      </w:pPr>
      <w:r>
        <w:rPr>
          <w:rFonts w:hint="eastAsia"/>
          <w:b/>
          <w:bCs/>
          <w:color w:val="auto"/>
          <w:highlight w:val="none"/>
          <w:lang w:val="en-US" w:eastAsia="zh-CN"/>
        </w:rPr>
        <w:t>综上，该项指标满分10分，得分10分。</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五、预算执行进度与指标偏差</w:t>
      </w:r>
      <w:bookmarkEnd w:id="79"/>
    </w:p>
    <w:p>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cs="仿宋_GB2312"/>
          <w:color w:val="auto"/>
          <w:sz w:val="28"/>
          <w:szCs w:val="28"/>
          <w:highlight w:val="none"/>
          <w:lang w:val="en-US" w:eastAsia="zh-CN"/>
        </w:rPr>
      </w:pPr>
      <w:r>
        <w:rPr>
          <w:rFonts w:hint="eastAsia" w:cs="仿宋_GB2312"/>
          <w:color w:val="auto"/>
          <w:sz w:val="28"/>
          <w:szCs w:val="28"/>
          <w:highlight w:val="none"/>
          <w:lang w:val="en-US" w:eastAsia="zh-CN"/>
        </w:rPr>
        <w:t>该</w:t>
      </w:r>
      <w:r>
        <w:rPr>
          <w:rFonts w:hint="eastAsia" w:cs="仿宋_GB2312"/>
          <w:color w:val="auto"/>
          <w:sz w:val="28"/>
          <w:szCs w:val="28"/>
          <w:highlight w:val="none"/>
          <w:lang w:eastAsia="zh-CN"/>
        </w:rPr>
        <w:t>项目预算资金</w:t>
      </w:r>
      <w:r>
        <w:rPr>
          <w:rFonts w:hint="eastAsia" w:cs="仿宋_GB2312"/>
          <w:b w:val="0"/>
          <w:bCs w:val="0"/>
          <w:color w:val="auto"/>
          <w:sz w:val="28"/>
          <w:szCs w:val="28"/>
          <w:highlight w:val="none"/>
          <w:lang w:eastAsia="zh-CN"/>
        </w:rPr>
        <w:t>总额为</w:t>
      </w:r>
      <w:r>
        <w:rPr>
          <w:rFonts w:hint="eastAsia"/>
          <w:b w:val="0"/>
          <w:bCs w:val="0"/>
          <w:color w:val="auto"/>
          <w:highlight w:val="none"/>
          <w:lang w:val="en-US" w:eastAsia="zh-CN"/>
        </w:rPr>
        <w:t>131.38</w:t>
      </w:r>
      <w:r>
        <w:rPr>
          <w:rFonts w:hint="eastAsia" w:cs="仿宋_GB2312"/>
          <w:b w:val="0"/>
          <w:bCs w:val="0"/>
          <w:color w:val="auto"/>
          <w:sz w:val="28"/>
          <w:szCs w:val="28"/>
          <w:highlight w:val="none"/>
          <w:lang w:val="en-US" w:eastAsia="zh-CN"/>
        </w:rPr>
        <w:t>万元，全年执行数为</w:t>
      </w:r>
      <w:r>
        <w:rPr>
          <w:rFonts w:hint="eastAsia"/>
          <w:b w:val="0"/>
          <w:bCs w:val="0"/>
          <w:color w:val="auto"/>
          <w:highlight w:val="none"/>
          <w:lang w:val="en-US" w:eastAsia="zh-CN"/>
        </w:rPr>
        <w:t>131.38</w:t>
      </w:r>
      <w:r>
        <w:rPr>
          <w:rFonts w:hint="eastAsia" w:cs="仿宋_GB2312"/>
          <w:b w:val="0"/>
          <w:bCs w:val="0"/>
          <w:color w:val="auto"/>
          <w:sz w:val="28"/>
          <w:szCs w:val="28"/>
          <w:highlight w:val="none"/>
          <w:lang w:val="en-US" w:eastAsia="zh-CN"/>
        </w:rPr>
        <w:t>万元，预算执行率为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en-US" w:eastAsia="zh-CN"/>
        </w:rPr>
        <w:t>%，</w:t>
      </w:r>
      <w:r>
        <w:rPr>
          <w:rFonts w:hint="eastAsia" w:cs="仿宋_GB2312"/>
          <w:b w:val="0"/>
          <w:bCs w:val="0"/>
          <w:color w:val="auto"/>
          <w:sz w:val="28"/>
          <w:szCs w:val="28"/>
          <w:highlight w:val="none"/>
          <w:lang w:eastAsia="zh-CN"/>
        </w:rPr>
        <w:t>总体完成率为</w:t>
      </w:r>
      <w:r>
        <w:rPr>
          <w:rFonts w:hint="eastAsia"/>
          <w:b w:val="0"/>
          <w:bCs w:val="0"/>
          <w:color w:val="auto"/>
          <w:highlight w:val="none"/>
          <w:lang w:val="en-US" w:eastAsia="zh-CN"/>
        </w:rPr>
        <w:t>100</w:t>
      </w:r>
      <w:r>
        <w:rPr>
          <w:rFonts w:hint="eastAsia" w:cs="仿宋_GB2312"/>
          <w:b w:val="0"/>
          <w:bCs w:val="0"/>
          <w:color w:val="auto"/>
          <w:sz w:val="28"/>
          <w:szCs w:val="28"/>
          <w:highlight w:val="none"/>
          <w:lang w:val="zh-TW" w:eastAsia="zh-TW"/>
        </w:rPr>
        <w:t>%。</w:t>
      </w:r>
      <w:r>
        <w:rPr>
          <w:rFonts w:hint="eastAsia" w:cs="仿宋_GB2312"/>
          <w:b w:val="0"/>
          <w:bCs w:val="0"/>
          <w:color w:val="auto"/>
          <w:sz w:val="28"/>
          <w:szCs w:val="28"/>
          <w:highlight w:val="none"/>
          <w:lang w:val="en-US" w:eastAsia="zh-CN"/>
        </w:rPr>
        <w:t>预算执行率与总体完成率之间的偏差为</w:t>
      </w:r>
      <w:r>
        <w:rPr>
          <w:rFonts w:hint="eastAsia"/>
          <w:b w:val="0"/>
          <w:bCs w:val="0"/>
          <w:color w:val="auto"/>
          <w:highlight w:val="none"/>
          <w:lang w:val="en-US" w:eastAsia="zh-CN"/>
        </w:rPr>
        <w:t>0</w:t>
      </w:r>
      <w:r>
        <w:rPr>
          <w:rFonts w:hint="eastAsia" w:cs="仿宋_GB2312"/>
          <w:b w:val="0"/>
          <w:bCs w:val="0"/>
          <w:color w:val="auto"/>
          <w:sz w:val="28"/>
          <w:szCs w:val="28"/>
          <w:highlight w:val="none"/>
          <w:lang w:val="en-US" w:eastAsia="zh-CN"/>
        </w:rPr>
        <w:t>%，无</w:t>
      </w:r>
      <w:r>
        <w:rPr>
          <w:rFonts w:hint="eastAsia"/>
          <w:b w:val="0"/>
          <w:bCs w:val="0"/>
          <w:color w:val="auto"/>
          <w:highlight w:val="none"/>
        </w:rPr>
        <w:t>偏差</w:t>
      </w:r>
      <w:r>
        <w:rPr>
          <w:rFonts w:hint="eastAsia" w:ascii="仿宋_GB2312" w:hAnsi="仿宋_GB2312" w:cs="仿宋_GB2312"/>
          <w:color w:val="auto"/>
          <w:sz w:val="28"/>
          <w:szCs w:val="28"/>
          <w:highlight w:val="none"/>
        </w:rPr>
        <w:t>。</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0" w:name="_Toc29934"/>
      <w:r>
        <w:rPr>
          <w:rFonts w:hint="eastAsia" w:ascii="宋体" w:hAnsi="宋体" w:eastAsia="宋体" w:cs="宋体"/>
          <w:b/>
          <w:bCs/>
          <w:color w:val="auto"/>
          <w:highlight w:val="none"/>
          <w:shd w:val="clear" w:color="auto" w:fill="auto"/>
          <w:lang w:val="en-US" w:eastAsia="zh-CN"/>
        </w:rPr>
        <w:t>六、主要经验及做法、存在的问题及原因分析</w:t>
      </w:r>
      <w:bookmarkEnd w:id="80"/>
    </w:p>
    <w:p>
      <w:pPr>
        <w:numPr>
          <w:ilvl w:val="0"/>
          <w:numId w:val="0"/>
        </w:numPr>
        <w:bidi w:val="0"/>
        <w:ind w:left="560" w:leftChars="0"/>
        <w:outlineLvl w:val="1"/>
        <w:rPr>
          <w:rFonts w:hint="eastAsia"/>
          <w:b/>
          <w:bCs/>
          <w:color w:val="auto"/>
          <w:highlight w:val="none"/>
          <w:lang w:eastAsia="zh-CN"/>
        </w:rPr>
      </w:pPr>
      <w:bookmarkStart w:id="81" w:name="_Toc13160"/>
      <w:bookmarkStart w:id="82" w:name="_Toc28290"/>
      <w:bookmarkStart w:id="83" w:name="_Toc1921"/>
      <w:r>
        <w:rPr>
          <w:rFonts w:hint="eastAsia"/>
          <w:b/>
          <w:bCs/>
          <w:color w:val="auto"/>
          <w:highlight w:val="none"/>
          <w:lang w:eastAsia="zh-CN"/>
        </w:rPr>
        <w:t>（</w:t>
      </w:r>
      <w:r>
        <w:rPr>
          <w:rFonts w:hint="eastAsia"/>
          <w:b/>
          <w:bCs/>
          <w:color w:val="auto"/>
          <w:highlight w:val="none"/>
          <w:lang w:val="en-US" w:eastAsia="zh-CN"/>
        </w:rPr>
        <w:t>一</w:t>
      </w:r>
      <w:r>
        <w:rPr>
          <w:rFonts w:hint="eastAsia"/>
          <w:b/>
          <w:bCs/>
          <w:color w:val="auto"/>
          <w:highlight w:val="none"/>
          <w:lang w:eastAsia="zh-CN"/>
        </w:rPr>
        <w:t>）</w:t>
      </w:r>
      <w:r>
        <w:rPr>
          <w:rFonts w:hint="eastAsia"/>
          <w:b/>
          <w:bCs/>
          <w:color w:val="auto"/>
          <w:highlight w:val="none"/>
        </w:rPr>
        <w:t>主要经验及做法</w:t>
      </w:r>
      <w:bookmarkEnd w:id="81"/>
    </w:p>
    <w:p>
      <w:pPr>
        <w:bidi w:val="0"/>
        <w:rPr>
          <w:rFonts w:hint="eastAsia"/>
          <w:color w:val="auto"/>
          <w:highlight w:val="none"/>
          <w:lang w:eastAsia="zh-CN"/>
        </w:rPr>
      </w:pPr>
      <w:r>
        <w:rPr>
          <w:rFonts w:hint="eastAsia"/>
          <w:color w:val="auto"/>
          <w:highlight w:val="none"/>
          <w:lang w:val="en-US" w:eastAsia="zh-CN"/>
        </w:rPr>
        <w:t>原人民医院内科楼改造项目项目</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年预算</w:t>
      </w:r>
      <w:r>
        <w:rPr>
          <w:rFonts w:hint="eastAsia"/>
          <w:color w:val="auto"/>
          <w:highlight w:val="none"/>
          <w:lang w:val="en-US" w:eastAsia="zh-CN"/>
        </w:rPr>
        <w:t>数</w:t>
      </w:r>
      <w:r>
        <w:rPr>
          <w:rFonts w:hint="eastAsia"/>
          <w:color w:val="auto"/>
          <w:highlight w:val="none"/>
          <w:lang w:eastAsia="zh-CN"/>
        </w:rPr>
        <w:t>为</w:t>
      </w:r>
      <w:r>
        <w:rPr>
          <w:rFonts w:hint="eastAsia"/>
          <w:color w:val="auto"/>
          <w:highlight w:val="none"/>
          <w:lang w:val="en-US" w:eastAsia="zh-CN"/>
        </w:rPr>
        <w:t>131.38</w:t>
      </w:r>
      <w:r>
        <w:rPr>
          <w:rFonts w:hint="eastAsia"/>
          <w:color w:val="auto"/>
          <w:highlight w:val="none"/>
          <w:lang w:eastAsia="zh-CN"/>
        </w:rPr>
        <w:t>万元，</w:t>
      </w:r>
      <w:r>
        <w:rPr>
          <w:rFonts w:hint="eastAsia"/>
          <w:color w:val="auto"/>
          <w:highlight w:val="none"/>
          <w:lang w:val="en-US" w:eastAsia="zh-CN"/>
        </w:rPr>
        <w:t>截至2023年12月31日共</w:t>
      </w:r>
      <w:r>
        <w:rPr>
          <w:rFonts w:hint="eastAsia"/>
          <w:color w:val="auto"/>
          <w:highlight w:val="none"/>
          <w:lang w:eastAsia="zh-CN"/>
        </w:rPr>
        <w:t>支出</w:t>
      </w:r>
      <w:r>
        <w:rPr>
          <w:rFonts w:hint="eastAsia"/>
          <w:color w:val="auto"/>
          <w:highlight w:val="none"/>
          <w:lang w:val="en-US" w:eastAsia="zh-CN"/>
        </w:rPr>
        <w:t>131.38</w:t>
      </w:r>
      <w:r>
        <w:rPr>
          <w:rFonts w:hint="eastAsia"/>
          <w:color w:val="auto"/>
          <w:highlight w:val="none"/>
          <w:lang w:eastAsia="zh-CN"/>
        </w:rPr>
        <w:t>万元，预算</w:t>
      </w:r>
      <w:r>
        <w:rPr>
          <w:rFonts w:hint="eastAsia"/>
          <w:color w:val="auto"/>
          <w:highlight w:val="none"/>
          <w:lang w:val="en-US" w:eastAsia="zh-CN"/>
        </w:rPr>
        <w:t>执行</w:t>
      </w:r>
      <w:r>
        <w:rPr>
          <w:rFonts w:hint="eastAsia"/>
          <w:color w:val="auto"/>
          <w:highlight w:val="none"/>
          <w:lang w:eastAsia="zh-CN"/>
        </w:rPr>
        <w:t>率为</w:t>
      </w:r>
      <w:r>
        <w:rPr>
          <w:rFonts w:hint="eastAsia"/>
          <w:color w:val="auto"/>
          <w:highlight w:val="none"/>
          <w:lang w:val="en-US" w:eastAsia="zh-CN"/>
        </w:rPr>
        <w:t>100</w:t>
      </w:r>
      <w:r>
        <w:rPr>
          <w:rFonts w:hint="eastAsia"/>
          <w:color w:val="auto"/>
          <w:highlight w:val="none"/>
          <w:lang w:eastAsia="zh-CN"/>
        </w:rPr>
        <w:t>%。</w:t>
      </w:r>
    </w:p>
    <w:p>
      <w:pPr>
        <w:bidi w:val="0"/>
        <w:rPr>
          <w:rFonts w:hint="eastAsia"/>
          <w:color w:val="auto"/>
          <w:highlight w:val="none"/>
          <w:lang w:eastAsia="zh-CN"/>
        </w:rPr>
      </w:pPr>
      <w:r>
        <w:rPr>
          <w:rFonts w:hint="eastAsia"/>
          <w:color w:val="auto"/>
          <w:highlight w:val="none"/>
          <w:lang w:val="en-US" w:eastAsia="zh-CN"/>
        </w:rPr>
        <w:t>阜康市妇幼保健计划生育服务中心</w:t>
      </w:r>
      <w:r>
        <w:rPr>
          <w:rFonts w:hint="eastAsia"/>
          <w:color w:val="auto"/>
          <w:highlight w:val="none"/>
          <w:lang w:eastAsia="zh-CN"/>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auto"/>
          <w:highlight w:val="none"/>
          <w:lang w:val="en-US" w:eastAsia="zh-CN"/>
        </w:rPr>
        <w:t>阜康市妇幼保健计划生育服务中心</w:t>
      </w:r>
      <w:r>
        <w:rPr>
          <w:rFonts w:hint="eastAsia"/>
          <w:color w:val="auto"/>
          <w:highlight w:val="none"/>
          <w:lang w:eastAsia="zh-CN"/>
        </w:rPr>
        <w:t>事业发展中关系民生与稳定的项目，切实优化资源配置，提高了资金使用的效率和效果。</w:t>
      </w:r>
    </w:p>
    <w:bookmarkEnd w:id="82"/>
    <w:bookmarkEnd w:id="83"/>
    <w:p>
      <w:pPr>
        <w:bidi w:val="0"/>
        <w:outlineLvl w:val="1"/>
        <w:rPr>
          <w:rFonts w:hint="eastAsia"/>
          <w:b/>
          <w:bCs/>
          <w:color w:val="auto"/>
          <w:highlight w:val="none"/>
          <w:lang w:eastAsia="zh-CN"/>
        </w:rPr>
      </w:pPr>
      <w:bookmarkStart w:id="84" w:name="_Toc9582"/>
      <w:r>
        <w:rPr>
          <w:rFonts w:hint="eastAsia"/>
          <w:b/>
          <w:bCs/>
          <w:color w:val="auto"/>
          <w:highlight w:val="none"/>
          <w:lang w:eastAsia="zh-CN"/>
        </w:rPr>
        <w:t>（</w:t>
      </w:r>
      <w:r>
        <w:rPr>
          <w:rFonts w:hint="eastAsia"/>
          <w:b/>
          <w:bCs/>
          <w:color w:val="auto"/>
          <w:highlight w:val="none"/>
          <w:lang w:val="en-US" w:eastAsia="zh-CN"/>
        </w:rPr>
        <w:t>二</w:t>
      </w:r>
      <w:r>
        <w:rPr>
          <w:rFonts w:hint="eastAsia"/>
          <w:b/>
          <w:bCs/>
          <w:color w:val="auto"/>
          <w:highlight w:val="none"/>
          <w:lang w:eastAsia="zh-CN"/>
        </w:rPr>
        <w:t>）</w:t>
      </w:r>
      <w:r>
        <w:rPr>
          <w:rFonts w:hint="eastAsia"/>
          <w:b/>
          <w:bCs/>
          <w:color w:val="auto"/>
          <w:highlight w:val="none"/>
        </w:rPr>
        <w:t>存在的问题及原因分析</w:t>
      </w:r>
      <w:bookmarkEnd w:id="84"/>
    </w:p>
    <w:p>
      <w:pPr>
        <w:bidi w:val="0"/>
        <w:rPr>
          <w:rFonts w:hint="eastAsia"/>
          <w:color w:val="auto"/>
          <w:highlight w:val="none"/>
          <w:lang w:val="en-US" w:eastAsia="zh-CN"/>
        </w:rPr>
      </w:pPr>
      <w:bookmarkStart w:id="85" w:name="_Toc5230"/>
      <w:r>
        <w:rPr>
          <w:rFonts w:hint="eastAsia"/>
          <w:color w:val="auto"/>
          <w:highlight w:val="none"/>
          <w:lang w:val="en-US" w:eastAsia="zh-CN"/>
        </w:rPr>
        <w:t>1、工程建设项目组织、发动工作力度有待进一步加强。各各科室对工程建设项目不了解不参与，部分职工对实施科室改造的重要意义认识不足，主动参与意识不强，影响医院整体规划和建设</w:t>
      </w:r>
    </w:p>
    <w:p>
      <w:pPr>
        <w:bidi w:val="0"/>
        <w:rPr>
          <w:rFonts w:hint="eastAsia"/>
          <w:color w:val="auto"/>
          <w:highlight w:val="none"/>
          <w:lang w:val="en-US" w:eastAsia="zh-CN"/>
        </w:rPr>
      </w:pPr>
      <w:r>
        <w:rPr>
          <w:rFonts w:hint="eastAsia"/>
          <w:color w:val="auto"/>
          <w:highlight w:val="none"/>
          <w:lang w:val="en-US" w:eastAsia="zh-CN"/>
        </w:rPr>
        <w:t>2、绩效指标值设置不够严谨，设置指标值之前未能严格做好项目预算，未精准预计项目实施情况。</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r>
        <w:rPr>
          <w:rFonts w:hint="eastAsia" w:ascii="宋体" w:hAnsi="宋体" w:eastAsia="宋体" w:cs="宋体"/>
          <w:b/>
          <w:bCs/>
          <w:color w:val="auto"/>
          <w:highlight w:val="none"/>
          <w:shd w:val="clear" w:color="auto" w:fill="auto"/>
          <w:lang w:val="en-US" w:eastAsia="zh-CN"/>
        </w:rPr>
        <w:t>七、有关建议</w:t>
      </w:r>
      <w:bookmarkEnd w:id="85"/>
    </w:p>
    <w:p>
      <w:pPr>
        <w:bidi w:val="0"/>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lang w:eastAsia="zh-CN"/>
        </w:rPr>
        <w:t>）进一步加强组织领导，健全各部门协调配合机制，层层压实责任。充分发挥主体责任，利用广播、电视、微信、网络等媒介对</w:t>
      </w:r>
      <w:r>
        <w:rPr>
          <w:rFonts w:hint="eastAsia"/>
          <w:color w:val="auto"/>
          <w:highlight w:val="none"/>
          <w:lang w:val="en-US" w:eastAsia="zh-CN"/>
        </w:rPr>
        <w:t>妇幼儿童</w:t>
      </w:r>
      <w:r>
        <w:rPr>
          <w:rFonts w:hint="eastAsia"/>
          <w:color w:val="auto"/>
          <w:highlight w:val="none"/>
          <w:lang w:eastAsia="zh-CN"/>
        </w:rPr>
        <w:t>工作进行广泛宣传，积极采取多种方式持续开展</w:t>
      </w:r>
      <w:r>
        <w:rPr>
          <w:rFonts w:hint="eastAsia"/>
          <w:color w:val="auto"/>
          <w:highlight w:val="none"/>
          <w:lang w:val="en-US" w:eastAsia="zh-CN"/>
        </w:rPr>
        <w:t>医疗</w:t>
      </w:r>
      <w:r>
        <w:rPr>
          <w:rFonts w:hint="eastAsia"/>
          <w:color w:val="auto"/>
          <w:highlight w:val="none"/>
          <w:lang w:eastAsia="zh-CN"/>
        </w:rPr>
        <w:t>惠民政策的引导，提升各族群众自我保健意识，提高群众知晓率及参与度。</w:t>
      </w:r>
    </w:p>
    <w:p>
      <w:pPr>
        <w:bidi w:val="0"/>
        <w:rPr>
          <w:rFonts w:hint="eastAsia"/>
          <w:color w:val="auto"/>
          <w:highlight w:val="none"/>
          <w:lang w:eastAsia="zh-CN"/>
        </w:rPr>
      </w:pPr>
      <w:r>
        <w:rPr>
          <w:rFonts w:hint="eastAsia"/>
          <w:color w:val="auto"/>
          <w:highlight w:val="none"/>
          <w:lang w:val="en-US" w:eastAsia="zh-CN"/>
        </w:rPr>
        <w:t>（二）在项目前期应做好相关预算，能够精准预计项目实施的具体情况，根据预算做好相关绩效指标设置。</w:t>
      </w:r>
    </w:p>
    <w:p>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6" w:name="_Toc15618"/>
      <w:r>
        <w:rPr>
          <w:rFonts w:hint="eastAsia" w:ascii="宋体" w:hAnsi="宋体" w:eastAsia="宋体" w:cs="宋体"/>
          <w:b/>
          <w:bCs/>
          <w:color w:val="auto"/>
          <w:highlight w:val="none"/>
          <w:shd w:val="clear" w:color="auto" w:fill="auto"/>
          <w:lang w:val="en-US" w:eastAsia="zh-CN"/>
        </w:rPr>
        <w:t>八、其他需要说明的问题</w:t>
      </w:r>
      <w:bookmarkEnd w:id="86"/>
    </w:p>
    <w:p>
      <w:pPr>
        <w:bidi w:val="0"/>
        <w:rPr>
          <w:rFonts w:hint="default"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无其他需要说明的问题。</w:t>
      </w:r>
    </w:p>
    <w:p>
      <w:pPr>
        <w:pageBreakBefore w:val="0"/>
        <w:kinsoku/>
        <w:wordWrap/>
        <w:overflowPunct/>
        <w:topLinePunct w:val="0"/>
        <w:autoSpaceDE/>
        <w:autoSpaceDN/>
        <w:bidi w:val="0"/>
        <w:adjustRightInd/>
        <w:spacing w:line="360" w:lineRule="auto"/>
        <w:textAlignment w:val="auto"/>
        <w:rPr>
          <w:rFonts w:hint="eastAsia" w:cs="宋体"/>
          <w:color w:val="auto"/>
          <w:highlight w:val="none"/>
          <w:shd w:val="clear" w:color="auto" w:fill="auto"/>
          <w:lang w:val="en-US" w:eastAsia="zh-CN"/>
        </w:rPr>
      </w:pPr>
    </w:p>
    <w:p>
      <w:pPr>
        <w:ind w:left="0" w:leftChars="0" w:firstLine="0" w:firstLineChars="0"/>
        <w:rPr>
          <w:rFonts w:hint="eastAsia" w:ascii="宋体" w:hAnsi="宋体" w:eastAsia="宋体" w:cs="宋体"/>
          <w:b/>
          <w:bCs/>
          <w:color w:val="auto"/>
          <w:highlight w:val="none"/>
          <w:shd w:val="clear" w:color="auto" w:fill="auto"/>
          <w:lang w:val="en-US" w:eastAsia="zh-CN"/>
        </w:rPr>
        <w:sectPr>
          <w:footerReference r:id="rId3" w:type="default"/>
          <w:pgSz w:w="11906" w:h="16838"/>
          <w:pgMar w:top="1440" w:right="1800" w:bottom="1440" w:left="1800" w:header="737" w:footer="851" w:gutter="0"/>
          <w:pgNumType w:fmt="decimal" w:start="1"/>
          <w:cols w:space="720" w:num="1"/>
          <w:docGrid w:type="lines" w:linePitch="408" w:charSpace="0"/>
        </w:sectPr>
      </w:pPr>
      <w:bookmarkStart w:id="87" w:name="_Toc11349"/>
    </w:p>
    <w:p>
      <w:pPr>
        <w:ind w:left="0" w:leftChars="0" w:firstLine="0" w:firstLineChars="0"/>
        <w:rPr>
          <w:color w:val="auto"/>
          <w:highlight w:val="none"/>
        </w:rPr>
      </w:pPr>
      <w:r>
        <w:rPr>
          <w:rFonts w:hint="eastAsia" w:ascii="宋体" w:hAnsi="宋体" w:eastAsia="宋体" w:cs="宋体"/>
          <w:b/>
          <w:bCs/>
          <w:color w:val="auto"/>
          <w:highlight w:val="none"/>
          <w:shd w:val="clear" w:color="auto" w:fill="auto"/>
          <w:lang w:val="en-US" w:eastAsia="zh-CN"/>
        </w:rPr>
        <w:t>附件一、项目支出绩效自评表</w:t>
      </w:r>
      <w:bookmarkEnd w:id="87"/>
    </w:p>
    <w:tbl>
      <w:tblPr>
        <w:tblStyle w:val="11"/>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14"/>
        <w:gridCol w:w="914"/>
        <w:gridCol w:w="914"/>
        <w:gridCol w:w="914"/>
        <w:gridCol w:w="1465"/>
        <w:gridCol w:w="914"/>
        <w:gridCol w:w="914"/>
        <w:gridCol w:w="1006"/>
        <w:gridCol w:w="914"/>
        <w:gridCol w:w="914"/>
        <w:gridCol w:w="1373"/>
        <w:gridCol w:w="1098"/>
        <w:gridCol w:w="1006"/>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pPr>
              <w:keepNext w:val="0"/>
              <w:keepLines w:val="0"/>
              <w:widowControl/>
              <w:suppressLineNumbers w:val="0"/>
              <w:ind w:firstLine="801" w:firstLineChars="20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pPr>
              <w:keepNext w:val="0"/>
              <w:keepLines w:val="0"/>
              <w:widowControl/>
              <w:suppressLineNumbers w:val="0"/>
              <w:ind w:firstLine="442" w:firstLineChars="20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000000"/>
                <w:kern w:val="0"/>
                <w:sz w:val="22"/>
                <w:szCs w:val="22"/>
                <w:u w:val="none"/>
                <w:lang w:val="en-US" w:eastAsia="zh-CN" w:bidi="ar"/>
              </w:rPr>
              <w:t>（2023年度）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828" w:type="dxa"/>
            <w:gridSpan w:val="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项目名称</w:t>
            </w:r>
          </w:p>
        </w:tc>
        <w:tc>
          <w:tcPr>
            <w:tcW w:w="12346" w:type="dxa"/>
            <w:gridSpan w:val="12"/>
            <w:tcBorders>
              <w:top w:val="single" w:color="auto" w:sz="4" w:space="0"/>
            </w:tcBorders>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原人民医院内科楼改造项目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主管部门</w:t>
            </w:r>
          </w:p>
        </w:tc>
        <w:tc>
          <w:tcPr>
            <w:tcW w:w="5121"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阜康市卫生健康委员会</w:t>
            </w:r>
          </w:p>
        </w:tc>
        <w:tc>
          <w:tcPr>
            <w:tcW w:w="1920"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实施单位</w:t>
            </w:r>
          </w:p>
        </w:tc>
        <w:tc>
          <w:tcPr>
            <w:tcW w:w="530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阜康市妇幼保健计划生育服务中心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828" w:type="dxa"/>
            <w:gridSpan w:val="2"/>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资金来源</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920"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全年执行数</w:t>
            </w:r>
          </w:p>
        </w:tc>
        <w:tc>
          <w:tcPr>
            <w:tcW w:w="228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分值权重</w:t>
            </w:r>
          </w:p>
        </w:tc>
        <w:tc>
          <w:tcPr>
            <w:tcW w:w="210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执行率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828" w:type="dxa"/>
            <w:gridSpan w:val="2"/>
            <w:vMerge w:val="continue"/>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131.38 </w:t>
            </w: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131.38 </w:t>
            </w:r>
          </w:p>
        </w:tc>
        <w:tc>
          <w:tcPr>
            <w:tcW w:w="1920"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131.38 </w:t>
            </w:r>
          </w:p>
        </w:tc>
        <w:tc>
          <w:tcPr>
            <w:tcW w:w="228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c>
          <w:tcPr>
            <w:tcW w:w="210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100.0%</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828" w:type="dxa"/>
            <w:gridSpan w:val="2"/>
            <w:vMerge w:val="continue"/>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131.38 </w:t>
            </w: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131.38 </w:t>
            </w:r>
          </w:p>
        </w:tc>
        <w:tc>
          <w:tcPr>
            <w:tcW w:w="1920"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131.38 </w:t>
            </w:r>
          </w:p>
        </w:tc>
        <w:tc>
          <w:tcPr>
            <w:tcW w:w="228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0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1828" w:type="dxa"/>
            <w:gridSpan w:val="2"/>
            <w:vMerge w:val="continue"/>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其他资金</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8"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920" w:type="dxa"/>
            <w:gridSpan w:val="2"/>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 xml:space="preserve">0.00 </w:t>
            </w:r>
          </w:p>
        </w:tc>
        <w:tc>
          <w:tcPr>
            <w:tcW w:w="2287"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2104" w:type="dxa"/>
            <w:gridSpan w:val="2"/>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955"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w:t>
            </w:r>
          </w:p>
        </w:tc>
        <w:tc>
          <w:tcPr>
            <w:tcW w:w="530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0" w:hRule="atLeast"/>
        </w:trPr>
        <w:tc>
          <w:tcPr>
            <w:tcW w:w="914" w:type="dxa"/>
            <w:vMerge w:val="continue"/>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955" w:type="dxa"/>
            <w:gridSpan w:val="8"/>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2023年完成原市医院内科楼9025.25平方米室内装饰装修、地面、电气、排水、消防等改造工程，工程质量合格率100%，为保证阜康市妇幼保健计划生育服务中心顺利搬迁，有效促进阜康市妇幼保健计划生育服务中心业务的发展，提高妇女儿童健康水平。</w:t>
            </w:r>
          </w:p>
        </w:tc>
        <w:tc>
          <w:tcPr>
            <w:tcW w:w="5305" w:type="dxa"/>
            <w:gridSpan w:val="5"/>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000000"/>
                <w:kern w:val="0"/>
                <w:sz w:val="20"/>
                <w:szCs w:val="20"/>
                <w:u w:val="none"/>
                <w:lang w:val="en-US" w:eastAsia="zh-CN" w:bidi="ar"/>
              </w:rPr>
              <w:t>截至2023年12月31日，本项目完成改造面积9025.25平方米，工程合格率达到100%，项目完成率达到100%，项目的实施达到了促进妇幼保健服务业务的发展，提高了妇女儿童健康水平的效益。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上年完成值</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改造面积</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=9025.25平方米</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9025.25平方米</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改造层数</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=6层</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6层</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工程质量合格率</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 </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行业标准</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开工时间</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2019年5月</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2019年5月</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完工时间</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2019年10月</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按照完成比例赋分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2021年1月</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项目总成本（万元）</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≤131.38万元</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直接赋分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原始凭证</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131.38万元</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社会成本指标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生态环境成本指标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restart"/>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促进妇幼保健服务业务的发展</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促进</w:t>
            </w:r>
          </w:p>
        </w:tc>
        <w:tc>
          <w:tcPr>
            <w:tcW w:w="914"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noWrap/>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按评判等级赋分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提高妇女儿童健康水平</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提高</w:t>
            </w:r>
          </w:p>
        </w:tc>
        <w:tc>
          <w:tcPr>
            <w:tcW w:w="914" w:type="dxa"/>
            <w:shd w:val="clear" w:color="auto" w:fill="auto"/>
            <w:noWrap/>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914" w:type="dxa"/>
            <w:shd w:val="clear" w:color="auto" w:fill="auto"/>
            <w:noWrap/>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按评判等级赋分</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15</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atLeast"/>
        </w:trPr>
        <w:tc>
          <w:tcPr>
            <w:tcW w:w="914" w:type="dxa"/>
            <w:vMerge w:val="continue"/>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default"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服务对象满意率</w:t>
            </w:r>
          </w:p>
        </w:tc>
        <w:tc>
          <w:tcPr>
            <w:tcW w:w="1465"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14"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373"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98"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atLeast"/>
        </w:trPr>
        <w:tc>
          <w:tcPr>
            <w:tcW w:w="3656" w:type="dxa"/>
            <w:gridSpan w:val="4"/>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465"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jc w:val="center"/>
            </w:pP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14"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914" w:type="dxa"/>
            <w:shd w:val="clear" w:color="auto" w:fill="auto"/>
            <w:vAlign w:val="center"/>
          </w:tcPr>
          <w:p>
            <w:pPr>
              <w:rPr>
                <w:rFonts w:hint="eastAsia" w:ascii="宋体" w:hAnsi="宋体" w:eastAsia="宋体" w:cs="宋体"/>
                <w:i w:val="0"/>
                <w:iCs w:val="0"/>
                <w:color w:val="auto"/>
                <w:kern w:val="0"/>
                <w:sz w:val="20"/>
                <w:szCs w:val="20"/>
                <w:highlight w:val="none"/>
                <w:u w:val="none"/>
                <w:lang w:val="en-US" w:eastAsia="zh-CN" w:bidi="ar"/>
              </w:rPr>
            </w:pPr>
          </w:p>
        </w:tc>
        <w:tc>
          <w:tcPr>
            <w:tcW w:w="1373" w:type="dxa"/>
            <w:shd w:val="clear" w:color="auto" w:fill="auto"/>
            <w:vAlign w:val="center"/>
          </w:tcPr>
          <w:p>
            <w:pPr>
              <w:rPr>
                <w:rFonts w:hint="eastAsia" w:ascii="宋体" w:hAnsi="宋体" w:eastAsia="宋体" w:cs="宋体"/>
                <w:i w:val="0"/>
                <w:iCs w:val="0"/>
                <w:color w:val="auto"/>
                <w:kern w:val="0"/>
                <w:sz w:val="20"/>
                <w:szCs w:val="20"/>
                <w:highlight w:val="none"/>
                <w:u w:val="none"/>
                <w:lang w:val="en-US" w:eastAsia="zh-CN" w:bidi="ar"/>
              </w:rPr>
            </w:pPr>
          </w:p>
        </w:tc>
        <w:tc>
          <w:tcPr>
            <w:tcW w:w="1098" w:type="dxa"/>
            <w:shd w:val="clear" w:color="auto" w:fill="auto"/>
            <w:vAlign w:val="center"/>
          </w:tcPr>
          <w:p>
            <w:pPr>
              <w:jc w:val="center"/>
              <w:rPr>
                <w:rFonts w:hint="eastAsia" w:ascii="宋体" w:hAnsi="宋体" w:eastAsia="宋体" w:cs="宋体"/>
                <w:i w:val="0"/>
                <w:iCs w:val="0"/>
                <w:color w:val="auto"/>
                <w:kern w:val="0"/>
                <w:sz w:val="20"/>
                <w:szCs w:val="20"/>
                <w:highlight w:val="none"/>
                <w:u w:val="none"/>
                <w:lang w:val="en-US" w:eastAsia="zh-CN" w:bidi="ar"/>
              </w:rPr>
            </w:pPr>
          </w:p>
        </w:tc>
        <w:tc>
          <w:tcPr>
            <w:tcW w:w="1006" w:type="dxa"/>
            <w:shd w:val="clear" w:color="auto" w:fill="auto"/>
            <w:vAlign w:val="center"/>
          </w:tcPr>
          <w:p>
            <w:pPr>
              <w:keepNext w:val="0"/>
              <w:keepLines w:val="0"/>
              <w:widowControl/>
              <w:suppressLineNumbers w:val="0"/>
              <w:ind w:firstLine="400" w:firstLineChars="200"/>
              <w:jc w:val="center"/>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14" w:type="dxa"/>
            <w:shd w:val="clear" w:color="auto" w:fill="auto"/>
            <w:vAlign w:val="center"/>
          </w:tcPr>
          <w:p>
            <w:pPr>
              <w:rPr>
                <w:rFonts w:hint="eastAsia" w:ascii="宋体" w:hAnsi="宋体" w:eastAsia="宋体" w:cs="宋体"/>
                <w:i w:val="0"/>
                <w:iCs w:val="0"/>
                <w:color w:val="auto"/>
                <w:kern w:val="0"/>
                <w:sz w:val="20"/>
                <w:szCs w:val="20"/>
                <w:highlight w:val="none"/>
                <w:u w:val="none"/>
                <w:lang w:val="en-US" w:eastAsia="zh-CN" w:bidi="ar"/>
              </w:rPr>
            </w:pPr>
          </w:p>
        </w:tc>
      </w:tr>
    </w:tbl>
    <w:p>
      <w:pPr>
        <w:pStyle w:val="2"/>
        <w:rPr>
          <w:color w:val="auto"/>
          <w:highlight w:val="none"/>
        </w:rPr>
      </w:pPr>
    </w:p>
    <w:p>
      <w:pPr>
        <w:pStyle w:val="2"/>
        <w:rPr>
          <w:rFonts w:hint="eastAsia"/>
          <w:color w:val="auto"/>
          <w:highlight w:val="none"/>
          <w:lang w:val="en-US" w:eastAsia="zh-CN"/>
        </w:rPr>
      </w:pPr>
    </w:p>
    <w:p>
      <w:pPr>
        <w:rPr>
          <w:rFonts w:hint="eastAsia"/>
          <w:color w:val="auto"/>
          <w:highlight w:val="none"/>
          <w:lang w:val="en-US" w:eastAsia="zh-CN"/>
        </w:rPr>
        <w:sectPr>
          <w:pgSz w:w="16838" w:h="11906" w:orient="landscape"/>
          <w:pgMar w:top="1800" w:right="1440" w:bottom="1800" w:left="1440" w:header="737" w:footer="851" w:gutter="0"/>
          <w:pgNumType w:fmt="decimal" w:start="1"/>
          <w:cols w:space="720" w:num="1"/>
          <w:docGrid w:type="lines" w:linePitch="408" w:charSpace="0"/>
        </w:sectPr>
      </w:pPr>
    </w:p>
    <w:p>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auto"/>
          <w:highlight w:val="none"/>
          <w:shd w:val="clear" w:color="auto" w:fill="auto"/>
          <w:lang w:val="en-US" w:eastAsia="zh-CN"/>
        </w:rPr>
      </w:pPr>
      <w:bookmarkStart w:id="88" w:name="_Toc15067"/>
      <w:r>
        <w:rPr>
          <w:rFonts w:hint="eastAsia" w:ascii="宋体" w:hAnsi="宋体" w:eastAsia="宋体" w:cs="宋体"/>
          <w:b/>
          <w:bCs/>
          <w:color w:val="auto"/>
          <w:highlight w:val="none"/>
          <w:shd w:val="clear" w:color="auto" w:fill="auto"/>
          <w:lang w:val="en-US" w:eastAsia="zh-CN"/>
        </w:rPr>
        <w:t>附件二、项目支出绩效评价指标体系打分表</w:t>
      </w:r>
      <w:bookmarkEnd w:id="88"/>
    </w:p>
    <w:tbl>
      <w:tblPr>
        <w:tblStyle w:val="11"/>
        <w:tblW w:w="1392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61" w:type="dxa"/>
            <w:shd w:val="clear" w:color="auto" w:fill="auto"/>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一级指标</w:t>
            </w:r>
          </w:p>
        </w:tc>
        <w:tc>
          <w:tcPr>
            <w:tcW w:w="727" w:type="dxa"/>
            <w:shd w:val="clear" w:color="auto" w:fill="auto"/>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二级指标</w:t>
            </w:r>
          </w:p>
        </w:tc>
        <w:tc>
          <w:tcPr>
            <w:tcW w:w="820" w:type="dxa"/>
            <w:shd w:val="clear" w:color="auto" w:fill="auto"/>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三级指标</w:t>
            </w:r>
          </w:p>
        </w:tc>
        <w:tc>
          <w:tcPr>
            <w:tcW w:w="2141" w:type="dxa"/>
            <w:shd w:val="clear" w:color="auto" w:fill="auto"/>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指标解释</w:t>
            </w:r>
          </w:p>
        </w:tc>
        <w:tc>
          <w:tcPr>
            <w:tcW w:w="7821" w:type="dxa"/>
            <w:shd w:val="clear" w:color="auto" w:fill="auto"/>
            <w:vAlign w:val="center"/>
          </w:tcPr>
          <w:p>
            <w:pPr>
              <w:widowControl/>
              <w:spacing w:line="0" w:lineRule="atLeast"/>
              <w:ind w:firstLine="0" w:firstLineChars="0"/>
              <w:jc w:val="center"/>
              <w:rPr>
                <w:rFonts w:ascii="宋体" w:hAnsi="宋体" w:eastAsia="宋体" w:cs="宋体"/>
                <w:b/>
                <w:bCs/>
                <w:color w:val="auto"/>
                <w:kern w:val="0"/>
                <w:sz w:val="22"/>
                <w:szCs w:val="22"/>
                <w:highlight w:val="none"/>
              </w:rPr>
            </w:pPr>
            <w:r>
              <w:rPr>
                <w:rFonts w:hint="eastAsia" w:ascii="宋体" w:hAnsi="宋体" w:eastAsia="宋体" w:cs="宋体"/>
                <w:b/>
                <w:bCs/>
                <w:color w:val="auto"/>
                <w:kern w:val="0"/>
                <w:sz w:val="22"/>
                <w:szCs w:val="22"/>
                <w:highlight w:val="none"/>
              </w:rPr>
              <w:t>指标说明</w:t>
            </w:r>
          </w:p>
        </w:tc>
        <w:tc>
          <w:tcPr>
            <w:tcW w:w="785" w:type="dxa"/>
            <w:shd w:val="clear" w:color="auto" w:fill="auto"/>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分值</w:t>
            </w:r>
          </w:p>
        </w:tc>
        <w:tc>
          <w:tcPr>
            <w:tcW w:w="769" w:type="dxa"/>
            <w:shd w:val="clear" w:color="auto" w:fill="auto"/>
            <w:vAlign w:val="center"/>
          </w:tcPr>
          <w:p>
            <w:pPr>
              <w:widowControl/>
              <w:spacing w:line="0" w:lineRule="atLeast"/>
              <w:ind w:firstLine="0" w:firstLineChars="0"/>
              <w:jc w:val="center"/>
              <w:rPr>
                <w:rFonts w:hint="eastAsia" w:ascii="宋体" w:hAnsi="宋体" w:eastAsia="宋体" w:cs="宋体"/>
                <w:b/>
                <w:bCs/>
                <w:color w:val="auto"/>
                <w:kern w:val="0"/>
                <w:sz w:val="22"/>
                <w:szCs w:val="22"/>
                <w:highlight w:val="none"/>
                <w:lang w:val="en-US" w:eastAsia="zh-CN"/>
              </w:rPr>
            </w:pPr>
            <w:r>
              <w:rPr>
                <w:rFonts w:hint="eastAsia" w:ascii="宋体" w:hAnsi="宋体" w:eastAsia="宋体" w:cs="宋体"/>
                <w:b/>
                <w:bCs/>
                <w:color w:val="auto"/>
                <w:kern w:val="0"/>
                <w:sz w:val="22"/>
                <w:szCs w:val="22"/>
                <w:highlight w:val="none"/>
                <w:lang w:val="en-US" w:eastAsia="zh-CN"/>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318" w:hRule="atLeast"/>
          <w:jc w:val="center"/>
        </w:trPr>
        <w:tc>
          <w:tcPr>
            <w:tcW w:w="861"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727"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　</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立项依据</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充分性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项目立项是否符合法律法规、相关政策、发展规划以及部门职责，用以反映和考核项目立项依据情况。</w:t>
            </w:r>
          </w:p>
        </w:tc>
        <w:tc>
          <w:tcPr>
            <w:tcW w:w="7821" w:type="dxa"/>
            <w:shd w:val="clear" w:color="auto" w:fill="auto"/>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①项目立项是否符合国家法律法规、国民经济发展规划和相关政策；</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②项目立项是否符合行业发展规划和政策要求；</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③项目立项是否与部门职责范围相符，属于部门履职所需；</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④项目是否属于公共财政支持范围，是否符合中央、地方事权支出责任划分原则；</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⑤项目是否与相关部门同类项目或部门内部相关项目重复。</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640" w:hRule="atLeast"/>
          <w:jc w:val="center"/>
        </w:trPr>
        <w:tc>
          <w:tcPr>
            <w:tcW w:w="861" w:type="dxa"/>
            <w:vMerge w:val="continue"/>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立项程序</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规范性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项目申请、设立过程是否符合相关要求，用以反映和考核项目立项的规范情况。</w:t>
            </w:r>
          </w:p>
        </w:tc>
        <w:tc>
          <w:tcPr>
            <w:tcW w:w="7821" w:type="dxa"/>
            <w:shd w:val="clear" w:color="auto" w:fill="auto"/>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①项目是否按照规定的程序申请设立；</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②审批文件、材料是否符合相关要求；</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③事前是否已经过必要的可行性研究、专家论证、风险评估、绩效评估、集体决策。</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pPr>
              <w:widowControl/>
              <w:spacing w:line="0" w:lineRule="atLeast"/>
              <w:ind w:firstLine="0" w:firstLineChars="0"/>
              <w:jc w:val="left"/>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9" w:hRule="atLeast"/>
          <w:jc w:val="center"/>
        </w:trPr>
        <w:tc>
          <w:tcPr>
            <w:tcW w:w="861" w:type="dxa"/>
            <w:vMerge w:val="continue"/>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　</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项目所设定的绩效目标是否依据充分，是否符合客观实际，用以反映和考核项目绩效目标与项目实施的相符情况。</w:t>
            </w:r>
          </w:p>
        </w:tc>
        <w:tc>
          <w:tcPr>
            <w:tcW w:w="7821" w:type="dxa"/>
            <w:shd w:val="clear" w:color="auto" w:fill="auto"/>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（如未设定预算绩效目标，也可考核其他工作任务目标）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①项目是否有绩效目标；</w:t>
            </w:r>
          </w:p>
          <w:p>
            <w:pPr>
              <w:widowControl/>
              <w:spacing w:line="0" w:lineRule="atLeast"/>
              <w:ind w:firstLine="0" w:firstLineChars="0"/>
              <w:jc w:val="left"/>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②项目绩效目标与实际工作内容是否具有相关性；</w:t>
            </w:r>
          </w:p>
          <w:p>
            <w:pPr>
              <w:widowControl/>
              <w:spacing w:line="0" w:lineRule="atLeast"/>
              <w:ind w:firstLine="0" w:firstLineChars="0"/>
              <w:jc w:val="left"/>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③项目预期产出效益和效果是否符合正常的业绩水平；</w:t>
            </w:r>
          </w:p>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④是否与预算确定的项目投资额或资金量相匹配。</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61"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决策　</w:t>
            </w:r>
          </w:p>
        </w:tc>
        <w:tc>
          <w:tcPr>
            <w:tcW w:w="727"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绩效目标</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绩效指标</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明确性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依据绩效目标设定的绩效指标是否清晰、细化、可衡量等，用以反映和考核项目绩效目标的明细化情况。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①是否将项目绩效目标细化分解为具体的绩效指标；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②是否通过清晰、可衡量的指标值予以体现；</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③是否与项目目标任务数或计划数相对应。</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5</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61" w:type="dxa"/>
            <w:vMerge w:val="continue"/>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资金投入</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预算编制</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科学性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项目预算编制是否经过科学论证、有明确标准，资金额度与年度目标是否相适应，用以反映和考核项目预算编制的科学性、合理性情况。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①预算编制是否经过科学论证；</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②预算内容与项目内容是否匹配；</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③预算额度测算依据是否充分，是否按照标准编制；</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④预算确定的项目投资额或资金量是否与工作任务相匹配。</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2</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61"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资金分配</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合理性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项目预算资金分配是否有测算依据，与补助单位或地方实际是否相适应，用以反映和考核项目预算资金分配的科学性、合理性情况。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①预算资金分配依据是否充分；</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②资金分配额度是否合理，与项目单位或地方实际是否相适应。</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3</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61" w:type="dxa"/>
            <w:vMerge w:val="restart"/>
            <w:shd w:val="clear" w:color="auto" w:fill="auto"/>
            <w:vAlign w:val="center"/>
          </w:tcPr>
          <w:p>
            <w:pPr>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w:t>
            </w:r>
          </w:p>
        </w:tc>
        <w:tc>
          <w:tcPr>
            <w:tcW w:w="727" w:type="dxa"/>
            <w:vMerge w:val="restart"/>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实际到位资金与预算资金的比率，用以反映和考核资金落实情况对项目实施的总体保障程度。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资金到位率=（实际到位资金/预算资金）×100%。</w:t>
            </w:r>
          </w:p>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实际到位资金：一定时期（本年度或项目期）内落实到具体项目的资金。</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预算资金：一定时期（本年度或项目期）内预算安排到具体项目的资金。</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61" w:type="dxa"/>
            <w:vMerge w:val="continue"/>
            <w:shd w:val="clear" w:color="auto" w:fill="auto"/>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727" w:type="dxa"/>
            <w:vMerge w:val="continue"/>
            <w:shd w:val="clear" w:color="auto" w:fill="auto"/>
            <w:vAlign w:val="center"/>
          </w:tcPr>
          <w:p>
            <w:pPr>
              <w:spacing w:line="0" w:lineRule="atLeast"/>
              <w:ind w:firstLine="0" w:firstLineChars="0"/>
              <w:jc w:val="center"/>
              <w:rPr>
                <w:rFonts w:hint="eastAsia" w:ascii="宋体" w:hAnsi="宋体" w:eastAsia="宋体" w:cs="宋体"/>
                <w:color w:val="auto"/>
                <w:kern w:val="0"/>
                <w:sz w:val="22"/>
                <w:szCs w:val="22"/>
                <w:highlight w:val="none"/>
              </w:rPr>
            </w:pP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预算执行率</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项目预算资金是否按照计划执行，用以反映或考核项目预算执行情况。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预算执行率=（实际支出资金/实际到位资金）×100%。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实际支出资金：一定时期（本年度或项目期）内项目实际拨付的资金。</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过程　</w:t>
            </w:r>
          </w:p>
        </w:tc>
        <w:tc>
          <w:tcPr>
            <w:tcW w:w="727"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资金管理</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资金使用</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合规性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项目资金使用是否符合相关的财务管理制度规定，用以反映和考核项目资金的规范运行情况。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①是否符合国家财经法规和财务管理制度以及有关专项资金管理办法的规定；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②资金的拨付是否有完整的审批程序和手续；</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③是否符合项目预算批复或合同规定的用途；</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④是否存在截留、挤占、挪用、虚列支出等情况。</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61" w:type="dxa"/>
            <w:vMerge w:val="continue"/>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组织实施</w:t>
            </w:r>
          </w:p>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　</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管理制度</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健全性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项目实施单位的财务和业务管理制度是否健全，用以反映和考核财务和业务管理制度对项目顺利实施的保障情况。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①是否已制定或具有相应的财务和业务管理制度；</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②财务和业务管理制度是否合法、合规、完整。</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61"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制度执行</w:t>
            </w:r>
          </w:p>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有效性</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项目实施是否符合相关管理规定，用以反映和考核相关管理制度的有效执行情况。</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评价要点：</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①是否遵守相关法律法规和相关管理规定；</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②项目调整及支出调整手续是否完备；</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③项目合同书、验收报告、技术鉴定等资料是否齐全并及时归档；</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④项目实施的人员条件、场地设备、信息支撑等是否落实到位。</w:t>
            </w:r>
          </w:p>
        </w:tc>
        <w:tc>
          <w:tcPr>
            <w:tcW w:w="785" w:type="dxa"/>
            <w:shd w:val="clear" w:color="auto" w:fill="auto"/>
            <w:vAlign w:val="center"/>
          </w:tcPr>
          <w:p>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auto"/>
                <w:kern w:val="0"/>
                <w:sz w:val="20"/>
                <w:szCs w:val="20"/>
                <w:highlight w:val="none"/>
                <w:shd w:val="clear" w:color="auto" w:fill="auto"/>
                <w:lang w:val="en-US" w:eastAsia="zh-CN" w:bidi="ar-SA"/>
              </w:rPr>
            </w:pPr>
            <w:r>
              <w:rPr>
                <w:rFonts w:hint="eastAsia" w:ascii="宋体" w:hAnsi="宋体" w:eastAsia="宋体" w:cs="宋体"/>
                <w:color w:val="auto"/>
                <w:kern w:val="0"/>
                <w:sz w:val="20"/>
                <w:szCs w:val="20"/>
                <w:highlight w:val="none"/>
                <w:shd w:val="clear" w:color="auto" w:fill="auto"/>
                <w:lang w:val="en-US" w:eastAsia="zh-CN"/>
              </w:rPr>
              <w:t>4</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产出数量</w:t>
            </w: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改造面积</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61"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产出数量</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改造</w:t>
            </w:r>
            <w:r>
              <w:rPr>
                <w:rFonts w:hint="eastAsia" w:cs="宋体"/>
                <w:color w:val="auto"/>
                <w:kern w:val="0"/>
                <w:sz w:val="22"/>
                <w:szCs w:val="22"/>
                <w:highlight w:val="none"/>
                <w:lang w:eastAsia="zh-CN"/>
              </w:rPr>
              <w:t>楼层数</w:t>
            </w:r>
          </w:p>
        </w:tc>
        <w:tc>
          <w:tcPr>
            <w:tcW w:w="214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项目实施的实际产出数与计划产出数的比率，用以反映和考核项目产出数量目标的实现程度。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实际完成率=（实际产出数/计划产出数）×100%。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实际产出数：一定时期（本年度或项目期）内项目实际产出的产品或提供的服务数量。</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计划产出数：项目绩效目标确定的在一定时期（本年度或项目期）内计划产出的产品或提供的服务数量。</w:t>
            </w:r>
          </w:p>
        </w:tc>
        <w:tc>
          <w:tcPr>
            <w:tcW w:w="785" w:type="dxa"/>
            <w:shd w:val="clear" w:color="auto" w:fill="auto"/>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c>
          <w:tcPr>
            <w:tcW w:w="769" w:type="dxa"/>
            <w:shd w:val="clear" w:color="auto" w:fill="auto"/>
            <w:vAlign w:val="center"/>
          </w:tcPr>
          <w:p>
            <w:pPr>
              <w:widowControl/>
              <w:spacing w:line="0" w:lineRule="atLeast"/>
              <w:ind w:firstLine="0" w:firstLineChars="0"/>
              <w:rPr>
                <w:rFonts w:hint="default" w:cs="宋体"/>
                <w:color w:val="auto"/>
                <w:kern w:val="0"/>
                <w:sz w:val="22"/>
                <w:szCs w:val="22"/>
                <w:highlight w:val="none"/>
                <w:lang w:val="en-US" w:eastAsia="zh-CN"/>
              </w:rPr>
            </w:pPr>
            <w:r>
              <w:rPr>
                <w:rFonts w:hint="eastAsia" w:cs="宋体"/>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61"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w:t>
            </w:r>
          </w:p>
        </w:tc>
        <w:tc>
          <w:tcPr>
            <w:tcW w:w="727"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产出质量</w:t>
            </w: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工程质量合格率</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项目完成的质量达标产出数与实际产出数的比率，用以反映和考核项目产出质量目标的实现程度。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质量达标率=（质量达标产出数/实际产出数）×100%。</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产出时效</w:t>
            </w: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开工时间</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61" w:type="dxa"/>
            <w:vMerge w:val="continue"/>
            <w:shd w:val="clear" w:color="auto" w:fill="auto"/>
            <w:vAlign w:val="center"/>
          </w:tcPr>
          <w:p>
            <w:pPr>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pPr>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产出时效</w:t>
            </w: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eastAsia="zh-CN"/>
              </w:rPr>
              <w:t>完</w:t>
            </w:r>
            <w:r>
              <w:rPr>
                <w:rFonts w:hint="eastAsia" w:ascii="宋体" w:hAnsi="宋体" w:eastAsia="宋体" w:cs="宋体"/>
                <w:color w:val="auto"/>
                <w:kern w:val="0"/>
                <w:sz w:val="22"/>
                <w:szCs w:val="22"/>
                <w:highlight w:val="none"/>
              </w:rPr>
              <w:t>工时间</w:t>
            </w:r>
          </w:p>
        </w:tc>
        <w:tc>
          <w:tcPr>
            <w:tcW w:w="214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项目实际完成时间与计划完成时间的比较，用以反映和考核项目产出时效目标的实现程度。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实际完成时间：项目实施单位完成该项目实际所耗用的时间。</w:t>
            </w:r>
          </w:p>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计划完成时间：按照项目实施计划或相关规定完成该项目所需的时间。</w:t>
            </w:r>
          </w:p>
        </w:tc>
        <w:tc>
          <w:tcPr>
            <w:tcW w:w="785"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2</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61"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产出成本</w:t>
            </w: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项目总成本（万元）</w:t>
            </w:r>
          </w:p>
        </w:tc>
        <w:tc>
          <w:tcPr>
            <w:tcW w:w="214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完成项目计划工作目标的实际节约成本与计划成本的比率，用以反映和考核项目的成本节约程度。</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成本节约率=[（计划成本-实际成本）/计划成本]×100%。</w:t>
            </w:r>
          </w:p>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实际成本：项目实施单位如期、保质、保量完成既定工作目标实际所耗费的支出。</w:t>
            </w:r>
          </w:p>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计划成本：项目实施单位为完成工作目标计划安排的支出，一般以项目预算为参考。</w:t>
            </w:r>
          </w:p>
        </w:tc>
        <w:tc>
          <w:tcPr>
            <w:tcW w:w="785"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61"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效益　</w:t>
            </w:r>
          </w:p>
        </w:tc>
        <w:tc>
          <w:tcPr>
            <w:tcW w:w="727" w:type="dxa"/>
            <w:vMerge w:val="restart"/>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项目效益　</w:t>
            </w: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促进妇幼保健服务业务的发展</w:t>
            </w:r>
          </w:p>
        </w:tc>
        <w:tc>
          <w:tcPr>
            <w:tcW w:w="2141" w:type="dxa"/>
            <w:shd w:val="clear" w:color="auto" w:fill="auto"/>
            <w:vAlign w:val="center"/>
          </w:tcPr>
          <w:p>
            <w:pPr>
              <w:widowControl/>
              <w:spacing w:line="0" w:lineRule="atLeast"/>
              <w:ind w:firstLine="0" w:firstLineChars="0"/>
              <w:jc w:val="left"/>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提高妇女儿童健康水平</w:t>
            </w:r>
          </w:p>
        </w:tc>
        <w:tc>
          <w:tcPr>
            <w:tcW w:w="2141" w:type="dxa"/>
            <w:shd w:val="clear" w:color="auto" w:fill="auto"/>
            <w:vAlign w:val="center"/>
          </w:tcPr>
          <w:p>
            <w:pPr>
              <w:widowControl/>
              <w:spacing w:line="0" w:lineRule="atLeast"/>
              <w:ind w:firstLine="0" w:firstLineChars="0"/>
              <w:jc w:val="left"/>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项目实施所产生的效益。</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ascii="宋体" w:hAnsi="宋体" w:eastAsia="宋体" w:cs="宋体"/>
                <w:color w:val="auto"/>
                <w:kern w:val="0"/>
                <w:sz w:val="22"/>
                <w:szCs w:val="22"/>
                <w:highlight w:val="none"/>
              </w:rPr>
              <w:t>项目实施所产生的社会效益、经济效益、生态效益、可持续影响等。可根据项目实际情况有选择地设置和细化。</w:t>
            </w:r>
          </w:p>
        </w:tc>
        <w:tc>
          <w:tcPr>
            <w:tcW w:w="785"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c>
          <w:tcPr>
            <w:tcW w:w="769"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val="en-US" w:eastAsia="zh-CN" w:bidi="ar-SA"/>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61"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727" w:type="dxa"/>
            <w:vMerge w:val="continue"/>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p>
        </w:tc>
        <w:tc>
          <w:tcPr>
            <w:tcW w:w="820" w:type="dxa"/>
            <w:shd w:val="clear" w:color="auto" w:fill="auto"/>
            <w:vAlign w:val="center"/>
          </w:tcPr>
          <w:p>
            <w:pPr>
              <w:widowControl/>
              <w:spacing w:line="0" w:lineRule="atLeast"/>
              <w:ind w:firstLine="0" w:firstLineChars="0"/>
              <w:jc w:val="center"/>
              <w:rPr>
                <w:rFonts w:ascii="宋体" w:hAnsi="宋体" w:eastAsia="宋体" w:cs="宋体"/>
                <w:color w:val="auto"/>
                <w:kern w:val="0"/>
                <w:sz w:val="22"/>
                <w:szCs w:val="22"/>
                <w:highlight w:val="none"/>
              </w:rPr>
            </w:pPr>
            <w:r>
              <w:rPr>
                <w:rFonts w:hint="eastAsia" w:cs="宋体"/>
                <w:color w:val="auto"/>
                <w:kern w:val="0"/>
                <w:sz w:val="22"/>
                <w:szCs w:val="22"/>
                <w:highlight w:val="none"/>
                <w:lang w:eastAsia="zh-CN"/>
              </w:rPr>
              <w:t>患者</w:t>
            </w:r>
            <w:r>
              <w:rPr>
                <w:rFonts w:hint="eastAsia" w:ascii="宋体" w:hAnsi="宋体" w:eastAsia="宋体" w:cs="宋体"/>
                <w:color w:val="auto"/>
                <w:kern w:val="0"/>
                <w:sz w:val="22"/>
                <w:szCs w:val="22"/>
                <w:highlight w:val="none"/>
              </w:rPr>
              <w:t>满意度</w:t>
            </w:r>
          </w:p>
        </w:tc>
        <w:tc>
          <w:tcPr>
            <w:tcW w:w="214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lang w:eastAsia="zh-CN"/>
              </w:rPr>
            </w:pPr>
            <w:r>
              <w:rPr>
                <w:rFonts w:hint="eastAsia" w:ascii="宋体" w:hAnsi="宋体" w:eastAsia="宋体" w:cs="宋体"/>
                <w:color w:val="auto"/>
                <w:kern w:val="0"/>
                <w:sz w:val="22"/>
                <w:szCs w:val="22"/>
                <w:highlight w:val="none"/>
              </w:rPr>
              <w:t>服务对象满意</w:t>
            </w:r>
            <w:r>
              <w:rPr>
                <w:rFonts w:hint="eastAsia" w:cs="宋体"/>
                <w:color w:val="auto"/>
                <w:kern w:val="0"/>
                <w:sz w:val="22"/>
                <w:szCs w:val="22"/>
                <w:highlight w:val="none"/>
                <w:lang w:eastAsia="zh-CN"/>
              </w:rPr>
              <w:t>度</w:t>
            </w:r>
          </w:p>
        </w:tc>
        <w:tc>
          <w:tcPr>
            <w:tcW w:w="7821" w:type="dxa"/>
            <w:shd w:val="clear" w:color="auto" w:fill="auto"/>
            <w:vAlign w:val="center"/>
          </w:tcPr>
          <w:p>
            <w:pPr>
              <w:widowControl/>
              <w:spacing w:line="0" w:lineRule="atLeast"/>
              <w:ind w:firstLine="0" w:firstLineChars="0"/>
              <w:rPr>
                <w:rFonts w:ascii="宋体" w:hAnsi="宋体" w:eastAsia="宋体" w:cs="宋体"/>
                <w:color w:val="auto"/>
                <w:kern w:val="0"/>
                <w:sz w:val="22"/>
                <w:szCs w:val="22"/>
                <w:highlight w:val="none"/>
              </w:rPr>
            </w:pPr>
            <w:r>
              <w:rPr>
                <w:rFonts w:hint="eastAsia" w:ascii="宋体" w:hAnsi="宋体" w:eastAsia="宋体" w:cs="宋体"/>
                <w:color w:val="auto"/>
                <w:kern w:val="0"/>
                <w:sz w:val="22"/>
                <w:szCs w:val="22"/>
                <w:highlight w:val="none"/>
              </w:rPr>
              <w:t>社会公众或服务对象是指因该项目实施而受到影响的部门（单位）、群体或个人。一般采取社会调查的方式。</w:t>
            </w:r>
          </w:p>
        </w:tc>
        <w:tc>
          <w:tcPr>
            <w:tcW w:w="785"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417" w:hRule="atLeast"/>
          <w:jc w:val="center"/>
        </w:trPr>
        <w:tc>
          <w:tcPr>
            <w:tcW w:w="4549" w:type="dxa"/>
            <w:gridSpan w:val="4"/>
            <w:shd w:val="clear" w:color="auto" w:fill="auto"/>
            <w:vAlign w:val="center"/>
          </w:tcPr>
          <w:p>
            <w:pPr>
              <w:widowControl/>
              <w:spacing w:line="0" w:lineRule="atLeast"/>
              <w:ind w:firstLine="0" w:firstLineChars="0"/>
              <w:jc w:val="center"/>
              <w:rPr>
                <w:rFonts w:hint="eastAsia" w:ascii="宋体" w:hAnsi="宋体" w:eastAsia="宋体" w:cs="宋体"/>
                <w:color w:val="auto"/>
                <w:kern w:val="0"/>
                <w:sz w:val="22"/>
                <w:szCs w:val="22"/>
                <w:highlight w:val="none"/>
                <w:lang w:val="en-US" w:eastAsia="zh-CN"/>
              </w:rPr>
            </w:pPr>
            <w:r>
              <w:rPr>
                <w:rFonts w:hint="eastAsia" w:ascii="宋体" w:hAnsi="宋体" w:eastAsia="宋体" w:cs="宋体"/>
                <w:color w:val="auto"/>
                <w:kern w:val="0"/>
                <w:sz w:val="22"/>
                <w:szCs w:val="22"/>
                <w:highlight w:val="none"/>
                <w:lang w:val="en-US" w:eastAsia="zh-CN"/>
              </w:rPr>
              <w:t>合计</w:t>
            </w:r>
          </w:p>
        </w:tc>
        <w:tc>
          <w:tcPr>
            <w:tcW w:w="7821" w:type="dxa"/>
            <w:shd w:val="clear" w:color="auto" w:fill="auto"/>
            <w:vAlign w:val="center"/>
          </w:tcPr>
          <w:p>
            <w:pPr>
              <w:widowControl/>
              <w:spacing w:line="0" w:lineRule="atLeast"/>
              <w:ind w:firstLine="0" w:firstLineChars="0"/>
              <w:rPr>
                <w:rFonts w:hint="eastAsia" w:ascii="宋体" w:hAnsi="宋体" w:eastAsia="宋体" w:cs="宋体"/>
                <w:color w:val="auto"/>
                <w:kern w:val="0"/>
                <w:sz w:val="22"/>
                <w:szCs w:val="22"/>
                <w:highlight w:val="none"/>
              </w:rPr>
            </w:pPr>
          </w:p>
        </w:tc>
        <w:tc>
          <w:tcPr>
            <w:tcW w:w="785" w:type="dxa"/>
            <w:shd w:val="clear" w:color="auto" w:fill="auto"/>
            <w:vAlign w:val="center"/>
          </w:tcPr>
          <w:p>
            <w:pPr>
              <w:widowControl/>
              <w:spacing w:line="0" w:lineRule="atLeast"/>
              <w:ind w:firstLine="0" w:firstLineChars="0"/>
              <w:jc w:val="center"/>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100</w:t>
            </w:r>
          </w:p>
        </w:tc>
        <w:tc>
          <w:tcPr>
            <w:tcW w:w="769" w:type="dxa"/>
            <w:shd w:val="clear" w:color="auto" w:fill="auto"/>
            <w:vAlign w:val="center"/>
          </w:tcPr>
          <w:p>
            <w:pPr>
              <w:widowControl/>
              <w:spacing w:line="0" w:lineRule="atLeast"/>
              <w:ind w:firstLine="0" w:firstLineChars="0"/>
              <w:rPr>
                <w:rFonts w:hint="default" w:ascii="宋体" w:hAnsi="宋体" w:eastAsia="宋体" w:cs="宋体"/>
                <w:color w:val="auto"/>
                <w:kern w:val="0"/>
                <w:sz w:val="22"/>
                <w:szCs w:val="22"/>
                <w:highlight w:val="none"/>
                <w:lang w:val="en-US" w:eastAsia="zh-CN"/>
              </w:rPr>
            </w:pPr>
            <w:r>
              <w:rPr>
                <w:rFonts w:hint="eastAsia" w:cs="宋体"/>
                <w:color w:val="auto"/>
                <w:kern w:val="0"/>
                <w:sz w:val="22"/>
                <w:szCs w:val="22"/>
                <w:highlight w:val="none"/>
                <w:lang w:val="en-US" w:eastAsia="zh-CN"/>
              </w:rPr>
              <w:t>97.6</w:t>
            </w:r>
          </w:p>
        </w:tc>
      </w:tr>
    </w:tbl>
    <w:p>
      <w:pPr>
        <w:spacing w:line="240" w:lineRule="auto"/>
        <w:ind w:firstLine="0" w:firstLineChars="0"/>
        <w:rPr>
          <w:rFonts w:ascii="Times New Roman" w:hAnsi="Times New Roman" w:eastAsia="仿宋_GB2312" w:cs="Times New Roman"/>
          <w:color w:val="auto"/>
          <w:sz w:val="30"/>
          <w:szCs w:val="24"/>
          <w:highlight w:val="none"/>
        </w:rPr>
      </w:pPr>
    </w:p>
    <w:p>
      <w:pPr>
        <w:rPr>
          <w:rFonts w:hint="default"/>
          <w:color w:val="auto"/>
          <w:highlight w:val="none"/>
          <w:lang w:val="en-US" w:eastAsia="zh-CN"/>
        </w:rPr>
      </w:pPr>
    </w:p>
    <w:sectPr>
      <w:pgSz w:w="16838" w:h="11906" w:orient="landscape"/>
      <w:pgMar w:top="1800" w:right="1440" w:bottom="1800" w:left="1440" w:header="737" w:footer="851" w:gutter="0"/>
      <w:pgNumType w:fmt="decimal"/>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Sans Serif">
    <w:altName w:val="Arial"/>
    <w:panose1 w:val="00000000000000000000"/>
    <w:charset w:val="00"/>
    <w:family w:val="decorative"/>
    <w:pitch w:val="default"/>
    <w:sig w:usb0="00000000" w:usb1="00000000" w:usb2="00000000" w:usb3="00000000" w:csb0="00000001" w:csb1="00000000"/>
  </w:font>
  <w:font w:name="Arial Unicode MS">
    <w:altName w:val="宋体"/>
    <w:panose1 w:val="020B0604020202020204"/>
    <w:charset w:val="86"/>
    <w:family w:val="decorative"/>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Y3MmI4ODZmMjljZWZhNGFkN2U2N2Y4ODgwYjM5ZGIifQ=="/>
    <w:docVar w:name="KSO_WPS_MARK_KEY" w:val="0b4327b6-5c3f-4159-8a8c-9c3a367d00fb"/>
  </w:docVars>
  <w:rsids>
    <w:rsidRoot w:val="68291A1A"/>
    <w:rsid w:val="007D6A04"/>
    <w:rsid w:val="00E23C81"/>
    <w:rsid w:val="01253350"/>
    <w:rsid w:val="01282E62"/>
    <w:rsid w:val="014029CF"/>
    <w:rsid w:val="01470C4C"/>
    <w:rsid w:val="01681153"/>
    <w:rsid w:val="017311EE"/>
    <w:rsid w:val="01ED2040"/>
    <w:rsid w:val="02200440"/>
    <w:rsid w:val="02284B43"/>
    <w:rsid w:val="02B015E2"/>
    <w:rsid w:val="02DC08FA"/>
    <w:rsid w:val="033B569D"/>
    <w:rsid w:val="034C0523"/>
    <w:rsid w:val="03557185"/>
    <w:rsid w:val="039C3BA0"/>
    <w:rsid w:val="03A845BB"/>
    <w:rsid w:val="03AD5595"/>
    <w:rsid w:val="03B45AD1"/>
    <w:rsid w:val="03DC0271"/>
    <w:rsid w:val="04C32E19"/>
    <w:rsid w:val="04D12EE4"/>
    <w:rsid w:val="04D63993"/>
    <w:rsid w:val="077A6BBA"/>
    <w:rsid w:val="07890F4F"/>
    <w:rsid w:val="083707CC"/>
    <w:rsid w:val="083E3A37"/>
    <w:rsid w:val="08892439"/>
    <w:rsid w:val="08EB30F3"/>
    <w:rsid w:val="09237408"/>
    <w:rsid w:val="094B7B50"/>
    <w:rsid w:val="09781BD6"/>
    <w:rsid w:val="09F359DF"/>
    <w:rsid w:val="0A575E65"/>
    <w:rsid w:val="0ACA0AB6"/>
    <w:rsid w:val="0B756CA4"/>
    <w:rsid w:val="0C032502"/>
    <w:rsid w:val="0C27698C"/>
    <w:rsid w:val="0D052744"/>
    <w:rsid w:val="0D1774B0"/>
    <w:rsid w:val="0D4452F3"/>
    <w:rsid w:val="0EAC0F21"/>
    <w:rsid w:val="0F5E5042"/>
    <w:rsid w:val="0F6E7CEB"/>
    <w:rsid w:val="0FD80171"/>
    <w:rsid w:val="0FE95707"/>
    <w:rsid w:val="10510571"/>
    <w:rsid w:val="10787A20"/>
    <w:rsid w:val="108672DE"/>
    <w:rsid w:val="10D313F0"/>
    <w:rsid w:val="10EC685A"/>
    <w:rsid w:val="11586307"/>
    <w:rsid w:val="11FA6155"/>
    <w:rsid w:val="12CF0947"/>
    <w:rsid w:val="12F1313F"/>
    <w:rsid w:val="136C678E"/>
    <w:rsid w:val="13EB2FF5"/>
    <w:rsid w:val="14057E65"/>
    <w:rsid w:val="14216B22"/>
    <w:rsid w:val="14781F4B"/>
    <w:rsid w:val="14C36F54"/>
    <w:rsid w:val="15A46B04"/>
    <w:rsid w:val="165825BC"/>
    <w:rsid w:val="16BC5D73"/>
    <w:rsid w:val="176F36D7"/>
    <w:rsid w:val="178511C2"/>
    <w:rsid w:val="1795226D"/>
    <w:rsid w:val="180912F7"/>
    <w:rsid w:val="18456B1E"/>
    <w:rsid w:val="18F41B50"/>
    <w:rsid w:val="19BA0124"/>
    <w:rsid w:val="1B77677A"/>
    <w:rsid w:val="1B827383"/>
    <w:rsid w:val="1C1171C5"/>
    <w:rsid w:val="1C6D1AB1"/>
    <w:rsid w:val="1D265138"/>
    <w:rsid w:val="1D6A1583"/>
    <w:rsid w:val="1D7B6BCA"/>
    <w:rsid w:val="1DA41A79"/>
    <w:rsid w:val="1DF53469"/>
    <w:rsid w:val="1E0952A7"/>
    <w:rsid w:val="1E2F24F2"/>
    <w:rsid w:val="1E58492F"/>
    <w:rsid w:val="1E5B6757"/>
    <w:rsid w:val="1ED10AC6"/>
    <w:rsid w:val="1F091DA7"/>
    <w:rsid w:val="1F3E18CF"/>
    <w:rsid w:val="1F89225F"/>
    <w:rsid w:val="1F900A1F"/>
    <w:rsid w:val="1FC0575D"/>
    <w:rsid w:val="206132C7"/>
    <w:rsid w:val="209D4F4E"/>
    <w:rsid w:val="21B00C1D"/>
    <w:rsid w:val="22027E59"/>
    <w:rsid w:val="23031BEB"/>
    <w:rsid w:val="23917691"/>
    <w:rsid w:val="244D65B8"/>
    <w:rsid w:val="245E1E24"/>
    <w:rsid w:val="2560264C"/>
    <w:rsid w:val="25AD5E5D"/>
    <w:rsid w:val="26F2732D"/>
    <w:rsid w:val="2732478D"/>
    <w:rsid w:val="27457703"/>
    <w:rsid w:val="27661469"/>
    <w:rsid w:val="27900EAD"/>
    <w:rsid w:val="279B538A"/>
    <w:rsid w:val="286F545C"/>
    <w:rsid w:val="29314FBC"/>
    <w:rsid w:val="2A870AD2"/>
    <w:rsid w:val="2C024B86"/>
    <w:rsid w:val="2C927671"/>
    <w:rsid w:val="2D7C2C3A"/>
    <w:rsid w:val="2D7C5CD6"/>
    <w:rsid w:val="2E483E7E"/>
    <w:rsid w:val="2E690493"/>
    <w:rsid w:val="2E9854BD"/>
    <w:rsid w:val="2EA45E35"/>
    <w:rsid w:val="2F0D407F"/>
    <w:rsid w:val="2F454B19"/>
    <w:rsid w:val="2F5E167A"/>
    <w:rsid w:val="30FE6AEF"/>
    <w:rsid w:val="310224D9"/>
    <w:rsid w:val="31B4621C"/>
    <w:rsid w:val="31E3230A"/>
    <w:rsid w:val="325668CA"/>
    <w:rsid w:val="330957E0"/>
    <w:rsid w:val="33356F64"/>
    <w:rsid w:val="33944516"/>
    <w:rsid w:val="342B5426"/>
    <w:rsid w:val="34B62907"/>
    <w:rsid w:val="36BD137C"/>
    <w:rsid w:val="371400E2"/>
    <w:rsid w:val="385D37E7"/>
    <w:rsid w:val="386A018F"/>
    <w:rsid w:val="38782EDD"/>
    <w:rsid w:val="39EA4612"/>
    <w:rsid w:val="3B42664A"/>
    <w:rsid w:val="3B6431FB"/>
    <w:rsid w:val="3C8818A1"/>
    <w:rsid w:val="3D836A4E"/>
    <w:rsid w:val="3DD376D7"/>
    <w:rsid w:val="3DF000DF"/>
    <w:rsid w:val="3E6A5C9F"/>
    <w:rsid w:val="3EA37E97"/>
    <w:rsid w:val="3F5C223B"/>
    <w:rsid w:val="3F9E01D4"/>
    <w:rsid w:val="3FBE0BC5"/>
    <w:rsid w:val="4048103A"/>
    <w:rsid w:val="40736643"/>
    <w:rsid w:val="40D24A7A"/>
    <w:rsid w:val="4155413F"/>
    <w:rsid w:val="42621029"/>
    <w:rsid w:val="42AA1BED"/>
    <w:rsid w:val="435241E2"/>
    <w:rsid w:val="436D1C46"/>
    <w:rsid w:val="43975C51"/>
    <w:rsid w:val="439E3FA7"/>
    <w:rsid w:val="43E23CA5"/>
    <w:rsid w:val="44B32266"/>
    <w:rsid w:val="44FC64F4"/>
    <w:rsid w:val="455025AA"/>
    <w:rsid w:val="467F4585"/>
    <w:rsid w:val="470628CB"/>
    <w:rsid w:val="47555BD4"/>
    <w:rsid w:val="47B87CFB"/>
    <w:rsid w:val="47E96399"/>
    <w:rsid w:val="48E12B50"/>
    <w:rsid w:val="499441BE"/>
    <w:rsid w:val="499A6C1C"/>
    <w:rsid w:val="49F4215B"/>
    <w:rsid w:val="4A2138F0"/>
    <w:rsid w:val="4A583887"/>
    <w:rsid w:val="4ADE1B26"/>
    <w:rsid w:val="4B9F6E02"/>
    <w:rsid w:val="4BA550B1"/>
    <w:rsid w:val="4BB530DC"/>
    <w:rsid w:val="4C2A5F81"/>
    <w:rsid w:val="4C89637B"/>
    <w:rsid w:val="4E6E48A8"/>
    <w:rsid w:val="4EEC036B"/>
    <w:rsid w:val="501D2673"/>
    <w:rsid w:val="50C80BF1"/>
    <w:rsid w:val="50D06286"/>
    <w:rsid w:val="51852833"/>
    <w:rsid w:val="526B7FD2"/>
    <w:rsid w:val="52D035CA"/>
    <w:rsid w:val="52F11AC8"/>
    <w:rsid w:val="53281FE3"/>
    <w:rsid w:val="534F49D9"/>
    <w:rsid w:val="53555F0F"/>
    <w:rsid w:val="535D23D5"/>
    <w:rsid w:val="54811E33"/>
    <w:rsid w:val="55072DA6"/>
    <w:rsid w:val="55D831E4"/>
    <w:rsid w:val="56F4341A"/>
    <w:rsid w:val="57156660"/>
    <w:rsid w:val="575A7321"/>
    <w:rsid w:val="580C3AB9"/>
    <w:rsid w:val="583C7AE0"/>
    <w:rsid w:val="586C1E9A"/>
    <w:rsid w:val="586E0800"/>
    <w:rsid w:val="59216F96"/>
    <w:rsid w:val="598C4145"/>
    <w:rsid w:val="59957D1B"/>
    <w:rsid w:val="59D4294E"/>
    <w:rsid w:val="5A897B40"/>
    <w:rsid w:val="5B634312"/>
    <w:rsid w:val="5B740FF5"/>
    <w:rsid w:val="5B9D2CCD"/>
    <w:rsid w:val="5B9E71EA"/>
    <w:rsid w:val="5C211BAE"/>
    <w:rsid w:val="5CA57EC6"/>
    <w:rsid w:val="5DA2730B"/>
    <w:rsid w:val="5E226FBC"/>
    <w:rsid w:val="5EB02500"/>
    <w:rsid w:val="5EB54071"/>
    <w:rsid w:val="5FE72BD2"/>
    <w:rsid w:val="60120613"/>
    <w:rsid w:val="603A11F0"/>
    <w:rsid w:val="618D5292"/>
    <w:rsid w:val="622E78FA"/>
    <w:rsid w:val="63343F70"/>
    <w:rsid w:val="63EB31A9"/>
    <w:rsid w:val="64296E1C"/>
    <w:rsid w:val="64496AFC"/>
    <w:rsid w:val="645B3E33"/>
    <w:rsid w:val="649E64A2"/>
    <w:rsid w:val="65765B7B"/>
    <w:rsid w:val="65E5270A"/>
    <w:rsid w:val="663C22D4"/>
    <w:rsid w:val="663D3C54"/>
    <w:rsid w:val="66862C89"/>
    <w:rsid w:val="66BB486D"/>
    <w:rsid w:val="67394C7D"/>
    <w:rsid w:val="68126B38"/>
    <w:rsid w:val="68291A1A"/>
    <w:rsid w:val="68352BB8"/>
    <w:rsid w:val="691B1594"/>
    <w:rsid w:val="693A016B"/>
    <w:rsid w:val="6A17429C"/>
    <w:rsid w:val="6A25176A"/>
    <w:rsid w:val="6A567EA3"/>
    <w:rsid w:val="6B4B4368"/>
    <w:rsid w:val="6B5601AE"/>
    <w:rsid w:val="6B79100E"/>
    <w:rsid w:val="6C7D4736"/>
    <w:rsid w:val="6C844C00"/>
    <w:rsid w:val="6CC57954"/>
    <w:rsid w:val="6D2408DD"/>
    <w:rsid w:val="6D26792C"/>
    <w:rsid w:val="6E10212C"/>
    <w:rsid w:val="6E43561A"/>
    <w:rsid w:val="6E557973"/>
    <w:rsid w:val="6E9568DB"/>
    <w:rsid w:val="6F0D6C22"/>
    <w:rsid w:val="6F47657F"/>
    <w:rsid w:val="6FAF23D9"/>
    <w:rsid w:val="70635CF6"/>
    <w:rsid w:val="70670707"/>
    <w:rsid w:val="720E3691"/>
    <w:rsid w:val="724E244C"/>
    <w:rsid w:val="72C277AF"/>
    <w:rsid w:val="72DA6946"/>
    <w:rsid w:val="732764B3"/>
    <w:rsid w:val="74026044"/>
    <w:rsid w:val="74746410"/>
    <w:rsid w:val="754A30AE"/>
    <w:rsid w:val="75E5007C"/>
    <w:rsid w:val="763079CC"/>
    <w:rsid w:val="76576F5D"/>
    <w:rsid w:val="76D377DB"/>
    <w:rsid w:val="7775458B"/>
    <w:rsid w:val="77813724"/>
    <w:rsid w:val="77861774"/>
    <w:rsid w:val="78880C51"/>
    <w:rsid w:val="78F31435"/>
    <w:rsid w:val="79300B45"/>
    <w:rsid w:val="793357E6"/>
    <w:rsid w:val="794D3E18"/>
    <w:rsid w:val="79F3729A"/>
    <w:rsid w:val="7A880722"/>
    <w:rsid w:val="7AC21775"/>
    <w:rsid w:val="7ACB0498"/>
    <w:rsid w:val="7AED0B4D"/>
    <w:rsid w:val="7C1E4487"/>
    <w:rsid w:val="7C215E02"/>
    <w:rsid w:val="7C9B6E16"/>
    <w:rsid w:val="7CF23764"/>
    <w:rsid w:val="7D394408"/>
    <w:rsid w:val="7DF605E0"/>
    <w:rsid w:val="7E797F74"/>
    <w:rsid w:val="7F6801F2"/>
    <w:rsid w:val="7F835D19"/>
    <w:rsid w:val="7F924011"/>
    <w:rsid w:val="7FC52D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qFormat/>
    <w:uiPriority w:val="0"/>
    <w:pPr>
      <w:jc w:val="left"/>
    </w:pPr>
  </w:style>
  <w:style w:type="paragraph" w:styleId="7">
    <w:name w:val="Body Text"/>
    <w:basedOn w:val="1"/>
    <w:next w:val="8"/>
    <w:qFormat/>
    <w:uiPriority w:val="0"/>
    <w:pPr>
      <w:spacing w:before="240" w:after="240" w:line="360" w:lineRule="auto"/>
      <w:jc w:val="center"/>
    </w:pPr>
    <w:rPr>
      <w:b/>
      <w:sz w:val="44"/>
    </w:rPr>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qFormat/>
    <w:uiPriority w:val="0"/>
    <w:rPr>
      <w:rFonts w:ascii="Arial" w:hAnsi="Arial" w:eastAsia="楷体"/>
      <w:b/>
      <w:sz w:val="32"/>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 w:type="paragraph" w:customStyle="1" w:styleId="17">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10248</Words>
  <Characters>10820</Characters>
  <Lines>0</Lines>
  <Paragraphs>0</Paragraphs>
  <TotalTime>3</TotalTime>
  <ScaleCrop>false</ScaleCrop>
  <LinksUpToDate>false</LinksUpToDate>
  <CharactersWithSpaces>10842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飞一样的城</cp:lastModifiedBy>
  <dcterms:modified xsi:type="dcterms:W3CDTF">2024-10-15T09:31:44Z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1D17C581B7B649E79D2BCA767FA9A472_13</vt:lpwstr>
  </property>
</Properties>
</file>