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40048">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0C2CE5E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E735F2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F8D827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4"/>
          <w:szCs w:val="44"/>
          <w:highlight w:val="none"/>
          <w:shd w:val="clear" w:color="auto" w:fill="auto"/>
          <w:lang w:val="en-US" w:eastAsia="zh-CN"/>
        </w:rPr>
        <w:t>城关镇幸福大院建设</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0721B62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4FE270E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4AD9C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37A12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36DEC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48E4C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FADA0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EE93D1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3EA2DD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项目名称：幸福大院建设项目</w:t>
      </w:r>
    </w:p>
    <w:p w14:paraId="1485B7E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阜康市城关镇人民政府</w:t>
      </w:r>
    </w:p>
    <w:p w14:paraId="430C699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：阜康市城关镇人民政府</w:t>
      </w:r>
    </w:p>
    <w:p w14:paraId="1DFD327C">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6D361C8E">
      <w:pPr>
        <w:rPr>
          <w:rFonts w:hint="eastAsia"/>
          <w:color w:val="auto"/>
          <w:lang w:val="en-US" w:eastAsia="zh-CN"/>
        </w:rPr>
      </w:pPr>
      <w:r>
        <w:rPr>
          <w:rFonts w:hint="eastAsia"/>
          <w:color w:val="auto"/>
          <w:lang w:val="en-US" w:eastAsia="zh-CN"/>
        </w:rPr>
        <w:br w:type="page"/>
      </w:r>
    </w:p>
    <w:p w14:paraId="6241A54D">
      <w:pPr>
        <w:rPr>
          <w:rFonts w:hint="eastAsia"/>
          <w:color w:val="auto"/>
          <w:lang w:val="en-US" w:eastAsia="zh-CN"/>
        </w:rPr>
      </w:pP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5A1760F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6C47401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0059BAF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4AD4842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0426C7D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2</w:t>
          </w:r>
          <w:r>
            <w:rPr>
              <w:color w:val="auto"/>
              <w:sz w:val="28"/>
              <w:szCs w:val="28"/>
            </w:rPr>
            <w:fldChar w:fldCharType="end"/>
          </w:r>
          <w:r>
            <w:rPr>
              <w:rFonts w:hint="eastAsia"/>
              <w:color w:val="auto"/>
              <w:sz w:val="28"/>
              <w:szCs w:val="28"/>
              <w:lang w:val="en-US" w:eastAsia="zh-CN"/>
            </w:rPr>
            <w:fldChar w:fldCharType="end"/>
          </w:r>
        </w:p>
        <w:p w14:paraId="71CAECE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4</w:t>
          </w:r>
          <w:r>
            <w:rPr>
              <w:b/>
              <w:bCs/>
              <w:color w:val="auto"/>
              <w:sz w:val="28"/>
              <w:szCs w:val="28"/>
            </w:rPr>
            <w:fldChar w:fldCharType="end"/>
          </w:r>
          <w:r>
            <w:rPr>
              <w:rFonts w:hint="eastAsia"/>
              <w:b/>
              <w:bCs/>
              <w:color w:val="auto"/>
              <w:sz w:val="28"/>
              <w:szCs w:val="28"/>
              <w:lang w:val="en-US" w:eastAsia="zh-CN"/>
            </w:rPr>
            <w:fldChar w:fldCharType="end"/>
          </w:r>
        </w:p>
        <w:p w14:paraId="11784A0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14:paraId="247E21F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14:paraId="68ADBCD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14:paraId="2865F7B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4045559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5E081B3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11</w:t>
          </w:r>
          <w:r>
            <w:rPr>
              <w:color w:val="auto"/>
              <w:sz w:val="28"/>
              <w:szCs w:val="28"/>
            </w:rPr>
            <w:fldChar w:fldCharType="end"/>
          </w:r>
          <w:r>
            <w:rPr>
              <w:rFonts w:hint="eastAsia"/>
              <w:color w:val="auto"/>
              <w:sz w:val="28"/>
              <w:szCs w:val="28"/>
              <w:lang w:val="en-US" w:eastAsia="zh-CN"/>
            </w:rPr>
            <w:fldChar w:fldCharType="end"/>
          </w:r>
        </w:p>
        <w:p w14:paraId="5B89D26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13</w:t>
          </w:r>
          <w:r>
            <w:rPr>
              <w:color w:val="auto"/>
              <w:sz w:val="28"/>
              <w:szCs w:val="28"/>
            </w:rPr>
            <w:fldChar w:fldCharType="end"/>
          </w:r>
          <w:r>
            <w:rPr>
              <w:rFonts w:hint="eastAsia"/>
              <w:color w:val="auto"/>
              <w:sz w:val="28"/>
              <w:szCs w:val="28"/>
              <w:lang w:val="en-US" w:eastAsia="zh-CN"/>
            </w:rPr>
            <w:fldChar w:fldCharType="end"/>
          </w:r>
        </w:p>
        <w:p w14:paraId="60EDD37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15</w:t>
          </w:r>
          <w:r>
            <w:rPr>
              <w:color w:val="auto"/>
              <w:sz w:val="28"/>
              <w:szCs w:val="28"/>
            </w:rPr>
            <w:fldChar w:fldCharType="end"/>
          </w:r>
          <w:r>
            <w:rPr>
              <w:rFonts w:hint="eastAsia"/>
              <w:color w:val="auto"/>
              <w:sz w:val="28"/>
              <w:szCs w:val="28"/>
              <w:lang w:val="en-US" w:eastAsia="zh-CN"/>
            </w:rPr>
            <w:fldChar w:fldCharType="end"/>
          </w:r>
        </w:p>
        <w:p w14:paraId="0B8A411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16</w:t>
          </w:r>
          <w:r>
            <w:rPr>
              <w:color w:val="auto"/>
              <w:sz w:val="28"/>
              <w:szCs w:val="28"/>
            </w:rPr>
            <w:fldChar w:fldCharType="end"/>
          </w:r>
          <w:r>
            <w:rPr>
              <w:rFonts w:hint="eastAsia"/>
              <w:color w:val="auto"/>
              <w:sz w:val="28"/>
              <w:szCs w:val="28"/>
              <w:lang w:val="en-US" w:eastAsia="zh-CN"/>
            </w:rPr>
            <w:fldChar w:fldCharType="end"/>
          </w:r>
        </w:p>
        <w:p w14:paraId="289594A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17</w:t>
          </w:r>
          <w:r>
            <w:rPr>
              <w:b/>
              <w:bCs/>
              <w:color w:val="auto"/>
              <w:sz w:val="28"/>
              <w:szCs w:val="28"/>
            </w:rPr>
            <w:fldChar w:fldCharType="end"/>
          </w:r>
          <w:r>
            <w:rPr>
              <w:rFonts w:hint="eastAsia"/>
              <w:b/>
              <w:bCs/>
              <w:color w:val="auto"/>
              <w:sz w:val="28"/>
              <w:szCs w:val="28"/>
              <w:lang w:val="en-US" w:eastAsia="zh-CN"/>
            </w:rPr>
            <w:fldChar w:fldCharType="end"/>
          </w:r>
        </w:p>
        <w:p w14:paraId="10D7814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7BD29C3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718F89C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0FBC0B6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5EFDB5D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15A1077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62E1E2C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lang w:val="en-US" w:eastAsia="zh-CN"/>
            </w:rPr>
            <w:fldChar w:fldCharType="end"/>
          </w:r>
        </w:p>
      </w:sdtContent>
    </w:sdt>
    <w:p w14:paraId="0EEF787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2022年度人大微事实</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05EE5D3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3A10EC8F">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7B94797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393C4A3">
      <w:pPr>
        <w:bidi w:val="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为解决城关镇各村独居老人和低保户生活无人照料的问题，</w:t>
      </w:r>
      <w:r>
        <w:rPr>
          <w:rFonts w:hint="eastAsia" w:asciiTheme="minorEastAsia" w:hAnsiTheme="minorEastAsia" w:eastAsiaTheme="minorEastAsia" w:cstheme="minorEastAsia"/>
          <w:color w:val="auto"/>
          <w:sz w:val="28"/>
          <w:szCs w:val="28"/>
          <w:highlight w:val="none"/>
          <w:lang w:val="en-US" w:eastAsia="zh-CN"/>
        </w:rPr>
        <w:t>实现农村独居老有所养、老有所乐，城关镇积极谋划，向阜康市委申请修建城关镇幸福大院，经市党委研究决定，同意在阜康市城关镇坂干梁村建设幸福大院。</w:t>
      </w:r>
    </w:p>
    <w:p w14:paraId="5E0DBA6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48569D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bookmarkStart w:id="6" w:name="_Toc16592"/>
      <w:r>
        <w:rPr>
          <w:rFonts w:hint="eastAsia" w:asciiTheme="minorEastAsia" w:hAnsiTheme="minorEastAsia" w:eastAsiaTheme="minorEastAsia" w:cstheme="minorEastAsia"/>
          <w:color w:val="auto"/>
          <w:sz w:val="28"/>
          <w:szCs w:val="28"/>
          <w:highlight w:val="none"/>
          <w:shd w:val="clear" w:color="auto" w:fill="auto"/>
          <w:lang w:val="en-US" w:eastAsia="zh-CN"/>
        </w:rPr>
        <w:t>主要内容：</w:t>
      </w:r>
      <w:r>
        <w:rPr>
          <w:rFonts w:hint="eastAsia" w:asciiTheme="minorEastAsia" w:hAnsiTheme="minorEastAsia" w:eastAsiaTheme="minorEastAsia" w:cstheme="minorEastAsia"/>
          <w:color w:val="auto"/>
          <w:sz w:val="28"/>
          <w:szCs w:val="28"/>
          <w:lang w:val="en-US" w:eastAsia="zh-CN"/>
        </w:rPr>
        <w:t>总建筑面积3000平米，包括生活服务用房、门卫值班室、发电机房等，配套完成水、电、暖、粪化池、消防水池、绿化、硬化、亮化等附属工程设施。</w:t>
      </w:r>
    </w:p>
    <w:p w14:paraId="1AA18320">
      <w:pPr>
        <w:numPr>
          <w:ilvl w:val="0"/>
          <w:numId w:val="0"/>
        </w:numPr>
        <w:ind w:firstLine="560" w:firstLineChars="200"/>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lang w:val="en-US" w:eastAsia="zh-CN"/>
        </w:rPr>
        <w:t>本项目建成后将丰富和健全阜康市养老服务体系，通过做好老年人日间照料服务，可解决100名农村生活困难老人养老保障问题，着力保障特殊困难老年人的健康养老的需求，实现农村独居老有所养、老有所乐。</w:t>
      </w:r>
      <w:bookmarkEnd w:id="6"/>
    </w:p>
    <w:p w14:paraId="7EE2A4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组织实施：本项目自2021年03月14日经市党办文件批复，经城关镇党委会议，确定了项目领导小组，明确了责任分工：组长为王志刚，副组长为安军，项目负责人为张龙仕,组员为鞠萍，其中：张龙仕负责监管工作，鞠萍负责项目档案资料，财政所负责资金拨付工作。</w:t>
      </w:r>
    </w:p>
    <w:p w14:paraId="7996CA02">
      <w:pPr>
        <w:pStyle w:val="6"/>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城关镇幸福大院建设项目，截止2023年12月31日，已全部建成完工，修建生活服务用房50间，安装各项配套设施1套，项目工程验收合格率达100%，无未完工项目。</w:t>
      </w:r>
    </w:p>
    <w:p w14:paraId="6C2E79C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6C3408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0280E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城关镇幸福大院项目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229</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金229</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229</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626CF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AA705C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截至2023年12月31日，城关镇幸福大院</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229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城关镇幸福大院项目施工等方面。</w:t>
      </w:r>
    </w:p>
    <w:p w14:paraId="630DD45E">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31A5CBE5">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3F303D4D">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城关镇幸福大院项目绩效总体目标为：城关镇花费229万元完成幸福大院的建设，幸福大院完共建成生活服务用房50间，配备基础设施1套，项目验收合格率达100%，229万资金全部按时足额到位，从而达到解决农村困难老人养老问题的同时，使其子女以充足的精力投入到致富增收，提升群众的幸福感效益，满意度达90%。</w:t>
      </w:r>
    </w:p>
    <w:p w14:paraId="70B8C935">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65315AAE">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color w:val="auto"/>
          <w:sz w:val="28"/>
          <w:szCs w:val="28"/>
          <w:highlight w:val="none"/>
          <w:shd w:val="clear" w:color="auto" w:fill="auto"/>
          <w:lang w:eastAsia="zh-CN"/>
        </w:rPr>
      </w:pPr>
      <w:r>
        <w:rPr>
          <w:rFonts w:hint="eastAsia" w:asciiTheme="minorEastAsia" w:hAnsiTheme="minorEastAsia" w:eastAsiaTheme="minorEastAsia" w:cstheme="minorEastAsia"/>
          <w:bCs/>
          <w:color w:val="auto"/>
          <w:sz w:val="28"/>
          <w:szCs w:val="28"/>
          <w:highlight w:val="none"/>
          <w:shd w:val="clear" w:color="auto" w:fill="auto"/>
          <w:lang w:eastAsia="zh-CN"/>
        </w:rPr>
        <w:t>根据《预算法》《财政支出绩效评价管理暂行办法》（财预〔20</w:t>
      </w:r>
      <w:r>
        <w:rPr>
          <w:rFonts w:hint="eastAsia" w:asciiTheme="minorEastAsia" w:hAnsiTheme="minorEastAsia" w:eastAsiaTheme="minorEastAsia" w:cstheme="minorEastAsia"/>
          <w:bCs/>
          <w:color w:val="auto"/>
          <w:sz w:val="28"/>
          <w:szCs w:val="28"/>
          <w:highlight w:val="none"/>
          <w:shd w:val="clear" w:color="auto" w:fill="auto"/>
          <w:lang w:val="en-US" w:eastAsia="zh-CN"/>
        </w:rPr>
        <w:t>20</w:t>
      </w:r>
      <w:r>
        <w:rPr>
          <w:rFonts w:hint="eastAsia" w:asciiTheme="minorEastAsia" w:hAnsiTheme="minorEastAsia" w:eastAsiaTheme="minorEastAsia" w:cstheme="minorEastAsia"/>
          <w:bCs/>
          <w:color w:val="auto"/>
          <w:sz w:val="28"/>
          <w:szCs w:val="28"/>
          <w:highlight w:val="none"/>
          <w:shd w:val="clear" w:color="auto" w:fill="auto"/>
          <w:lang w:eastAsia="zh-CN"/>
        </w:rPr>
        <w:t>〕</w:t>
      </w:r>
      <w:r>
        <w:rPr>
          <w:rFonts w:hint="eastAsia" w:asciiTheme="minorEastAsia" w:hAnsiTheme="minorEastAsia" w:eastAsiaTheme="minorEastAsia" w:cstheme="minorEastAsia"/>
          <w:bCs/>
          <w:color w:val="auto"/>
          <w:sz w:val="28"/>
          <w:szCs w:val="28"/>
          <w:highlight w:val="none"/>
          <w:shd w:val="clear" w:color="auto" w:fill="auto"/>
          <w:lang w:val="en-US" w:eastAsia="zh-CN"/>
        </w:rPr>
        <w:t>10</w:t>
      </w:r>
      <w:r>
        <w:rPr>
          <w:rFonts w:hint="eastAsia" w:asciiTheme="minorEastAsia" w:hAnsiTheme="minorEastAsia" w:eastAsiaTheme="minorEastAsia" w:cstheme="minorEastAsia"/>
          <w:bCs/>
          <w:color w:val="auto"/>
          <w:sz w:val="28"/>
          <w:szCs w:val="28"/>
          <w:highlight w:val="none"/>
          <w:shd w:val="clear" w:color="auto" w:fill="auto"/>
          <w:lang w:eastAsia="zh-CN"/>
        </w:rPr>
        <w:t>号）、《自治区党委自治区人民政府关于全面实施预算绩效管理的实施意见》（新党发〔2018〕30号）、</w:t>
      </w:r>
      <w:r>
        <w:rPr>
          <w:rFonts w:hint="eastAsia" w:asciiTheme="minorEastAsia" w:hAnsiTheme="minorEastAsia" w:eastAsiaTheme="minorEastAsia" w:cstheme="minorEastAsia"/>
          <w:color w:val="auto"/>
          <w:sz w:val="28"/>
          <w:szCs w:val="28"/>
          <w:highlight w:val="none"/>
          <w:shd w:val="clear" w:color="auto" w:fill="auto"/>
        </w:rPr>
        <w:t>《自治区财政支出绩效评价管理暂行办法》</w:t>
      </w: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rPr>
        <w:t>新财预〔2018〕189号</w:t>
      </w: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等文件</w:t>
      </w:r>
      <w:r>
        <w:rPr>
          <w:rFonts w:hint="eastAsia" w:asciiTheme="minorEastAsia" w:hAnsiTheme="minorEastAsia" w:eastAsiaTheme="minorEastAsia" w:cstheme="minorEastAsia"/>
          <w:bCs/>
          <w:color w:val="auto"/>
          <w:sz w:val="28"/>
          <w:szCs w:val="28"/>
          <w:highlight w:val="none"/>
          <w:shd w:val="clear" w:color="auto" w:fill="auto"/>
          <w:lang w:eastAsia="zh-CN"/>
        </w:rPr>
        <w:t>的规定，结合项目实施单位的规章制度以及财务相关资料，评价小组对项目绩效目标进行了进一步的完善，完善</w:t>
      </w:r>
      <w:r>
        <w:rPr>
          <w:rFonts w:hint="eastAsia" w:asciiTheme="minorEastAsia" w:hAnsiTheme="minorEastAsia" w:eastAsiaTheme="minorEastAsia" w:cstheme="minorEastAsia"/>
          <w:bCs/>
          <w:color w:val="auto"/>
          <w:sz w:val="28"/>
          <w:szCs w:val="28"/>
          <w:highlight w:val="none"/>
          <w:shd w:val="clear" w:color="auto" w:fill="auto"/>
          <w:lang w:val="en-US" w:eastAsia="zh-CN"/>
        </w:rPr>
        <w:t>后</w:t>
      </w:r>
      <w:r>
        <w:rPr>
          <w:rFonts w:hint="eastAsia" w:asciiTheme="minorEastAsia" w:hAnsiTheme="minorEastAsia" w:eastAsiaTheme="minorEastAsia" w:cstheme="minorEastAsia"/>
          <w:bCs/>
          <w:color w:val="auto"/>
          <w:sz w:val="28"/>
          <w:szCs w:val="28"/>
          <w:highlight w:val="none"/>
          <w:shd w:val="clear" w:color="auto" w:fill="auto"/>
          <w:lang w:eastAsia="zh-CN"/>
        </w:rPr>
        <w:t>绩效目标如下：</w:t>
      </w:r>
    </w:p>
    <w:p w14:paraId="42C8A7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1</w:t>
      </w: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rPr>
        <w:t>项目产出</w:t>
      </w:r>
      <w:r>
        <w:rPr>
          <w:rFonts w:hint="eastAsia" w:asciiTheme="minorEastAsia" w:hAnsiTheme="minorEastAsia" w:eastAsiaTheme="minorEastAsia" w:cstheme="minorEastAsia"/>
          <w:color w:val="auto"/>
          <w:sz w:val="28"/>
          <w:szCs w:val="28"/>
          <w:highlight w:val="none"/>
          <w:shd w:val="clear" w:color="auto" w:fill="auto"/>
          <w:lang w:val="en-US" w:eastAsia="zh-CN"/>
        </w:rPr>
        <w:t>目标</w:t>
      </w:r>
    </w:p>
    <w:p w14:paraId="1B197E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①数量指标</w:t>
      </w:r>
    </w:p>
    <w:p w14:paraId="00D2E9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“生活服务用房”</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指标，预期目标值为≥50间；</w:t>
      </w:r>
    </w:p>
    <w:p w14:paraId="4C2BAE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“基础设施配备”</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指标，预期目标值为≥1套；</w:t>
      </w:r>
    </w:p>
    <w:p w14:paraId="2C69CE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②质量指标</w:t>
      </w:r>
    </w:p>
    <w:p w14:paraId="1D1424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“竣工验收合格率”</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指标，预期目标值为'=100%；</w:t>
      </w:r>
    </w:p>
    <w:p w14:paraId="24AE6C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“项目资金支付率”</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指标，预期目标值为'=100%；</w:t>
      </w:r>
    </w:p>
    <w:p w14:paraId="13C457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③时效指标</w:t>
      </w:r>
    </w:p>
    <w:p w14:paraId="3F8F90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“资金及时率”</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指标，预期目标值为＝97%；</w:t>
      </w:r>
    </w:p>
    <w:p w14:paraId="28E3A1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“项目按计划完工”</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指标，预期目标值为≦2023年12月；</w:t>
      </w:r>
    </w:p>
    <w:p w14:paraId="20C1D728">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（2）成本指标</w:t>
      </w:r>
    </w:p>
    <w:p w14:paraId="500447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“项目修建费用”</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指标，预期目标值为≤229万元；</w:t>
      </w:r>
    </w:p>
    <w:p w14:paraId="2F966166">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rPr>
        <w:t>（</w:t>
      </w:r>
      <w:r>
        <w:rPr>
          <w:rFonts w:hint="eastAsia" w:asciiTheme="minorEastAsia" w:hAnsiTheme="minorEastAsia" w:eastAsiaTheme="minorEastAsia" w:cstheme="minorEastAsia"/>
          <w:color w:val="auto"/>
          <w:sz w:val="28"/>
          <w:szCs w:val="28"/>
          <w:highlight w:val="none"/>
          <w:shd w:val="clear" w:color="auto" w:fill="auto"/>
          <w:lang w:val="en-US" w:eastAsia="zh-CN"/>
        </w:rPr>
        <w:t>3</w:t>
      </w:r>
      <w:r>
        <w:rPr>
          <w:rFonts w:hint="eastAsia" w:asciiTheme="minorEastAsia" w:hAnsiTheme="minorEastAsia" w:eastAsiaTheme="minorEastAsia" w:cstheme="minorEastAsia"/>
          <w:color w:val="auto"/>
          <w:sz w:val="28"/>
          <w:szCs w:val="28"/>
          <w:highlight w:val="none"/>
          <w:shd w:val="clear" w:color="auto" w:fill="auto"/>
        </w:rPr>
        <w:t>）项目效益</w:t>
      </w:r>
      <w:r>
        <w:rPr>
          <w:rFonts w:hint="eastAsia" w:asciiTheme="minorEastAsia" w:hAnsiTheme="minorEastAsia" w:eastAsiaTheme="minorEastAsia" w:cstheme="minorEastAsia"/>
          <w:color w:val="auto"/>
          <w:sz w:val="28"/>
          <w:szCs w:val="28"/>
          <w:highlight w:val="none"/>
          <w:shd w:val="clear" w:color="auto" w:fill="auto"/>
          <w:lang w:val="en-US" w:eastAsia="zh-CN"/>
        </w:rPr>
        <w:t>目标</w:t>
      </w:r>
    </w:p>
    <w:p w14:paraId="624C75F4">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社会效益指标</w:t>
      </w:r>
    </w:p>
    <w:p w14:paraId="02027C85">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“解决农村困难老人养老问题的同时，使其子女以充足的精力投入到致富增收，提升群众的幸福感”</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指标，预期目标值为显著提高；</w:t>
      </w:r>
    </w:p>
    <w:p w14:paraId="5CFD1847">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（4）满意度指标</w:t>
      </w:r>
    </w:p>
    <w:p w14:paraId="16D0CC41">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“受益群体满意度”</w:t>
      </w:r>
      <w:r>
        <w:rPr>
          <w:rFonts w:hint="eastAsia" w:asciiTheme="minorEastAsia" w:hAnsiTheme="minorEastAsia" w:eastAsiaTheme="minorEastAsia" w:cstheme="minorEastAsia"/>
          <w:color w:val="auto"/>
          <w:sz w:val="28"/>
          <w:szCs w:val="28"/>
          <w:highlight w:val="none"/>
          <w:shd w:val="clear" w:color="auto" w:fill="auto"/>
          <w:lang w:val="en-US" w:eastAsia="zh-CN"/>
        </w:rPr>
        <w:t>指标，预期目标值为≥90%。</w:t>
      </w:r>
    </w:p>
    <w:p w14:paraId="768C6F9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12CB740D">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26632"/>
      <w:bookmarkStart w:id="14" w:name="_Toc22922"/>
      <w:bookmarkStart w:id="15" w:name="_Toc21664"/>
      <w:bookmarkStart w:id="16" w:name="_Toc12868"/>
      <w:bookmarkStart w:id="17" w:name="_Toc22169_WPSOffice_Level2"/>
      <w:bookmarkStart w:id="18" w:name="_Toc5462343"/>
      <w:bookmarkStart w:id="19" w:name="_Toc480473081"/>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73F8836">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649A93B6">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D981FF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6822B7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val="en-US" w:eastAsia="zh-CN"/>
        </w:rPr>
        <w:t>此次我单位根据</w:t>
      </w:r>
      <w:r>
        <w:rPr>
          <w:rFonts w:hint="eastAsia" w:ascii="宋体" w:hAnsi="宋体" w:eastAsia="宋体" w:cs="宋体"/>
          <w:color w:val="auto"/>
          <w:sz w:val="28"/>
          <w:szCs w:val="28"/>
          <w:highlight w:val="none"/>
          <w:shd w:val="clear" w:color="auto" w:fill="auto"/>
        </w:rPr>
        <w:t>《财政支出绩效评价管理暂行办法》（</w:t>
      </w:r>
      <w:r>
        <w:rPr>
          <w:rFonts w:hint="eastAsia" w:ascii="宋体" w:hAnsi="宋体" w:eastAsia="宋体" w:cs="宋体"/>
          <w:color w:val="auto"/>
          <w:sz w:val="28"/>
          <w:szCs w:val="28"/>
          <w:highlight w:val="none"/>
          <w:shd w:val="clear" w:color="auto" w:fill="auto"/>
          <w:lang w:eastAsia="zh-CN"/>
        </w:rPr>
        <w:t>财预〔2020〕10号</w:t>
      </w:r>
      <w:r>
        <w:rPr>
          <w:rFonts w:hint="eastAsia" w:ascii="宋体" w:hAnsi="宋体" w:eastAsia="宋体" w:cs="宋体"/>
          <w:color w:val="auto"/>
          <w:sz w:val="28"/>
          <w:szCs w:val="28"/>
          <w:highlight w:val="none"/>
          <w:shd w:val="clear" w:color="auto" w:fill="auto"/>
        </w:rPr>
        <w:t>）</w:t>
      </w:r>
      <w:r>
        <w:rPr>
          <w:rFonts w:hint="eastAsia" w:ascii="宋体" w:hAnsi="宋体" w:eastAsia="宋体" w:cs="宋体"/>
          <w:color w:val="auto"/>
          <w:sz w:val="28"/>
          <w:szCs w:val="28"/>
          <w:highlight w:val="none"/>
          <w:shd w:val="clear" w:color="auto" w:fill="auto"/>
          <w:lang w:val="en-US" w:eastAsia="zh-CN"/>
        </w:rPr>
        <w:t>文件要求对</w:t>
      </w:r>
      <w:r>
        <w:rPr>
          <w:rFonts w:hint="eastAsia" w:cs="宋体"/>
          <w:color w:val="auto"/>
          <w:sz w:val="28"/>
          <w:szCs w:val="28"/>
          <w:highlight w:val="none"/>
          <w:shd w:val="clear" w:color="auto" w:fill="auto"/>
          <w:lang w:val="en-US" w:eastAsia="zh-CN"/>
        </w:rPr>
        <w:t>2023</w:t>
      </w:r>
      <w:r>
        <w:rPr>
          <w:rFonts w:hint="eastAsia" w:ascii="宋体" w:hAnsi="宋体" w:eastAsia="宋体" w:cs="宋体"/>
          <w:color w:val="auto"/>
          <w:sz w:val="28"/>
          <w:szCs w:val="28"/>
          <w:highlight w:val="none"/>
          <w:shd w:val="clear" w:color="auto" w:fill="auto"/>
          <w:lang w:val="en-US" w:eastAsia="zh-CN"/>
        </w:rPr>
        <w:t>年度我单位实施的</w:t>
      </w:r>
      <w:r>
        <w:rPr>
          <w:rFonts w:hint="eastAsia" w:cs="宋体"/>
          <w:color w:val="auto"/>
          <w:sz w:val="28"/>
          <w:szCs w:val="28"/>
          <w:highlight w:val="none"/>
          <w:shd w:val="clear" w:color="auto" w:fill="auto"/>
          <w:lang w:val="en-US" w:eastAsia="zh-CN"/>
        </w:rPr>
        <w:t>城关镇幸福大院建设</w:t>
      </w:r>
      <w:r>
        <w:rPr>
          <w:rFonts w:hint="eastAsia" w:ascii="宋体" w:hAnsi="宋体" w:eastAsia="宋体" w:cs="宋体"/>
          <w:color w:val="auto"/>
          <w:sz w:val="28"/>
          <w:szCs w:val="28"/>
          <w:highlight w:val="none"/>
          <w:shd w:val="clear" w:color="auto" w:fill="auto"/>
          <w:lang w:val="en-US" w:eastAsia="zh-CN"/>
        </w:rPr>
        <w:t>项目开展部门绩效评价。</w:t>
      </w:r>
    </w:p>
    <w:p w14:paraId="0CB79A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EDAC37B">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6144831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2EC79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依据</w:t>
      </w:r>
      <w:r>
        <w:rPr>
          <w:rFonts w:hint="eastAsia" w:asciiTheme="minorEastAsia" w:hAnsiTheme="minorEastAsia" w:eastAsiaTheme="minorEastAsia" w:cstheme="minorEastAsia"/>
          <w:bCs/>
          <w:color w:val="auto"/>
          <w:sz w:val="28"/>
          <w:szCs w:val="28"/>
          <w:highlight w:val="none"/>
          <w:shd w:val="clear" w:color="auto" w:fill="auto"/>
          <w:lang w:eastAsia="zh-CN"/>
        </w:rPr>
        <w:t>《财政支出绩效评价管理暂行办法》（财预〔20</w:t>
      </w:r>
      <w:r>
        <w:rPr>
          <w:rFonts w:hint="eastAsia" w:asciiTheme="minorEastAsia" w:hAnsiTheme="minorEastAsia" w:eastAsiaTheme="minorEastAsia" w:cstheme="minorEastAsia"/>
          <w:bCs/>
          <w:color w:val="auto"/>
          <w:sz w:val="28"/>
          <w:szCs w:val="28"/>
          <w:highlight w:val="none"/>
          <w:shd w:val="clear" w:color="auto" w:fill="auto"/>
          <w:lang w:val="en-US" w:eastAsia="zh-CN"/>
        </w:rPr>
        <w:t>20</w:t>
      </w:r>
      <w:r>
        <w:rPr>
          <w:rFonts w:hint="eastAsia" w:asciiTheme="minorEastAsia" w:hAnsiTheme="minorEastAsia" w:eastAsiaTheme="minorEastAsia" w:cstheme="minorEastAsia"/>
          <w:bCs/>
          <w:color w:val="auto"/>
          <w:sz w:val="28"/>
          <w:szCs w:val="28"/>
          <w:highlight w:val="none"/>
          <w:shd w:val="clear" w:color="auto" w:fill="auto"/>
          <w:lang w:eastAsia="zh-CN"/>
        </w:rPr>
        <w:t>〕</w:t>
      </w:r>
      <w:r>
        <w:rPr>
          <w:rFonts w:hint="eastAsia" w:asciiTheme="minorEastAsia" w:hAnsiTheme="minorEastAsia" w:eastAsiaTheme="minorEastAsia" w:cstheme="minorEastAsia"/>
          <w:bCs/>
          <w:color w:val="auto"/>
          <w:sz w:val="28"/>
          <w:szCs w:val="28"/>
          <w:highlight w:val="none"/>
          <w:shd w:val="clear" w:color="auto" w:fill="auto"/>
          <w:lang w:val="en-US" w:eastAsia="zh-CN"/>
        </w:rPr>
        <w:t>10</w:t>
      </w:r>
      <w:r>
        <w:rPr>
          <w:rFonts w:hint="eastAsia" w:asciiTheme="minorEastAsia" w:hAnsiTheme="minorEastAsia" w:eastAsiaTheme="minorEastAsia" w:cstheme="minorEastAsia"/>
          <w:bCs/>
          <w:color w:val="auto"/>
          <w:sz w:val="28"/>
          <w:szCs w:val="28"/>
          <w:highlight w:val="none"/>
          <w:shd w:val="clear" w:color="auto" w:fill="auto"/>
          <w:lang w:eastAsia="zh-CN"/>
        </w:rPr>
        <w:t>号）</w:t>
      </w:r>
      <w:r>
        <w:rPr>
          <w:rFonts w:hint="eastAsia" w:asciiTheme="minorEastAsia" w:hAnsiTheme="minorEastAsia" w:eastAsiaTheme="minorEastAsia" w:cstheme="minorEastAsia"/>
          <w:color w:val="auto"/>
          <w:sz w:val="28"/>
          <w:szCs w:val="28"/>
          <w:highlight w:val="none"/>
          <w:shd w:val="clear" w:color="auto" w:fill="auto"/>
          <w:lang w:eastAsia="zh-CN"/>
        </w:rPr>
        <w:t>本次绩效评价秉承科学规范、公正公开、分级分类、绩效相关等原则，按照从投入、过程到产出效果和影响的绩效逻辑路径，结合</w:t>
      </w:r>
      <w:r>
        <w:rPr>
          <w:rFonts w:hint="eastAsia" w:asciiTheme="minorEastAsia" w:hAnsiTheme="minorEastAsia" w:eastAsiaTheme="minorEastAsia" w:cstheme="minorEastAsia"/>
          <w:color w:val="auto"/>
          <w:sz w:val="28"/>
          <w:szCs w:val="28"/>
          <w:highlight w:val="none"/>
          <w:shd w:val="clear" w:color="auto" w:fill="auto"/>
          <w:lang w:val="en-US" w:eastAsia="zh-CN"/>
        </w:rPr>
        <w:t>关镇幸福大院建设</w:t>
      </w:r>
      <w:r>
        <w:rPr>
          <w:rFonts w:hint="eastAsia" w:asciiTheme="minorEastAsia" w:hAnsiTheme="minorEastAsia" w:eastAsiaTheme="minorEastAsia" w:cstheme="minorEastAsia"/>
          <w:color w:val="auto"/>
          <w:sz w:val="28"/>
          <w:szCs w:val="28"/>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49257A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根据以上原则，绩效评价应遵循如下要求：</w:t>
      </w:r>
    </w:p>
    <w:p w14:paraId="6AAE709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1</w:t>
      </w:r>
      <w:r>
        <w:rPr>
          <w:rFonts w:hint="eastAsia" w:asciiTheme="minorEastAsia" w:hAnsiTheme="minorEastAsia" w:eastAsiaTheme="minorEastAsia" w:cstheme="minorEastAsia"/>
          <w:color w:val="auto"/>
          <w:sz w:val="28"/>
          <w:szCs w:val="28"/>
          <w:highlight w:val="none"/>
          <w:shd w:val="clear" w:color="auto" w:fill="auto"/>
          <w:lang w:eastAsia="zh-CN"/>
        </w:rPr>
        <w:t>）科学公正。绩效评价应当运用科学合理的方法，按照规范的程序，对项目绩效进行客观、公正的反映。</w:t>
      </w:r>
    </w:p>
    <w:p w14:paraId="791E46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2</w:t>
      </w:r>
      <w:r>
        <w:rPr>
          <w:rFonts w:hint="eastAsia" w:asciiTheme="minorEastAsia" w:hAnsiTheme="minorEastAsia" w:eastAsiaTheme="minorEastAsia" w:cstheme="minorEastAsia"/>
          <w:color w:val="auto"/>
          <w:sz w:val="28"/>
          <w:szCs w:val="28"/>
          <w:highlight w:val="none"/>
          <w:shd w:val="clear" w:color="auto" w:fill="auto"/>
          <w:lang w:eastAsia="zh-CN"/>
        </w:rPr>
        <w:t>）统筹兼顾。单位自评、部门评价和财政评价应职责明确，各有侧重，相互衔接。单位自评应由项目单位自主实施，即“谁支出、谁自评”。</w:t>
      </w:r>
    </w:p>
    <w:p w14:paraId="5742C8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3</w:t>
      </w:r>
      <w:r>
        <w:rPr>
          <w:rFonts w:hint="eastAsia" w:asciiTheme="minorEastAsia" w:hAnsiTheme="minorEastAsia" w:eastAsiaTheme="minorEastAsia" w:cstheme="minorEastAsia"/>
          <w:color w:val="auto"/>
          <w:sz w:val="28"/>
          <w:szCs w:val="28"/>
          <w:highlight w:val="none"/>
          <w:shd w:val="clear" w:color="auto" w:fill="auto"/>
          <w:lang w:eastAsia="zh-CN"/>
        </w:rPr>
        <w:t>）激励约束。绩效评价结果应与预算安排、政策调整、改进管理实质性挂钩，体现奖优罚劣和激励相容导向，有效要安排、低效要压减、无效要问责。</w:t>
      </w:r>
    </w:p>
    <w:p w14:paraId="470ECD9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4</w:t>
      </w:r>
      <w:r>
        <w:rPr>
          <w:rFonts w:hint="eastAsia" w:asciiTheme="minorEastAsia" w:hAnsiTheme="minorEastAsia" w:eastAsiaTheme="minorEastAsia" w:cstheme="minorEastAsia"/>
          <w:color w:val="auto"/>
          <w:sz w:val="28"/>
          <w:szCs w:val="28"/>
          <w:highlight w:val="none"/>
          <w:shd w:val="clear" w:color="auto" w:fill="auto"/>
          <w:lang w:eastAsia="zh-CN"/>
        </w:rPr>
        <w:t>）公开透明。绩效评价结果应依法依规公开，并自觉接受社会监督。</w:t>
      </w:r>
    </w:p>
    <w:p w14:paraId="7170395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1913"/>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5213FB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BFAA409">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DC745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371A4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D1F7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1B6F8F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6235DE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6B7648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5FD23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86343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47AF2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F747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22125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4C9078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1AD5C7D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07548F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35CC1F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62D810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5B9B3B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0972630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7863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1285B23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D936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4C0E7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6AE77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5ED03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3CBC629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9A03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2C0E4C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29AD55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34D3F6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A36101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0832F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858D4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E402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C19BF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F56900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5D0E8E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5DB1ACB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CAD041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3CDA0E1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626954B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3D2A13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2A426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AE10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3473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FBB8C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E7A40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C24B6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CFE21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0855A0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70243F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2C574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7C62FF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DDDD7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BA53D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0298A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3DB9B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D40C1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D082E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1BDD6F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73950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567528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5F4F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C6967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26027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337EE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3963D3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E0145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2885A9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A7828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FC035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8E97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DD2980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9AB1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10059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3881CD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28E593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1F3BED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64E45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D1C5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3D10B7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5B4E7B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DDBF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022E58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59D9F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127B33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5919F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96CE3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78F3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70B39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77EE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218DC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05D659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CAAF8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3489FC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1B1A64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6E6B60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222B7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EDFDC7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EFE9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7C2E6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6CDFF0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D12CA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85619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F880A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55FAFB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5DF46B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72C0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A7F33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E201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18FF3F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71AD4E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39889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B3BC1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016AC9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47E890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74B16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8FDC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E12E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495EAE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43D6AA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0B67AB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DEE12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5E296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1037D7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33540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41A2C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79DAF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7FE57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59BE1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5DCCC6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781AEE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0A9A8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1D50DD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F2956A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3E4B2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2D8023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3133A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083AB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304EC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CBB82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A94F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733352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1A217D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3F80F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E2B18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9C83A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B5A3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EEC8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68794E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194131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38EA563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71D282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9B36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BB74C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616A7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B977F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2EE18B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05708E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3AA7A64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0224B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关镇幸福大院建设</w:t>
      </w:r>
      <w:r>
        <w:rPr>
          <w:rFonts w:hint="eastAsia" w:ascii="宋体" w:hAnsi="宋体" w:eastAsia="宋体" w:cs="宋体"/>
          <w:color w:val="auto"/>
          <w:highlight w:val="none"/>
          <w:shd w:val="clear" w:color="auto" w:fill="auto"/>
          <w:lang w:val="en-US" w:eastAsia="zh-CN"/>
        </w:rPr>
        <w:t>项目进行评价。</w:t>
      </w:r>
    </w:p>
    <w:p w14:paraId="05487423">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2035A5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6CDC83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5F9C0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58A699D1">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4AAA791">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7FF176B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Theme="minorEastAsia" w:hAnsiTheme="minorEastAsia" w:eastAsiaTheme="minorEastAsia" w:cstheme="minorEastAsia"/>
          <w:color w:val="auto"/>
          <w:sz w:val="28"/>
          <w:szCs w:val="28"/>
          <w:highlight w:val="none"/>
          <w:shd w:val="clear" w:color="auto" w:fill="auto"/>
          <w:lang w:val="en-US" w:eastAsia="zh-CN"/>
        </w:rPr>
      </w:pPr>
      <w:bookmarkStart w:id="33" w:name="_Toc12862"/>
      <w:r>
        <w:rPr>
          <w:rFonts w:hint="eastAsia" w:asciiTheme="minorEastAsia" w:hAnsiTheme="minorEastAsia" w:eastAsiaTheme="minorEastAsia" w:cstheme="minorEastAsia"/>
          <w:color w:val="auto"/>
          <w:sz w:val="28"/>
          <w:szCs w:val="28"/>
          <w:highlight w:val="none"/>
          <w:shd w:val="clear" w:color="auto" w:fill="auto"/>
          <w:lang w:val="en-US" w:eastAsia="zh-CN"/>
        </w:rPr>
        <w:t>1.前期准备</w:t>
      </w:r>
      <w:bookmarkEnd w:id="33"/>
    </w:p>
    <w:p w14:paraId="01AD11D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（1）成立绩效评价项目小组</w:t>
      </w:r>
    </w:p>
    <w:p w14:paraId="77C72A2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5F434CF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4" w:name="_Toc3157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（2）开展前期调研</w:t>
      </w:r>
      <w:bookmarkEnd w:id="34"/>
    </w:p>
    <w:p w14:paraId="7070DBD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5" w:name="_Toc21240"/>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绩效评价项目小组依据此次绩效评价受委托内容，对拟评价的项目实施前期调研。通过调研对</w:t>
      </w:r>
      <w:r>
        <w:rPr>
          <w:rFonts w:hint="eastAsia" w:asciiTheme="minorEastAsia" w:hAnsiTheme="minorEastAsia" w:eastAsiaTheme="minorEastAsia" w:cstheme="minorEastAsia"/>
          <w:b w:val="0"/>
          <w:bCs w:val="0"/>
          <w:color w:val="auto"/>
          <w:sz w:val="28"/>
          <w:szCs w:val="28"/>
          <w:highlight w:val="none"/>
          <w:shd w:val="clear" w:color="auto" w:fill="auto"/>
          <w:lang w:val="en-US" w:eastAsia="zh-CN"/>
        </w:rPr>
        <w:t>关镇幸福大院建设</w:t>
      </w:r>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项目实施内容、目标信息、预算信息以及其他的一些项目基本信息，有了初步了解，为制定绩效评价工作方案做好准备。</w:t>
      </w:r>
      <w:bookmarkEnd w:id="35"/>
    </w:p>
    <w:p w14:paraId="532ED20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6" w:name="_Toc27977"/>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（3）制订绩效评价工作方案</w:t>
      </w:r>
      <w:bookmarkEnd w:id="36"/>
    </w:p>
    <w:p w14:paraId="7E78FC8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7" w:name="_Toc1965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绩效评价项目小组根据有关规定和评价对象的特点以及前期调研收集的一些信息，拟定详细的绩效评价工作方案。</w:t>
      </w:r>
      <w:bookmarkEnd w:id="37"/>
    </w:p>
    <w:p w14:paraId="6C142C0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8" w:name="_Toc11353"/>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2.具体实施</w:t>
      </w:r>
      <w:bookmarkEnd w:id="38"/>
    </w:p>
    <w:p w14:paraId="18D8D49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9" w:name="_Toc1411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（1）收集基础资料</w:t>
      </w:r>
      <w:bookmarkEnd w:id="39"/>
    </w:p>
    <w:p w14:paraId="2D8FF37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0" w:name="_Toc28524"/>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根据评价工作的需要和要求，在前期调研的基础上，通过多种渠道全面收集项目基础信息资料，主要包括：</w:t>
      </w:r>
      <w:bookmarkEnd w:id="40"/>
    </w:p>
    <w:p w14:paraId="61D6D07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1" w:name="_Toc32216"/>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①被评价单位基本概况，如单位职能、事业发展规划、预决算情况、项目立项依据等；</w:t>
      </w:r>
      <w:bookmarkEnd w:id="41"/>
    </w:p>
    <w:p w14:paraId="5F8AD99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2" w:name="_Toc10505"/>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②绩效目标及其设立依据和调整情况；</w:t>
      </w:r>
      <w:bookmarkEnd w:id="42"/>
    </w:p>
    <w:p w14:paraId="4B7C885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3" w:name="_Toc28365"/>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③管理措施及组织实施情况；</w:t>
      </w:r>
      <w:bookmarkEnd w:id="43"/>
    </w:p>
    <w:p w14:paraId="6751BF6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4" w:name="_Toc1009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④被评价单位总结分析的绩效目标完成情况及绩效报告；</w:t>
      </w:r>
      <w:bookmarkEnd w:id="44"/>
    </w:p>
    <w:p w14:paraId="0442278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5" w:name="_Toc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⑤与绩效评价相关的计划标准、行业标准、历史标准等；</w:t>
      </w:r>
      <w:bookmarkEnd w:id="45"/>
    </w:p>
    <w:p w14:paraId="7AE3F7A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6" w:name="_Toc2005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⑥其他必要的相关资料等。</w:t>
      </w:r>
      <w:bookmarkEnd w:id="46"/>
    </w:p>
    <w:p w14:paraId="086460D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7" w:name="_Toc3191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（2）整理、研读基础资料</w:t>
      </w:r>
      <w:bookmarkEnd w:id="47"/>
    </w:p>
    <w:p w14:paraId="49DB15C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8" w:name="_Toc167"/>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6C77BB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9" w:name="_Toc30513"/>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3.分析评价和撰写报告</w:t>
      </w:r>
      <w:bookmarkEnd w:id="49"/>
    </w:p>
    <w:p w14:paraId="5B974DD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0" w:name="_Toc15974"/>
      <w:r>
        <w:rPr>
          <w:rFonts w:hint="eastAsia" w:asciiTheme="minorEastAsia" w:hAnsiTheme="minorEastAsia" w:eastAsiaTheme="minorEastAsia" w:cstheme="minorEastAsia"/>
          <w:b w:val="0"/>
          <w:bCs w:val="0"/>
          <w:color w:val="auto"/>
          <w:sz w:val="28"/>
          <w:szCs w:val="28"/>
        </w:rPr>
        <w:t>（</w:t>
      </w:r>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1）综合分析评价</w:t>
      </w:r>
      <w:bookmarkEnd w:id="50"/>
    </w:p>
    <w:p w14:paraId="7AE9744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1" w:name="_Toc4352"/>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184EA7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bCs/>
          <w:color w:val="auto"/>
          <w:kern w:val="2"/>
          <w:sz w:val="28"/>
          <w:szCs w:val="28"/>
          <w:highlight w:val="none"/>
          <w:shd w:val="clear" w:color="auto" w:fill="auto"/>
          <w:lang w:val="en-US" w:eastAsia="zh-CN" w:bidi="ar-SA"/>
        </w:rPr>
      </w:pPr>
      <w:bookmarkStart w:id="52" w:name="_Toc2623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②将初步评价结论、调整事项、专家咨询意见和有关说明等提交单位内部讨论并征求意见。之后，对所征求的意见及时地进行收集和整理。</w:t>
      </w:r>
      <w:bookmarkEnd w:id="52"/>
    </w:p>
    <w:p w14:paraId="717F8D5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3" w:name="_Toc2775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（2）撰写报告</w:t>
      </w:r>
      <w:bookmarkEnd w:id="53"/>
    </w:p>
    <w:p w14:paraId="7065904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4" w:name="_Toc1557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绩效评价项目小组依照整理、分析后的项目材料、数据资料，依据评价形成的初步结论，按照既定的格式和内容要求撰写绩效评价初步报告，最终形成评价结果。</w:t>
      </w:r>
      <w:bookmarkEnd w:id="54"/>
    </w:p>
    <w:p w14:paraId="019DFD3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4D1955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关镇幸福大院建设</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zh-TW"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BCA5EAC">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F06D0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color w:val="auto"/>
                <w:highlight w:val="none"/>
                <w:shd w:val="clear" w:color="auto" w:fill="auto"/>
                <w:lang w:val="en-US" w:eastAsia="zh-CN"/>
              </w:rPr>
              <w:t>关镇幸福大院建设</w:t>
            </w:r>
            <w:r>
              <w:rPr>
                <w:rFonts w:hint="eastAsia" w:ascii="宋体" w:hAnsi="宋体" w:eastAsia="宋体" w:cs="宋体"/>
                <w:b/>
                <w:bCs/>
                <w:color w:val="auto"/>
                <w:kern w:val="0"/>
                <w:sz w:val="28"/>
                <w:szCs w:val="28"/>
                <w:highlight w:val="none"/>
                <w:shd w:val="clear" w:color="auto" w:fill="auto"/>
                <w:lang w:val="en-US" w:eastAsia="zh-CN"/>
              </w:rPr>
              <w:t>项目得分表</w:t>
            </w:r>
          </w:p>
          <w:p w14:paraId="2B375E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30E496C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5FE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CA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DCF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9F4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09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737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72E6A47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10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7C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45C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BA4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E8C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6DE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08DC4C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A6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D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5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9D3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A76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49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14:paraId="1501830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8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AD3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999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93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F97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03F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bl>
    <w:p w14:paraId="3679C25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677F97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52DE3035">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A8B226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85D9344">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0C7D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738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DC1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79B0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4CA5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5653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599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8BDCBFB">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35E8A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A06B5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110E2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22F6B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51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435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6F85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486ECC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A25AD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0D3A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14E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4FE7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4F4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96FD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CC31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7B466CEB">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2EEA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9364B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2A8F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DFB5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44E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C86B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C2AB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95FA93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2D4F0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53B2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09C0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EE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D88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4EF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9F9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1A38CE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0ADC8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1202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BAB65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79416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6F4C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262F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C11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9A5EF1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961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9315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167B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4BE7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1C68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B5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D0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97B8AAD">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638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E92D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D7E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6E1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C7C3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7F71FEB4">
      <w:pPr>
        <w:numPr>
          <w:ilvl w:val="0"/>
          <w:numId w:val="3"/>
        </w:numPr>
        <w:bidi w:val="0"/>
        <w:outlineLvl w:val="2"/>
        <w:rPr>
          <w:rFonts w:hint="eastAsia"/>
          <w:b/>
          <w:bCs/>
          <w:color w:val="auto"/>
          <w:lang w:val="en-US" w:eastAsia="zh-CN"/>
        </w:rPr>
      </w:pPr>
      <w:bookmarkStart w:id="58" w:name="_Toc13522"/>
      <w:r>
        <w:rPr>
          <w:rFonts w:hint="eastAsia"/>
          <w:b/>
          <w:bCs/>
          <w:color w:val="auto"/>
          <w:lang w:val="en-US" w:eastAsia="zh-CN"/>
        </w:rPr>
        <w:t>立项依据充分性</w:t>
      </w:r>
      <w:bookmarkEnd w:id="58"/>
    </w:p>
    <w:p w14:paraId="2D907755">
      <w:pPr>
        <w:bidi w:val="0"/>
        <w:rPr>
          <w:rFonts w:hint="eastAsia"/>
          <w:color w:val="auto"/>
          <w:lang w:eastAsia="zh-CN"/>
        </w:rPr>
      </w:pPr>
      <w:r>
        <w:rPr>
          <w:rFonts w:hint="eastAsia"/>
          <w:color w:val="auto"/>
          <w:lang w:eastAsia="zh-CN"/>
        </w:rPr>
        <w:t>①项目立项符合《自治区农村人居环境整治提升五年行动方案（2021-2025年）》</w:t>
      </w:r>
      <w:r>
        <w:rPr>
          <w:rFonts w:hint="eastAsia"/>
          <w:color w:val="auto"/>
          <w:lang w:val="en-US" w:eastAsia="zh-CN"/>
        </w:rPr>
        <w:t>政策，城关镇党委会议及《城关镇财务管理办法》</w:t>
      </w:r>
      <w:r>
        <w:rPr>
          <w:rFonts w:hint="eastAsia"/>
          <w:color w:val="auto"/>
          <w:lang w:eastAsia="zh-CN"/>
        </w:rPr>
        <w:t>；</w:t>
      </w:r>
    </w:p>
    <w:p w14:paraId="65A745BE">
      <w:pPr>
        <w:bidi w:val="0"/>
        <w:rPr>
          <w:rFonts w:hint="eastAsia"/>
          <w:color w:val="auto"/>
          <w:lang w:eastAsia="zh-CN"/>
        </w:rPr>
      </w:pPr>
      <w:r>
        <w:rPr>
          <w:rFonts w:hint="eastAsia"/>
          <w:color w:val="auto"/>
          <w:lang w:eastAsia="zh-CN"/>
        </w:rPr>
        <w:t>②项目立项符合行业发展规划</w:t>
      </w:r>
      <w:r>
        <w:rPr>
          <w:rFonts w:hint="eastAsia"/>
          <w:color w:val="auto"/>
          <w:lang w:val="en-US" w:eastAsia="zh-CN"/>
        </w:rPr>
        <w:t>及</w:t>
      </w:r>
      <w:r>
        <w:rPr>
          <w:rFonts w:hint="eastAsia"/>
          <w:color w:val="auto"/>
          <w:lang w:eastAsia="zh-CN"/>
        </w:rPr>
        <w:t>《自治区农村人居环境整治提升五年行动方案（2021-2025年）》政策要求；</w:t>
      </w:r>
    </w:p>
    <w:p w14:paraId="06B8891C">
      <w:pPr>
        <w:bidi w:val="0"/>
        <w:rPr>
          <w:rFonts w:hint="eastAsia"/>
          <w:color w:val="auto"/>
          <w:lang w:eastAsia="zh-CN"/>
        </w:rPr>
      </w:pPr>
      <w:r>
        <w:rPr>
          <w:rFonts w:hint="eastAsia"/>
          <w:color w:val="auto"/>
          <w:lang w:eastAsia="zh-CN"/>
        </w:rPr>
        <w:t>③项目立项与城关镇</w:t>
      </w:r>
      <w:r>
        <w:rPr>
          <w:rFonts w:hint="eastAsia"/>
          <w:color w:val="auto"/>
          <w:highlight w:val="none"/>
          <w:lang w:val="en-US" w:eastAsia="zh-CN"/>
        </w:rPr>
        <w:t>党委及村镇规划</w:t>
      </w:r>
      <w:r>
        <w:rPr>
          <w:rFonts w:hint="eastAsia"/>
          <w:color w:val="auto"/>
          <w:highlight w:val="none"/>
          <w:lang w:eastAsia="zh-CN"/>
        </w:rPr>
        <w:t>部门</w:t>
      </w:r>
      <w:r>
        <w:rPr>
          <w:rFonts w:hint="eastAsia"/>
          <w:color w:val="auto"/>
          <w:highlight w:val="none"/>
          <w:lang w:val="en-US" w:eastAsia="zh-CN"/>
        </w:rPr>
        <w:t>进行指导、组织、协调，</w:t>
      </w:r>
      <w:r>
        <w:rPr>
          <w:rFonts w:hint="eastAsia"/>
          <w:color w:val="auto"/>
          <w:highlight w:val="none"/>
          <w:lang w:eastAsia="zh-CN"/>
        </w:rPr>
        <w:t>职责范围相符，属于部门履职所需</w:t>
      </w:r>
      <w:r>
        <w:rPr>
          <w:rFonts w:hint="eastAsia"/>
          <w:color w:val="auto"/>
          <w:lang w:eastAsia="zh-CN"/>
        </w:rPr>
        <w:t>；</w:t>
      </w:r>
    </w:p>
    <w:p w14:paraId="2F04DA3D">
      <w:pPr>
        <w:bidi w:val="0"/>
        <w:rPr>
          <w:rFonts w:hint="eastAsia"/>
          <w:color w:val="auto"/>
          <w:lang w:eastAsia="zh-CN"/>
        </w:rPr>
      </w:pPr>
      <w:r>
        <w:rPr>
          <w:rFonts w:hint="eastAsia"/>
          <w:color w:val="auto"/>
          <w:lang w:eastAsia="zh-CN"/>
        </w:rPr>
        <w:t>④项目属于公共财政支持范围，符合中央、地方事权支出责任划分原则；</w:t>
      </w:r>
    </w:p>
    <w:p w14:paraId="302AB653">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132BC1C5">
      <w:pPr>
        <w:bidi w:val="0"/>
        <w:rPr>
          <w:rFonts w:hint="default"/>
          <w:color w:val="auto"/>
          <w:lang w:val="en-US" w:eastAsia="zh-CN"/>
        </w:rPr>
      </w:pPr>
      <w:r>
        <w:rPr>
          <w:rFonts w:hint="eastAsia"/>
          <w:b/>
          <w:bCs/>
          <w:color w:val="auto"/>
          <w:lang w:val="en-US" w:eastAsia="zh-CN"/>
        </w:rPr>
        <w:t>综上，该项指标满分2分，得分2分。</w:t>
      </w:r>
    </w:p>
    <w:p w14:paraId="7D0F3554">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45F6D1AA">
      <w:pPr>
        <w:bidi w:val="0"/>
        <w:rPr>
          <w:rFonts w:hint="eastAsia"/>
          <w:color w:val="auto"/>
          <w:lang w:eastAsia="zh-CN"/>
        </w:rPr>
      </w:pPr>
      <w:r>
        <w:rPr>
          <w:rFonts w:hint="eastAsia"/>
          <w:color w:val="auto"/>
          <w:lang w:eastAsia="zh-CN"/>
        </w:rPr>
        <w:t>①项目按照规定的程序申请设立；</w:t>
      </w:r>
    </w:p>
    <w:p w14:paraId="58D12D7C">
      <w:pPr>
        <w:bidi w:val="0"/>
        <w:rPr>
          <w:rFonts w:hint="eastAsia"/>
          <w:color w:val="auto"/>
          <w:lang w:eastAsia="zh-CN"/>
        </w:rPr>
      </w:pPr>
      <w:r>
        <w:rPr>
          <w:rFonts w:hint="eastAsia"/>
          <w:color w:val="auto"/>
          <w:lang w:eastAsia="zh-CN"/>
        </w:rPr>
        <w:t>②审批文件、材料符合相关要求；</w:t>
      </w:r>
    </w:p>
    <w:p w14:paraId="1CA86DA7">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③事前未经过必要的可行性研究、专家论证、风险评估、绩效评估、集体决策，扣</w:t>
      </w:r>
      <w:r>
        <w:rPr>
          <w:rFonts w:hint="eastAsia"/>
          <w:color w:val="auto"/>
          <w:highlight w:val="none"/>
          <w:lang w:val="en-US" w:eastAsia="zh-CN"/>
        </w:rPr>
        <w:t>2</w:t>
      </w:r>
      <w:r>
        <w:rPr>
          <w:rFonts w:hint="eastAsia"/>
          <w:color w:val="auto"/>
          <w:highlight w:val="none"/>
          <w:lang w:eastAsia="zh-CN"/>
        </w:rPr>
        <w:t>分。</w:t>
      </w:r>
    </w:p>
    <w:p w14:paraId="615E1D25">
      <w:pPr>
        <w:bidi w:val="0"/>
        <w:rPr>
          <w:rFonts w:hint="eastAsia"/>
          <w:color w:val="auto"/>
          <w:lang w:eastAsia="zh-CN"/>
        </w:rPr>
      </w:pPr>
      <w:r>
        <w:rPr>
          <w:rFonts w:hint="eastAsia"/>
          <w:b/>
          <w:bCs/>
          <w:color w:val="auto"/>
          <w:lang w:val="en-US" w:eastAsia="zh-CN"/>
        </w:rPr>
        <w:t>综上，该项指标满分3分，得分1分。</w:t>
      </w:r>
    </w:p>
    <w:p w14:paraId="09F51622">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7344375B">
      <w:pPr>
        <w:bidi w:val="0"/>
        <w:rPr>
          <w:rFonts w:hint="eastAsia"/>
          <w:color w:val="auto"/>
          <w:lang w:eastAsia="zh-CN"/>
        </w:rPr>
      </w:pPr>
      <w:r>
        <w:rPr>
          <w:rFonts w:hint="eastAsia"/>
          <w:color w:val="auto"/>
          <w:lang w:eastAsia="zh-CN"/>
        </w:rPr>
        <w:t>①项目有绩效目标；</w:t>
      </w:r>
    </w:p>
    <w:p w14:paraId="2091AD96">
      <w:pPr>
        <w:bidi w:val="0"/>
        <w:rPr>
          <w:rFonts w:hint="eastAsia"/>
          <w:color w:val="auto"/>
          <w:lang w:eastAsia="zh-CN"/>
        </w:rPr>
      </w:pPr>
      <w:r>
        <w:rPr>
          <w:rFonts w:hint="eastAsia"/>
          <w:color w:val="auto"/>
          <w:lang w:eastAsia="zh-CN"/>
        </w:rPr>
        <w:t>②项目绩效目标与实际工作内容具有相关性；</w:t>
      </w:r>
    </w:p>
    <w:p w14:paraId="288E7065">
      <w:pPr>
        <w:bidi w:val="0"/>
        <w:rPr>
          <w:rFonts w:hint="eastAsia"/>
          <w:color w:val="auto"/>
          <w:lang w:eastAsia="zh-CN"/>
        </w:rPr>
      </w:pPr>
      <w:r>
        <w:rPr>
          <w:rFonts w:hint="eastAsia"/>
          <w:color w:val="auto"/>
          <w:lang w:eastAsia="zh-CN"/>
        </w:rPr>
        <w:t>③项目预期产出效益和效果符合正常的业绩水平；</w:t>
      </w:r>
    </w:p>
    <w:p w14:paraId="7C1D0F5B">
      <w:pPr>
        <w:bidi w:val="0"/>
        <w:rPr>
          <w:rFonts w:hint="eastAsia"/>
          <w:color w:val="auto"/>
          <w:lang w:eastAsia="zh-CN"/>
        </w:rPr>
      </w:pPr>
      <w:r>
        <w:rPr>
          <w:rFonts w:hint="eastAsia"/>
          <w:color w:val="auto"/>
          <w:lang w:eastAsia="zh-CN"/>
        </w:rPr>
        <w:t>④与预算确定的项目投资额或资金量相匹配。</w:t>
      </w:r>
    </w:p>
    <w:p w14:paraId="29B8B983">
      <w:pPr>
        <w:bidi w:val="0"/>
        <w:rPr>
          <w:rFonts w:hint="eastAsia"/>
          <w:color w:val="auto"/>
          <w:lang w:eastAsia="zh-CN"/>
        </w:rPr>
      </w:pPr>
      <w:r>
        <w:rPr>
          <w:rFonts w:hint="eastAsia"/>
          <w:b/>
          <w:bCs/>
          <w:color w:val="auto"/>
          <w:lang w:val="en-US" w:eastAsia="zh-CN"/>
        </w:rPr>
        <w:t>综上，该项指标满分5分，得分5分。</w:t>
      </w:r>
    </w:p>
    <w:p w14:paraId="547A8672">
      <w:pPr>
        <w:bidi w:val="0"/>
        <w:outlineLvl w:val="2"/>
        <w:rPr>
          <w:rFonts w:hint="default"/>
          <w:b/>
          <w:bCs/>
          <w:color w:val="auto"/>
          <w:lang w:val="en-US" w:eastAsia="zh-CN"/>
        </w:rPr>
      </w:pPr>
      <w:bookmarkStart w:id="61" w:name="_Toc10650"/>
      <w:r>
        <w:rPr>
          <w:rFonts w:hint="eastAsia"/>
          <w:b/>
          <w:bCs/>
          <w:color w:val="auto"/>
          <w:lang w:val="en-US" w:eastAsia="zh-CN"/>
        </w:rPr>
        <w:t>4.绩效指标明确性</w:t>
      </w:r>
      <w:bookmarkEnd w:id="61"/>
    </w:p>
    <w:p w14:paraId="272A3EF3">
      <w:pPr>
        <w:bidi w:val="0"/>
        <w:rPr>
          <w:rFonts w:hint="eastAsia"/>
          <w:color w:val="auto"/>
          <w:highlight w:val="none"/>
          <w:lang w:eastAsia="zh-CN"/>
        </w:rPr>
      </w:pPr>
      <w:r>
        <w:rPr>
          <w:rFonts w:hint="eastAsia"/>
          <w:color w:val="auto"/>
          <w:lang w:eastAsia="zh-CN"/>
        </w:rPr>
        <w:t>①将项目绩效目标细</w:t>
      </w:r>
      <w:r>
        <w:rPr>
          <w:rFonts w:hint="eastAsia"/>
          <w:color w:val="auto"/>
          <w:highlight w:val="none"/>
          <w:lang w:eastAsia="zh-CN"/>
        </w:rPr>
        <w:t>化分解为具体的绩效指标，项目绩效有</w:t>
      </w:r>
      <w:r>
        <w:rPr>
          <w:rFonts w:hint="eastAsia"/>
          <w:color w:val="auto"/>
          <w:highlight w:val="none"/>
          <w:lang w:val="en-US" w:eastAsia="zh-CN"/>
        </w:rPr>
        <w:t>4个一级指标，6个二级指标，9个三级指标</w:t>
      </w:r>
      <w:r>
        <w:rPr>
          <w:rFonts w:hint="eastAsia"/>
          <w:color w:val="auto"/>
          <w:highlight w:val="none"/>
          <w:lang w:eastAsia="zh-CN"/>
        </w:rPr>
        <w:t>；</w:t>
      </w:r>
    </w:p>
    <w:p w14:paraId="4EF0EC60">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w:t>
      </w:r>
      <w:r>
        <w:rPr>
          <w:rFonts w:hint="eastAsia" w:cs="宋体"/>
          <w:b w:val="0"/>
          <w:bCs w:val="0"/>
          <w:color w:val="auto"/>
          <w:kern w:val="2"/>
          <w:sz w:val="28"/>
          <w:szCs w:val="28"/>
          <w:highlight w:val="none"/>
          <w:lang w:val="en-US" w:eastAsia="zh-CN" w:bidi="ar-SA"/>
        </w:rPr>
        <w:t>9</w:t>
      </w:r>
      <w:r>
        <w:rPr>
          <w:rFonts w:hint="eastAsia" w:ascii="宋体" w:hAnsi="宋体" w:eastAsia="宋体" w:cs="宋体"/>
          <w:b w:val="0"/>
          <w:bCs w:val="0"/>
          <w:color w:val="auto"/>
          <w:kern w:val="2"/>
          <w:sz w:val="28"/>
          <w:szCs w:val="28"/>
          <w:highlight w:val="none"/>
          <w:lang w:val="en-US" w:eastAsia="zh-CN" w:bidi="ar-SA"/>
        </w:rPr>
        <w:t>个三级指标，</w:t>
      </w:r>
      <w:r>
        <w:rPr>
          <w:rFonts w:hint="eastAsia"/>
          <w:color w:val="auto"/>
          <w:highlight w:val="none"/>
          <w:lang w:eastAsia="zh-CN"/>
        </w:rPr>
        <w:t>项目量化率达到</w:t>
      </w:r>
      <w:r>
        <w:rPr>
          <w:rFonts w:hint="eastAsia"/>
          <w:color w:val="auto"/>
          <w:highlight w:val="none"/>
          <w:lang w:val="en-US" w:eastAsia="zh-CN"/>
        </w:rPr>
        <w:t>77.78%</w:t>
      </w:r>
      <w:r>
        <w:rPr>
          <w:rFonts w:hint="eastAsia"/>
          <w:color w:val="auto"/>
          <w:highlight w:val="none"/>
          <w:lang w:eastAsia="zh-CN"/>
        </w:rPr>
        <w:t>；</w:t>
      </w:r>
    </w:p>
    <w:p w14:paraId="7D6A4899">
      <w:pPr>
        <w:bidi w:val="0"/>
        <w:rPr>
          <w:rFonts w:hint="eastAsia"/>
          <w:color w:val="auto"/>
          <w:highlight w:val="none"/>
          <w:lang w:eastAsia="zh-CN"/>
        </w:rPr>
      </w:pPr>
      <w:r>
        <w:rPr>
          <w:rFonts w:hint="eastAsia"/>
          <w:color w:val="auto"/>
          <w:highlight w:val="none"/>
          <w:lang w:eastAsia="zh-CN"/>
        </w:rPr>
        <w:t>③与项目目标任务数或计划数相对应。</w:t>
      </w:r>
    </w:p>
    <w:p w14:paraId="1D8B56A3">
      <w:pPr>
        <w:bidi w:val="0"/>
        <w:rPr>
          <w:rFonts w:hint="eastAsia"/>
          <w:color w:val="auto"/>
          <w:lang w:eastAsia="zh-CN"/>
        </w:rPr>
      </w:pPr>
      <w:r>
        <w:rPr>
          <w:rFonts w:hint="eastAsia"/>
          <w:b/>
          <w:bCs/>
          <w:color w:val="auto"/>
          <w:highlight w:val="none"/>
          <w:lang w:val="en-US" w:eastAsia="zh-CN"/>
        </w:rPr>
        <w:t>综上，该项指标满分5分，得</w:t>
      </w:r>
      <w:r>
        <w:rPr>
          <w:rFonts w:hint="eastAsia"/>
          <w:b/>
          <w:bCs/>
          <w:color w:val="auto"/>
          <w:lang w:val="en-US" w:eastAsia="zh-CN"/>
        </w:rPr>
        <w:t>分5分。</w:t>
      </w:r>
    </w:p>
    <w:p w14:paraId="5B2C7E0F">
      <w:pPr>
        <w:bidi w:val="0"/>
        <w:outlineLvl w:val="2"/>
        <w:rPr>
          <w:rFonts w:hint="default"/>
          <w:b/>
          <w:bCs/>
          <w:color w:val="auto"/>
          <w:lang w:val="en-US" w:eastAsia="zh-CN"/>
        </w:rPr>
      </w:pPr>
      <w:bookmarkStart w:id="62" w:name="_Toc19401"/>
      <w:r>
        <w:rPr>
          <w:rFonts w:hint="eastAsia"/>
          <w:b/>
          <w:bCs/>
          <w:color w:val="auto"/>
          <w:lang w:val="en-US" w:eastAsia="zh-CN"/>
        </w:rPr>
        <w:t>5.预算编制科学性</w:t>
      </w:r>
      <w:bookmarkEnd w:id="62"/>
    </w:p>
    <w:p w14:paraId="17599C48">
      <w:pPr>
        <w:bidi w:val="0"/>
        <w:rPr>
          <w:rFonts w:hint="eastAsia"/>
          <w:color w:val="auto"/>
          <w:lang w:eastAsia="zh-CN"/>
        </w:rPr>
      </w:pPr>
      <w:r>
        <w:rPr>
          <w:rFonts w:hint="eastAsia"/>
          <w:color w:val="auto"/>
          <w:lang w:eastAsia="zh-CN"/>
        </w:rPr>
        <w:t>①预算编制经过科学论证；</w:t>
      </w:r>
    </w:p>
    <w:p w14:paraId="12374AB7">
      <w:pPr>
        <w:bidi w:val="0"/>
        <w:rPr>
          <w:rFonts w:hint="eastAsia"/>
          <w:color w:val="auto"/>
          <w:lang w:eastAsia="zh-CN"/>
        </w:rPr>
      </w:pPr>
      <w:r>
        <w:rPr>
          <w:rFonts w:hint="eastAsia"/>
          <w:color w:val="auto"/>
          <w:lang w:eastAsia="zh-CN"/>
        </w:rPr>
        <w:t>②预算内容与项目内容匹配；</w:t>
      </w:r>
    </w:p>
    <w:p w14:paraId="3B6F1571">
      <w:pPr>
        <w:bidi w:val="0"/>
        <w:rPr>
          <w:rFonts w:hint="eastAsia"/>
          <w:color w:val="auto"/>
          <w:lang w:eastAsia="zh-CN"/>
        </w:rPr>
      </w:pPr>
      <w:r>
        <w:rPr>
          <w:rFonts w:hint="eastAsia"/>
          <w:color w:val="auto"/>
          <w:lang w:eastAsia="zh-CN"/>
        </w:rPr>
        <w:t>③预算额度测算依据充分，按照标准编制；</w:t>
      </w:r>
    </w:p>
    <w:p w14:paraId="12EE828B">
      <w:pPr>
        <w:bidi w:val="0"/>
        <w:rPr>
          <w:rFonts w:hint="eastAsia"/>
          <w:color w:val="auto"/>
          <w:lang w:eastAsia="zh-CN"/>
        </w:rPr>
      </w:pPr>
      <w:r>
        <w:rPr>
          <w:rFonts w:hint="eastAsia"/>
          <w:color w:val="auto"/>
          <w:lang w:eastAsia="zh-CN"/>
        </w:rPr>
        <w:t>④预算确定的项目投资额或资金量与工作任务相匹配。</w:t>
      </w:r>
    </w:p>
    <w:p w14:paraId="06C3C8E3">
      <w:pPr>
        <w:bidi w:val="0"/>
        <w:rPr>
          <w:rFonts w:hint="eastAsia"/>
          <w:color w:val="auto"/>
          <w:lang w:eastAsia="zh-CN"/>
        </w:rPr>
      </w:pPr>
      <w:r>
        <w:rPr>
          <w:rFonts w:hint="eastAsia"/>
          <w:b/>
          <w:bCs/>
          <w:color w:val="auto"/>
          <w:lang w:val="en-US" w:eastAsia="zh-CN"/>
        </w:rPr>
        <w:t>综上，该项指标满分2分，得分2分。</w:t>
      </w:r>
    </w:p>
    <w:p w14:paraId="4670AC84">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51BBE984">
      <w:pPr>
        <w:bidi w:val="0"/>
        <w:rPr>
          <w:rFonts w:hint="eastAsia"/>
          <w:color w:val="auto"/>
          <w:lang w:eastAsia="zh-CN"/>
        </w:rPr>
      </w:pPr>
      <w:r>
        <w:rPr>
          <w:rFonts w:hint="eastAsia"/>
          <w:color w:val="auto"/>
          <w:lang w:eastAsia="zh-CN"/>
        </w:rPr>
        <w:t>①预算资金分配依据充分；</w:t>
      </w:r>
    </w:p>
    <w:p w14:paraId="63E8BCB0">
      <w:pPr>
        <w:bidi w:val="0"/>
        <w:rPr>
          <w:rFonts w:hint="eastAsia"/>
          <w:color w:val="auto"/>
          <w:lang w:eastAsia="zh-CN"/>
        </w:rPr>
      </w:pPr>
      <w:r>
        <w:rPr>
          <w:rFonts w:hint="eastAsia"/>
          <w:color w:val="auto"/>
          <w:lang w:eastAsia="zh-CN"/>
        </w:rPr>
        <w:t>②资金分配额度合理，与项目单位或地方实际相适应。</w:t>
      </w:r>
    </w:p>
    <w:p w14:paraId="2753E4BB">
      <w:pPr>
        <w:bidi w:val="0"/>
        <w:rPr>
          <w:rFonts w:hint="eastAsia"/>
          <w:color w:val="auto"/>
          <w:lang w:eastAsia="zh-CN"/>
        </w:rPr>
      </w:pPr>
      <w:r>
        <w:rPr>
          <w:rFonts w:hint="eastAsia"/>
          <w:b/>
          <w:bCs/>
          <w:color w:val="auto"/>
          <w:lang w:val="en-US" w:eastAsia="zh-CN"/>
        </w:rPr>
        <w:t>综上，该项指标满分3分，得分3分。</w:t>
      </w:r>
    </w:p>
    <w:p w14:paraId="47E9F5F0">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162F1C8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A32B10C">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6B9DA585">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24B1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B799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9B76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1C70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9C69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350F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E8ED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A5478D1">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7FE8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1308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E8B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893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6ABF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7A04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88FE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C46F16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8EB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C3E8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3AB9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6EEB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19FD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4650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A0B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76C795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027A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1F4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C72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2DA5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FB3D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0044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5CE4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B2BB4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9925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9BF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40AD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3CD6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F380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8B17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B9F2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1804B6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BE8E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58A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FF19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FF4F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FFF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D47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817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AC43DFA">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DFE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C42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1137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73A5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FB1E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6CFF22C">
      <w:pPr>
        <w:bidi w:val="0"/>
        <w:outlineLvl w:val="2"/>
        <w:rPr>
          <w:rFonts w:hint="default"/>
          <w:b/>
          <w:bCs/>
          <w:color w:val="auto"/>
          <w:highlight w:val="none"/>
          <w:lang w:val="en-US" w:eastAsia="zh-CN"/>
        </w:rPr>
      </w:pPr>
      <w:bookmarkStart w:id="65" w:name="_Toc3886"/>
      <w:r>
        <w:rPr>
          <w:rFonts w:hint="eastAsia"/>
          <w:b/>
          <w:bCs/>
          <w:color w:val="auto"/>
          <w:lang w:val="en-US" w:eastAsia="zh-CN"/>
        </w:rPr>
        <w:t>1.资金到</w:t>
      </w:r>
      <w:r>
        <w:rPr>
          <w:rFonts w:hint="eastAsia"/>
          <w:b/>
          <w:bCs/>
          <w:color w:val="auto"/>
          <w:highlight w:val="none"/>
          <w:lang w:val="en-US" w:eastAsia="zh-CN"/>
        </w:rPr>
        <w:t>位率</w:t>
      </w:r>
      <w:bookmarkEnd w:id="65"/>
    </w:p>
    <w:p w14:paraId="30984C46">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229万元</w:t>
      </w:r>
      <w:r>
        <w:rPr>
          <w:rFonts w:hint="eastAsia"/>
          <w:color w:val="auto"/>
          <w:highlight w:val="none"/>
          <w:lang w:eastAsia="zh-CN"/>
        </w:rPr>
        <w:t>/</w:t>
      </w:r>
      <w:r>
        <w:rPr>
          <w:rFonts w:hint="eastAsia"/>
          <w:color w:val="auto"/>
          <w:highlight w:val="none"/>
          <w:lang w:val="en-US" w:eastAsia="zh-CN"/>
        </w:rPr>
        <w:t>229万元</w:t>
      </w:r>
      <w:r>
        <w:rPr>
          <w:rFonts w:hint="eastAsia"/>
          <w:color w:val="auto"/>
          <w:highlight w:val="none"/>
          <w:lang w:eastAsia="zh-CN"/>
        </w:rPr>
        <w:t>）×100%。</w:t>
      </w:r>
      <w:r>
        <w:rPr>
          <w:rFonts w:hint="eastAsia"/>
          <w:b/>
          <w:bCs/>
          <w:color w:val="auto"/>
          <w:highlight w:val="none"/>
          <w:lang w:val="en-US" w:eastAsia="zh-CN"/>
        </w:rPr>
        <w:t>=100%</w:t>
      </w:r>
    </w:p>
    <w:p w14:paraId="39B17C2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9A9B727">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1F524EF">
      <w:pPr>
        <w:bidi w:val="0"/>
        <w:rPr>
          <w:rFonts w:hint="default"/>
          <w:b w:val="0"/>
          <w:bCs w:val="0"/>
          <w:color w:val="auto"/>
          <w:highlight w:val="none"/>
          <w:lang w:val="en-US" w:eastAsia="zh-CN"/>
        </w:rPr>
      </w:pPr>
      <w:r>
        <w:rPr>
          <w:rFonts w:hint="eastAsia"/>
          <w:b w:val="0"/>
          <w:bCs w:val="0"/>
          <w:color w:val="auto"/>
          <w:highlight w:val="none"/>
          <w:lang w:eastAsia="zh-CN"/>
        </w:rPr>
        <w:t>预算执行率=（</w:t>
      </w:r>
      <w:r>
        <w:rPr>
          <w:rFonts w:hint="eastAsia"/>
          <w:b w:val="0"/>
          <w:bCs w:val="0"/>
          <w:color w:val="auto"/>
          <w:highlight w:val="none"/>
          <w:lang w:val="en-US" w:eastAsia="zh-CN"/>
        </w:rPr>
        <w:t>229万元</w:t>
      </w:r>
      <w:r>
        <w:rPr>
          <w:rFonts w:hint="eastAsia"/>
          <w:b w:val="0"/>
          <w:bCs w:val="0"/>
          <w:color w:val="auto"/>
          <w:highlight w:val="none"/>
          <w:lang w:eastAsia="zh-CN"/>
        </w:rPr>
        <w:t>/</w:t>
      </w:r>
      <w:r>
        <w:rPr>
          <w:rFonts w:hint="eastAsia"/>
          <w:b w:val="0"/>
          <w:bCs w:val="0"/>
          <w:color w:val="auto"/>
          <w:highlight w:val="none"/>
          <w:lang w:val="en-US" w:eastAsia="zh-CN"/>
        </w:rPr>
        <w:t>229万元</w:t>
      </w:r>
      <w:r>
        <w:rPr>
          <w:rFonts w:hint="eastAsia"/>
          <w:b w:val="0"/>
          <w:bCs w:val="0"/>
          <w:color w:val="auto"/>
          <w:highlight w:val="none"/>
          <w:lang w:eastAsia="zh-CN"/>
        </w:rPr>
        <w:t>）×100%。</w:t>
      </w:r>
      <w:r>
        <w:rPr>
          <w:rFonts w:hint="eastAsia"/>
          <w:b w:val="0"/>
          <w:bCs w:val="0"/>
          <w:color w:val="auto"/>
          <w:highlight w:val="none"/>
          <w:lang w:val="en-US" w:eastAsia="zh-CN"/>
        </w:rPr>
        <w:t>=100%</w:t>
      </w:r>
    </w:p>
    <w:p w14:paraId="2ED4634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B9D53EE">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3E7D302D">
      <w:pPr>
        <w:bidi w:val="0"/>
        <w:rPr>
          <w:rFonts w:hint="eastAsia"/>
          <w:color w:val="auto"/>
          <w:lang w:eastAsia="zh-CN"/>
        </w:rPr>
      </w:pPr>
      <w:r>
        <w:rPr>
          <w:rFonts w:hint="eastAsia"/>
          <w:color w:val="auto"/>
          <w:lang w:eastAsia="zh-CN"/>
        </w:rPr>
        <w:t>①符合国家财经法规和财务管理制度</w:t>
      </w:r>
      <w:r>
        <w:rPr>
          <w:rFonts w:hint="eastAsia"/>
          <w:color w:val="auto"/>
          <w:highlight w:val="none"/>
          <w:lang w:val="en-US" w:eastAsia="zh-CN"/>
        </w:rPr>
        <w:t>和</w:t>
      </w:r>
      <w:r>
        <w:rPr>
          <w:rFonts w:hint="eastAsia"/>
          <w:color w:val="auto"/>
          <w:lang w:val="en-US" w:eastAsia="zh-CN"/>
        </w:rPr>
        <w:t>《阜康市城关镇财务管理办法》</w:t>
      </w:r>
      <w:r>
        <w:rPr>
          <w:rFonts w:hint="eastAsia"/>
          <w:color w:val="auto"/>
          <w:lang w:eastAsia="zh-CN"/>
        </w:rPr>
        <w:t>以及有关专项资金管理办法的规定；</w:t>
      </w:r>
    </w:p>
    <w:p w14:paraId="0CC503EA">
      <w:pPr>
        <w:bidi w:val="0"/>
        <w:rPr>
          <w:rFonts w:hint="eastAsia"/>
          <w:color w:val="auto"/>
          <w:lang w:eastAsia="zh-CN"/>
        </w:rPr>
      </w:pPr>
      <w:r>
        <w:rPr>
          <w:rFonts w:hint="eastAsia"/>
          <w:color w:val="auto"/>
          <w:lang w:eastAsia="zh-CN"/>
        </w:rPr>
        <w:t>②资金的拨付有完整的审批程序和手续；</w:t>
      </w:r>
    </w:p>
    <w:p w14:paraId="1E5F53BD">
      <w:pPr>
        <w:bidi w:val="0"/>
        <w:rPr>
          <w:rFonts w:hint="eastAsia"/>
          <w:color w:val="auto"/>
          <w:lang w:eastAsia="zh-CN"/>
        </w:rPr>
      </w:pPr>
      <w:r>
        <w:rPr>
          <w:rFonts w:hint="eastAsia"/>
          <w:color w:val="auto"/>
          <w:lang w:eastAsia="zh-CN"/>
        </w:rPr>
        <w:t>③符合项目预算批复或合同规定的用途；</w:t>
      </w:r>
    </w:p>
    <w:p w14:paraId="780A3F69">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2F172C87">
      <w:pPr>
        <w:bidi w:val="0"/>
        <w:rPr>
          <w:rFonts w:hint="eastAsia"/>
          <w:color w:val="auto"/>
          <w:lang w:eastAsia="zh-CN"/>
        </w:rPr>
      </w:pPr>
      <w:r>
        <w:rPr>
          <w:rFonts w:hint="eastAsia"/>
          <w:b/>
          <w:bCs/>
          <w:color w:val="auto"/>
          <w:lang w:val="en-US" w:eastAsia="zh-CN"/>
        </w:rPr>
        <w:t>综上，该项指标满分4分，得分4分。</w:t>
      </w:r>
    </w:p>
    <w:p w14:paraId="4D6A91EB">
      <w:pPr>
        <w:numPr>
          <w:ilvl w:val="0"/>
          <w:numId w:val="0"/>
        </w:numPr>
        <w:bidi w:val="0"/>
        <w:ind w:firstLine="562" w:firstLineChars="200"/>
        <w:rPr>
          <w:rFonts w:hint="eastAsia"/>
          <w:b/>
          <w:bCs/>
          <w:color w:val="auto"/>
          <w:lang w:val="en-US" w:eastAsia="zh-CN"/>
        </w:rPr>
      </w:pPr>
      <w:r>
        <w:rPr>
          <w:rFonts w:hint="eastAsia" w:ascii="宋体" w:hAnsi="宋体" w:eastAsia="宋体" w:cs="宋体"/>
          <w:b/>
          <w:bCs/>
          <w:color w:val="auto"/>
          <w:kern w:val="2"/>
          <w:sz w:val="28"/>
          <w:szCs w:val="28"/>
          <w:lang w:val="en-US" w:eastAsia="zh-CN" w:bidi="ar-SA"/>
        </w:rPr>
        <w:t>4.</w:t>
      </w:r>
      <w:r>
        <w:rPr>
          <w:rFonts w:hint="eastAsia"/>
          <w:b/>
          <w:bCs/>
          <w:color w:val="auto"/>
          <w:lang w:val="en-US" w:eastAsia="zh-CN"/>
        </w:rPr>
        <w:t>管理制度健全性</w:t>
      </w:r>
    </w:p>
    <w:p w14:paraId="7F73A1CF">
      <w:pPr>
        <w:bidi w:val="0"/>
        <w:rPr>
          <w:rFonts w:hint="eastAsia"/>
          <w:color w:val="auto"/>
          <w:highlight w:val="none"/>
          <w:lang w:eastAsia="zh-CN"/>
        </w:rPr>
      </w:pPr>
      <w:r>
        <w:rPr>
          <w:rFonts w:hint="eastAsia"/>
          <w:color w:val="auto"/>
          <w:lang w:eastAsia="zh-CN"/>
        </w:rPr>
        <w:t>①《</w:t>
      </w:r>
      <w:r>
        <w:rPr>
          <w:rFonts w:hint="eastAsia"/>
          <w:color w:val="auto"/>
          <w:lang w:val="en-US" w:eastAsia="zh-CN"/>
        </w:rPr>
        <w:t>阜康市城关镇财</w:t>
      </w:r>
      <w:r>
        <w:rPr>
          <w:rFonts w:hint="eastAsia"/>
          <w:color w:val="auto"/>
          <w:highlight w:val="none"/>
          <w:lang w:val="en-US" w:eastAsia="zh-CN"/>
        </w:rPr>
        <w:t>务管理办法</w:t>
      </w:r>
      <w:r>
        <w:rPr>
          <w:rFonts w:hint="eastAsia"/>
          <w:color w:val="auto"/>
          <w:highlight w:val="none"/>
          <w:lang w:eastAsia="zh-CN"/>
        </w:rPr>
        <w:t>》、《</w:t>
      </w:r>
      <w:r>
        <w:rPr>
          <w:rFonts w:hint="eastAsia"/>
          <w:color w:val="auto"/>
          <w:highlight w:val="none"/>
          <w:lang w:val="en-US" w:eastAsia="zh-CN"/>
        </w:rPr>
        <w:t>阜康市城关镇项目检查及考核制度</w:t>
      </w:r>
      <w:r>
        <w:rPr>
          <w:rFonts w:hint="eastAsia"/>
          <w:color w:val="auto"/>
          <w:highlight w:val="none"/>
          <w:lang w:eastAsia="zh-CN"/>
        </w:rPr>
        <w:t>》；</w:t>
      </w:r>
    </w:p>
    <w:p w14:paraId="354C00B2">
      <w:pPr>
        <w:bidi w:val="0"/>
        <w:rPr>
          <w:rFonts w:hint="eastAsia"/>
          <w:color w:val="auto"/>
          <w:highlight w:val="none"/>
          <w:lang w:eastAsia="zh-CN"/>
        </w:rPr>
      </w:pPr>
      <w:r>
        <w:rPr>
          <w:rFonts w:hint="eastAsia"/>
          <w:color w:val="auto"/>
          <w:lang w:eastAsia="zh-CN"/>
        </w:rPr>
        <w:t>②财务</w:t>
      </w:r>
      <w:r>
        <w:rPr>
          <w:rFonts w:hint="eastAsia"/>
          <w:color w:val="auto"/>
          <w:highlight w:val="none"/>
          <w:lang w:eastAsia="zh-CN"/>
        </w:rPr>
        <w:t>和业务管理制度合法、合规、完整。</w:t>
      </w:r>
    </w:p>
    <w:p w14:paraId="2A23E8E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48C8104">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6AAC19D7">
      <w:pPr>
        <w:bidi w:val="0"/>
        <w:rPr>
          <w:rFonts w:hint="eastAsia"/>
          <w:color w:val="auto"/>
          <w:lang w:eastAsia="zh-CN"/>
        </w:rPr>
      </w:pPr>
      <w:r>
        <w:rPr>
          <w:rFonts w:hint="eastAsia"/>
          <w:color w:val="auto"/>
          <w:highlight w:val="none"/>
          <w:lang w:eastAsia="zh-CN"/>
        </w:rPr>
        <w:t>①《</w:t>
      </w:r>
      <w:r>
        <w:rPr>
          <w:rFonts w:hint="eastAsia"/>
          <w:color w:val="auto"/>
          <w:highlight w:val="none"/>
          <w:lang w:val="en-US" w:eastAsia="zh-CN"/>
        </w:rPr>
        <w:t>阜康市城关镇财</w:t>
      </w:r>
      <w:r>
        <w:rPr>
          <w:rFonts w:hint="eastAsia"/>
          <w:color w:val="auto"/>
          <w:lang w:val="en-US" w:eastAsia="zh-CN"/>
        </w:rPr>
        <w:t>务管理办法</w:t>
      </w:r>
      <w:r>
        <w:rPr>
          <w:rFonts w:hint="eastAsia"/>
          <w:color w:val="auto"/>
          <w:lang w:eastAsia="zh-CN"/>
        </w:rPr>
        <w:t>》管理规定和</w:t>
      </w:r>
      <w:r>
        <w:rPr>
          <w:rFonts w:hint="eastAsia"/>
          <w:color w:val="auto"/>
          <w:highlight w:val="none"/>
          <w:lang w:eastAsia="zh-CN"/>
        </w:rPr>
        <w:t>《</w:t>
      </w:r>
      <w:r>
        <w:rPr>
          <w:rFonts w:hint="eastAsia"/>
          <w:color w:val="auto"/>
          <w:highlight w:val="none"/>
          <w:lang w:val="en-US" w:eastAsia="zh-CN"/>
        </w:rPr>
        <w:t>阜康市城关镇项目检查及考核制度</w:t>
      </w:r>
      <w:r>
        <w:rPr>
          <w:rFonts w:hint="eastAsia"/>
          <w:color w:val="auto"/>
          <w:highlight w:val="none"/>
          <w:lang w:eastAsia="zh-CN"/>
        </w:rPr>
        <w:t>》；</w:t>
      </w:r>
    </w:p>
    <w:p w14:paraId="6DEB0C29">
      <w:pPr>
        <w:bidi w:val="0"/>
        <w:rPr>
          <w:rFonts w:hint="eastAsia"/>
          <w:color w:val="auto"/>
          <w:highlight w:val="none"/>
          <w:lang w:eastAsia="zh-CN"/>
        </w:rPr>
      </w:pPr>
      <w:r>
        <w:rPr>
          <w:rFonts w:hint="eastAsia"/>
          <w:color w:val="auto"/>
          <w:highlight w:val="none"/>
          <w:lang w:eastAsia="zh-CN"/>
        </w:rPr>
        <w:t>②项目未做调整；</w:t>
      </w:r>
    </w:p>
    <w:p w14:paraId="2A69795D">
      <w:pPr>
        <w:bidi w:val="0"/>
        <w:rPr>
          <w:rFonts w:hint="eastAsia"/>
          <w:color w:val="auto"/>
          <w:highlight w:val="none"/>
          <w:lang w:eastAsia="zh-CN"/>
        </w:rPr>
      </w:pPr>
      <w:r>
        <w:rPr>
          <w:rFonts w:hint="eastAsia"/>
          <w:color w:val="auto"/>
          <w:highlight w:val="none"/>
          <w:lang w:eastAsia="zh-CN"/>
        </w:rPr>
        <w:t>③项目合同书、验收报告、技术鉴定等印证资料齐全。</w:t>
      </w:r>
    </w:p>
    <w:p w14:paraId="431BE65D">
      <w:pPr>
        <w:bidi w:val="0"/>
        <w:rPr>
          <w:rFonts w:hint="eastAsia"/>
          <w:color w:val="auto"/>
          <w:lang w:eastAsia="zh-CN"/>
        </w:rPr>
      </w:pPr>
      <w:r>
        <w:rPr>
          <w:rFonts w:hint="eastAsia"/>
          <w:color w:val="auto"/>
          <w:highlight w:val="none"/>
          <w:lang w:eastAsia="zh-CN"/>
        </w:rPr>
        <w:t>④项目实施</w:t>
      </w:r>
      <w:r>
        <w:rPr>
          <w:rFonts w:hint="eastAsia"/>
          <w:color w:val="auto"/>
          <w:highlight w:val="none"/>
          <w:lang w:val="en-US" w:eastAsia="zh-CN"/>
        </w:rPr>
        <w:t>由阜康市城关镇</w:t>
      </w:r>
      <w:r>
        <w:rPr>
          <w:rFonts w:hint="eastAsia"/>
          <w:color w:val="auto"/>
          <w:lang w:val="en-US" w:eastAsia="zh-CN"/>
        </w:rPr>
        <w:t>人民政府实施，具体由张龙仕具体负责，成员有鞠萍、玉素甫江组成。主要负责项目的实地勘察、验收、资金拨付、档案整理、后期管理等</w:t>
      </w:r>
      <w:r>
        <w:rPr>
          <w:rFonts w:hint="eastAsia"/>
          <w:color w:val="auto"/>
          <w:lang w:eastAsia="zh-CN"/>
        </w:rPr>
        <w:t>。</w:t>
      </w:r>
    </w:p>
    <w:p w14:paraId="1EC8390B">
      <w:pPr>
        <w:bidi w:val="0"/>
        <w:ind w:left="0" w:leftChars="0" w:firstLine="562" w:firstLineChars="200"/>
        <w:rPr>
          <w:rFonts w:hint="eastAsia"/>
          <w:color w:val="auto"/>
          <w:lang w:eastAsia="zh-CN"/>
        </w:rPr>
      </w:pPr>
      <w:r>
        <w:rPr>
          <w:rFonts w:hint="eastAsia"/>
          <w:b/>
          <w:bCs/>
          <w:color w:val="auto"/>
          <w:lang w:val="en-US" w:eastAsia="zh-CN"/>
        </w:rPr>
        <w:t>综上，该项指标满分4分，得分4分。</w:t>
      </w:r>
    </w:p>
    <w:p w14:paraId="5BBF998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66DE98A4">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7C04E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b/>
          <w:bCs/>
          <w:color w:val="auto"/>
          <w:kern w:val="0"/>
          <w:sz w:val="28"/>
          <w:szCs w:val="28"/>
          <w:highlight w:val="none"/>
          <w:shd w:val="clear" w:color="auto" w:fill="auto"/>
          <w:lang w:val="zh-TW" w:eastAsia="zh-CN"/>
        </w:rPr>
      </w:pPr>
    </w:p>
    <w:p w14:paraId="3E6FB91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p w14:paraId="6F07BFD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5CF0BF54">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BE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BEB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83C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8A5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EC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FC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60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05656073">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812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794B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AD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生活服务用房</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62E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20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68A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57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B5A3442">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C631E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57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E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基础设施配备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01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≥1套</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FCD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21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＝1套</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AA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105328A">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B9C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0DA7B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978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竣工验收合格率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3D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2C2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B3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2EF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BBCBD91">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AA6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58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169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项目资金支付率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2CE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9F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C24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F6F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CA22F70">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D7A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C890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A8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E7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＝97%</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2A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1C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7B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04690404">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0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AFB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D78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项目按计划完工</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C4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99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4CB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D3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8077FBF">
        <w:tblPrEx>
          <w:shd w:val="clear" w:color="auto" w:fill="auto"/>
          <w:tblCellMar>
            <w:top w:w="0" w:type="dxa"/>
            <w:left w:w="0" w:type="dxa"/>
            <w:bottom w:w="0" w:type="dxa"/>
            <w:right w:w="0" w:type="dxa"/>
          </w:tblCellMar>
        </w:tblPrEx>
        <w:trPr>
          <w:trHeight w:val="42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A8D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8D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9FD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项目修建费用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504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≤229万元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E4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D4B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247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A613458">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C1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2B9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7B84">
            <w:pPr>
              <w:keepNext w:val="0"/>
              <w:keepLines w:val="0"/>
              <w:widowControl/>
              <w:suppressLineNumbers w:val="0"/>
              <w:spacing w:line="240" w:lineRule="auto"/>
              <w:ind w:firstLine="400" w:firstLineChars="200"/>
              <w:jc w:val="center"/>
              <w:textAlignment w:val="center"/>
              <w:rPr>
                <w:rFonts w:hint="eastAsia" w:ascii="仿宋" w:hAnsi="仿宋" w:eastAsia="仿宋" w:cs="仿宋"/>
                <w:color w:val="auto"/>
                <w:kern w:val="0"/>
                <w:sz w:val="20"/>
                <w:szCs w:val="20"/>
                <w:highlight w:val="none"/>
                <w:shd w:val="clear" w:color="auto" w:fill="auto"/>
                <w:lang w:val="en-US" w:eastAsia="zh-CN" w:bidi="ar-SA"/>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73F9E">
            <w:pPr>
              <w:keepNext w:val="0"/>
              <w:keepLines w:val="0"/>
              <w:widowControl/>
              <w:suppressLineNumbers w:val="0"/>
              <w:spacing w:line="240" w:lineRule="auto"/>
              <w:ind w:firstLine="400" w:firstLineChars="200"/>
              <w:jc w:val="both"/>
              <w:textAlignment w:val="center"/>
              <w:rPr>
                <w:rFonts w:hint="default" w:ascii="仿宋" w:hAnsi="仿宋" w:eastAsia="仿宋" w:cs="仿宋"/>
                <w:color w:val="auto"/>
                <w:kern w:val="0"/>
                <w:sz w:val="20"/>
                <w:szCs w:val="20"/>
                <w:highlight w:val="none"/>
                <w:shd w:val="clear" w:color="auto" w:fill="auto"/>
                <w:lang w:val="en-US" w:eastAsia="zh-CN" w:bidi="ar-SA"/>
              </w:rPr>
            </w:pPr>
            <w:r>
              <w:rPr>
                <w:rFonts w:hint="eastAsia" w:ascii="仿宋" w:hAnsi="仿宋" w:eastAsia="仿宋" w:cs="仿宋"/>
                <w:color w:val="auto"/>
                <w:kern w:val="0"/>
                <w:sz w:val="20"/>
                <w:szCs w:val="20"/>
                <w:highlight w:val="none"/>
                <w:shd w:val="clear" w:color="auto" w:fill="auto"/>
                <w:lang w:val="en-US" w:eastAsia="zh-CN" w:bidi="ar-SA"/>
              </w:rPr>
              <w:t>30</w:t>
            </w:r>
          </w:p>
        </w:tc>
      </w:tr>
    </w:tbl>
    <w:p w14:paraId="4D21D980">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58B19D98">
      <w:pPr>
        <w:bidi w:val="0"/>
        <w:rPr>
          <w:rFonts w:hint="eastAsia" w:asciiTheme="minorEastAsia" w:hAnsiTheme="minorEastAsia" w:eastAsiaTheme="minorEastAsia" w:cstheme="minorEastAsia"/>
          <w:b w:val="0"/>
          <w:bCs w:val="0"/>
          <w:color w:val="auto"/>
          <w:sz w:val="28"/>
          <w:szCs w:val="28"/>
          <w:highlight w:val="none"/>
          <w:lang w:val="en-US" w:eastAsia="zh-CN"/>
        </w:rPr>
      </w:pPr>
      <w:r>
        <w:rPr>
          <w:rFonts w:hint="eastAsia" w:asciiTheme="minorEastAsia" w:hAnsiTheme="minorEastAsia" w:eastAsiaTheme="minorEastAsia" w:cstheme="minorEastAsia"/>
          <w:b w:val="0"/>
          <w:bCs w:val="0"/>
          <w:color w:val="auto"/>
          <w:sz w:val="28"/>
          <w:szCs w:val="28"/>
          <w:highlight w:val="none"/>
          <w:lang w:eastAsia="zh-CN"/>
        </w:rPr>
        <w:t>“</w:t>
      </w:r>
      <w:r>
        <w:rPr>
          <w:rFonts w:hint="eastAsia" w:asciiTheme="minorEastAsia" w:hAnsiTheme="minorEastAsia" w:eastAsiaTheme="minorEastAsia" w:cstheme="minorEastAsia"/>
          <w:b w:val="0"/>
          <w:bCs w:val="0"/>
          <w:i w:val="0"/>
          <w:iCs w:val="0"/>
          <w:color w:val="auto"/>
          <w:kern w:val="0"/>
          <w:sz w:val="28"/>
          <w:szCs w:val="28"/>
          <w:highlight w:val="none"/>
          <w:u w:val="none"/>
          <w:lang w:val="en-US" w:eastAsia="zh-CN" w:bidi="ar"/>
        </w:rPr>
        <w:t>生活服务用房</w:t>
      </w:r>
      <w:r>
        <w:rPr>
          <w:rFonts w:hint="eastAsia" w:asciiTheme="minorEastAsia" w:hAnsiTheme="minorEastAsia" w:eastAsiaTheme="minorEastAsia" w:cstheme="minorEastAsia"/>
          <w:b w:val="0"/>
          <w:bCs w:val="0"/>
          <w:color w:val="auto"/>
          <w:sz w:val="28"/>
          <w:szCs w:val="28"/>
          <w:highlight w:val="none"/>
          <w:lang w:eastAsia="zh-CN"/>
        </w:rPr>
        <w:t>”</w:t>
      </w:r>
      <w:r>
        <w:rPr>
          <w:rFonts w:hint="eastAsia" w:asciiTheme="minorEastAsia" w:hAnsiTheme="minorEastAsia" w:eastAsiaTheme="minorEastAsia" w:cstheme="minorEastAsia"/>
          <w:b w:val="0"/>
          <w:bCs w:val="0"/>
          <w:color w:val="auto"/>
          <w:sz w:val="28"/>
          <w:szCs w:val="28"/>
          <w:highlight w:val="none"/>
          <w:lang w:val="en-US" w:eastAsia="zh-CN"/>
        </w:rPr>
        <w:t>指标，预期目标值为50间，实际完成为50间。实际完成率=（50间/50间）×100%=100%。</w:t>
      </w:r>
    </w:p>
    <w:p w14:paraId="15601351">
      <w:pPr>
        <w:bidi w:val="0"/>
        <w:rPr>
          <w:rFonts w:hint="eastAsia" w:asciiTheme="minorEastAsia" w:hAnsiTheme="minorEastAsia" w:eastAsiaTheme="minorEastAsia" w:cstheme="minorEastAsia"/>
          <w:b w:val="0"/>
          <w:bCs w:val="0"/>
          <w:color w:val="auto"/>
          <w:sz w:val="28"/>
          <w:szCs w:val="28"/>
          <w:highlight w:val="none"/>
          <w:lang w:val="en-US" w:eastAsia="zh-CN"/>
        </w:rPr>
      </w:pPr>
      <w:r>
        <w:rPr>
          <w:rFonts w:hint="eastAsia" w:asciiTheme="minorEastAsia" w:hAnsiTheme="minorEastAsia" w:eastAsiaTheme="minorEastAsia" w:cstheme="minorEastAsia"/>
          <w:b w:val="0"/>
          <w:bCs w:val="0"/>
          <w:color w:val="auto"/>
          <w:sz w:val="28"/>
          <w:szCs w:val="28"/>
          <w:highlight w:val="none"/>
          <w:lang w:eastAsia="zh-CN"/>
        </w:rPr>
        <w:t>“配套设施”</w:t>
      </w:r>
      <w:r>
        <w:rPr>
          <w:rFonts w:hint="eastAsia" w:asciiTheme="minorEastAsia" w:hAnsiTheme="minorEastAsia" w:eastAsiaTheme="minorEastAsia" w:cstheme="minorEastAsia"/>
          <w:b w:val="0"/>
          <w:bCs w:val="0"/>
          <w:color w:val="auto"/>
          <w:sz w:val="28"/>
          <w:szCs w:val="28"/>
          <w:highlight w:val="none"/>
          <w:lang w:val="en-US" w:eastAsia="zh-CN"/>
        </w:rPr>
        <w:t>指标，预期目标值为1套，实际完成为1套。实际完成率=（1套/1套）×100%=100%。</w:t>
      </w:r>
    </w:p>
    <w:p w14:paraId="01032A18">
      <w:pPr>
        <w:bidi w:val="0"/>
        <w:ind w:left="0" w:leftChars="0" w:firstLine="840" w:firstLineChars="300"/>
        <w:rPr>
          <w:rFonts w:hint="eastAsia" w:asciiTheme="minorEastAsia" w:hAnsiTheme="minorEastAsia" w:eastAsiaTheme="minorEastAsia" w:cstheme="minorEastAsia"/>
          <w:b w:val="0"/>
          <w:bCs w:val="0"/>
          <w:color w:val="auto"/>
          <w:sz w:val="28"/>
          <w:szCs w:val="28"/>
          <w:highlight w:val="none"/>
          <w:lang w:eastAsia="zh-CN"/>
        </w:rPr>
      </w:pPr>
      <w:r>
        <w:rPr>
          <w:rFonts w:hint="eastAsia" w:asciiTheme="minorEastAsia" w:hAnsiTheme="minorEastAsia" w:eastAsiaTheme="minorEastAsia" w:cstheme="minorEastAsia"/>
          <w:b w:val="0"/>
          <w:bCs w:val="0"/>
          <w:color w:val="auto"/>
          <w:sz w:val="28"/>
          <w:szCs w:val="28"/>
          <w:highlight w:val="none"/>
          <w:lang w:val="en-US" w:eastAsia="zh-CN"/>
        </w:rPr>
        <w:t>综上，该项指标满分10分，得分10分。</w:t>
      </w:r>
    </w:p>
    <w:p w14:paraId="5BA828A7">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BA24F28">
      <w:pPr>
        <w:bidi w:val="0"/>
        <w:rPr>
          <w:rFonts w:hint="eastAsia" w:asciiTheme="minorEastAsia" w:hAnsiTheme="minorEastAsia" w:eastAsiaTheme="minorEastAsia" w:cstheme="minorEastAsia"/>
          <w:b w:val="0"/>
          <w:bCs w:val="0"/>
          <w:color w:val="auto"/>
          <w:sz w:val="28"/>
          <w:szCs w:val="28"/>
          <w:highlight w:val="none"/>
          <w:lang w:val="en-US" w:eastAsia="zh-CN"/>
        </w:rPr>
      </w:pPr>
      <w:r>
        <w:rPr>
          <w:rFonts w:hint="eastAsia" w:asciiTheme="minorEastAsia" w:hAnsiTheme="minorEastAsia" w:eastAsiaTheme="minorEastAsia" w:cstheme="minorEastAsia"/>
          <w:b w:val="0"/>
          <w:bCs w:val="0"/>
          <w:color w:val="auto"/>
          <w:sz w:val="28"/>
          <w:szCs w:val="28"/>
          <w:highlight w:val="none"/>
          <w:lang w:eastAsia="zh-CN"/>
        </w:rPr>
        <w:t>“</w:t>
      </w:r>
      <w:r>
        <w:rPr>
          <w:rFonts w:hint="eastAsia" w:asciiTheme="minorEastAsia" w:hAnsiTheme="minorEastAsia" w:eastAsiaTheme="minorEastAsia" w:cstheme="minorEastAsia"/>
          <w:b w:val="0"/>
          <w:bCs w:val="0"/>
          <w:color w:val="auto"/>
          <w:kern w:val="0"/>
          <w:sz w:val="28"/>
          <w:szCs w:val="28"/>
          <w:highlight w:val="none"/>
          <w:shd w:val="clear" w:color="auto" w:fill="auto"/>
          <w:lang w:val="en-US" w:eastAsia="zh-CN" w:bidi="ar-SA"/>
        </w:rPr>
        <w:t>竣工验收合格率</w:t>
      </w:r>
      <w:r>
        <w:rPr>
          <w:rFonts w:hint="eastAsia" w:asciiTheme="minorEastAsia" w:hAnsiTheme="minorEastAsia" w:eastAsiaTheme="minorEastAsia" w:cstheme="minorEastAsia"/>
          <w:b w:val="0"/>
          <w:bCs w:val="0"/>
          <w:color w:val="auto"/>
          <w:sz w:val="28"/>
          <w:szCs w:val="28"/>
          <w:highlight w:val="none"/>
          <w:lang w:eastAsia="zh-CN"/>
        </w:rPr>
        <w:t>”</w:t>
      </w:r>
      <w:r>
        <w:rPr>
          <w:rFonts w:hint="eastAsia" w:asciiTheme="minorEastAsia" w:hAnsiTheme="minorEastAsia" w:eastAsiaTheme="minorEastAsia" w:cstheme="minorEastAsia"/>
          <w:b w:val="0"/>
          <w:bCs w:val="0"/>
          <w:color w:val="auto"/>
          <w:sz w:val="28"/>
          <w:szCs w:val="28"/>
          <w:highlight w:val="none"/>
          <w:lang w:val="en-US" w:eastAsia="zh-CN"/>
        </w:rPr>
        <w:t>指标，预期目标值为＝100%，实际完成为＝100%。</w:t>
      </w:r>
    </w:p>
    <w:p w14:paraId="246BDD82">
      <w:pPr>
        <w:pStyle w:val="2"/>
        <w:rPr>
          <w:rFonts w:hint="eastAsia" w:asciiTheme="minorEastAsia" w:hAnsiTheme="minorEastAsia" w:eastAsiaTheme="minorEastAsia" w:cstheme="minorEastAsia"/>
          <w:b w:val="0"/>
          <w:bCs w:val="0"/>
          <w:color w:val="auto"/>
          <w:sz w:val="28"/>
          <w:szCs w:val="28"/>
          <w:highlight w:val="none"/>
          <w:lang w:eastAsia="zh-CN"/>
        </w:rPr>
      </w:pPr>
      <w:r>
        <w:rPr>
          <w:rFonts w:hint="eastAsia" w:asciiTheme="minorEastAsia" w:hAnsiTheme="minorEastAsia" w:eastAsiaTheme="minorEastAsia" w:cstheme="minorEastAsia"/>
          <w:b w:val="0"/>
          <w:bCs w:val="0"/>
          <w:color w:val="auto"/>
          <w:sz w:val="28"/>
          <w:szCs w:val="28"/>
          <w:highlight w:val="none"/>
          <w:lang w:eastAsia="zh-CN"/>
        </w:rPr>
        <w:t>“</w:t>
      </w:r>
      <w:r>
        <w:rPr>
          <w:rFonts w:hint="eastAsia" w:asciiTheme="minorEastAsia" w:hAnsiTheme="minorEastAsia" w:eastAsiaTheme="minorEastAsia" w:cstheme="minorEastAsia"/>
          <w:b w:val="0"/>
          <w:bCs w:val="0"/>
          <w:i w:val="0"/>
          <w:iCs w:val="0"/>
          <w:color w:val="auto"/>
          <w:kern w:val="0"/>
          <w:sz w:val="28"/>
          <w:szCs w:val="28"/>
          <w:highlight w:val="none"/>
          <w:u w:val="none"/>
          <w:lang w:val="en-US" w:eastAsia="zh-CN" w:bidi="ar"/>
        </w:rPr>
        <w:t>项目资金支付率</w:t>
      </w:r>
      <w:r>
        <w:rPr>
          <w:rFonts w:hint="eastAsia" w:asciiTheme="minorEastAsia" w:hAnsiTheme="minorEastAsia" w:eastAsiaTheme="minorEastAsia" w:cstheme="minorEastAsia"/>
          <w:b w:val="0"/>
          <w:bCs w:val="0"/>
          <w:color w:val="auto"/>
          <w:sz w:val="28"/>
          <w:szCs w:val="28"/>
          <w:highlight w:val="none"/>
          <w:lang w:eastAsia="zh-CN"/>
        </w:rPr>
        <w:t>”</w:t>
      </w:r>
      <w:r>
        <w:rPr>
          <w:rFonts w:hint="eastAsia" w:asciiTheme="minorEastAsia" w:hAnsiTheme="minorEastAsia" w:eastAsiaTheme="minorEastAsia" w:cstheme="minorEastAsia"/>
          <w:b w:val="0"/>
          <w:bCs w:val="0"/>
          <w:color w:val="auto"/>
          <w:sz w:val="28"/>
          <w:szCs w:val="28"/>
          <w:highlight w:val="none"/>
          <w:lang w:val="en-US" w:eastAsia="zh-CN"/>
        </w:rPr>
        <w:t>指标，预期目标值为＝100%，实际完成为＝100%。</w:t>
      </w:r>
    </w:p>
    <w:p w14:paraId="06AC8E0D">
      <w:pPr>
        <w:bidi w:val="0"/>
        <w:rPr>
          <w:rFonts w:hint="eastAsia"/>
          <w:color w:val="auto"/>
          <w:highlight w:val="none"/>
          <w:lang w:eastAsia="zh-CN"/>
        </w:rPr>
      </w:pPr>
      <w:r>
        <w:rPr>
          <w:rFonts w:hint="eastAsia" w:asciiTheme="minorEastAsia" w:hAnsiTheme="minorEastAsia" w:eastAsiaTheme="minorEastAsia" w:cstheme="minorEastAsia"/>
          <w:b w:val="0"/>
          <w:bCs w:val="0"/>
          <w:color w:val="auto"/>
          <w:sz w:val="28"/>
          <w:szCs w:val="28"/>
          <w:highlight w:val="none"/>
          <w:lang w:val="en-US" w:eastAsia="zh-CN"/>
        </w:rPr>
        <w:t>综上，该项指标满分7分，得分7分。</w:t>
      </w:r>
    </w:p>
    <w:p w14:paraId="23B4FFF9">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1093AF0B">
      <w:pPr>
        <w:bidi w:val="0"/>
        <w:rPr>
          <w:rFonts w:hint="eastAsia" w:asciiTheme="minorEastAsia" w:hAnsiTheme="minorEastAsia" w:eastAsiaTheme="minorEastAsia" w:cstheme="minorEastAsia"/>
          <w:b w:val="0"/>
          <w:bCs w:val="0"/>
          <w:color w:val="auto"/>
          <w:sz w:val="28"/>
          <w:szCs w:val="28"/>
          <w:highlight w:val="none"/>
          <w:lang w:val="en-US" w:eastAsia="zh-CN"/>
        </w:rPr>
      </w:pPr>
      <w:r>
        <w:rPr>
          <w:rFonts w:hint="eastAsia" w:asciiTheme="minorEastAsia" w:hAnsiTheme="minorEastAsia" w:eastAsiaTheme="minorEastAsia" w:cstheme="minorEastAsia"/>
          <w:b w:val="0"/>
          <w:bCs w:val="0"/>
          <w:color w:val="auto"/>
          <w:sz w:val="28"/>
          <w:szCs w:val="28"/>
          <w:highlight w:val="none"/>
          <w:lang w:eastAsia="zh-CN"/>
        </w:rPr>
        <w:t>“资金及时率”</w:t>
      </w:r>
      <w:r>
        <w:rPr>
          <w:rFonts w:hint="eastAsia" w:asciiTheme="minorEastAsia" w:hAnsiTheme="minorEastAsia" w:eastAsiaTheme="minorEastAsia" w:cstheme="minorEastAsia"/>
          <w:b w:val="0"/>
          <w:bCs w:val="0"/>
          <w:color w:val="auto"/>
          <w:sz w:val="28"/>
          <w:szCs w:val="28"/>
          <w:highlight w:val="none"/>
          <w:lang w:val="en-US" w:eastAsia="zh-CN"/>
        </w:rPr>
        <w:t>指标，预期目标值为＝97%，实际完成为＝97%。</w:t>
      </w:r>
    </w:p>
    <w:p w14:paraId="725A3542">
      <w:pPr>
        <w:pStyle w:val="2"/>
        <w:rPr>
          <w:rFonts w:hint="eastAsia" w:asciiTheme="minorEastAsia" w:hAnsiTheme="minorEastAsia" w:eastAsiaTheme="minorEastAsia" w:cstheme="minorEastAsia"/>
          <w:b w:val="0"/>
          <w:bCs w:val="0"/>
          <w:color w:val="auto"/>
          <w:sz w:val="28"/>
          <w:szCs w:val="28"/>
          <w:highlight w:val="none"/>
          <w:lang w:eastAsia="zh-CN"/>
        </w:rPr>
      </w:pPr>
      <w:r>
        <w:rPr>
          <w:rFonts w:hint="eastAsia" w:asciiTheme="minorEastAsia" w:hAnsiTheme="minorEastAsia" w:eastAsiaTheme="minorEastAsia" w:cstheme="minorEastAsia"/>
          <w:b w:val="0"/>
          <w:bCs w:val="0"/>
          <w:color w:val="auto"/>
          <w:sz w:val="28"/>
          <w:szCs w:val="28"/>
          <w:highlight w:val="none"/>
          <w:lang w:eastAsia="zh-CN"/>
        </w:rPr>
        <w:t>“项目按计划完工”</w:t>
      </w:r>
      <w:r>
        <w:rPr>
          <w:rFonts w:hint="eastAsia" w:asciiTheme="minorEastAsia" w:hAnsiTheme="minorEastAsia" w:eastAsiaTheme="minorEastAsia" w:cstheme="minorEastAsia"/>
          <w:b w:val="0"/>
          <w:bCs w:val="0"/>
          <w:color w:val="auto"/>
          <w:sz w:val="28"/>
          <w:szCs w:val="28"/>
          <w:highlight w:val="none"/>
          <w:lang w:val="en-US" w:eastAsia="zh-CN"/>
        </w:rPr>
        <w:t>指标，预期目标值为≦2023年12月，实际完成为＝2023年12月。</w:t>
      </w:r>
    </w:p>
    <w:p w14:paraId="44392243">
      <w:pPr>
        <w:bidi w:val="0"/>
        <w:rPr>
          <w:rFonts w:hint="eastAsia" w:asciiTheme="minorEastAsia" w:hAnsiTheme="minorEastAsia" w:eastAsiaTheme="minorEastAsia" w:cstheme="minorEastAsia"/>
          <w:b w:val="0"/>
          <w:bCs w:val="0"/>
          <w:color w:val="auto"/>
          <w:sz w:val="28"/>
          <w:szCs w:val="28"/>
          <w:highlight w:val="none"/>
          <w:lang w:eastAsia="zh-CN"/>
        </w:rPr>
      </w:pPr>
      <w:r>
        <w:rPr>
          <w:rFonts w:hint="eastAsia" w:asciiTheme="minorEastAsia" w:hAnsiTheme="minorEastAsia" w:eastAsiaTheme="minorEastAsia" w:cstheme="minorEastAsia"/>
          <w:b w:val="0"/>
          <w:bCs w:val="0"/>
          <w:color w:val="auto"/>
          <w:sz w:val="28"/>
          <w:szCs w:val="28"/>
          <w:highlight w:val="none"/>
          <w:lang w:val="en-US" w:eastAsia="zh-CN"/>
        </w:rPr>
        <w:t>综上，该项指标满分8分，得分8分。</w:t>
      </w:r>
    </w:p>
    <w:p w14:paraId="02C128E0">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C53A192">
      <w:pPr>
        <w:bidi w:val="0"/>
        <w:rPr>
          <w:rFonts w:hint="eastAsia" w:asciiTheme="minorEastAsia" w:hAnsiTheme="minorEastAsia" w:eastAsiaTheme="minorEastAsia" w:cstheme="minorEastAsia"/>
          <w:b w:val="0"/>
          <w:bCs w:val="0"/>
          <w:color w:val="auto"/>
          <w:sz w:val="28"/>
          <w:szCs w:val="28"/>
          <w:highlight w:val="none"/>
          <w:lang w:eastAsia="zh-CN"/>
        </w:rPr>
      </w:pPr>
      <w:r>
        <w:rPr>
          <w:rFonts w:hint="eastAsia" w:asciiTheme="minorEastAsia" w:hAnsiTheme="minorEastAsia" w:eastAsiaTheme="minorEastAsia" w:cstheme="minorEastAsia"/>
          <w:b w:val="0"/>
          <w:bCs w:val="0"/>
          <w:color w:val="auto"/>
          <w:sz w:val="28"/>
          <w:szCs w:val="28"/>
          <w:highlight w:val="none"/>
          <w:lang w:eastAsia="zh-CN"/>
        </w:rPr>
        <w:t>“项目修建费用”</w:t>
      </w:r>
      <w:r>
        <w:rPr>
          <w:rFonts w:hint="eastAsia" w:asciiTheme="minorEastAsia" w:hAnsiTheme="minorEastAsia" w:eastAsiaTheme="minorEastAsia" w:cstheme="minorEastAsia"/>
          <w:b w:val="0"/>
          <w:bCs w:val="0"/>
          <w:color w:val="auto"/>
          <w:sz w:val="28"/>
          <w:szCs w:val="28"/>
          <w:highlight w:val="none"/>
          <w:lang w:val="en-US" w:eastAsia="zh-CN"/>
        </w:rPr>
        <w:t>指标，预期目标值为≤229万元，实际完成为＝229万元。实际完成率=（229万元/229万元）×100%=100%。</w:t>
      </w:r>
    </w:p>
    <w:p w14:paraId="3A5F4BF2">
      <w:pPr>
        <w:bidi w:val="0"/>
        <w:rPr>
          <w:rFonts w:hint="eastAsia"/>
          <w:color w:val="auto"/>
          <w:highlight w:val="none"/>
          <w:lang w:eastAsia="zh-CN"/>
        </w:rPr>
      </w:pPr>
      <w:r>
        <w:rPr>
          <w:rFonts w:hint="eastAsia" w:asciiTheme="minorEastAsia" w:hAnsiTheme="minorEastAsia" w:eastAsiaTheme="minorEastAsia" w:cstheme="minorEastAsia"/>
          <w:b w:val="0"/>
          <w:bCs w:val="0"/>
          <w:color w:val="auto"/>
          <w:sz w:val="28"/>
          <w:szCs w:val="28"/>
          <w:highlight w:val="none"/>
          <w:lang w:val="en-US" w:eastAsia="zh-CN"/>
        </w:rPr>
        <w:t>综上，该项指标满分5分，得分5分。</w:t>
      </w:r>
    </w:p>
    <w:p w14:paraId="775D68E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2FC2A853">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443E083">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E4A4D94">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1B78B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A58FD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59FEB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CB1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21F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2BF88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89F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1370A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25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494E42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42E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D01E6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000CCC0">
        <w:tblPrEx>
          <w:tblCellMar>
            <w:top w:w="0" w:type="dxa"/>
            <w:left w:w="0" w:type="dxa"/>
            <w:bottom w:w="0" w:type="dxa"/>
            <w:right w:w="0" w:type="dxa"/>
          </w:tblCellMar>
        </w:tblPrEx>
        <w:trPr>
          <w:trHeight w:val="436" w:hRule="atLeast"/>
          <w:jc w:val="center"/>
        </w:trPr>
        <w:tc>
          <w:tcPr>
            <w:tcW w:w="685" w:type="dxa"/>
            <w:tcBorders>
              <w:left w:val="single" w:color="auto" w:sz="4" w:space="0"/>
              <w:right w:val="single" w:color="000000" w:sz="4" w:space="0"/>
            </w:tcBorders>
            <w:shd w:val="clear" w:color="auto" w:fill="auto"/>
            <w:tcMar>
              <w:top w:w="15" w:type="dxa"/>
              <w:left w:w="15" w:type="dxa"/>
              <w:right w:w="15" w:type="dxa"/>
            </w:tcMar>
            <w:vAlign w:val="center"/>
          </w:tcPr>
          <w:p w14:paraId="468403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E35CA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16A2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解决农村困难老人养老问题的同时，使其子女以充足的精力投入到致富增收，提升群众的幸福感。</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1E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F80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489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CA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7094E8CC">
        <w:tblPrEx>
          <w:tblCellMar>
            <w:top w:w="0" w:type="dxa"/>
            <w:left w:w="0" w:type="dxa"/>
            <w:bottom w:w="0" w:type="dxa"/>
            <w:right w:w="0" w:type="dxa"/>
          </w:tblCellMar>
        </w:tblPrEx>
        <w:trPr>
          <w:trHeight w:val="436" w:hRule="atLeast"/>
          <w:jc w:val="center"/>
        </w:trPr>
        <w:tc>
          <w:tcPr>
            <w:tcW w:w="685" w:type="dxa"/>
            <w:tcBorders>
              <w:left w:val="single" w:color="auto" w:sz="4" w:space="0"/>
              <w:right w:val="single" w:color="000000" w:sz="4" w:space="0"/>
            </w:tcBorders>
            <w:shd w:val="clear" w:color="auto" w:fill="auto"/>
            <w:tcMar>
              <w:top w:w="15" w:type="dxa"/>
              <w:left w:w="15" w:type="dxa"/>
              <w:right w:w="15" w:type="dxa"/>
            </w:tcMar>
            <w:vAlign w:val="center"/>
          </w:tcPr>
          <w:p w14:paraId="764EEF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17B64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B05A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受益群体满意度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376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7D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A8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A8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287DDDC">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6F4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DE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CF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D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CB67AC2">
      <w:pPr>
        <w:bidi w:val="0"/>
        <w:outlineLvl w:val="2"/>
        <w:rPr>
          <w:rFonts w:hint="eastAsia"/>
          <w:b/>
          <w:bCs/>
          <w:color w:val="auto"/>
          <w:lang w:val="en-US" w:eastAsia="zh-CN"/>
        </w:rPr>
      </w:pPr>
      <w:bookmarkStart w:id="75" w:name="_Toc8010"/>
      <w:r>
        <w:rPr>
          <w:rFonts w:hint="eastAsia"/>
          <w:b/>
          <w:bCs/>
          <w:color w:val="auto"/>
          <w:lang w:val="en-US" w:eastAsia="zh-CN"/>
        </w:rPr>
        <w:t>1.</w:t>
      </w:r>
      <w:bookmarkEnd w:id="75"/>
      <w:bookmarkStart w:id="76" w:name="_Toc27006"/>
      <w:r>
        <w:rPr>
          <w:rFonts w:hint="eastAsia"/>
          <w:b/>
          <w:bCs/>
          <w:color w:val="auto"/>
          <w:lang w:val="en-US" w:eastAsia="zh-CN"/>
        </w:rPr>
        <w:t>社会效益指标</w:t>
      </w:r>
      <w:bookmarkEnd w:id="76"/>
    </w:p>
    <w:p w14:paraId="475DBA16">
      <w:pPr>
        <w:bidi w:val="0"/>
        <w:rPr>
          <w:rFonts w:hint="eastAsia" w:asciiTheme="minorEastAsia" w:hAnsiTheme="minorEastAsia" w:eastAsiaTheme="minorEastAsia" w:cstheme="minorEastAsia"/>
          <w:b w:val="0"/>
          <w:bCs w:val="0"/>
          <w:color w:val="auto"/>
          <w:sz w:val="28"/>
          <w:szCs w:val="28"/>
          <w:highlight w:val="none"/>
          <w:lang w:val="en-US" w:eastAsia="zh-CN"/>
        </w:rPr>
      </w:pPr>
      <w:r>
        <w:rPr>
          <w:rFonts w:hint="eastAsia" w:asciiTheme="minorEastAsia" w:hAnsiTheme="minorEastAsia" w:eastAsiaTheme="minorEastAsia" w:cstheme="minorEastAsia"/>
          <w:color w:val="auto"/>
          <w:sz w:val="28"/>
          <w:szCs w:val="28"/>
          <w:lang w:eastAsia="zh-CN"/>
        </w:rPr>
        <w:t>“解决农村</w:t>
      </w:r>
      <w:r>
        <w:rPr>
          <w:rFonts w:hint="eastAsia" w:asciiTheme="minorEastAsia" w:hAnsiTheme="minorEastAsia" w:eastAsiaTheme="minorEastAsia" w:cstheme="minorEastAsia"/>
          <w:color w:val="auto"/>
          <w:sz w:val="28"/>
          <w:szCs w:val="28"/>
          <w:highlight w:val="none"/>
          <w:lang w:eastAsia="zh-CN"/>
        </w:rPr>
        <w:t>困难老人养老问题的同时，使其子女以充足的精力投入到致富增收，提升群众的幸福感。”</w:t>
      </w:r>
      <w:r>
        <w:rPr>
          <w:rFonts w:hint="eastAsia" w:asciiTheme="minorEastAsia" w:hAnsiTheme="minorEastAsia" w:eastAsiaTheme="minorEastAsia" w:cstheme="minorEastAsia"/>
          <w:color w:val="auto"/>
          <w:sz w:val="28"/>
          <w:szCs w:val="28"/>
          <w:highlight w:val="none"/>
          <w:lang w:val="en-US" w:eastAsia="zh-CN"/>
        </w:rPr>
        <w:t>指标，预期目标值为≥90%，实际完成为100%。</w:t>
      </w:r>
    </w:p>
    <w:p w14:paraId="63BF0C73">
      <w:pPr>
        <w:bidi w:val="0"/>
        <w:rPr>
          <w:rFonts w:hint="eastAsia" w:asciiTheme="minorEastAsia" w:hAnsiTheme="minorEastAsia" w:eastAsiaTheme="minorEastAsia" w:cstheme="minorEastAsia"/>
          <w:b w:val="0"/>
          <w:bCs w:val="0"/>
          <w:color w:val="auto"/>
          <w:sz w:val="28"/>
          <w:szCs w:val="28"/>
          <w:highlight w:val="none"/>
          <w:lang w:val="en-US" w:eastAsia="zh-CN"/>
        </w:rPr>
      </w:pPr>
      <w:r>
        <w:rPr>
          <w:rFonts w:hint="eastAsia" w:asciiTheme="minorEastAsia" w:hAnsiTheme="minorEastAsia" w:eastAsiaTheme="minorEastAsia" w:cstheme="minorEastAsia"/>
          <w:b w:val="0"/>
          <w:bCs w:val="0"/>
          <w:color w:val="auto"/>
          <w:sz w:val="28"/>
          <w:szCs w:val="28"/>
          <w:highlight w:val="none"/>
          <w:lang w:val="en-US" w:eastAsia="zh-CN"/>
        </w:rPr>
        <w:t>通过项目的实施，解决农村困难老人养老问题的同时，使其子女以充足的精力投入到致富增收，提升群众的幸福感。</w:t>
      </w:r>
    </w:p>
    <w:p w14:paraId="2B1FA8D1">
      <w:pPr>
        <w:bidi w:val="0"/>
        <w:rPr>
          <w:rFonts w:hint="eastAsia"/>
          <w:b w:val="0"/>
          <w:bCs w:val="0"/>
          <w:color w:val="auto"/>
          <w:highlight w:val="none"/>
          <w:lang w:val="en-US" w:eastAsia="zh-CN"/>
        </w:rPr>
      </w:pPr>
      <w:r>
        <w:rPr>
          <w:rFonts w:hint="eastAsia"/>
          <w:b w:val="0"/>
          <w:bCs w:val="0"/>
          <w:color w:val="auto"/>
          <w:highlight w:val="none"/>
          <w:lang w:val="en-US" w:eastAsia="zh-CN"/>
        </w:rPr>
        <w:t>综上，该项指标满分20分，得分20分。</w:t>
      </w:r>
    </w:p>
    <w:p w14:paraId="6ED7381E">
      <w:pPr>
        <w:bidi w:val="0"/>
        <w:outlineLvl w:val="2"/>
        <w:rPr>
          <w:rFonts w:hint="eastAsia"/>
          <w:b/>
          <w:bCs/>
          <w:color w:val="auto"/>
          <w:highlight w:val="none"/>
          <w:lang w:val="en-US" w:eastAsia="zh-CN"/>
        </w:rPr>
      </w:pPr>
      <w:bookmarkStart w:id="77" w:name="_Toc3271"/>
      <w:r>
        <w:rPr>
          <w:rFonts w:hint="eastAsia"/>
          <w:b/>
          <w:bCs/>
          <w:color w:val="auto"/>
          <w:highlight w:val="none"/>
          <w:lang w:val="en-US" w:eastAsia="zh-CN"/>
        </w:rPr>
        <w:t>4.满意度指标</w:t>
      </w:r>
      <w:bookmarkEnd w:id="77"/>
    </w:p>
    <w:p w14:paraId="11EFE6AE">
      <w:pPr>
        <w:bidi w:val="0"/>
        <w:rPr>
          <w:rFonts w:hint="eastAsia" w:asciiTheme="minorEastAsia" w:hAnsiTheme="minorEastAsia" w:eastAsiaTheme="minorEastAsia" w:cstheme="minorEastAsia"/>
          <w:b w:val="0"/>
          <w:bCs w:val="0"/>
          <w:color w:val="auto"/>
          <w:highlight w:val="none"/>
          <w:lang w:val="en-US" w:eastAsia="zh-CN"/>
        </w:rPr>
      </w:pPr>
      <w:r>
        <w:rPr>
          <w:rFonts w:hint="eastAsia" w:asciiTheme="minorEastAsia" w:hAnsiTheme="minorEastAsia" w:eastAsiaTheme="minorEastAsia" w:cstheme="minorEastAsia"/>
          <w:b w:val="0"/>
          <w:bCs w:val="0"/>
          <w:color w:val="auto"/>
          <w:highlight w:val="none"/>
          <w:lang w:eastAsia="zh-CN"/>
        </w:rPr>
        <w:t>“受益群体满意度”</w:t>
      </w:r>
      <w:r>
        <w:rPr>
          <w:rFonts w:hint="eastAsia" w:asciiTheme="minorEastAsia" w:hAnsiTheme="minorEastAsia" w:eastAsiaTheme="minorEastAsia" w:cstheme="minorEastAsia"/>
          <w:b w:val="0"/>
          <w:bCs w:val="0"/>
          <w:color w:val="auto"/>
          <w:highlight w:val="none"/>
          <w:lang w:val="en-US" w:eastAsia="zh-CN"/>
        </w:rPr>
        <w:t>指标，预期目标值为≥90%，实际完成为90%。</w:t>
      </w:r>
    </w:p>
    <w:p w14:paraId="5E5EC12D">
      <w:pPr>
        <w:bidi w:val="0"/>
        <w:rPr>
          <w:rFonts w:hint="eastAsia"/>
          <w:b/>
          <w:bCs/>
          <w:color w:val="auto"/>
          <w:highlight w:val="none"/>
          <w:lang w:val="en-US" w:eastAsia="zh-CN"/>
        </w:rPr>
      </w:pPr>
      <w:r>
        <w:rPr>
          <w:rFonts w:hint="eastAsia" w:asciiTheme="minorEastAsia" w:hAnsiTheme="minorEastAsia" w:eastAsiaTheme="minorEastAsia" w:cstheme="minorEastAsia"/>
          <w:b w:val="0"/>
          <w:bCs w:val="0"/>
          <w:color w:val="auto"/>
          <w:highlight w:val="none"/>
          <w:lang w:val="en-US" w:eastAsia="zh-CN"/>
        </w:rPr>
        <w:t>综上，该项指标满分10分，得分10分。</w:t>
      </w:r>
    </w:p>
    <w:p w14:paraId="041BA0C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63852869">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该</w:t>
      </w:r>
      <w:r>
        <w:rPr>
          <w:rFonts w:hint="eastAsia" w:asciiTheme="minorEastAsia" w:hAnsiTheme="minorEastAsia" w:eastAsiaTheme="minorEastAsia" w:cstheme="minorEastAsia"/>
          <w:color w:val="auto"/>
          <w:sz w:val="28"/>
          <w:szCs w:val="28"/>
          <w:lang w:eastAsia="zh-CN"/>
        </w:rPr>
        <w:t>项目预算资金总额为</w:t>
      </w:r>
      <w:r>
        <w:rPr>
          <w:rFonts w:hint="eastAsia" w:asciiTheme="minorEastAsia" w:hAnsiTheme="minorEastAsia" w:eastAsiaTheme="minorEastAsia" w:cstheme="minorEastAsia"/>
          <w:color w:val="auto"/>
          <w:sz w:val="28"/>
          <w:szCs w:val="28"/>
          <w:lang w:val="en-US" w:eastAsia="zh-CN"/>
        </w:rPr>
        <w:t>229万元，全年执行数为229万元，预算执行率为100%，</w:t>
      </w:r>
      <w:r>
        <w:rPr>
          <w:rFonts w:hint="eastAsia" w:asciiTheme="minorEastAsia" w:hAnsiTheme="minorEastAsia" w:eastAsiaTheme="minorEastAsia" w:cstheme="minorEastAsia"/>
          <w:color w:val="auto"/>
          <w:sz w:val="28"/>
          <w:szCs w:val="28"/>
          <w:lang w:eastAsia="zh-CN"/>
        </w:rPr>
        <w:t>总体完成率为</w:t>
      </w:r>
      <w:r>
        <w:rPr>
          <w:rFonts w:hint="eastAsia" w:asciiTheme="minorEastAsia" w:hAnsiTheme="minorEastAsia" w:eastAsiaTheme="minorEastAsia" w:cstheme="minorEastAsia"/>
          <w:color w:val="auto"/>
          <w:sz w:val="28"/>
          <w:szCs w:val="28"/>
          <w:lang w:val="en-US" w:eastAsia="zh-CN"/>
        </w:rPr>
        <w:t>100</w:t>
      </w:r>
      <w:r>
        <w:rPr>
          <w:rFonts w:hint="eastAsia" w:asciiTheme="minorEastAsia" w:hAnsiTheme="minorEastAsia" w:eastAsiaTheme="minorEastAsia" w:cstheme="minorEastAsia"/>
          <w:color w:val="auto"/>
          <w:sz w:val="28"/>
          <w:szCs w:val="28"/>
          <w:lang w:val="zh-TW" w:eastAsia="zh-TW"/>
        </w:rPr>
        <w:t>%。</w:t>
      </w:r>
      <w:r>
        <w:rPr>
          <w:rFonts w:hint="eastAsia" w:asciiTheme="minorEastAsia" w:hAnsiTheme="minorEastAsia" w:eastAsiaTheme="minorEastAsia" w:cstheme="minorEastAsia"/>
          <w:color w:val="auto"/>
          <w:sz w:val="28"/>
          <w:szCs w:val="28"/>
          <w:lang w:val="en-US" w:eastAsia="zh-CN"/>
        </w:rPr>
        <w:t>预算执行率与总体完成率之间的偏差为0%，无</w:t>
      </w:r>
      <w:r>
        <w:rPr>
          <w:rFonts w:hint="eastAsia" w:asciiTheme="minorEastAsia" w:hAnsiTheme="minorEastAsia" w:eastAsiaTheme="minorEastAsia" w:cstheme="minorEastAsia"/>
          <w:color w:val="auto"/>
        </w:rPr>
        <w:t>偏差</w:t>
      </w:r>
      <w:r>
        <w:rPr>
          <w:rFonts w:hint="eastAsia" w:asciiTheme="minorEastAsia" w:hAnsiTheme="minorEastAsia" w:eastAsiaTheme="minorEastAsia" w:cstheme="minorEastAsia"/>
          <w:color w:val="auto"/>
          <w:sz w:val="28"/>
          <w:szCs w:val="28"/>
        </w:rPr>
        <w:t>。</w:t>
      </w:r>
    </w:p>
    <w:p w14:paraId="3A3FCF4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57C533E5">
      <w:pPr>
        <w:numPr>
          <w:ilvl w:val="0"/>
          <w:numId w:val="0"/>
        </w:numPr>
        <w:bidi w:val="0"/>
        <w:ind w:left="560" w:leftChars="0"/>
        <w:outlineLvl w:val="1"/>
        <w:rPr>
          <w:rFonts w:hint="eastAsia"/>
          <w:b/>
          <w:bCs/>
          <w:color w:val="auto"/>
          <w:lang w:eastAsia="zh-CN"/>
        </w:rPr>
      </w:pPr>
      <w:bookmarkStart w:id="80" w:name="_Toc13160"/>
      <w:bookmarkStart w:id="81" w:name="_Toc28290"/>
      <w:bookmarkStart w:id="82" w:name="_Toc1921"/>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0"/>
    </w:p>
    <w:p w14:paraId="3674FD25">
      <w:pPr>
        <w:bidi w:val="0"/>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阜康市城关镇人民政府幸福大院建设项目</w:t>
      </w:r>
      <w:r>
        <w:rPr>
          <w:rFonts w:hint="eastAsia" w:asciiTheme="minorEastAsia" w:hAnsiTheme="minorEastAsia" w:eastAsiaTheme="minorEastAsia" w:cstheme="minorEastAsia"/>
          <w:color w:val="auto"/>
          <w:sz w:val="28"/>
          <w:szCs w:val="28"/>
          <w:lang w:eastAsia="zh-CN"/>
        </w:rPr>
        <w:t>20</w:t>
      </w:r>
      <w:r>
        <w:rPr>
          <w:rFonts w:hint="eastAsia" w:asciiTheme="minorEastAsia" w:hAnsiTheme="minorEastAsia" w:eastAsiaTheme="minorEastAsia" w:cstheme="minorEastAsia"/>
          <w:color w:val="auto"/>
          <w:sz w:val="28"/>
          <w:szCs w:val="28"/>
          <w:lang w:val="en-US" w:eastAsia="zh-CN"/>
        </w:rPr>
        <w:t>23</w:t>
      </w:r>
      <w:r>
        <w:rPr>
          <w:rFonts w:hint="eastAsia" w:asciiTheme="minorEastAsia" w:hAnsiTheme="minorEastAsia" w:eastAsiaTheme="minorEastAsia" w:cstheme="minorEastAsia"/>
          <w:color w:val="auto"/>
          <w:sz w:val="28"/>
          <w:szCs w:val="28"/>
          <w:lang w:eastAsia="zh-CN"/>
        </w:rPr>
        <w:t>年预算</w:t>
      </w:r>
      <w:r>
        <w:rPr>
          <w:rFonts w:hint="eastAsia" w:asciiTheme="minorEastAsia" w:hAnsiTheme="minorEastAsia" w:eastAsiaTheme="minorEastAsia" w:cstheme="minorEastAsia"/>
          <w:color w:val="auto"/>
          <w:sz w:val="28"/>
          <w:szCs w:val="28"/>
          <w:lang w:val="en-US" w:eastAsia="zh-CN"/>
        </w:rPr>
        <w:t>数</w:t>
      </w:r>
      <w:r>
        <w:rPr>
          <w:rFonts w:hint="eastAsia" w:asciiTheme="minorEastAsia" w:hAnsiTheme="minorEastAsia" w:eastAsiaTheme="minorEastAsia" w:cstheme="minorEastAsia"/>
          <w:color w:val="auto"/>
          <w:sz w:val="28"/>
          <w:szCs w:val="28"/>
          <w:lang w:eastAsia="zh-CN"/>
        </w:rPr>
        <w:t>为</w:t>
      </w:r>
      <w:r>
        <w:rPr>
          <w:rFonts w:hint="eastAsia" w:asciiTheme="minorEastAsia" w:hAnsiTheme="minorEastAsia" w:eastAsiaTheme="minorEastAsia" w:cstheme="minorEastAsia"/>
          <w:color w:val="auto"/>
          <w:sz w:val="28"/>
          <w:szCs w:val="28"/>
          <w:lang w:val="en-US" w:eastAsia="zh-CN"/>
        </w:rPr>
        <w:t>229</w:t>
      </w:r>
      <w:r>
        <w:rPr>
          <w:rFonts w:hint="eastAsia" w:asciiTheme="minorEastAsia" w:hAnsiTheme="minorEastAsia" w:eastAsiaTheme="minorEastAsia" w:cstheme="minorEastAsia"/>
          <w:color w:val="auto"/>
          <w:sz w:val="28"/>
          <w:szCs w:val="28"/>
          <w:lang w:eastAsia="zh-CN"/>
        </w:rPr>
        <w:t>万元，</w:t>
      </w:r>
      <w:r>
        <w:rPr>
          <w:rFonts w:hint="eastAsia" w:asciiTheme="minorEastAsia" w:hAnsiTheme="minorEastAsia" w:eastAsiaTheme="minorEastAsia" w:cstheme="minorEastAsia"/>
          <w:color w:val="auto"/>
          <w:sz w:val="28"/>
          <w:szCs w:val="28"/>
          <w:lang w:val="en-US" w:eastAsia="zh-CN"/>
        </w:rPr>
        <w:t>截至2023年12月31日共</w:t>
      </w:r>
      <w:r>
        <w:rPr>
          <w:rFonts w:hint="eastAsia" w:asciiTheme="minorEastAsia" w:hAnsiTheme="minorEastAsia" w:eastAsiaTheme="minorEastAsia" w:cstheme="minorEastAsia"/>
          <w:color w:val="auto"/>
          <w:sz w:val="28"/>
          <w:szCs w:val="28"/>
          <w:lang w:eastAsia="zh-CN"/>
        </w:rPr>
        <w:t>支出</w:t>
      </w:r>
      <w:r>
        <w:rPr>
          <w:rFonts w:hint="eastAsia" w:asciiTheme="minorEastAsia" w:hAnsiTheme="minorEastAsia" w:eastAsiaTheme="minorEastAsia" w:cstheme="minorEastAsia"/>
          <w:color w:val="auto"/>
          <w:sz w:val="28"/>
          <w:szCs w:val="28"/>
          <w:lang w:val="en-US" w:eastAsia="zh-CN"/>
        </w:rPr>
        <w:t>229</w:t>
      </w:r>
      <w:r>
        <w:rPr>
          <w:rFonts w:hint="eastAsia" w:asciiTheme="minorEastAsia" w:hAnsiTheme="minorEastAsia" w:eastAsiaTheme="minorEastAsia" w:cstheme="minorEastAsia"/>
          <w:color w:val="auto"/>
          <w:sz w:val="28"/>
          <w:szCs w:val="28"/>
          <w:lang w:eastAsia="zh-CN"/>
        </w:rPr>
        <w:t>万元，预算</w:t>
      </w:r>
      <w:r>
        <w:rPr>
          <w:rFonts w:hint="eastAsia" w:asciiTheme="minorEastAsia" w:hAnsiTheme="minorEastAsia" w:eastAsiaTheme="minorEastAsia" w:cstheme="minorEastAsia"/>
          <w:color w:val="auto"/>
          <w:sz w:val="28"/>
          <w:szCs w:val="28"/>
          <w:lang w:val="en-US" w:eastAsia="zh-CN"/>
        </w:rPr>
        <w:t>执行</w:t>
      </w:r>
      <w:r>
        <w:rPr>
          <w:rFonts w:hint="eastAsia" w:asciiTheme="minorEastAsia" w:hAnsiTheme="minorEastAsia" w:eastAsiaTheme="minorEastAsia" w:cstheme="minorEastAsia"/>
          <w:color w:val="auto"/>
          <w:sz w:val="28"/>
          <w:szCs w:val="28"/>
          <w:lang w:eastAsia="zh-CN"/>
        </w:rPr>
        <w:t>率为</w:t>
      </w:r>
      <w:r>
        <w:rPr>
          <w:rFonts w:hint="eastAsia" w:asciiTheme="minorEastAsia" w:hAnsiTheme="minorEastAsia" w:eastAsiaTheme="minorEastAsia" w:cstheme="minorEastAsia"/>
          <w:color w:val="auto"/>
          <w:sz w:val="28"/>
          <w:szCs w:val="28"/>
          <w:lang w:val="en-US" w:eastAsia="zh-CN"/>
        </w:rPr>
        <w:t>100</w:t>
      </w:r>
      <w:r>
        <w:rPr>
          <w:rFonts w:hint="eastAsia" w:asciiTheme="minorEastAsia" w:hAnsiTheme="minorEastAsia" w:eastAsiaTheme="minorEastAsia" w:cstheme="minorEastAsia"/>
          <w:color w:val="auto"/>
          <w:sz w:val="28"/>
          <w:szCs w:val="28"/>
          <w:lang w:eastAsia="zh-CN"/>
        </w:rPr>
        <w:t>%。</w:t>
      </w:r>
    </w:p>
    <w:p w14:paraId="31CA7347">
      <w:pPr>
        <w:bidi w:val="0"/>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城关镇建立健全了预算管理规章制度，各部门严格按照预算编制的原则和要求做好当年预算编制工作，在预算绩效管理工作中，做到合理安排各项资</w:t>
      </w:r>
      <w:r>
        <w:rPr>
          <w:rFonts w:hint="eastAsia" w:asciiTheme="minorEastAsia" w:hAnsiTheme="minorEastAsia" w:eastAsiaTheme="minorEastAsia" w:cstheme="minorEastAsia"/>
          <w:color w:val="auto"/>
          <w:sz w:val="28"/>
          <w:szCs w:val="28"/>
          <w:highlight w:val="none"/>
          <w:lang w:eastAsia="zh-CN"/>
        </w:rPr>
        <w:t>金，重点保障基本支出，按轻重缓急顺序原则，优先安排了阜康市城关镇人民政府事业发展中关系民生与稳定的项目，切实优化资源配置，提高了资金使</w:t>
      </w:r>
      <w:r>
        <w:rPr>
          <w:rFonts w:hint="eastAsia" w:asciiTheme="minorEastAsia" w:hAnsiTheme="minorEastAsia" w:eastAsiaTheme="minorEastAsia" w:cstheme="minorEastAsia"/>
          <w:color w:val="auto"/>
          <w:sz w:val="28"/>
          <w:szCs w:val="28"/>
          <w:lang w:eastAsia="zh-CN"/>
        </w:rPr>
        <w:t>用的效率和效果。</w:t>
      </w:r>
    </w:p>
    <w:bookmarkEnd w:id="81"/>
    <w:bookmarkEnd w:id="82"/>
    <w:p w14:paraId="7B9E2D3D">
      <w:pPr>
        <w:numPr>
          <w:ilvl w:val="0"/>
          <w:numId w:val="2"/>
        </w:numPr>
        <w:bidi w:val="0"/>
        <w:ind w:left="0" w:leftChars="0" w:firstLine="562" w:firstLineChars="200"/>
        <w:outlineLvl w:val="1"/>
        <w:rPr>
          <w:rFonts w:hint="eastAsia"/>
          <w:b/>
          <w:bCs/>
          <w:color w:val="auto"/>
        </w:rPr>
      </w:pPr>
      <w:bookmarkStart w:id="83" w:name="_Toc9582"/>
      <w:r>
        <w:rPr>
          <w:rFonts w:hint="eastAsia"/>
          <w:b/>
          <w:bCs/>
          <w:color w:val="auto"/>
        </w:rPr>
        <w:t>存在的问题及原因</w:t>
      </w:r>
      <w:bookmarkEnd w:id="83"/>
    </w:p>
    <w:p w14:paraId="35F54085">
      <w:pPr>
        <w:bidi w:val="0"/>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一是项目实施过程中无法对施工过程做到全方位监管，原因是监管责任人无法运用专业的施工监管方式进行监管，</w:t>
      </w:r>
    </w:p>
    <w:p w14:paraId="38B039F9">
      <w:pPr>
        <w:bidi w:val="0"/>
        <w:rPr>
          <w:rFonts w:hint="default"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二是项目完工后，档案资料收集不够全面，原因是负责项目档案资料整理的责任人并不是专职负责此项工作。</w:t>
      </w:r>
    </w:p>
    <w:p w14:paraId="22232B3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70CC308F">
      <w:pPr>
        <w:bidi w:val="0"/>
        <w:rPr>
          <w:rFonts w:hint="eastAsia" w:asciiTheme="minorEastAsia" w:hAnsiTheme="minorEastAsia" w:eastAsiaTheme="minorEastAsia" w:cstheme="minorEastAsia"/>
          <w:color w:val="auto"/>
          <w:sz w:val="28"/>
          <w:szCs w:val="28"/>
          <w:highlight w:val="none"/>
          <w:shd w:val="clear" w:color="auto" w:fill="auto"/>
          <w:lang w:val="en-US" w:eastAsia="zh-CN"/>
        </w:rPr>
      </w:pPr>
      <w:bookmarkStart w:id="85" w:name="_Toc15618"/>
      <w:r>
        <w:rPr>
          <w:rFonts w:hint="eastAsia" w:asciiTheme="minorEastAsia" w:hAnsiTheme="minorEastAsia" w:eastAsiaTheme="minorEastAsia" w:cstheme="minorEastAsia"/>
          <w:color w:val="auto"/>
          <w:sz w:val="28"/>
          <w:szCs w:val="28"/>
          <w:highlight w:val="none"/>
          <w:shd w:val="clear" w:color="auto" w:fill="auto"/>
          <w:lang w:val="en-US" w:eastAsia="zh-CN"/>
        </w:rPr>
        <w:t>（一）项目监管负责人应当聘请专业人员进行负责，并向本单位负责项目监管责任人负责。</w:t>
      </w:r>
    </w:p>
    <w:p w14:paraId="56BA7039">
      <w:pPr>
        <w:bidi w:val="0"/>
        <w:rPr>
          <w:rFonts w:hint="default"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（二）应当选任专人负责项目档案资料的收集，并真正做到根据项目实施进度与档案资料收集同步，确保档案资料的真实性和时效性。</w:t>
      </w:r>
    </w:p>
    <w:p w14:paraId="21CE4C5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5"/>
    </w:p>
    <w:p w14:paraId="2C4D8DCA">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14:paraId="1C030A3C">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41324BA2">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bookmarkStart w:id="88" w:name="_GoBack"/>
      <w:bookmarkEnd w:id="88"/>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943"/>
        <w:gridCol w:w="944"/>
        <w:gridCol w:w="944"/>
        <w:gridCol w:w="944"/>
        <w:gridCol w:w="1327"/>
        <w:gridCol w:w="944"/>
        <w:gridCol w:w="944"/>
        <w:gridCol w:w="1040"/>
        <w:gridCol w:w="944"/>
        <w:gridCol w:w="944"/>
        <w:gridCol w:w="1136"/>
        <w:gridCol w:w="1136"/>
        <w:gridCol w:w="1040"/>
        <w:gridCol w:w="944"/>
      </w:tblGrid>
      <w:tr w14:paraId="13615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66C5D1E5">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11A69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68C4F824">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AC14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4" w:type="dxa"/>
            <w:gridSpan w:val="2"/>
            <w:tcBorders>
              <w:top w:val="single" w:color="auto" w:sz="4" w:space="0"/>
              <w:tl2br w:val="nil"/>
              <w:tr2bl w:val="nil"/>
            </w:tcBorders>
            <w:shd w:val="clear" w:color="auto" w:fill="auto"/>
            <w:vAlign w:val="center"/>
          </w:tcPr>
          <w:p w14:paraId="414486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10" w:type="dxa"/>
            <w:gridSpan w:val="12"/>
            <w:tcBorders>
              <w:top w:val="single" w:color="auto" w:sz="4" w:space="0"/>
              <w:tl2br w:val="nil"/>
              <w:tr2bl w:val="nil"/>
            </w:tcBorders>
            <w:shd w:val="clear" w:color="auto" w:fill="auto"/>
            <w:vAlign w:val="center"/>
          </w:tcPr>
          <w:p w14:paraId="10C043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幸福大院建设项目</w:t>
            </w:r>
          </w:p>
        </w:tc>
      </w:tr>
      <w:tr w14:paraId="04257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4" w:type="dxa"/>
            <w:gridSpan w:val="2"/>
            <w:tcBorders>
              <w:tl2br w:val="nil"/>
              <w:tr2bl w:val="nil"/>
            </w:tcBorders>
            <w:shd w:val="clear" w:color="auto" w:fill="auto"/>
            <w:vAlign w:val="center"/>
          </w:tcPr>
          <w:p w14:paraId="3A9B52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95" w:type="dxa"/>
            <w:gridSpan w:val="5"/>
            <w:tcBorders>
              <w:tl2br w:val="nil"/>
              <w:tr2bl w:val="nil"/>
            </w:tcBorders>
            <w:shd w:val="clear" w:color="auto" w:fill="auto"/>
            <w:vAlign w:val="center"/>
          </w:tcPr>
          <w:p w14:paraId="274240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阜康市城关镇人民政府</w:t>
            </w:r>
          </w:p>
        </w:tc>
        <w:tc>
          <w:tcPr>
            <w:tcW w:w="1786" w:type="dxa"/>
            <w:gridSpan w:val="2"/>
            <w:tcBorders>
              <w:tl2br w:val="nil"/>
              <w:tr2bl w:val="nil"/>
            </w:tcBorders>
            <w:shd w:val="clear" w:color="auto" w:fill="auto"/>
            <w:vAlign w:val="center"/>
          </w:tcPr>
          <w:p w14:paraId="2AA972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29" w:type="dxa"/>
            <w:gridSpan w:val="5"/>
            <w:tcBorders>
              <w:tl2br w:val="nil"/>
              <w:tr2bl w:val="nil"/>
            </w:tcBorders>
            <w:shd w:val="clear" w:color="auto" w:fill="auto"/>
            <w:vAlign w:val="center"/>
          </w:tcPr>
          <w:p w14:paraId="3B82F3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阜康市城关镇人民政府</w:t>
            </w:r>
          </w:p>
        </w:tc>
      </w:tr>
      <w:tr w14:paraId="6B6CD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4" w:type="dxa"/>
            <w:gridSpan w:val="2"/>
            <w:vMerge w:val="restart"/>
            <w:tcBorders>
              <w:tl2br w:val="nil"/>
              <w:tr2bl w:val="nil"/>
            </w:tcBorders>
            <w:shd w:val="clear" w:color="auto" w:fill="auto"/>
            <w:vAlign w:val="center"/>
          </w:tcPr>
          <w:p w14:paraId="1762D1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12" w:type="dxa"/>
            <w:gridSpan w:val="2"/>
            <w:tcBorders>
              <w:tl2br w:val="nil"/>
              <w:tr2bl w:val="nil"/>
            </w:tcBorders>
            <w:shd w:val="clear" w:color="auto" w:fill="auto"/>
            <w:vAlign w:val="center"/>
          </w:tcPr>
          <w:p w14:paraId="579A5F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64" w:type="dxa"/>
            <w:tcBorders>
              <w:tl2br w:val="nil"/>
              <w:tr2bl w:val="nil"/>
            </w:tcBorders>
            <w:shd w:val="clear" w:color="auto" w:fill="auto"/>
            <w:vAlign w:val="center"/>
          </w:tcPr>
          <w:p w14:paraId="130DEE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19" w:type="dxa"/>
            <w:gridSpan w:val="2"/>
            <w:tcBorders>
              <w:tl2br w:val="nil"/>
              <w:tr2bl w:val="nil"/>
            </w:tcBorders>
            <w:shd w:val="clear" w:color="auto" w:fill="auto"/>
            <w:vAlign w:val="center"/>
          </w:tcPr>
          <w:p w14:paraId="72E1A9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86" w:type="dxa"/>
            <w:gridSpan w:val="2"/>
            <w:tcBorders>
              <w:tl2br w:val="nil"/>
              <w:tr2bl w:val="nil"/>
            </w:tcBorders>
            <w:shd w:val="clear" w:color="auto" w:fill="auto"/>
            <w:vAlign w:val="center"/>
          </w:tcPr>
          <w:p w14:paraId="2CA95D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438" w:type="dxa"/>
            <w:gridSpan w:val="2"/>
            <w:tcBorders>
              <w:tl2br w:val="nil"/>
              <w:tr2bl w:val="nil"/>
            </w:tcBorders>
            <w:shd w:val="clear" w:color="auto" w:fill="auto"/>
            <w:vAlign w:val="center"/>
          </w:tcPr>
          <w:p w14:paraId="4DF190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48" w:type="dxa"/>
            <w:gridSpan w:val="2"/>
            <w:tcBorders>
              <w:tl2br w:val="nil"/>
              <w:tr2bl w:val="nil"/>
            </w:tcBorders>
            <w:shd w:val="clear" w:color="auto" w:fill="auto"/>
            <w:vAlign w:val="center"/>
          </w:tcPr>
          <w:p w14:paraId="2B0A66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143" w:type="dxa"/>
            <w:tcBorders>
              <w:tl2br w:val="nil"/>
              <w:tr2bl w:val="nil"/>
            </w:tcBorders>
            <w:shd w:val="clear" w:color="auto" w:fill="auto"/>
            <w:vAlign w:val="center"/>
          </w:tcPr>
          <w:p w14:paraId="1966AB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51C1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4" w:type="dxa"/>
            <w:gridSpan w:val="2"/>
            <w:vMerge w:val="continue"/>
            <w:tcBorders>
              <w:tl2br w:val="nil"/>
              <w:tr2bl w:val="nil"/>
            </w:tcBorders>
            <w:shd w:val="clear" w:color="auto" w:fill="auto"/>
            <w:vAlign w:val="center"/>
          </w:tcPr>
          <w:p w14:paraId="6B434283">
            <w:pPr>
              <w:jc w:val="center"/>
              <w:rPr>
                <w:rFonts w:hint="eastAsia" w:ascii="宋体" w:hAnsi="宋体" w:eastAsia="宋体" w:cs="宋体"/>
                <w:i w:val="0"/>
                <w:iCs w:val="0"/>
                <w:color w:val="000000"/>
                <w:sz w:val="20"/>
                <w:szCs w:val="20"/>
                <w:u w:val="none"/>
              </w:rPr>
            </w:pPr>
          </w:p>
        </w:tc>
        <w:tc>
          <w:tcPr>
            <w:tcW w:w="2412" w:type="dxa"/>
            <w:gridSpan w:val="2"/>
            <w:tcBorders>
              <w:tl2br w:val="nil"/>
              <w:tr2bl w:val="nil"/>
            </w:tcBorders>
            <w:shd w:val="clear" w:color="auto" w:fill="auto"/>
            <w:vAlign w:val="center"/>
          </w:tcPr>
          <w:p w14:paraId="33A0B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64" w:type="dxa"/>
            <w:tcBorders>
              <w:tl2br w:val="nil"/>
              <w:tr2bl w:val="nil"/>
            </w:tcBorders>
            <w:shd w:val="clear" w:color="auto" w:fill="auto"/>
            <w:vAlign w:val="center"/>
          </w:tcPr>
          <w:p w14:paraId="275D25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 </w:t>
            </w:r>
          </w:p>
        </w:tc>
        <w:tc>
          <w:tcPr>
            <w:tcW w:w="1819" w:type="dxa"/>
            <w:gridSpan w:val="2"/>
            <w:tcBorders>
              <w:tl2br w:val="nil"/>
              <w:tr2bl w:val="nil"/>
            </w:tcBorders>
            <w:shd w:val="clear" w:color="auto" w:fill="auto"/>
            <w:vAlign w:val="center"/>
          </w:tcPr>
          <w:p w14:paraId="1B88AC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 </w:t>
            </w:r>
          </w:p>
        </w:tc>
        <w:tc>
          <w:tcPr>
            <w:tcW w:w="1786" w:type="dxa"/>
            <w:gridSpan w:val="2"/>
            <w:tcBorders>
              <w:tl2br w:val="nil"/>
              <w:tr2bl w:val="nil"/>
            </w:tcBorders>
            <w:shd w:val="clear" w:color="auto" w:fill="auto"/>
            <w:vAlign w:val="center"/>
          </w:tcPr>
          <w:p w14:paraId="0358BA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 </w:t>
            </w:r>
          </w:p>
        </w:tc>
        <w:tc>
          <w:tcPr>
            <w:tcW w:w="2438" w:type="dxa"/>
            <w:gridSpan w:val="2"/>
            <w:tcBorders>
              <w:tl2br w:val="nil"/>
              <w:tr2bl w:val="nil"/>
            </w:tcBorders>
            <w:shd w:val="clear" w:color="auto" w:fill="auto"/>
            <w:vAlign w:val="center"/>
          </w:tcPr>
          <w:p w14:paraId="01234B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48" w:type="dxa"/>
            <w:gridSpan w:val="2"/>
            <w:tcBorders>
              <w:tl2br w:val="nil"/>
              <w:tr2bl w:val="nil"/>
            </w:tcBorders>
            <w:shd w:val="clear" w:color="auto" w:fill="auto"/>
            <w:vAlign w:val="center"/>
          </w:tcPr>
          <w:p w14:paraId="64E30D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43" w:type="dxa"/>
            <w:tcBorders>
              <w:tl2br w:val="nil"/>
              <w:tr2bl w:val="nil"/>
            </w:tcBorders>
            <w:shd w:val="clear" w:color="auto" w:fill="auto"/>
            <w:vAlign w:val="center"/>
          </w:tcPr>
          <w:p w14:paraId="205198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0E10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4" w:type="dxa"/>
            <w:gridSpan w:val="2"/>
            <w:vMerge w:val="continue"/>
            <w:tcBorders>
              <w:tl2br w:val="nil"/>
              <w:tr2bl w:val="nil"/>
            </w:tcBorders>
            <w:shd w:val="clear" w:color="auto" w:fill="auto"/>
            <w:vAlign w:val="center"/>
          </w:tcPr>
          <w:p w14:paraId="0C736C99">
            <w:pPr>
              <w:jc w:val="center"/>
              <w:rPr>
                <w:rFonts w:hint="eastAsia" w:ascii="宋体" w:hAnsi="宋体" w:eastAsia="宋体" w:cs="宋体"/>
                <w:i w:val="0"/>
                <w:iCs w:val="0"/>
                <w:color w:val="000000"/>
                <w:sz w:val="20"/>
                <w:szCs w:val="20"/>
                <w:u w:val="none"/>
              </w:rPr>
            </w:pPr>
          </w:p>
        </w:tc>
        <w:tc>
          <w:tcPr>
            <w:tcW w:w="2412" w:type="dxa"/>
            <w:gridSpan w:val="2"/>
            <w:tcBorders>
              <w:tl2br w:val="nil"/>
              <w:tr2bl w:val="nil"/>
            </w:tcBorders>
            <w:shd w:val="clear" w:color="auto" w:fill="auto"/>
            <w:vAlign w:val="center"/>
          </w:tcPr>
          <w:p w14:paraId="592B0F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64" w:type="dxa"/>
            <w:tcBorders>
              <w:tl2br w:val="nil"/>
              <w:tr2bl w:val="nil"/>
            </w:tcBorders>
            <w:shd w:val="clear" w:color="auto" w:fill="auto"/>
            <w:vAlign w:val="center"/>
          </w:tcPr>
          <w:p w14:paraId="029EFE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 </w:t>
            </w:r>
          </w:p>
        </w:tc>
        <w:tc>
          <w:tcPr>
            <w:tcW w:w="1819" w:type="dxa"/>
            <w:gridSpan w:val="2"/>
            <w:tcBorders>
              <w:tl2br w:val="nil"/>
              <w:tr2bl w:val="nil"/>
            </w:tcBorders>
            <w:shd w:val="clear" w:color="auto" w:fill="auto"/>
            <w:vAlign w:val="center"/>
          </w:tcPr>
          <w:p w14:paraId="3D6888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 </w:t>
            </w:r>
          </w:p>
        </w:tc>
        <w:tc>
          <w:tcPr>
            <w:tcW w:w="1786" w:type="dxa"/>
            <w:gridSpan w:val="2"/>
            <w:tcBorders>
              <w:tl2br w:val="nil"/>
              <w:tr2bl w:val="nil"/>
            </w:tcBorders>
            <w:shd w:val="clear" w:color="auto" w:fill="auto"/>
            <w:vAlign w:val="center"/>
          </w:tcPr>
          <w:p w14:paraId="47249E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 </w:t>
            </w:r>
          </w:p>
        </w:tc>
        <w:tc>
          <w:tcPr>
            <w:tcW w:w="2438" w:type="dxa"/>
            <w:gridSpan w:val="2"/>
            <w:tcBorders>
              <w:tl2br w:val="nil"/>
              <w:tr2bl w:val="nil"/>
            </w:tcBorders>
            <w:shd w:val="clear" w:color="auto" w:fill="auto"/>
            <w:vAlign w:val="center"/>
          </w:tcPr>
          <w:p w14:paraId="089D7F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48" w:type="dxa"/>
            <w:gridSpan w:val="2"/>
            <w:tcBorders>
              <w:tl2br w:val="nil"/>
              <w:tr2bl w:val="nil"/>
            </w:tcBorders>
            <w:shd w:val="clear" w:color="auto" w:fill="auto"/>
            <w:vAlign w:val="center"/>
          </w:tcPr>
          <w:p w14:paraId="2C6F27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3" w:type="dxa"/>
            <w:tcBorders>
              <w:tl2br w:val="nil"/>
              <w:tr2bl w:val="nil"/>
            </w:tcBorders>
            <w:shd w:val="clear" w:color="auto" w:fill="auto"/>
            <w:vAlign w:val="center"/>
          </w:tcPr>
          <w:p w14:paraId="1FA0FE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705E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1564" w:type="dxa"/>
            <w:gridSpan w:val="2"/>
            <w:vMerge w:val="continue"/>
            <w:tcBorders>
              <w:tl2br w:val="nil"/>
              <w:tr2bl w:val="nil"/>
            </w:tcBorders>
            <w:shd w:val="clear" w:color="auto" w:fill="auto"/>
            <w:vAlign w:val="center"/>
          </w:tcPr>
          <w:p w14:paraId="7A74EDB8">
            <w:pPr>
              <w:jc w:val="center"/>
              <w:rPr>
                <w:rFonts w:hint="eastAsia" w:ascii="宋体" w:hAnsi="宋体" w:eastAsia="宋体" w:cs="宋体"/>
                <w:i w:val="0"/>
                <w:iCs w:val="0"/>
                <w:color w:val="000000"/>
                <w:sz w:val="20"/>
                <w:szCs w:val="20"/>
                <w:u w:val="none"/>
              </w:rPr>
            </w:pPr>
          </w:p>
        </w:tc>
        <w:tc>
          <w:tcPr>
            <w:tcW w:w="2412" w:type="dxa"/>
            <w:gridSpan w:val="2"/>
            <w:tcBorders>
              <w:tl2br w:val="nil"/>
              <w:tr2bl w:val="nil"/>
            </w:tcBorders>
            <w:shd w:val="clear" w:color="auto" w:fill="auto"/>
            <w:vAlign w:val="center"/>
          </w:tcPr>
          <w:p w14:paraId="14017A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64" w:type="dxa"/>
            <w:tcBorders>
              <w:tl2br w:val="nil"/>
              <w:tr2bl w:val="nil"/>
            </w:tcBorders>
            <w:shd w:val="clear" w:color="auto" w:fill="auto"/>
            <w:vAlign w:val="center"/>
          </w:tcPr>
          <w:p w14:paraId="20FF27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19" w:type="dxa"/>
            <w:gridSpan w:val="2"/>
            <w:tcBorders>
              <w:tl2br w:val="nil"/>
              <w:tr2bl w:val="nil"/>
            </w:tcBorders>
            <w:shd w:val="clear" w:color="auto" w:fill="auto"/>
            <w:vAlign w:val="center"/>
          </w:tcPr>
          <w:p w14:paraId="292727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86" w:type="dxa"/>
            <w:gridSpan w:val="2"/>
            <w:tcBorders>
              <w:tl2br w:val="nil"/>
              <w:tr2bl w:val="nil"/>
            </w:tcBorders>
            <w:shd w:val="clear" w:color="auto" w:fill="auto"/>
            <w:vAlign w:val="center"/>
          </w:tcPr>
          <w:p w14:paraId="6A26B2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438" w:type="dxa"/>
            <w:gridSpan w:val="2"/>
            <w:tcBorders>
              <w:tl2br w:val="nil"/>
              <w:tr2bl w:val="nil"/>
            </w:tcBorders>
            <w:shd w:val="clear" w:color="auto" w:fill="auto"/>
            <w:vAlign w:val="center"/>
          </w:tcPr>
          <w:p w14:paraId="40FE2A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48" w:type="dxa"/>
            <w:gridSpan w:val="2"/>
            <w:tcBorders>
              <w:tl2br w:val="nil"/>
              <w:tr2bl w:val="nil"/>
            </w:tcBorders>
            <w:shd w:val="clear" w:color="auto" w:fill="auto"/>
            <w:vAlign w:val="center"/>
          </w:tcPr>
          <w:p w14:paraId="0AD428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3" w:type="dxa"/>
            <w:tcBorders>
              <w:tl2br w:val="nil"/>
              <w:tr2bl w:val="nil"/>
            </w:tcBorders>
            <w:shd w:val="clear" w:color="auto" w:fill="auto"/>
            <w:vAlign w:val="center"/>
          </w:tcPr>
          <w:p w14:paraId="6E7FAB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0B98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782" w:type="dxa"/>
            <w:vMerge w:val="restart"/>
            <w:tcBorders>
              <w:tl2br w:val="nil"/>
              <w:tr2bl w:val="nil"/>
            </w:tcBorders>
            <w:shd w:val="clear" w:color="auto" w:fill="auto"/>
            <w:vAlign w:val="center"/>
          </w:tcPr>
          <w:p w14:paraId="49716C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63" w:type="dxa"/>
            <w:gridSpan w:val="8"/>
            <w:tcBorders>
              <w:tl2br w:val="nil"/>
              <w:tr2bl w:val="nil"/>
            </w:tcBorders>
            <w:shd w:val="clear" w:color="auto" w:fill="auto"/>
            <w:vAlign w:val="center"/>
          </w:tcPr>
          <w:p w14:paraId="435CB8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29" w:type="dxa"/>
            <w:gridSpan w:val="5"/>
            <w:tcBorders>
              <w:tl2br w:val="nil"/>
              <w:tr2bl w:val="nil"/>
            </w:tcBorders>
            <w:shd w:val="clear" w:color="auto" w:fill="auto"/>
            <w:vAlign w:val="center"/>
          </w:tcPr>
          <w:p w14:paraId="6ED7EE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7C60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782" w:type="dxa"/>
            <w:vMerge w:val="continue"/>
            <w:tcBorders>
              <w:tl2br w:val="nil"/>
              <w:tr2bl w:val="nil"/>
            </w:tcBorders>
            <w:shd w:val="clear" w:color="auto" w:fill="auto"/>
            <w:vAlign w:val="center"/>
          </w:tcPr>
          <w:p w14:paraId="77264E70">
            <w:pPr>
              <w:jc w:val="center"/>
              <w:rPr>
                <w:rFonts w:hint="eastAsia" w:ascii="宋体" w:hAnsi="宋体" w:eastAsia="宋体" w:cs="宋体"/>
                <w:i w:val="0"/>
                <w:iCs w:val="0"/>
                <w:color w:val="000000"/>
                <w:sz w:val="20"/>
                <w:szCs w:val="20"/>
                <w:u w:val="none"/>
              </w:rPr>
            </w:pPr>
          </w:p>
        </w:tc>
        <w:tc>
          <w:tcPr>
            <w:tcW w:w="7763" w:type="dxa"/>
            <w:gridSpan w:val="8"/>
            <w:tcBorders>
              <w:tl2br w:val="nil"/>
              <w:tr2bl w:val="nil"/>
            </w:tcBorders>
            <w:shd w:val="clear" w:color="auto" w:fill="auto"/>
            <w:vAlign w:val="center"/>
          </w:tcPr>
          <w:p w14:paraId="146309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本项目建成后将丰富和健全阜康市养老服务体系，通过做好老年人日间照料服务，可解决100名农村生活困难老人养老保障问题，着力保障特殊困难老年人的健康养老的需求，实现农村独居老有所养、老有所乐。</w:t>
            </w:r>
          </w:p>
        </w:tc>
        <w:tc>
          <w:tcPr>
            <w:tcW w:w="5629" w:type="dxa"/>
            <w:gridSpan w:val="5"/>
            <w:tcBorders>
              <w:tl2br w:val="nil"/>
              <w:tr2bl w:val="nil"/>
            </w:tcBorders>
            <w:shd w:val="clear" w:color="auto" w:fill="auto"/>
            <w:vAlign w:val="center"/>
          </w:tcPr>
          <w:p w14:paraId="35ABBD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城关镇花费229万元完成幸福大院的建设，幸福大院完共建成生活服务用房50间，配备基础设施1套，项目验收合格率达100%，229万资金全部按时足额到位，从而达到解决农村困难老人养老问题的同时，使其子女以充足的精力投入到致富增收，提升群众的幸福感效益，满意度达90%。</w:t>
            </w:r>
          </w:p>
        </w:tc>
      </w:tr>
      <w:tr w14:paraId="55438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82" w:type="dxa"/>
            <w:tcBorders>
              <w:tl2br w:val="nil"/>
              <w:tr2bl w:val="nil"/>
            </w:tcBorders>
            <w:shd w:val="clear" w:color="auto" w:fill="auto"/>
            <w:vAlign w:val="center"/>
          </w:tcPr>
          <w:p w14:paraId="1F763D19">
            <w:pPr>
              <w:jc w:val="center"/>
              <w:rPr>
                <w:rFonts w:hint="eastAsia" w:ascii="宋体" w:hAnsi="宋体" w:eastAsia="宋体" w:cs="宋体"/>
                <w:i w:val="0"/>
                <w:iCs w:val="0"/>
                <w:color w:val="000000"/>
                <w:sz w:val="20"/>
                <w:szCs w:val="20"/>
                <w:u w:val="none"/>
              </w:rPr>
            </w:pPr>
          </w:p>
        </w:tc>
        <w:tc>
          <w:tcPr>
            <w:tcW w:w="782" w:type="dxa"/>
            <w:tcBorders>
              <w:tl2br w:val="nil"/>
              <w:tr2bl w:val="nil"/>
            </w:tcBorders>
            <w:shd w:val="clear" w:color="auto" w:fill="auto"/>
            <w:vAlign w:val="center"/>
          </w:tcPr>
          <w:p w14:paraId="097F64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17" w:type="dxa"/>
            <w:tcBorders>
              <w:tl2br w:val="nil"/>
              <w:tr2bl w:val="nil"/>
            </w:tcBorders>
            <w:shd w:val="clear" w:color="auto" w:fill="auto"/>
            <w:vAlign w:val="center"/>
          </w:tcPr>
          <w:p w14:paraId="799399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95" w:type="dxa"/>
            <w:tcBorders>
              <w:tl2br w:val="nil"/>
              <w:tr2bl w:val="nil"/>
            </w:tcBorders>
            <w:shd w:val="clear" w:color="auto" w:fill="auto"/>
            <w:vAlign w:val="center"/>
          </w:tcPr>
          <w:p w14:paraId="198E4D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64" w:type="dxa"/>
            <w:tcBorders>
              <w:tl2br w:val="nil"/>
              <w:tr2bl w:val="nil"/>
            </w:tcBorders>
            <w:shd w:val="clear" w:color="auto" w:fill="auto"/>
            <w:vAlign w:val="center"/>
          </w:tcPr>
          <w:p w14:paraId="1407FA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28" w:type="dxa"/>
            <w:tcBorders>
              <w:tl2br w:val="nil"/>
              <w:tr2bl w:val="nil"/>
            </w:tcBorders>
            <w:shd w:val="clear" w:color="auto" w:fill="auto"/>
            <w:vAlign w:val="center"/>
          </w:tcPr>
          <w:p w14:paraId="23D98F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91" w:type="dxa"/>
            <w:tcBorders>
              <w:tl2br w:val="nil"/>
              <w:tr2bl w:val="nil"/>
            </w:tcBorders>
            <w:shd w:val="clear" w:color="auto" w:fill="auto"/>
            <w:vAlign w:val="center"/>
          </w:tcPr>
          <w:p w14:paraId="0571EC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21" w:type="dxa"/>
            <w:tcBorders>
              <w:tl2br w:val="nil"/>
              <w:tr2bl w:val="nil"/>
            </w:tcBorders>
            <w:shd w:val="clear" w:color="auto" w:fill="auto"/>
            <w:vAlign w:val="center"/>
          </w:tcPr>
          <w:p w14:paraId="0DC913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65" w:type="dxa"/>
            <w:tcBorders>
              <w:tl2br w:val="nil"/>
              <w:tr2bl w:val="nil"/>
            </w:tcBorders>
            <w:shd w:val="clear" w:color="auto" w:fill="auto"/>
            <w:vAlign w:val="center"/>
          </w:tcPr>
          <w:p w14:paraId="655DA2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245" w:type="dxa"/>
            <w:tcBorders>
              <w:tl2br w:val="nil"/>
              <w:tr2bl w:val="nil"/>
            </w:tcBorders>
            <w:shd w:val="clear" w:color="auto" w:fill="auto"/>
            <w:vAlign w:val="center"/>
          </w:tcPr>
          <w:p w14:paraId="6EA02C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93" w:type="dxa"/>
            <w:tcBorders>
              <w:tl2br w:val="nil"/>
              <w:tr2bl w:val="nil"/>
            </w:tcBorders>
            <w:shd w:val="clear" w:color="auto" w:fill="auto"/>
            <w:vAlign w:val="center"/>
          </w:tcPr>
          <w:p w14:paraId="0163CF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320" w:type="dxa"/>
            <w:tcBorders>
              <w:tl2br w:val="nil"/>
              <w:tr2bl w:val="nil"/>
            </w:tcBorders>
            <w:shd w:val="clear" w:color="auto" w:fill="auto"/>
            <w:vAlign w:val="center"/>
          </w:tcPr>
          <w:p w14:paraId="3EC9D3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728" w:type="dxa"/>
            <w:tcBorders>
              <w:tl2br w:val="nil"/>
              <w:tr2bl w:val="nil"/>
            </w:tcBorders>
            <w:shd w:val="clear" w:color="auto" w:fill="auto"/>
            <w:vAlign w:val="center"/>
          </w:tcPr>
          <w:p w14:paraId="58BD2A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143" w:type="dxa"/>
            <w:tcBorders>
              <w:tl2br w:val="nil"/>
              <w:tr2bl w:val="nil"/>
            </w:tcBorders>
            <w:shd w:val="clear" w:color="auto" w:fill="auto"/>
            <w:vAlign w:val="center"/>
          </w:tcPr>
          <w:p w14:paraId="511303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A30E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0" w:hRule="atLeast"/>
        </w:trPr>
        <w:tc>
          <w:tcPr>
            <w:tcW w:w="782" w:type="dxa"/>
            <w:vMerge w:val="restart"/>
            <w:tcBorders>
              <w:tl2br w:val="nil"/>
              <w:tr2bl w:val="nil"/>
            </w:tcBorders>
            <w:shd w:val="clear" w:color="auto" w:fill="auto"/>
            <w:vAlign w:val="center"/>
          </w:tcPr>
          <w:p w14:paraId="6B21EF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82" w:type="dxa"/>
            <w:vMerge w:val="restart"/>
            <w:tcBorders>
              <w:tl2br w:val="nil"/>
              <w:tr2bl w:val="nil"/>
            </w:tcBorders>
            <w:shd w:val="clear" w:color="auto" w:fill="auto"/>
            <w:vAlign w:val="center"/>
          </w:tcPr>
          <w:p w14:paraId="71DE10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17" w:type="dxa"/>
            <w:vMerge w:val="restart"/>
            <w:tcBorders>
              <w:tl2br w:val="nil"/>
              <w:tr2bl w:val="nil"/>
            </w:tcBorders>
            <w:shd w:val="clear" w:color="auto" w:fill="auto"/>
            <w:vAlign w:val="center"/>
          </w:tcPr>
          <w:p w14:paraId="44651B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95" w:type="dxa"/>
            <w:tcBorders>
              <w:tl2br w:val="nil"/>
              <w:tr2bl w:val="nil"/>
            </w:tcBorders>
            <w:shd w:val="clear" w:color="auto" w:fill="auto"/>
            <w:vAlign w:val="center"/>
          </w:tcPr>
          <w:p w14:paraId="3BC7FF78">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生活服务用房</w:t>
            </w:r>
          </w:p>
        </w:tc>
        <w:tc>
          <w:tcPr>
            <w:tcW w:w="964" w:type="dxa"/>
            <w:tcBorders>
              <w:tl2br w:val="nil"/>
              <w:tr2bl w:val="nil"/>
            </w:tcBorders>
            <w:shd w:val="clear" w:color="auto" w:fill="auto"/>
            <w:vAlign w:val="center"/>
          </w:tcPr>
          <w:p w14:paraId="49F3A1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≥50间</w:t>
            </w:r>
          </w:p>
        </w:tc>
        <w:tc>
          <w:tcPr>
            <w:tcW w:w="1028" w:type="dxa"/>
            <w:tcBorders>
              <w:tl2br w:val="nil"/>
              <w:tr2bl w:val="nil"/>
            </w:tcBorders>
            <w:shd w:val="clear" w:color="auto" w:fill="auto"/>
            <w:vAlign w:val="center"/>
          </w:tcPr>
          <w:p w14:paraId="46713B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7CBF5E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31B705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65" w:type="dxa"/>
            <w:tcBorders>
              <w:tl2br w:val="nil"/>
              <w:tr2bl w:val="nil"/>
            </w:tcBorders>
            <w:shd w:val="clear" w:color="auto" w:fill="auto"/>
            <w:vAlign w:val="center"/>
          </w:tcPr>
          <w:p w14:paraId="6D2328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45" w:type="dxa"/>
            <w:tcBorders>
              <w:tl2br w:val="nil"/>
              <w:tr2bl w:val="nil"/>
            </w:tcBorders>
            <w:shd w:val="clear" w:color="auto" w:fill="auto"/>
            <w:vAlign w:val="center"/>
          </w:tcPr>
          <w:p w14:paraId="6C4534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193" w:type="dxa"/>
            <w:tcBorders>
              <w:tl2br w:val="nil"/>
              <w:tr2bl w:val="nil"/>
            </w:tcBorders>
            <w:shd w:val="clear" w:color="auto" w:fill="auto"/>
            <w:vAlign w:val="center"/>
          </w:tcPr>
          <w:p w14:paraId="615D1B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50间</w:t>
            </w:r>
          </w:p>
        </w:tc>
        <w:tc>
          <w:tcPr>
            <w:tcW w:w="1320" w:type="dxa"/>
            <w:tcBorders>
              <w:tl2br w:val="nil"/>
              <w:tr2bl w:val="nil"/>
            </w:tcBorders>
            <w:shd w:val="clear" w:color="auto" w:fill="auto"/>
            <w:vAlign w:val="center"/>
          </w:tcPr>
          <w:p w14:paraId="538B3A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3E6F9B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143" w:type="dxa"/>
            <w:tcBorders>
              <w:tl2br w:val="nil"/>
              <w:tr2bl w:val="nil"/>
            </w:tcBorders>
            <w:shd w:val="clear" w:color="auto" w:fill="auto"/>
            <w:vAlign w:val="center"/>
          </w:tcPr>
          <w:p w14:paraId="6F1185F4">
            <w:pPr>
              <w:jc w:val="center"/>
              <w:rPr>
                <w:rFonts w:hint="eastAsia" w:ascii="宋体" w:hAnsi="宋体" w:eastAsia="宋体" w:cs="宋体"/>
                <w:i w:val="0"/>
                <w:iCs w:val="0"/>
                <w:color w:val="000000"/>
                <w:sz w:val="20"/>
                <w:szCs w:val="20"/>
                <w:u w:val="none"/>
              </w:rPr>
            </w:pPr>
          </w:p>
        </w:tc>
      </w:tr>
      <w:tr w14:paraId="2BA7E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0" w:hRule="atLeast"/>
        </w:trPr>
        <w:tc>
          <w:tcPr>
            <w:tcW w:w="782" w:type="dxa"/>
            <w:vMerge w:val="continue"/>
            <w:tcBorders>
              <w:tl2br w:val="nil"/>
              <w:tr2bl w:val="nil"/>
            </w:tcBorders>
            <w:shd w:val="clear" w:color="auto" w:fill="auto"/>
            <w:vAlign w:val="center"/>
          </w:tcPr>
          <w:p w14:paraId="6C07C17E">
            <w:pPr>
              <w:jc w:val="center"/>
              <w:rPr>
                <w:rFonts w:hint="eastAsia" w:ascii="宋体" w:hAnsi="宋体" w:eastAsia="宋体" w:cs="宋体"/>
                <w:i w:val="0"/>
                <w:iCs w:val="0"/>
                <w:color w:val="000000"/>
                <w:sz w:val="20"/>
                <w:szCs w:val="20"/>
                <w:u w:val="none"/>
              </w:rPr>
            </w:pPr>
          </w:p>
        </w:tc>
        <w:tc>
          <w:tcPr>
            <w:tcW w:w="782" w:type="dxa"/>
            <w:vMerge w:val="continue"/>
            <w:tcBorders>
              <w:tl2br w:val="nil"/>
              <w:tr2bl w:val="nil"/>
            </w:tcBorders>
            <w:shd w:val="clear" w:color="auto" w:fill="auto"/>
            <w:vAlign w:val="center"/>
          </w:tcPr>
          <w:p w14:paraId="524C2DBD">
            <w:pPr>
              <w:jc w:val="center"/>
              <w:rPr>
                <w:rFonts w:hint="eastAsia" w:ascii="宋体" w:hAnsi="宋体" w:eastAsia="宋体" w:cs="宋体"/>
                <w:i w:val="0"/>
                <w:iCs w:val="0"/>
                <w:color w:val="000000"/>
                <w:sz w:val="20"/>
                <w:szCs w:val="20"/>
                <w:u w:val="none"/>
              </w:rPr>
            </w:pPr>
          </w:p>
        </w:tc>
        <w:tc>
          <w:tcPr>
            <w:tcW w:w="1017" w:type="dxa"/>
            <w:vMerge w:val="continue"/>
            <w:tcBorders>
              <w:tl2br w:val="nil"/>
              <w:tr2bl w:val="nil"/>
            </w:tcBorders>
            <w:shd w:val="clear" w:color="auto" w:fill="auto"/>
            <w:vAlign w:val="center"/>
          </w:tcPr>
          <w:p w14:paraId="36994D9B">
            <w:pPr>
              <w:jc w:val="center"/>
              <w:rPr>
                <w:rFonts w:hint="eastAsia" w:ascii="宋体" w:hAnsi="宋体" w:eastAsia="宋体" w:cs="宋体"/>
                <w:i w:val="0"/>
                <w:iCs w:val="0"/>
                <w:color w:val="000000"/>
                <w:sz w:val="20"/>
                <w:szCs w:val="20"/>
                <w:u w:val="none"/>
              </w:rPr>
            </w:pPr>
          </w:p>
        </w:tc>
        <w:tc>
          <w:tcPr>
            <w:tcW w:w="1395" w:type="dxa"/>
            <w:tcBorders>
              <w:tl2br w:val="nil"/>
              <w:tr2bl w:val="nil"/>
            </w:tcBorders>
            <w:shd w:val="clear" w:color="auto" w:fill="auto"/>
            <w:vAlign w:val="center"/>
          </w:tcPr>
          <w:p w14:paraId="03009FF4">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基础设施配备</w:t>
            </w:r>
          </w:p>
        </w:tc>
        <w:tc>
          <w:tcPr>
            <w:tcW w:w="964" w:type="dxa"/>
            <w:tcBorders>
              <w:tl2br w:val="nil"/>
              <w:tr2bl w:val="nil"/>
            </w:tcBorders>
            <w:shd w:val="clear" w:color="auto" w:fill="auto"/>
            <w:vAlign w:val="center"/>
          </w:tcPr>
          <w:p w14:paraId="06A2DE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28" w:type="dxa"/>
            <w:tcBorders>
              <w:tl2br w:val="nil"/>
              <w:tr2bl w:val="nil"/>
            </w:tcBorders>
            <w:shd w:val="clear" w:color="auto" w:fill="auto"/>
            <w:vAlign w:val="center"/>
          </w:tcPr>
          <w:p w14:paraId="568DD4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10706F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30F8FB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65" w:type="dxa"/>
            <w:tcBorders>
              <w:tl2br w:val="nil"/>
              <w:tr2bl w:val="nil"/>
            </w:tcBorders>
            <w:shd w:val="clear" w:color="auto" w:fill="auto"/>
            <w:vAlign w:val="center"/>
          </w:tcPr>
          <w:p w14:paraId="7A0997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45" w:type="dxa"/>
            <w:tcBorders>
              <w:tl2br w:val="nil"/>
              <w:tr2bl w:val="nil"/>
            </w:tcBorders>
            <w:shd w:val="clear" w:color="auto" w:fill="auto"/>
            <w:vAlign w:val="center"/>
          </w:tcPr>
          <w:p w14:paraId="32D818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193" w:type="dxa"/>
            <w:tcBorders>
              <w:tl2br w:val="nil"/>
              <w:tr2bl w:val="nil"/>
            </w:tcBorders>
            <w:shd w:val="clear" w:color="auto" w:fill="auto"/>
            <w:vAlign w:val="center"/>
          </w:tcPr>
          <w:p w14:paraId="614095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320" w:type="dxa"/>
            <w:tcBorders>
              <w:tl2br w:val="nil"/>
              <w:tr2bl w:val="nil"/>
            </w:tcBorders>
            <w:shd w:val="clear" w:color="auto" w:fill="auto"/>
            <w:vAlign w:val="center"/>
          </w:tcPr>
          <w:p w14:paraId="0190C9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3F2614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3" w:type="dxa"/>
            <w:tcBorders>
              <w:tl2br w:val="nil"/>
              <w:tr2bl w:val="nil"/>
            </w:tcBorders>
            <w:shd w:val="clear" w:color="auto" w:fill="auto"/>
            <w:vAlign w:val="center"/>
          </w:tcPr>
          <w:p w14:paraId="554503EE">
            <w:pPr>
              <w:jc w:val="center"/>
              <w:rPr>
                <w:rFonts w:hint="eastAsia" w:ascii="宋体" w:hAnsi="宋体" w:eastAsia="宋体" w:cs="宋体"/>
                <w:i w:val="0"/>
                <w:iCs w:val="0"/>
                <w:color w:val="000000"/>
                <w:sz w:val="20"/>
                <w:szCs w:val="20"/>
                <w:u w:val="none"/>
              </w:rPr>
            </w:pPr>
          </w:p>
        </w:tc>
      </w:tr>
      <w:tr w14:paraId="7D780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0" w:hRule="atLeast"/>
        </w:trPr>
        <w:tc>
          <w:tcPr>
            <w:tcW w:w="782" w:type="dxa"/>
            <w:vMerge w:val="continue"/>
            <w:tcBorders>
              <w:tl2br w:val="nil"/>
              <w:tr2bl w:val="nil"/>
            </w:tcBorders>
            <w:shd w:val="clear" w:color="auto" w:fill="auto"/>
            <w:vAlign w:val="center"/>
          </w:tcPr>
          <w:p w14:paraId="2AE4FC29">
            <w:pPr>
              <w:jc w:val="center"/>
              <w:rPr>
                <w:rFonts w:hint="eastAsia" w:ascii="宋体" w:hAnsi="宋体" w:eastAsia="宋体" w:cs="宋体"/>
                <w:i w:val="0"/>
                <w:iCs w:val="0"/>
                <w:color w:val="000000"/>
                <w:sz w:val="20"/>
                <w:szCs w:val="20"/>
                <w:u w:val="none"/>
              </w:rPr>
            </w:pPr>
          </w:p>
        </w:tc>
        <w:tc>
          <w:tcPr>
            <w:tcW w:w="782" w:type="dxa"/>
            <w:vMerge w:val="continue"/>
            <w:tcBorders>
              <w:tl2br w:val="nil"/>
              <w:tr2bl w:val="nil"/>
            </w:tcBorders>
            <w:shd w:val="clear" w:color="auto" w:fill="auto"/>
            <w:vAlign w:val="center"/>
          </w:tcPr>
          <w:p w14:paraId="07CE3336">
            <w:pPr>
              <w:jc w:val="center"/>
              <w:rPr>
                <w:rFonts w:hint="eastAsia" w:ascii="宋体" w:hAnsi="宋体" w:eastAsia="宋体" w:cs="宋体"/>
                <w:i w:val="0"/>
                <w:iCs w:val="0"/>
                <w:color w:val="000000"/>
                <w:sz w:val="20"/>
                <w:szCs w:val="20"/>
                <w:u w:val="none"/>
              </w:rPr>
            </w:pPr>
          </w:p>
        </w:tc>
        <w:tc>
          <w:tcPr>
            <w:tcW w:w="1017" w:type="dxa"/>
            <w:vMerge w:val="restart"/>
            <w:tcBorders>
              <w:tl2br w:val="nil"/>
              <w:tr2bl w:val="nil"/>
            </w:tcBorders>
            <w:shd w:val="clear" w:color="auto" w:fill="auto"/>
            <w:vAlign w:val="center"/>
          </w:tcPr>
          <w:p w14:paraId="32F9FF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95" w:type="dxa"/>
            <w:tcBorders>
              <w:tl2br w:val="nil"/>
              <w:tr2bl w:val="nil"/>
            </w:tcBorders>
            <w:shd w:val="clear" w:color="auto" w:fill="auto"/>
            <w:vAlign w:val="center"/>
          </w:tcPr>
          <w:p w14:paraId="741850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竣工验收合格率</w:t>
            </w:r>
          </w:p>
        </w:tc>
        <w:tc>
          <w:tcPr>
            <w:tcW w:w="964" w:type="dxa"/>
            <w:tcBorders>
              <w:tl2br w:val="nil"/>
              <w:tr2bl w:val="nil"/>
            </w:tcBorders>
            <w:shd w:val="clear" w:color="auto" w:fill="auto"/>
            <w:vAlign w:val="center"/>
          </w:tcPr>
          <w:p w14:paraId="18958A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8" w:type="dxa"/>
            <w:tcBorders>
              <w:tl2br w:val="nil"/>
              <w:tr2bl w:val="nil"/>
            </w:tcBorders>
            <w:shd w:val="clear" w:color="auto" w:fill="auto"/>
            <w:vAlign w:val="center"/>
          </w:tcPr>
          <w:p w14:paraId="2D8077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034046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029D8D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5" w:type="dxa"/>
            <w:tcBorders>
              <w:tl2br w:val="nil"/>
              <w:tr2bl w:val="nil"/>
            </w:tcBorders>
            <w:shd w:val="clear" w:color="auto" w:fill="auto"/>
            <w:vAlign w:val="center"/>
          </w:tcPr>
          <w:p w14:paraId="21D5AB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45" w:type="dxa"/>
            <w:tcBorders>
              <w:tl2br w:val="nil"/>
              <w:tr2bl w:val="nil"/>
            </w:tcBorders>
            <w:shd w:val="clear" w:color="auto" w:fill="auto"/>
            <w:vAlign w:val="center"/>
          </w:tcPr>
          <w:p w14:paraId="4BC77D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193" w:type="dxa"/>
            <w:tcBorders>
              <w:tl2br w:val="nil"/>
              <w:tr2bl w:val="nil"/>
            </w:tcBorders>
            <w:shd w:val="clear" w:color="auto" w:fill="auto"/>
            <w:vAlign w:val="center"/>
          </w:tcPr>
          <w:p w14:paraId="6DC9C5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20" w:type="dxa"/>
            <w:tcBorders>
              <w:tl2br w:val="nil"/>
              <w:tr2bl w:val="nil"/>
            </w:tcBorders>
            <w:shd w:val="clear" w:color="auto" w:fill="auto"/>
            <w:vAlign w:val="center"/>
          </w:tcPr>
          <w:p w14:paraId="4ABEE8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041A18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3" w:type="dxa"/>
            <w:tcBorders>
              <w:tl2br w:val="nil"/>
              <w:tr2bl w:val="nil"/>
            </w:tcBorders>
            <w:shd w:val="clear" w:color="auto" w:fill="auto"/>
            <w:vAlign w:val="center"/>
          </w:tcPr>
          <w:p w14:paraId="4A87112A">
            <w:pPr>
              <w:jc w:val="center"/>
              <w:rPr>
                <w:rFonts w:hint="eastAsia" w:ascii="宋体" w:hAnsi="宋体" w:eastAsia="宋体" w:cs="宋体"/>
                <w:i w:val="0"/>
                <w:iCs w:val="0"/>
                <w:color w:val="000000"/>
                <w:sz w:val="20"/>
                <w:szCs w:val="20"/>
                <w:u w:val="none"/>
              </w:rPr>
            </w:pPr>
          </w:p>
        </w:tc>
      </w:tr>
      <w:tr w14:paraId="44FFC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trPr>
        <w:tc>
          <w:tcPr>
            <w:tcW w:w="782" w:type="dxa"/>
            <w:vMerge w:val="continue"/>
            <w:tcBorders>
              <w:tl2br w:val="nil"/>
              <w:tr2bl w:val="nil"/>
            </w:tcBorders>
            <w:shd w:val="clear" w:color="auto" w:fill="auto"/>
            <w:vAlign w:val="center"/>
          </w:tcPr>
          <w:p w14:paraId="45996FE0">
            <w:pPr>
              <w:jc w:val="center"/>
              <w:rPr>
                <w:rFonts w:hint="eastAsia" w:ascii="宋体" w:hAnsi="宋体" w:eastAsia="宋体" w:cs="宋体"/>
                <w:i w:val="0"/>
                <w:iCs w:val="0"/>
                <w:color w:val="000000"/>
                <w:sz w:val="20"/>
                <w:szCs w:val="20"/>
                <w:u w:val="none"/>
              </w:rPr>
            </w:pPr>
          </w:p>
        </w:tc>
        <w:tc>
          <w:tcPr>
            <w:tcW w:w="782" w:type="dxa"/>
            <w:vMerge w:val="continue"/>
            <w:tcBorders>
              <w:tl2br w:val="nil"/>
              <w:tr2bl w:val="nil"/>
            </w:tcBorders>
            <w:shd w:val="clear" w:color="auto" w:fill="auto"/>
            <w:vAlign w:val="center"/>
          </w:tcPr>
          <w:p w14:paraId="66B8D9D5">
            <w:pPr>
              <w:jc w:val="center"/>
              <w:rPr>
                <w:rFonts w:hint="eastAsia" w:ascii="宋体" w:hAnsi="宋体" w:eastAsia="宋体" w:cs="宋体"/>
                <w:i w:val="0"/>
                <w:iCs w:val="0"/>
                <w:color w:val="000000"/>
                <w:sz w:val="20"/>
                <w:szCs w:val="20"/>
                <w:u w:val="none"/>
              </w:rPr>
            </w:pPr>
          </w:p>
        </w:tc>
        <w:tc>
          <w:tcPr>
            <w:tcW w:w="1017" w:type="dxa"/>
            <w:vMerge w:val="continue"/>
            <w:tcBorders>
              <w:tl2br w:val="nil"/>
              <w:tr2bl w:val="nil"/>
            </w:tcBorders>
            <w:shd w:val="clear" w:color="auto" w:fill="auto"/>
            <w:vAlign w:val="center"/>
          </w:tcPr>
          <w:p w14:paraId="50EABAEE">
            <w:pPr>
              <w:jc w:val="center"/>
              <w:rPr>
                <w:rFonts w:hint="eastAsia" w:ascii="宋体" w:hAnsi="宋体" w:eastAsia="宋体" w:cs="宋体"/>
                <w:i w:val="0"/>
                <w:iCs w:val="0"/>
                <w:color w:val="000000"/>
                <w:sz w:val="20"/>
                <w:szCs w:val="20"/>
                <w:u w:val="none"/>
              </w:rPr>
            </w:pPr>
          </w:p>
        </w:tc>
        <w:tc>
          <w:tcPr>
            <w:tcW w:w="1395" w:type="dxa"/>
            <w:tcBorders>
              <w:tl2br w:val="nil"/>
              <w:tr2bl w:val="nil"/>
            </w:tcBorders>
            <w:shd w:val="clear" w:color="auto" w:fill="auto"/>
            <w:vAlign w:val="center"/>
          </w:tcPr>
          <w:p w14:paraId="30F023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项目资金支付率</w:t>
            </w:r>
          </w:p>
        </w:tc>
        <w:tc>
          <w:tcPr>
            <w:tcW w:w="964" w:type="dxa"/>
            <w:tcBorders>
              <w:tl2br w:val="nil"/>
              <w:tr2bl w:val="nil"/>
            </w:tcBorders>
            <w:shd w:val="clear" w:color="auto" w:fill="auto"/>
            <w:vAlign w:val="center"/>
          </w:tcPr>
          <w:p w14:paraId="09952144">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=100%</w:t>
            </w:r>
          </w:p>
        </w:tc>
        <w:tc>
          <w:tcPr>
            <w:tcW w:w="1028" w:type="dxa"/>
            <w:tcBorders>
              <w:tl2br w:val="nil"/>
              <w:tr2bl w:val="nil"/>
            </w:tcBorders>
            <w:shd w:val="clear" w:color="auto" w:fill="auto"/>
            <w:vAlign w:val="center"/>
          </w:tcPr>
          <w:p w14:paraId="402A72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47DB81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7C4539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65" w:type="dxa"/>
            <w:tcBorders>
              <w:tl2br w:val="nil"/>
              <w:tr2bl w:val="nil"/>
            </w:tcBorders>
            <w:shd w:val="clear" w:color="auto" w:fill="auto"/>
            <w:vAlign w:val="center"/>
          </w:tcPr>
          <w:p w14:paraId="6EEBAD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45" w:type="dxa"/>
            <w:tcBorders>
              <w:tl2br w:val="nil"/>
              <w:tr2bl w:val="nil"/>
            </w:tcBorders>
            <w:shd w:val="clear" w:color="auto" w:fill="auto"/>
            <w:vAlign w:val="center"/>
          </w:tcPr>
          <w:p w14:paraId="449676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193" w:type="dxa"/>
            <w:tcBorders>
              <w:tl2br w:val="nil"/>
              <w:tr2bl w:val="nil"/>
            </w:tcBorders>
            <w:shd w:val="clear" w:color="auto" w:fill="auto"/>
            <w:vAlign w:val="center"/>
          </w:tcPr>
          <w:p w14:paraId="4F2C74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20" w:type="dxa"/>
            <w:tcBorders>
              <w:tl2br w:val="nil"/>
              <w:tr2bl w:val="nil"/>
            </w:tcBorders>
            <w:shd w:val="clear" w:color="auto" w:fill="auto"/>
            <w:vAlign w:val="center"/>
          </w:tcPr>
          <w:p w14:paraId="34D9EB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6056F7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43" w:type="dxa"/>
            <w:tcBorders>
              <w:tl2br w:val="nil"/>
              <w:tr2bl w:val="nil"/>
            </w:tcBorders>
            <w:shd w:val="clear" w:color="auto" w:fill="auto"/>
            <w:vAlign w:val="center"/>
          </w:tcPr>
          <w:p w14:paraId="426A7644">
            <w:pPr>
              <w:jc w:val="center"/>
              <w:rPr>
                <w:rFonts w:hint="eastAsia" w:ascii="宋体" w:hAnsi="宋体" w:eastAsia="宋体" w:cs="宋体"/>
                <w:b/>
                <w:bCs/>
                <w:i w:val="0"/>
                <w:iCs w:val="0"/>
                <w:color w:val="000000"/>
                <w:sz w:val="20"/>
                <w:szCs w:val="20"/>
                <w:u w:val="none"/>
              </w:rPr>
            </w:pPr>
          </w:p>
        </w:tc>
      </w:tr>
      <w:tr w14:paraId="1E227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trPr>
        <w:tc>
          <w:tcPr>
            <w:tcW w:w="782" w:type="dxa"/>
            <w:vMerge w:val="continue"/>
            <w:tcBorders>
              <w:tl2br w:val="nil"/>
              <w:tr2bl w:val="nil"/>
            </w:tcBorders>
            <w:shd w:val="clear" w:color="auto" w:fill="auto"/>
            <w:vAlign w:val="center"/>
          </w:tcPr>
          <w:p w14:paraId="1B697D2C">
            <w:pPr>
              <w:jc w:val="center"/>
              <w:rPr>
                <w:rFonts w:hint="eastAsia" w:ascii="宋体" w:hAnsi="宋体" w:eastAsia="宋体" w:cs="宋体"/>
                <w:i w:val="0"/>
                <w:iCs w:val="0"/>
                <w:color w:val="000000"/>
                <w:sz w:val="20"/>
                <w:szCs w:val="20"/>
                <w:u w:val="none"/>
              </w:rPr>
            </w:pPr>
          </w:p>
        </w:tc>
        <w:tc>
          <w:tcPr>
            <w:tcW w:w="782" w:type="dxa"/>
            <w:vMerge w:val="continue"/>
            <w:tcBorders>
              <w:tl2br w:val="nil"/>
              <w:tr2bl w:val="nil"/>
            </w:tcBorders>
            <w:shd w:val="clear" w:color="auto" w:fill="auto"/>
            <w:vAlign w:val="center"/>
          </w:tcPr>
          <w:p w14:paraId="63316E5C">
            <w:pPr>
              <w:jc w:val="center"/>
              <w:rPr>
                <w:rFonts w:hint="eastAsia" w:ascii="宋体" w:hAnsi="宋体" w:eastAsia="宋体" w:cs="宋体"/>
                <w:i w:val="0"/>
                <w:iCs w:val="0"/>
                <w:color w:val="000000"/>
                <w:sz w:val="20"/>
                <w:szCs w:val="20"/>
                <w:u w:val="none"/>
              </w:rPr>
            </w:pPr>
          </w:p>
        </w:tc>
        <w:tc>
          <w:tcPr>
            <w:tcW w:w="1017" w:type="dxa"/>
            <w:vMerge w:val="restart"/>
            <w:tcBorders>
              <w:tl2br w:val="nil"/>
              <w:tr2bl w:val="nil"/>
            </w:tcBorders>
            <w:shd w:val="clear" w:color="auto" w:fill="auto"/>
            <w:vAlign w:val="center"/>
          </w:tcPr>
          <w:p w14:paraId="74D677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95" w:type="dxa"/>
            <w:tcBorders>
              <w:tl2br w:val="nil"/>
              <w:tr2bl w:val="nil"/>
            </w:tcBorders>
            <w:shd w:val="clear" w:color="auto" w:fill="auto"/>
            <w:vAlign w:val="center"/>
          </w:tcPr>
          <w:p w14:paraId="004E3D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资金及时率</w:t>
            </w:r>
          </w:p>
        </w:tc>
        <w:tc>
          <w:tcPr>
            <w:tcW w:w="964" w:type="dxa"/>
            <w:tcBorders>
              <w:tl2br w:val="nil"/>
              <w:tr2bl w:val="nil"/>
            </w:tcBorders>
            <w:shd w:val="clear" w:color="auto" w:fill="auto"/>
            <w:vAlign w:val="center"/>
          </w:tcPr>
          <w:p w14:paraId="3FD6C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028" w:type="dxa"/>
            <w:tcBorders>
              <w:tl2br w:val="nil"/>
              <w:tr2bl w:val="nil"/>
            </w:tcBorders>
            <w:shd w:val="clear" w:color="auto" w:fill="auto"/>
            <w:vAlign w:val="center"/>
          </w:tcPr>
          <w:p w14:paraId="7BB050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6BDBA3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253640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5" w:type="dxa"/>
            <w:tcBorders>
              <w:tl2br w:val="nil"/>
              <w:tr2bl w:val="nil"/>
            </w:tcBorders>
            <w:shd w:val="clear" w:color="auto" w:fill="auto"/>
            <w:vAlign w:val="center"/>
          </w:tcPr>
          <w:p w14:paraId="5E8154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45" w:type="dxa"/>
            <w:tcBorders>
              <w:tl2br w:val="nil"/>
              <w:tr2bl w:val="nil"/>
            </w:tcBorders>
            <w:shd w:val="clear" w:color="auto" w:fill="auto"/>
            <w:vAlign w:val="center"/>
          </w:tcPr>
          <w:p w14:paraId="0EA2AA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193" w:type="dxa"/>
            <w:tcBorders>
              <w:tl2br w:val="nil"/>
              <w:tr2bl w:val="nil"/>
            </w:tcBorders>
            <w:shd w:val="clear" w:color="auto" w:fill="auto"/>
            <w:vAlign w:val="center"/>
          </w:tcPr>
          <w:p w14:paraId="693EA5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320" w:type="dxa"/>
            <w:tcBorders>
              <w:tl2br w:val="nil"/>
              <w:tr2bl w:val="nil"/>
            </w:tcBorders>
            <w:shd w:val="clear" w:color="auto" w:fill="auto"/>
            <w:vAlign w:val="center"/>
          </w:tcPr>
          <w:p w14:paraId="5D8F59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240998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3" w:type="dxa"/>
            <w:tcBorders>
              <w:tl2br w:val="nil"/>
              <w:tr2bl w:val="nil"/>
            </w:tcBorders>
            <w:shd w:val="clear" w:color="auto" w:fill="auto"/>
            <w:vAlign w:val="center"/>
          </w:tcPr>
          <w:p w14:paraId="4B7614B2">
            <w:pPr>
              <w:jc w:val="center"/>
              <w:rPr>
                <w:rFonts w:hint="eastAsia" w:ascii="宋体" w:hAnsi="宋体" w:eastAsia="宋体" w:cs="宋体"/>
                <w:b/>
                <w:bCs/>
                <w:i w:val="0"/>
                <w:iCs w:val="0"/>
                <w:color w:val="000000"/>
                <w:sz w:val="20"/>
                <w:szCs w:val="20"/>
                <w:u w:val="none"/>
              </w:rPr>
            </w:pPr>
          </w:p>
        </w:tc>
      </w:tr>
      <w:tr w14:paraId="51EC8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782" w:type="dxa"/>
            <w:vMerge w:val="continue"/>
            <w:tcBorders>
              <w:tl2br w:val="nil"/>
              <w:tr2bl w:val="nil"/>
            </w:tcBorders>
            <w:shd w:val="clear" w:color="auto" w:fill="auto"/>
            <w:vAlign w:val="center"/>
          </w:tcPr>
          <w:p w14:paraId="29DB0254">
            <w:pPr>
              <w:jc w:val="center"/>
              <w:rPr>
                <w:rFonts w:hint="eastAsia" w:ascii="宋体" w:hAnsi="宋体" w:eastAsia="宋体" w:cs="宋体"/>
                <w:i w:val="0"/>
                <w:iCs w:val="0"/>
                <w:color w:val="000000"/>
                <w:sz w:val="20"/>
                <w:szCs w:val="20"/>
                <w:u w:val="none"/>
              </w:rPr>
            </w:pPr>
          </w:p>
        </w:tc>
        <w:tc>
          <w:tcPr>
            <w:tcW w:w="782" w:type="dxa"/>
            <w:vMerge w:val="continue"/>
            <w:tcBorders>
              <w:tl2br w:val="nil"/>
              <w:tr2bl w:val="nil"/>
            </w:tcBorders>
            <w:shd w:val="clear" w:color="auto" w:fill="auto"/>
            <w:vAlign w:val="center"/>
          </w:tcPr>
          <w:p w14:paraId="2F303F99">
            <w:pPr>
              <w:jc w:val="center"/>
              <w:rPr>
                <w:rFonts w:hint="eastAsia" w:ascii="宋体" w:hAnsi="宋体" w:eastAsia="宋体" w:cs="宋体"/>
                <w:i w:val="0"/>
                <w:iCs w:val="0"/>
                <w:color w:val="000000"/>
                <w:sz w:val="20"/>
                <w:szCs w:val="20"/>
                <w:u w:val="none"/>
              </w:rPr>
            </w:pPr>
          </w:p>
        </w:tc>
        <w:tc>
          <w:tcPr>
            <w:tcW w:w="1017" w:type="dxa"/>
            <w:vMerge w:val="continue"/>
            <w:tcBorders>
              <w:tl2br w:val="nil"/>
              <w:tr2bl w:val="nil"/>
            </w:tcBorders>
            <w:shd w:val="clear" w:color="auto" w:fill="auto"/>
            <w:vAlign w:val="center"/>
          </w:tcPr>
          <w:p w14:paraId="0C5A2990">
            <w:pPr>
              <w:jc w:val="center"/>
              <w:rPr>
                <w:rFonts w:hint="eastAsia" w:ascii="宋体" w:hAnsi="宋体" w:eastAsia="宋体" w:cs="宋体"/>
                <w:i w:val="0"/>
                <w:iCs w:val="0"/>
                <w:color w:val="000000"/>
                <w:sz w:val="20"/>
                <w:szCs w:val="20"/>
                <w:u w:val="none"/>
              </w:rPr>
            </w:pPr>
          </w:p>
        </w:tc>
        <w:tc>
          <w:tcPr>
            <w:tcW w:w="1395" w:type="dxa"/>
            <w:tcBorders>
              <w:tl2br w:val="nil"/>
              <w:tr2bl w:val="nil"/>
            </w:tcBorders>
            <w:shd w:val="clear" w:color="auto" w:fill="auto"/>
            <w:vAlign w:val="center"/>
          </w:tcPr>
          <w:p w14:paraId="7CCB7C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项目按计划完工</w:t>
            </w:r>
          </w:p>
        </w:tc>
        <w:tc>
          <w:tcPr>
            <w:tcW w:w="964" w:type="dxa"/>
            <w:tcBorders>
              <w:tl2br w:val="nil"/>
              <w:tr2bl w:val="nil"/>
            </w:tcBorders>
            <w:shd w:val="clear" w:color="auto" w:fill="auto"/>
            <w:vAlign w:val="center"/>
          </w:tcPr>
          <w:p w14:paraId="30FE0F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1028" w:type="dxa"/>
            <w:tcBorders>
              <w:tl2br w:val="nil"/>
              <w:tr2bl w:val="nil"/>
            </w:tcBorders>
            <w:shd w:val="clear" w:color="auto" w:fill="auto"/>
            <w:vAlign w:val="center"/>
          </w:tcPr>
          <w:p w14:paraId="385A6B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48362B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418BFC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65" w:type="dxa"/>
            <w:tcBorders>
              <w:tl2br w:val="nil"/>
              <w:tr2bl w:val="nil"/>
            </w:tcBorders>
            <w:shd w:val="clear" w:color="auto" w:fill="auto"/>
            <w:vAlign w:val="center"/>
          </w:tcPr>
          <w:p w14:paraId="1780D3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45" w:type="dxa"/>
            <w:tcBorders>
              <w:tl2br w:val="nil"/>
              <w:tr2bl w:val="nil"/>
            </w:tcBorders>
            <w:shd w:val="clear" w:color="auto" w:fill="auto"/>
            <w:vAlign w:val="center"/>
          </w:tcPr>
          <w:p w14:paraId="6F069B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193" w:type="dxa"/>
            <w:tcBorders>
              <w:tl2br w:val="nil"/>
              <w:tr2bl w:val="nil"/>
            </w:tcBorders>
            <w:shd w:val="clear" w:color="auto" w:fill="auto"/>
            <w:vAlign w:val="center"/>
          </w:tcPr>
          <w:p w14:paraId="63B95F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1320" w:type="dxa"/>
            <w:tcBorders>
              <w:tl2br w:val="nil"/>
              <w:tr2bl w:val="nil"/>
            </w:tcBorders>
            <w:shd w:val="clear" w:color="auto" w:fill="auto"/>
            <w:vAlign w:val="center"/>
          </w:tcPr>
          <w:p w14:paraId="2F0DA5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7B99FD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43" w:type="dxa"/>
            <w:tcBorders>
              <w:tl2br w:val="nil"/>
              <w:tr2bl w:val="nil"/>
            </w:tcBorders>
            <w:shd w:val="clear" w:color="auto" w:fill="auto"/>
            <w:vAlign w:val="center"/>
          </w:tcPr>
          <w:p w14:paraId="4990C943">
            <w:pPr>
              <w:jc w:val="center"/>
              <w:rPr>
                <w:rFonts w:hint="eastAsia" w:ascii="宋体" w:hAnsi="宋体" w:eastAsia="宋体" w:cs="宋体"/>
                <w:i w:val="0"/>
                <w:iCs w:val="0"/>
                <w:color w:val="000000"/>
                <w:sz w:val="20"/>
                <w:szCs w:val="20"/>
                <w:u w:val="none"/>
              </w:rPr>
            </w:pPr>
          </w:p>
        </w:tc>
      </w:tr>
      <w:tr w14:paraId="43003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40" w:hRule="atLeast"/>
        </w:trPr>
        <w:tc>
          <w:tcPr>
            <w:tcW w:w="782" w:type="dxa"/>
            <w:vMerge w:val="continue"/>
            <w:tcBorders>
              <w:tl2br w:val="nil"/>
              <w:tr2bl w:val="nil"/>
            </w:tcBorders>
            <w:shd w:val="clear" w:color="auto" w:fill="auto"/>
            <w:vAlign w:val="center"/>
          </w:tcPr>
          <w:p w14:paraId="4211F3B2">
            <w:pPr>
              <w:jc w:val="center"/>
              <w:rPr>
                <w:rFonts w:hint="eastAsia" w:ascii="宋体" w:hAnsi="宋体" w:eastAsia="宋体" w:cs="宋体"/>
                <w:i w:val="0"/>
                <w:iCs w:val="0"/>
                <w:color w:val="000000"/>
                <w:sz w:val="20"/>
                <w:szCs w:val="20"/>
                <w:u w:val="none"/>
              </w:rPr>
            </w:pPr>
          </w:p>
        </w:tc>
        <w:tc>
          <w:tcPr>
            <w:tcW w:w="782" w:type="dxa"/>
            <w:tcBorders>
              <w:tl2br w:val="nil"/>
              <w:tr2bl w:val="nil"/>
            </w:tcBorders>
            <w:shd w:val="clear" w:color="auto" w:fill="auto"/>
            <w:vAlign w:val="center"/>
          </w:tcPr>
          <w:p w14:paraId="668258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17" w:type="dxa"/>
            <w:tcBorders>
              <w:tl2br w:val="nil"/>
              <w:tr2bl w:val="nil"/>
            </w:tcBorders>
            <w:shd w:val="clear" w:color="auto" w:fill="auto"/>
            <w:vAlign w:val="center"/>
          </w:tcPr>
          <w:p w14:paraId="3C0239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95" w:type="dxa"/>
            <w:tcBorders>
              <w:tl2br w:val="nil"/>
              <w:tr2bl w:val="nil"/>
            </w:tcBorders>
            <w:shd w:val="clear" w:color="auto" w:fill="auto"/>
            <w:vAlign w:val="center"/>
          </w:tcPr>
          <w:p w14:paraId="4DBF4F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项目修建费用</w:t>
            </w:r>
          </w:p>
        </w:tc>
        <w:tc>
          <w:tcPr>
            <w:tcW w:w="964" w:type="dxa"/>
            <w:tcBorders>
              <w:tl2br w:val="nil"/>
              <w:tr2bl w:val="nil"/>
            </w:tcBorders>
            <w:shd w:val="clear" w:color="auto" w:fill="auto"/>
            <w:vAlign w:val="center"/>
          </w:tcPr>
          <w:p w14:paraId="13C868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≤229万</w:t>
            </w:r>
          </w:p>
        </w:tc>
        <w:tc>
          <w:tcPr>
            <w:tcW w:w="1028" w:type="dxa"/>
            <w:tcBorders>
              <w:tl2br w:val="nil"/>
              <w:tr2bl w:val="nil"/>
            </w:tcBorders>
            <w:shd w:val="clear" w:color="auto" w:fill="auto"/>
            <w:vAlign w:val="center"/>
          </w:tcPr>
          <w:p w14:paraId="0A4E93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91" w:type="dxa"/>
            <w:tcBorders>
              <w:tl2br w:val="nil"/>
              <w:tr2bl w:val="nil"/>
            </w:tcBorders>
            <w:shd w:val="clear" w:color="auto" w:fill="auto"/>
            <w:vAlign w:val="center"/>
          </w:tcPr>
          <w:p w14:paraId="7134B7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1CCF9E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65" w:type="dxa"/>
            <w:tcBorders>
              <w:tl2br w:val="nil"/>
              <w:tr2bl w:val="nil"/>
            </w:tcBorders>
            <w:shd w:val="clear" w:color="auto" w:fill="auto"/>
            <w:vAlign w:val="center"/>
          </w:tcPr>
          <w:p w14:paraId="76F3E4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45" w:type="dxa"/>
            <w:tcBorders>
              <w:tl2br w:val="nil"/>
              <w:tr2bl w:val="nil"/>
            </w:tcBorders>
            <w:shd w:val="clear" w:color="auto" w:fill="auto"/>
            <w:vAlign w:val="center"/>
          </w:tcPr>
          <w:p w14:paraId="0675E0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93" w:type="dxa"/>
            <w:tcBorders>
              <w:tl2br w:val="nil"/>
              <w:tr2bl w:val="nil"/>
            </w:tcBorders>
            <w:shd w:val="clear" w:color="auto" w:fill="auto"/>
            <w:vAlign w:val="center"/>
          </w:tcPr>
          <w:p w14:paraId="7C373C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229万</w:t>
            </w:r>
          </w:p>
        </w:tc>
        <w:tc>
          <w:tcPr>
            <w:tcW w:w="1320" w:type="dxa"/>
            <w:tcBorders>
              <w:tl2br w:val="nil"/>
              <w:tr2bl w:val="nil"/>
            </w:tcBorders>
            <w:shd w:val="clear" w:color="auto" w:fill="auto"/>
            <w:vAlign w:val="center"/>
          </w:tcPr>
          <w:p w14:paraId="124ABD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71C7C8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3" w:type="dxa"/>
            <w:tcBorders>
              <w:tl2br w:val="nil"/>
              <w:tr2bl w:val="nil"/>
            </w:tcBorders>
            <w:shd w:val="clear" w:color="auto" w:fill="auto"/>
            <w:vAlign w:val="center"/>
          </w:tcPr>
          <w:p w14:paraId="69549C52">
            <w:pPr>
              <w:jc w:val="center"/>
              <w:rPr>
                <w:rFonts w:hint="eastAsia" w:ascii="宋体" w:hAnsi="宋体" w:eastAsia="宋体" w:cs="宋体"/>
                <w:i w:val="0"/>
                <w:iCs w:val="0"/>
                <w:color w:val="000000"/>
                <w:sz w:val="20"/>
                <w:szCs w:val="20"/>
                <w:u w:val="none"/>
              </w:rPr>
            </w:pPr>
          </w:p>
        </w:tc>
      </w:tr>
      <w:tr w14:paraId="537EE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80" w:hRule="atLeast"/>
        </w:trPr>
        <w:tc>
          <w:tcPr>
            <w:tcW w:w="782" w:type="dxa"/>
            <w:vMerge w:val="continue"/>
            <w:tcBorders>
              <w:tl2br w:val="nil"/>
              <w:tr2bl w:val="nil"/>
            </w:tcBorders>
            <w:shd w:val="clear" w:color="auto" w:fill="auto"/>
            <w:vAlign w:val="center"/>
          </w:tcPr>
          <w:p w14:paraId="08A9C345">
            <w:pPr>
              <w:jc w:val="center"/>
              <w:rPr>
                <w:rFonts w:hint="eastAsia" w:ascii="宋体" w:hAnsi="宋体" w:eastAsia="宋体" w:cs="宋体"/>
                <w:i w:val="0"/>
                <w:iCs w:val="0"/>
                <w:color w:val="000000"/>
                <w:sz w:val="20"/>
                <w:szCs w:val="20"/>
                <w:u w:val="none"/>
              </w:rPr>
            </w:pPr>
          </w:p>
        </w:tc>
        <w:tc>
          <w:tcPr>
            <w:tcW w:w="782" w:type="dxa"/>
            <w:tcBorders>
              <w:tl2br w:val="nil"/>
              <w:tr2bl w:val="nil"/>
            </w:tcBorders>
            <w:shd w:val="clear" w:color="auto" w:fill="auto"/>
            <w:vAlign w:val="center"/>
          </w:tcPr>
          <w:p w14:paraId="051A60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17" w:type="dxa"/>
            <w:tcBorders>
              <w:tl2br w:val="nil"/>
              <w:tr2bl w:val="nil"/>
            </w:tcBorders>
            <w:shd w:val="clear" w:color="auto" w:fill="auto"/>
            <w:vAlign w:val="center"/>
          </w:tcPr>
          <w:p w14:paraId="0B54A2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95" w:type="dxa"/>
            <w:tcBorders>
              <w:tl2br w:val="nil"/>
              <w:tr2bl w:val="nil"/>
            </w:tcBorders>
            <w:shd w:val="clear" w:color="auto" w:fill="auto"/>
            <w:vAlign w:val="center"/>
          </w:tcPr>
          <w:p w14:paraId="4DD71A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解决农村困难老人养老问题的同时，使其子女以充足的精力投入到致富增收，提升群众的幸福感。</w:t>
            </w:r>
          </w:p>
        </w:tc>
        <w:tc>
          <w:tcPr>
            <w:tcW w:w="964" w:type="dxa"/>
            <w:tcBorders>
              <w:tl2br w:val="nil"/>
              <w:tr2bl w:val="nil"/>
            </w:tcBorders>
            <w:shd w:val="clear" w:color="auto" w:fill="auto"/>
            <w:vAlign w:val="center"/>
          </w:tcPr>
          <w:p w14:paraId="531224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c>
          <w:tcPr>
            <w:tcW w:w="1028" w:type="dxa"/>
            <w:tcBorders>
              <w:tl2br w:val="nil"/>
              <w:tr2bl w:val="nil"/>
            </w:tcBorders>
            <w:shd w:val="clear" w:color="auto" w:fill="auto"/>
            <w:vAlign w:val="center"/>
          </w:tcPr>
          <w:p w14:paraId="0ABCCE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5C473F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2028FA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65" w:type="dxa"/>
            <w:tcBorders>
              <w:tl2br w:val="nil"/>
              <w:tr2bl w:val="nil"/>
            </w:tcBorders>
            <w:shd w:val="clear" w:color="auto" w:fill="auto"/>
            <w:vAlign w:val="center"/>
          </w:tcPr>
          <w:p w14:paraId="5DD80C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245" w:type="dxa"/>
            <w:tcBorders>
              <w:tl2br w:val="nil"/>
              <w:tr2bl w:val="nil"/>
            </w:tcBorders>
            <w:shd w:val="clear" w:color="auto" w:fill="auto"/>
            <w:vAlign w:val="center"/>
          </w:tcPr>
          <w:p w14:paraId="1D37E0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93" w:type="dxa"/>
            <w:tcBorders>
              <w:tl2br w:val="nil"/>
              <w:tr2bl w:val="nil"/>
            </w:tcBorders>
            <w:shd w:val="clear" w:color="auto" w:fill="auto"/>
            <w:vAlign w:val="center"/>
          </w:tcPr>
          <w:p w14:paraId="7E5816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20" w:type="dxa"/>
            <w:tcBorders>
              <w:tl2br w:val="nil"/>
              <w:tr2bl w:val="nil"/>
            </w:tcBorders>
            <w:shd w:val="clear" w:color="auto" w:fill="auto"/>
            <w:vAlign w:val="center"/>
          </w:tcPr>
          <w:p w14:paraId="30CAEB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12BFFD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3" w:type="dxa"/>
            <w:tcBorders>
              <w:tl2br w:val="nil"/>
              <w:tr2bl w:val="nil"/>
            </w:tcBorders>
            <w:shd w:val="clear" w:color="auto" w:fill="auto"/>
            <w:vAlign w:val="center"/>
          </w:tcPr>
          <w:p w14:paraId="0F7EA2F4">
            <w:pPr>
              <w:jc w:val="center"/>
              <w:rPr>
                <w:rFonts w:hint="eastAsia" w:ascii="宋体" w:hAnsi="宋体" w:eastAsia="宋体" w:cs="宋体"/>
                <w:i w:val="0"/>
                <w:iCs w:val="0"/>
                <w:color w:val="000000"/>
                <w:sz w:val="20"/>
                <w:szCs w:val="20"/>
                <w:u w:val="none"/>
              </w:rPr>
            </w:pPr>
          </w:p>
        </w:tc>
      </w:tr>
      <w:tr w14:paraId="2E1A0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782" w:type="dxa"/>
            <w:vMerge w:val="continue"/>
            <w:tcBorders>
              <w:tl2br w:val="nil"/>
              <w:tr2bl w:val="nil"/>
            </w:tcBorders>
            <w:shd w:val="clear" w:color="auto" w:fill="auto"/>
            <w:vAlign w:val="center"/>
          </w:tcPr>
          <w:p w14:paraId="7D47D6AC">
            <w:pPr>
              <w:jc w:val="center"/>
              <w:rPr>
                <w:rFonts w:hint="eastAsia" w:ascii="宋体" w:hAnsi="宋体" w:eastAsia="宋体" w:cs="宋体"/>
                <w:i w:val="0"/>
                <w:iCs w:val="0"/>
                <w:color w:val="000000"/>
                <w:sz w:val="20"/>
                <w:szCs w:val="20"/>
                <w:u w:val="none"/>
              </w:rPr>
            </w:pPr>
          </w:p>
        </w:tc>
        <w:tc>
          <w:tcPr>
            <w:tcW w:w="782" w:type="dxa"/>
            <w:tcBorders>
              <w:tl2br w:val="nil"/>
              <w:tr2bl w:val="nil"/>
            </w:tcBorders>
            <w:shd w:val="clear" w:color="auto" w:fill="auto"/>
            <w:vAlign w:val="center"/>
          </w:tcPr>
          <w:p w14:paraId="66B616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017" w:type="dxa"/>
            <w:tcBorders>
              <w:tl2br w:val="nil"/>
              <w:tr2bl w:val="nil"/>
            </w:tcBorders>
            <w:shd w:val="clear" w:color="auto" w:fill="auto"/>
            <w:vAlign w:val="center"/>
          </w:tcPr>
          <w:p w14:paraId="401871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95" w:type="dxa"/>
            <w:tcBorders>
              <w:tl2br w:val="nil"/>
              <w:tr2bl w:val="nil"/>
            </w:tcBorders>
            <w:shd w:val="clear" w:color="auto" w:fill="auto"/>
            <w:vAlign w:val="center"/>
          </w:tcPr>
          <w:p w14:paraId="44F498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受益群体满意度</w:t>
            </w:r>
          </w:p>
        </w:tc>
        <w:tc>
          <w:tcPr>
            <w:tcW w:w="964" w:type="dxa"/>
            <w:tcBorders>
              <w:tl2br w:val="nil"/>
              <w:tr2bl w:val="nil"/>
            </w:tcBorders>
            <w:shd w:val="clear" w:color="auto" w:fill="auto"/>
            <w:vAlign w:val="center"/>
          </w:tcPr>
          <w:p w14:paraId="6D0128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28" w:type="dxa"/>
            <w:tcBorders>
              <w:tl2br w:val="nil"/>
              <w:tr2bl w:val="nil"/>
            </w:tcBorders>
            <w:shd w:val="clear" w:color="auto" w:fill="auto"/>
            <w:vAlign w:val="center"/>
          </w:tcPr>
          <w:p w14:paraId="45581B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1" w:type="dxa"/>
            <w:tcBorders>
              <w:tl2br w:val="nil"/>
              <w:tr2bl w:val="nil"/>
            </w:tcBorders>
            <w:shd w:val="clear" w:color="auto" w:fill="auto"/>
            <w:vAlign w:val="center"/>
          </w:tcPr>
          <w:p w14:paraId="56DFDE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l2br w:val="nil"/>
              <w:tr2bl w:val="nil"/>
            </w:tcBorders>
            <w:shd w:val="clear" w:color="auto" w:fill="auto"/>
            <w:vAlign w:val="center"/>
          </w:tcPr>
          <w:p w14:paraId="209EC3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5" w:type="dxa"/>
            <w:tcBorders>
              <w:tl2br w:val="nil"/>
              <w:tr2bl w:val="nil"/>
            </w:tcBorders>
            <w:shd w:val="clear" w:color="auto" w:fill="auto"/>
            <w:vAlign w:val="center"/>
          </w:tcPr>
          <w:p w14:paraId="169050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245" w:type="dxa"/>
            <w:tcBorders>
              <w:tl2br w:val="nil"/>
              <w:tr2bl w:val="nil"/>
            </w:tcBorders>
            <w:shd w:val="clear" w:color="auto" w:fill="auto"/>
            <w:vAlign w:val="center"/>
          </w:tcPr>
          <w:p w14:paraId="68618F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93" w:type="dxa"/>
            <w:tcBorders>
              <w:tl2br w:val="nil"/>
              <w:tr2bl w:val="nil"/>
            </w:tcBorders>
            <w:shd w:val="clear" w:color="auto" w:fill="auto"/>
            <w:vAlign w:val="center"/>
          </w:tcPr>
          <w:p w14:paraId="2A0BA7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20" w:type="dxa"/>
            <w:tcBorders>
              <w:tl2br w:val="nil"/>
              <w:tr2bl w:val="nil"/>
            </w:tcBorders>
            <w:shd w:val="clear" w:color="auto" w:fill="auto"/>
            <w:vAlign w:val="center"/>
          </w:tcPr>
          <w:p w14:paraId="461DD3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8" w:type="dxa"/>
            <w:tcBorders>
              <w:tl2br w:val="nil"/>
              <w:tr2bl w:val="nil"/>
            </w:tcBorders>
            <w:shd w:val="clear" w:color="auto" w:fill="auto"/>
            <w:vAlign w:val="center"/>
          </w:tcPr>
          <w:p w14:paraId="0C921A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3" w:type="dxa"/>
            <w:tcBorders>
              <w:tl2br w:val="nil"/>
              <w:tr2bl w:val="nil"/>
            </w:tcBorders>
            <w:shd w:val="clear" w:color="auto" w:fill="auto"/>
            <w:vAlign w:val="center"/>
          </w:tcPr>
          <w:p w14:paraId="0C85C879">
            <w:pPr>
              <w:jc w:val="center"/>
              <w:rPr>
                <w:rFonts w:hint="eastAsia" w:ascii="宋体" w:hAnsi="宋体" w:eastAsia="宋体" w:cs="宋体"/>
                <w:i w:val="0"/>
                <w:iCs w:val="0"/>
                <w:color w:val="000000"/>
                <w:sz w:val="20"/>
                <w:szCs w:val="20"/>
                <w:u w:val="none"/>
              </w:rPr>
            </w:pPr>
          </w:p>
        </w:tc>
      </w:tr>
      <w:tr w14:paraId="1D044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3976" w:type="dxa"/>
            <w:gridSpan w:val="4"/>
            <w:tcBorders>
              <w:tl2br w:val="nil"/>
              <w:tr2bl w:val="nil"/>
            </w:tcBorders>
            <w:shd w:val="clear" w:color="auto" w:fill="auto"/>
            <w:vAlign w:val="center"/>
          </w:tcPr>
          <w:p w14:paraId="643786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64" w:type="dxa"/>
            <w:tcBorders>
              <w:tl2br w:val="nil"/>
              <w:tr2bl w:val="nil"/>
            </w:tcBorders>
            <w:shd w:val="clear" w:color="auto" w:fill="auto"/>
            <w:vAlign w:val="center"/>
          </w:tcPr>
          <w:p w14:paraId="2C361ED1">
            <w:pPr>
              <w:jc w:val="center"/>
              <w:rPr>
                <w:rFonts w:hint="eastAsia" w:ascii="宋体" w:hAnsi="宋体" w:eastAsia="宋体" w:cs="宋体"/>
                <w:i w:val="0"/>
                <w:iCs w:val="0"/>
                <w:color w:val="000000"/>
                <w:sz w:val="20"/>
                <w:szCs w:val="20"/>
                <w:u w:val="none"/>
              </w:rPr>
            </w:pPr>
          </w:p>
        </w:tc>
        <w:tc>
          <w:tcPr>
            <w:tcW w:w="1028" w:type="dxa"/>
            <w:tcBorders>
              <w:tl2br w:val="nil"/>
              <w:tr2bl w:val="nil"/>
            </w:tcBorders>
            <w:shd w:val="clear" w:color="auto" w:fill="auto"/>
            <w:vAlign w:val="center"/>
          </w:tcPr>
          <w:p w14:paraId="420E5B9D">
            <w:pPr>
              <w:jc w:val="center"/>
              <w:rPr>
                <w:rFonts w:hint="eastAsia" w:ascii="宋体" w:hAnsi="宋体" w:eastAsia="宋体" w:cs="宋体"/>
                <w:b/>
                <w:bCs/>
                <w:i w:val="0"/>
                <w:iCs w:val="0"/>
                <w:color w:val="000000"/>
                <w:sz w:val="20"/>
                <w:szCs w:val="20"/>
                <w:u w:val="none"/>
              </w:rPr>
            </w:pPr>
          </w:p>
        </w:tc>
        <w:tc>
          <w:tcPr>
            <w:tcW w:w="791" w:type="dxa"/>
            <w:tcBorders>
              <w:tl2br w:val="nil"/>
              <w:tr2bl w:val="nil"/>
            </w:tcBorders>
            <w:shd w:val="clear" w:color="auto" w:fill="auto"/>
            <w:vAlign w:val="center"/>
          </w:tcPr>
          <w:p w14:paraId="7CB2D485">
            <w:pPr>
              <w:jc w:val="center"/>
              <w:rPr>
                <w:rFonts w:hint="eastAsia" w:ascii="宋体" w:hAnsi="宋体" w:eastAsia="宋体" w:cs="宋体"/>
                <w:i w:val="0"/>
                <w:iCs w:val="0"/>
                <w:color w:val="000000"/>
                <w:sz w:val="20"/>
                <w:szCs w:val="20"/>
                <w:u w:val="none"/>
              </w:rPr>
            </w:pPr>
          </w:p>
        </w:tc>
        <w:tc>
          <w:tcPr>
            <w:tcW w:w="821" w:type="dxa"/>
            <w:tcBorders>
              <w:tl2br w:val="nil"/>
              <w:tr2bl w:val="nil"/>
            </w:tcBorders>
            <w:shd w:val="clear" w:color="auto" w:fill="auto"/>
            <w:vAlign w:val="center"/>
          </w:tcPr>
          <w:p w14:paraId="394E72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65" w:type="dxa"/>
            <w:tcBorders>
              <w:tl2br w:val="nil"/>
              <w:tr2bl w:val="nil"/>
            </w:tcBorders>
            <w:shd w:val="clear" w:color="auto" w:fill="auto"/>
            <w:vAlign w:val="center"/>
          </w:tcPr>
          <w:p w14:paraId="61518900">
            <w:pPr>
              <w:jc w:val="center"/>
              <w:rPr>
                <w:rFonts w:hint="eastAsia" w:ascii="宋体" w:hAnsi="宋体" w:eastAsia="宋体" w:cs="宋体"/>
                <w:i w:val="0"/>
                <w:iCs w:val="0"/>
                <w:color w:val="000000"/>
                <w:sz w:val="20"/>
                <w:szCs w:val="20"/>
                <w:u w:val="none"/>
              </w:rPr>
            </w:pPr>
          </w:p>
        </w:tc>
        <w:tc>
          <w:tcPr>
            <w:tcW w:w="1245" w:type="dxa"/>
            <w:tcBorders>
              <w:tl2br w:val="nil"/>
              <w:tr2bl w:val="nil"/>
            </w:tcBorders>
            <w:shd w:val="clear" w:color="auto" w:fill="auto"/>
            <w:vAlign w:val="center"/>
          </w:tcPr>
          <w:p w14:paraId="425EE9E4">
            <w:pPr>
              <w:jc w:val="center"/>
              <w:rPr>
                <w:rFonts w:hint="eastAsia" w:ascii="宋体" w:hAnsi="宋体" w:eastAsia="宋体" w:cs="宋体"/>
                <w:i w:val="0"/>
                <w:iCs w:val="0"/>
                <w:color w:val="000000"/>
                <w:sz w:val="20"/>
                <w:szCs w:val="20"/>
                <w:u w:val="none"/>
              </w:rPr>
            </w:pPr>
          </w:p>
        </w:tc>
        <w:tc>
          <w:tcPr>
            <w:tcW w:w="1193" w:type="dxa"/>
            <w:tcBorders>
              <w:tl2br w:val="nil"/>
              <w:tr2bl w:val="nil"/>
            </w:tcBorders>
            <w:shd w:val="clear" w:color="auto" w:fill="auto"/>
            <w:vAlign w:val="center"/>
          </w:tcPr>
          <w:p w14:paraId="44D62863">
            <w:pPr>
              <w:jc w:val="center"/>
              <w:rPr>
                <w:rFonts w:hint="eastAsia" w:ascii="宋体" w:hAnsi="宋体" w:eastAsia="宋体" w:cs="宋体"/>
                <w:i w:val="0"/>
                <w:iCs w:val="0"/>
                <w:color w:val="000000"/>
                <w:sz w:val="20"/>
                <w:szCs w:val="20"/>
                <w:u w:val="none"/>
              </w:rPr>
            </w:pPr>
          </w:p>
        </w:tc>
        <w:tc>
          <w:tcPr>
            <w:tcW w:w="1320" w:type="dxa"/>
            <w:tcBorders>
              <w:tl2br w:val="nil"/>
              <w:tr2bl w:val="nil"/>
            </w:tcBorders>
            <w:shd w:val="clear" w:color="auto" w:fill="auto"/>
            <w:vAlign w:val="center"/>
          </w:tcPr>
          <w:p w14:paraId="41D24510">
            <w:pPr>
              <w:jc w:val="center"/>
              <w:rPr>
                <w:rFonts w:hint="eastAsia" w:ascii="宋体" w:hAnsi="宋体" w:eastAsia="宋体" w:cs="宋体"/>
                <w:i w:val="0"/>
                <w:iCs w:val="0"/>
                <w:color w:val="000000"/>
                <w:sz w:val="20"/>
                <w:szCs w:val="20"/>
                <w:u w:val="none"/>
              </w:rPr>
            </w:pPr>
          </w:p>
        </w:tc>
        <w:tc>
          <w:tcPr>
            <w:tcW w:w="728" w:type="dxa"/>
            <w:tcBorders>
              <w:tl2br w:val="nil"/>
              <w:tr2bl w:val="nil"/>
            </w:tcBorders>
            <w:shd w:val="clear" w:color="auto" w:fill="auto"/>
            <w:vAlign w:val="center"/>
          </w:tcPr>
          <w:p w14:paraId="74B0A6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3" w:type="dxa"/>
            <w:tcBorders>
              <w:tl2br w:val="nil"/>
              <w:tr2bl w:val="nil"/>
            </w:tcBorders>
            <w:shd w:val="clear" w:color="auto" w:fill="auto"/>
            <w:vAlign w:val="center"/>
          </w:tcPr>
          <w:p w14:paraId="26DE5BC7">
            <w:pPr>
              <w:jc w:val="center"/>
              <w:rPr>
                <w:rFonts w:hint="eastAsia" w:ascii="宋体" w:hAnsi="宋体" w:eastAsia="宋体" w:cs="宋体"/>
                <w:i w:val="0"/>
                <w:iCs w:val="0"/>
                <w:color w:val="000000"/>
                <w:sz w:val="20"/>
                <w:szCs w:val="20"/>
                <w:u w:val="none"/>
              </w:rPr>
            </w:pPr>
          </w:p>
        </w:tc>
      </w:tr>
    </w:tbl>
    <w:p w14:paraId="44C0225F">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rPr>
      </w:pPr>
    </w:p>
    <w:p w14:paraId="54DE2EA3">
      <w:pPr>
        <w:rPr>
          <w:rFonts w:hint="default"/>
          <w:color w:va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B6D9B7A">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19EE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C75A6EF">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auto"/>
            <w:noWrap w:val="0"/>
            <w:vAlign w:val="center"/>
          </w:tcPr>
          <w:p w14:paraId="454E4BE6">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auto"/>
            <w:noWrap w:val="0"/>
            <w:vAlign w:val="center"/>
          </w:tcPr>
          <w:p w14:paraId="65063058">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auto"/>
            <w:noWrap w:val="0"/>
            <w:vAlign w:val="center"/>
          </w:tcPr>
          <w:p w14:paraId="0A5272D9">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auto"/>
            <w:noWrap w:val="0"/>
            <w:vAlign w:val="center"/>
          </w:tcPr>
          <w:p w14:paraId="494EDA99">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auto"/>
            <w:noWrap w:val="0"/>
            <w:vAlign w:val="center"/>
          </w:tcPr>
          <w:p w14:paraId="32C83CB0">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auto"/>
            <w:noWrap w:val="0"/>
            <w:vAlign w:val="center"/>
          </w:tcPr>
          <w:p w14:paraId="1A85C5D4">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14:paraId="72192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18C6EF6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14:paraId="59E9DAA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3299FA10">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14:paraId="332C001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auto"/>
            <w:noWrap w:val="0"/>
            <w:vAlign w:val="center"/>
          </w:tcPr>
          <w:p w14:paraId="57761D84">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14:paraId="6F43811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auto"/>
            <w:noWrap w:val="0"/>
            <w:vAlign w:val="center"/>
          </w:tcPr>
          <w:p w14:paraId="43E616B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674700ED">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7B73324C">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14:paraId="24C5AAB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14:paraId="4C3425E4">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14:paraId="27346BD1">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14:paraId="27A90018">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auto"/>
            <w:noWrap w:val="0"/>
            <w:vAlign w:val="center"/>
          </w:tcPr>
          <w:p w14:paraId="2BA4E0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C0036C5">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1CB9C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4684B777">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2881219D">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3D69B89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79F5B9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3D3FAE7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769DCEA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5EA625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A09194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31AB8C0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0DFB61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45B0D5F">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1</w:t>
            </w:r>
          </w:p>
        </w:tc>
      </w:tr>
      <w:tr w14:paraId="34990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E4D8997">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14:paraId="65C44851">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auto"/>
            <w:noWrap w:val="0"/>
            <w:vAlign w:val="center"/>
          </w:tcPr>
          <w:p w14:paraId="0C37EFD7">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14:paraId="7E8541C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0BF159EC">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113A68E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2D22A4A0">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14:paraId="32322F5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14:paraId="457AC007">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14:paraId="1D40DD2F">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14:paraId="3ADAA672">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auto" w:fill="auto"/>
            <w:noWrap w:val="0"/>
            <w:vAlign w:val="center"/>
          </w:tcPr>
          <w:p w14:paraId="70A073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D2938FB">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4C6639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53D613E7">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14:paraId="3BD2B84B">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auto"/>
            <w:noWrap w:val="0"/>
            <w:vAlign w:val="center"/>
          </w:tcPr>
          <w:p w14:paraId="54CA2D0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14:paraId="04C0C00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auto" w:fill="auto"/>
            <w:noWrap w:val="0"/>
            <w:vAlign w:val="center"/>
          </w:tcPr>
          <w:p w14:paraId="438BF60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2141691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A7ADF8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14:paraId="44F1327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14:paraId="7344C9C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14:paraId="5985F8AE">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auto" w:fill="auto"/>
            <w:noWrap w:val="0"/>
            <w:vAlign w:val="center"/>
          </w:tcPr>
          <w:p w14:paraId="0FF3EE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BD36375">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03A08D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BFF36EA">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163438C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14:paraId="58AE41B7">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7DF2C671">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14:paraId="322FC686">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auto"/>
            <w:noWrap w:val="0"/>
            <w:vAlign w:val="center"/>
          </w:tcPr>
          <w:p w14:paraId="73D7CF0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36AADC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47F51D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14:paraId="410BBE3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14:paraId="3A5B985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14:paraId="22C4860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auto"/>
            <w:noWrap w:val="0"/>
            <w:vAlign w:val="center"/>
          </w:tcPr>
          <w:p w14:paraId="7BFCC6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B6F7556">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7878AA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90289BF">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399B02F7">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22B90693">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14:paraId="50A6CA54">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2E621157">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55E0D5BF">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8EB7E3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14:paraId="6029B10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auto"/>
            <w:noWrap w:val="0"/>
            <w:vAlign w:val="center"/>
          </w:tcPr>
          <w:p w14:paraId="56A56C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964B870">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14:paraId="141E5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EB2DBA0">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14:paraId="2C435DBB">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2D01F03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auto" w:fill="auto"/>
            <w:noWrap w:val="0"/>
            <w:vAlign w:val="center"/>
          </w:tcPr>
          <w:p w14:paraId="1A55BD6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4366B82A">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14:paraId="1041F455">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14:paraId="6DA8F97B">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auto" w:fill="auto"/>
            <w:noWrap w:val="0"/>
            <w:vAlign w:val="center"/>
          </w:tcPr>
          <w:p w14:paraId="4BE9EC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BF169B8">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4B161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9CAAA3E">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14:paraId="413FCEB1">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auto"/>
            <w:noWrap w:val="0"/>
            <w:vAlign w:val="center"/>
          </w:tcPr>
          <w:p w14:paraId="59989C1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auto"/>
            <w:noWrap w:val="0"/>
            <w:vAlign w:val="center"/>
          </w:tcPr>
          <w:p w14:paraId="5D0E65D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14:paraId="5A7363C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14:paraId="37C6132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auto"/>
            <w:noWrap w:val="0"/>
            <w:vAlign w:val="center"/>
          </w:tcPr>
          <w:p w14:paraId="159B8C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7F9FE83">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16117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FE06A06">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2D7CE1F9">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14:paraId="7039706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07535EC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4508350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14:paraId="371B75D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0CB077B1">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2CB8C18">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14:paraId="65E1881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14:paraId="10E9B609">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14:paraId="5C3A1AD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auto" w:fill="auto"/>
            <w:noWrap w:val="0"/>
            <w:vAlign w:val="center"/>
          </w:tcPr>
          <w:p w14:paraId="182C54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297BE95">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7C83D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6905B36C">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3399BE1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62BD1E06">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7DC344AD">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278AFB9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14:paraId="1792C496">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AC3596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25A1AC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14:paraId="62CDA056">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auto" w:fill="auto"/>
            <w:noWrap w:val="0"/>
            <w:vAlign w:val="center"/>
          </w:tcPr>
          <w:p w14:paraId="1E2BBA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5BBDE46">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5B196C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83E44CA">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0A435C8B">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57E44D0F">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3A3D0705">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14:paraId="25C48897">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14:paraId="049034CF">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799A0B8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14:paraId="0A3597D6">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14:paraId="79F51F29">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14:paraId="6F26A16D">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auto" w:fill="auto"/>
            <w:noWrap w:val="0"/>
            <w:vAlign w:val="center"/>
          </w:tcPr>
          <w:p w14:paraId="7D339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17FB44D">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050C06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883C4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479511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1AF56D56">
            <w:pPr>
              <w:widowControl/>
              <w:spacing w:line="0" w:lineRule="atLeast"/>
              <w:ind w:firstLine="0" w:firstLineChars="0"/>
              <w:jc w:val="both"/>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生活服务用房</w:t>
            </w:r>
          </w:p>
        </w:tc>
        <w:tc>
          <w:tcPr>
            <w:tcW w:w="2141" w:type="dxa"/>
            <w:shd w:val="clear" w:color="auto" w:fill="auto"/>
            <w:noWrap w:val="0"/>
            <w:vAlign w:val="center"/>
          </w:tcPr>
          <w:p w14:paraId="6D9625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70659F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实际完成率=（实际产出数/计划产出数）×100%。</w:t>
            </w:r>
          </w:p>
          <w:p w14:paraId="544A9FE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实际产出数：一定时期（本年度或项目期）内项目实际产出的产品或提供的服务数量。</w:t>
            </w:r>
          </w:p>
          <w:p w14:paraId="1EC1A9BC">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1BBC1AB3">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7</w:t>
            </w:r>
          </w:p>
        </w:tc>
        <w:tc>
          <w:tcPr>
            <w:tcW w:w="769" w:type="dxa"/>
            <w:shd w:val="clear" w:color="auto" w:fill="auto"/>
            <w:noWrap w:val="0"/>
            <w:vAlign w:val="center"/>
          </w:tcPr>
          <w:p w14:paraId="18E62821">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7</w:t>
            </w:r>
          </w:p>
        </w:tc>
      </w:tr>
      <w:tr w14:paraId="7C690E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0B1FC35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4ADD1C10">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产出数量</w:t>
            </w:r>
          </w:p>
        </w:tc>
        <w:tc>
          <w:tcPr>
            <w:tcW w:w="820" w:type="dxa"/>
            <w:shd w:val="clear" w:color="auto" w:fill="auto"/>
            <w:noWrap w:val="0"/>
            <w:vAlign w:val="center"/>
          </w:tcPr>
          <w:p w14:paraId="1E04B0FB">
            <w:pPr>
              <w:widowControl/>
              <w:spacing w:line="0" w:lineRule="atLeast"/>
              <w:ind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基础设施配备</w:t>
            </w:r>
          </w:p>
        </w:tc>
        <w:tc>
          <w:tcPr>
            <w:tcW w:w="2141" w:type="dxa"/>
            <w:shd w:val="clear" w:color="auto" w:fill="auto"/>
            <w:noWrap w:val="0"/>
            <w:vAlign w:val="center"/>
          </w:tcPr>
          <w:p w14:paraId="246D9777">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DF77151">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实际完成率=（实际产出数/计划产出数）×100%。</w:t>
            </w:r>
          </w:p>
          <w:p w14:paraId="5D499429">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实际产出数：一定时期（本年度或项目期）内项目实际产出的产品或提供的服务数量。</w:t>
            </w:r>
          </w:p>
          <w:p w14:paraId="3EF34359">
            <w:pPr>
              <w:widowControl/>
              <w:spacing w:line="0" w:lineRule="atLeast"/>
              <w:ind w:firstLine="0" w:firstLineChars="0"/>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30C13764">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c>
          <w:tcPr>
            <w:tcW w:w="769" w:type="dxa"/>
            <w:shd w:val="clear" w:color="auto" w:fill="auto"/>
            <w:noWrap w:val="0"/>
            <w:vAlign w:val="center"/>
          </w:tcPr>
          <w:p w14:paraId="02E0C4AA">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51B93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7AF09CF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F3C4D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5899EB3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竣工验收合格率</w:t>
            </w:r>
          </w:p>
        </w:tc>
        <w:tc>
          <w:tcPr>
            <w:tcW w:w="2141" w:type="dxa"/>
            <w:shd w:val="clear" w:color="auto" w:fill="auto"/>
            <w:noWrap w:val="0"/>
            <w:vAlign w:val="center"/>
          </w:tcPr>
          <w:p w14:paraId="75473A1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42E7F03C">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质量达标率=（质量达标产出数/实际产出数）×100%。</w:t>
            </w:r>
          </w:p>
          <w:p w14:paraId="1AC62666">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F90FBD1">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auto" w:fill="auto"/>
            <w:noWrap w:val="0"/>
            <w:vAlign w:val="center"/>
          </w:tcPr>
          <w:p w14:paraId="2E6016D9">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14:paraId="28F14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1D13926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6343B28A">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产出质量</w:t>
            </w:r>
          </w:p>
        </w:tc>
        <w:tc>
          <w:tcPr>
            <w:tcW w:w="820" w:type="dxa"/>
            <w:shd w:val="clear" w:color="auto" w:fill="auto"/>
            <w:noWrap w:val="0"/>
            <w:vAlign w:val="center"/>
          </w:tcPr>
          <w:p w14:paraId="2670CD6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项目资金支付率</w:t>
            </w:r>
          </w:p>
        </w:tc>
        <w:tc>
          <w:tcPr>
            <w:tcW w:w="2141" w:type="dxa"/>
            <w:shd w:val="clear" w:color="auto" w:fill="auto"/>
            <w:noWrap w:val="0"/>
            <w:vAlign w:val="center"/>
          </w:tcPr>
          <w:p w14:paraId="2CEC4A2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A6C2B5A">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质量达标率=（质量达标产出数/实际产出数）×100%。</w:t>
            </w:r>
          </w:p>
          <w:p w14:paraId="159BB19C">
            <w:pPr>
              <w:widowControl/>
              <w:spacing w:line="0" w:lineRule="atLeast"/>
              <w:ind w:firstLine="0" w:firstLineChars="0"/>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3457176">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c>
          <w:tcPr>
            <w:tcW w:w="769" w:type="dxa"/>
            <w:shd w:val="clear" w:color="auto" w:fill="auto"/>
            <w:noWrap w:val="0"/>
            <w:vAlign w:val="center"/>
          </w:tcPr>
          <w:p w14:paraId="632B8302">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r>
      <w:tr w14:paraId="212DC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4D5D7EF">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B8941E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6EAE87D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资金及时率</w:t>
            </w:r>
          </w:p>
        </w:tc>
        <w:tc>
          <w:tcPr>
            <w:tcW w:w="2141" w:type="dxa"/>
            <w:shd w:val="clear" w:color="auto" w:fill="auto"/>
            <w:noWrap w:val="0"/>
            <w:vAlign w:val="center"/>
          </w:tcPr>
          <w:p w14:paraId="13D0DB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51272D8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实际完成时间：项目实施单位完成该项目实际所耗用的时间。</w:t>
            </w:r>
          </w:p>
          <w:p w14:paraId="1B4A7B05">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计划完成时间：按照项目实施计划或相关规定完成该项目所需的时间。</w:t>
            </w:r>
          </w:p>
        </w:tc>
        <w:tc>
          <w:tcPr>
            <w:tcW w:w="785" w:type="dxa"/>
            <w:shd w:val="clear" w:color="auto" w:fill="auto"/>
            <w:noWrap w:val="0"/>
            <w:vAlign w:val="center"/>
          </w:tcPr>
          <w:p w14:paraId="1AD93804">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c>
          <w:tcPr>
            <w:tcW w:w="769" w:type="dxa"/>
            <w:shd w:val="clear" w:color="auto" w:fill="auto"/>
            <w:noWrap w:val="0"/>
            <w:vAlign w:val="center"/>
          </w:tcPr>
          <w:p w14:paraId="4A396541">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05E8F3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331C0D0">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33290F5">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产出时效</w:t>
            </w:r>
          </w:p>
        </w:tc>
        <w:tc>
          <w:tcPr>
            <w:tcW w:w="820" w:type="dxa"/>
            <w:shd w:val="clear" w:color="auto" w:fill="auto"/>
            <w:noWrap w:val="0"/>
            <w:vAlign w:val="center"/>
          </w:tcPr>
          <w:p w14:paraId="4690DF4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项目按计划完工</w:t>
            </w:r>
          </w:p>
        </w:tc>
        <w:tc>
          <w:tcPr>
            <w:tcW w:w="2141" w:type="dxa"/>
            <w:shd w:val="clear" w:color="auto" w:fill="auto"/>
            <w:noWrap w:val="0"/>
            <w:vAlign w:val="center"/>
          </w:tcPr>
          <w:p w14:paraId="520810B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DC92E1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实际完成时间：项目实施单位完成该项目实际所耗用的时间。</w:t>
            </w:r>
          </w:p>
          <w:p w14:paraId="06661ED0">
            <w:pPr>
              <w:widowControl/>
              <w:spacing w:line="0" w:lineRule="atLeast"/>
              <w:ind w:firstLine="0" w:firstLineChars="0"/>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计划完成时间：按照项目实施计划或相关规定完成该项目所需的时间。</w:t>
            </w:r>
          </w:p>
        </w:tc>
        <w:tc>
          <w:tcPr>
            <w:tcW w:w="785" w:type="dxa"/>
            <w:shd w:val="clear" w:color="auto" w:fill="auto"/>
            <w:noWrap w:val="0"/>
            <w:vAlign w:val="center"/>
          </w:tcPr>
          <w:p w14:paraId="169DBBB1">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8</w:t>
            </w:r>
          </w:p>
        </w:tc>
        <w:tc>
          <w:tcPr>
            <w:tcW w:w="769" w:type="dxa"/>
            <w:shd w:val="clear" w:color="auto" w:fill="auto"/>
            <w:noWrap w:val="0"/>
            <w:vAlign w:val="center"/>
          </w:tcPr>
          <w:p w14:paraId="496D8D4D">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8</w:t>
            </w:r>
          </w:p>
        </w:tc>
      </w:tr>
      <w:tr w14:paraId="52E7E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09EBF08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6AD7AD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026A17A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项目修建费用</w:t>
            </w:r>
          </w:p>
        </w:tc>
        <w:tc>
          <w:tcPr>
            <w:tcW w:w="2141" w:type="dxa"/>
            <w:shd w:val="clear" w:color="auto" w:fill="auto"/>
            <w:noWrap w:val="0"/>
            <w:vAlign w:val="center"/>
          </w:tcPr>
          <w:p w14:paraId="560F7BB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8804E70">
            <w:pPr>
              <w:widowControl/>
              <w:spacing w:line="0" w:lineRule="atLeast"/>
              <w:ind w:firstLine="0" w:firstLineChars="0"/>
              <w:rPr>
                <w:rFonts w:hint="eastAsia" w:ascii="宋体" w:hAnsi="宋体" w:eastAsia="宋体" w:cs="宋体"/>
                <w:color w:val="auto"/>
                <w:kern w:val="0"/>
                <w:sz w:val="22"/>
                <w:szCs w:val="22"/>
                <w:lang w:eastAsia="zh-CN"/>
              </w:rPr>
            </w:pPr>
          </w:p>
          <w:p w14:paraId="41D0511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成本节约率=[（计划成本-实际成本）/计划成本]×100%。</w:t>
            </w:r>
          </w:p>
          <w:p w14:paraId="6CFB0E9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实际成本：项目实施单位如期、保质、保量完成既定工作目标实际所耗费的支出。</w:t>
            </w:r>
          </w:p>
          <w:p w14:paraId="0310DA30">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计划成本：项目实施单位为完成工作目标计划安排的支出，一般以项目预算为参考。</w:t>
            </w:r>
          </w:p>
        </w:tc>
        <w:tc>
          <w:tcPr>
            <w:tcW w:w="785" w:type="dxa"/>
            <w:shd w:val="clear" w:color="auto" w:fill="auto"/>
            <w:noWrap w:val="0"/>
            <w:vAlign w:val="center"/>
          </w:tcPr>
          <w:p w14:paraId="1F548CB3">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20</w:t>
            </w:r>
          </w:p>
        </w:tc>
        <w:tc>
          <w:tcPr>
            <w:tcW w:w="769" w:type="dxa"/>
            <w:shd w:val="clear" w:color="auto" w:fill="auto"/>
            <w:noWrap w:val="0"/>
            <w:vAlign w:val="center"/>
          </w:tcPr>
          <w:p w14:paraId="02FC3B4F">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20</w:t>
            </w:r>
          </w:p>
        </w:tc>
      </w:tr>
      <w:tr w14:paraId="06F1F7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6EE296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2D4B897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6FB5D51F">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解决农村困难老人养老问题的同时，使其子女以充足的精力投入到致富增收，提升群众的幸福感。</w:t>
            </w:r>
            <w:r>
              <w:rPr>
                <w:rFonts w:hint="eastAsia" w:cs="宋体"/>
                <w:color w:val="auto"/>
                <w:kern w:val="0"/>
                <w:sz w:val="22"/>
                <w:szCs w:val="22"/>
                <w:highlight w:val="none"/>
                <w:lang w:eastAsia="zh-CN"/>
              </w:rPr>
              <w:t>、</w:t>
            </w:r>
          </w:p>
        </w:tc>
        <w:tc>
          <w:tcPr>
            <w:tcW w:w="2141" w:type="dxa"/>
            <w:shd w:val="clear" w:color="auto" w:fill="auto"/>
            <w:noWrap w:val="0"/>
            <w:vAlign w:val="center"/>
          </w:tcPr>
          <w:p w14:paraId="395E0E9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1B0943D">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70234FA1">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20</w:t>
            </w:r>
          </w:p>
        </w:tc>
        <w:tc>
          <w:tcPr>
            <w:tcW w:w="769" w:type="dxa"/>
            <w:shd w:val="clear" w:color="auto" w:fill="auto"/>
            <w:noWrap w:val="0"/>
            <w:vAlign w:val="center"/>
          </w:tcPr>
          <w:p w14:paraId="31621DD1">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20</w:t>
            </w:r>
          </w:p>
        </w:tc>
      </w:tr>
      <w:tr w14:paraId="421890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423685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17CD884">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8B667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受益群体满意度</w:t>
            </w:r>
          </w:p>
        </w:tc>
        <w:tc>
          <w:tcPr>
            <w:tcW w:w="2141" w:type="dxa"/>
            <w:shd w:val="clear" w:color="auto" w:fill="auto"/>
            <w:noWrap w:val="0"/>
            <w:vAlign w:val="center"/>
          </w:tcPr>
          <w:p w14:paraId="03F9293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64A5CE6">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0D139635">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auto" w:fill="auto"/>
            <w:noWrap w:val="0"/>
            <w:vAlign w:val="center"/>
          </w:tcPr>
          <w:p w14:paraId="2E1F17C4">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14:paraId="354C3B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B55B1FB">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14:paraId="49976BAE">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noWrap w:val="0"/>
            <w:vAlign w:val="center"/>
          </w:tcPr>
          <w:p w14:paraId="26F5AB71">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auto" w:fill="auto"/>
            <w:noWrap w:val="0"/>
            <w:vAlign w:val="center"/>
          </w:tcPr>
          <w:p w14:paraId="759188A6">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98</w:t>
            </w:r>
          </w:p>
        </w:tc>
      </w:tr>
    </w:tbl>
    <w:p w14:paraId="6E9DB416">
      <w:pPr>
        <w:spacing w:line="240" w:lineRule="auto"/>
        <w:ind w:firstLine="0" w:firstLineChars="0"/>
        <w:rPr>
          <w:rFonts w:ascii="Times New Roman" w:hAnsi="Times New Roman" w:eastAsia="仿宋_GB2312" w:cs="Times New Roman"/>
          <w:color w:val="auto"/>
          <w:sz w:val="30"/>
          <w:szCs w:val="24"/>
        </w:rPr>
      </w:pPr>
    </w:p>
    <w:p w14:paraId="5EDB8892">
      <w:pPr>
        <w:rPr>
          <w:rFonts w:hint="default"/>
          <w:color w:val="auto"/>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60CDF">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5B1604">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5B1604">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ED710AF5"/>
    <w:multiLevelType w:val="singleLevel"/>
    <w:tmpl w:val="ED710AF5"/>
    <w:lvl w:ilvl="0" w:tentative="0">
      <w:start w:val="1"/>
      <w:numFmt w:val="decimal"/>
      <w:lvlText w:val="%1."/>
      <w:lvlJc w:val="left"/>
      <w:pPr>
        <w:tabs>
          <w:tab w:val="left" w:pos="312"/>
        </w:tabs>
      </w:p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575E65"/>
    <w:rsid w:val="0ACA0AB6"/>
    <w:rsid w:val="0C032502"/>
    <w:rsid w:val="0C27698C"/>
    <w:rsid w:val="0D4452F3"/>
    <w:rsid w:val="0F5E5042"/>
    <w:rsid w:val="0FE95707"/>
    <w:rsid w:val="10510571"/>
    <w:rsid w:val="106E4ECA"/>
    <w:rsid w:val="10787A20"/>
    <w:rsid w:val="108672DE"/>
    <w:rsid w:val="10EC685A"/>
    <w:rsid w:val="11D0742C"/>
    <w:rsid w:val="11FA6155"/>
    <w:rsid w:val="12CF0947"/>
    <w:rsid w:val="12F1313F"/>
    <w:rsid w:val="136C678E"/>
    <w:rsid w:val="13EB2FF5"/>
    <w:rsid w:val="15A46B04"/>
    <w:rsid w:val="165825BC"/>
    <w:rsid w:val="16BC5D73"/>
    <w:rsid w:val="176F36D7"/>
    <w:rsid w:val="1795226D"/>
    <w:rsid w:val="18456B1E"/>
    <w:rsid w:val="18AA345D"/>
    <w:rsid w:val="1C1171C5"/>
    <w:rsid w:val="1D265138"/>
    <w:rsid w:val="1D7B6BCA"/>
    <w:rsid w:val="1DA41A79"/>
    <w:rsid w:val="1DF53469"/>
    <w:rsid w:val="1E2F24F2"/>
    <w:rsid w:val="1E58492F"/>
    <w:rsid w:val="1E5B6757"/>
    <w:rsid w:val="1ED10AC6"/>
    <w:rsid w:val="1F89225F"/>
    <w:rsid w:val="1F900A1F"/>
    <w:rsid w:val="1FC0575D"/>
    <w:rsid w:val="206132C7"/>
    <w:rsid w:val="21B00C1D"/>
    <w:rsid w:val="21B44C80"/>
    <w:rsid w:val="222C7126"/>
    <w:rsid w:val="23031BEB"/>
    <w:rsid w:val="23917691"/>
    <w:rsid w:val="23F77D3D"/>
    <w:rsid w:val="244D65B8"/>
    <w:rsid w:val="245E1E24"/>
    <w:rsid w:val="24AD5D9C"/>
    <w:rsid w:val="25AD5E5D"/>
    <w:rsid w:val="2732478D"/>
    <w:rsid w:val="27661469"/>
    <w:rsid w:val="27900EAD"/>
    <w:rsid w:val="279B538A"/>
    <w:rsid w:val="286F545C"/>
    <w:rsid w:val="29314FBC"/>
    <w:rsid w:val="2AFA7935"/>
    <w:rsid w:val="2BD60457"/>
    <w:rsid w:val="2C024B86"/>
    <w:rsid w:val="2C927671"/>
    <w:rsid w:val="2D7C5CD6"/>
    <w:rsid w:val="2E483E7E"/>
    <w:rsid w:val="2E690493"/>
    <w:rsid w:val="2E9854BD"/>
    <w:rsid w:val="2F0D407F"/>
    <w:rsid w:val="2F454B19"/>
    <w:rsid w:val="310224D9"/>
    <w:rsid w:val="31B4621C"/>
    <w:rsid w:val="31E3230A"/>
    <w:rsid w:val="330957E0"/>
    <w:rsid w:val="33356F64"/>
    <w:rsid w:val="33944516"/>
    <w:rsid w:val="34B62907"/>
    <w:rsid w:val="36BD137C"/>
    <w:rsid w:val="385D37E7"/>
    <w:rsid w:val="38782EDD"/>
    <w:rsid w:val="39A22EF2"/>
    <w:rsid w:val="39BD539B"/>
    <w:rsid w:val="3B42664A"/>
    <w:rsid w:val="3D836A4E"/>
    <w:rsid w:val="3DA36CC8"/>
    <w:rsid w:val="3EA37E97"/>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A824B10"/>
    <w:rsid w:val="5B634312"/>
    <w:rsid w:val="5B9D2CCD"/>
    <w:rsid w:val="5B9E71EA"/>
    <w:rsid w:val="5E226FBC"/>
    <w:rsid w:val="5FE72BD2"/>
    <w:rsid w:val="60120613"/>
    <w:rsid w:val="618D5292"/>
    <w:rsid w:val="62172A79"/>
    <w:rsid w:val="622E78FA"/>
    <w:rsid w:val="63343F70"/>
    <w:rsid w:val="64296E1C"/>
    <w:rsid w:val="645500C6"/>
    <w:rsid w:val="649E64A2"/>
    <w:rsid w:val="65E5270A"/>
    <w:rsid w:val="663D3C54"/>
    <w:rsid w:val="66862C89"/>
    <w:rsid w:val="66BB486D"/>
    <w:rsid w:val="67394C7D"/>
    <w:rsid w:val="68126B38"/>
    <w:rsid w:val="681945CF"/>
    <w:rsid w:val="68291A1A"/>
    <w:rsid w:val="68352BB8"/>
    <w:rsid w:val="691B1594"/>
    <w:rsid w:val="693A016B"/>
    <w:rsid w:val="6A17429C"/>
    <w:rsid w:val="6A567EA3"/>
    <w:rsid w:val="6B4B4368"/>
    <w:rsid w:val="6B79100E"/>
    <w:rsid w:val="6C844C00"/>
    <w:rsid w:val="6E10212C"/>
    <w:rsid w:val="6E43561A"/>
    <w:rsid w:val="6E557973"/>
    <w:rsid w:val="6E9315D8"/>
    <w:rsid w:val="6E9568DB"/>
    <w:rsid w:val="6F0D6C22"/>
    <w:rsid w:val="6F47657F"/>
    <w:rsid w:val="6FAF23D9"/>
    <w:rsid w:val="70635CF6"/>
    <w:rsid w:val="70670707"/>
    <w:rsid w:val="720E3691"/>
    <w:rsid w:val="724E244C"/>
    <w:rsid w:val="72DA6946"/>
    <w:rsid w:val="732764B3"/>
    <w:rsid w:val="74026044"/>
    <w:rsid w:val="74746410"/>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4264</Words>
  <Characters>4396</Characters>
  <Lines>0</Lines>
  <Paragraphs>0</Paragraphs>
  <TotalTime>5</TotalTime>
  <ScaleCrop>false</ScaleCrop>
  <LinksUpToDate>false</LinksUpToDate>
  <CharactersWithSpaces>4415</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