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8A03F">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4CBF5C67">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4FDC6DE">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C013C3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残保金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5DBFA7B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cs="宋体"/>
          <w:b/>
          <w:bCs/>
          <w:color w:val="auto"/>
          <w:sz w:val="36"/>
          <w:szCs w:val="36"/>
          <w:highlight w:val="none"/>
          <w:shd w:val="clear" w:color="auto" w:fill="auto"/>
          <w:lang w:eastAsia="zh-CN"/>
        </w:rPr>
      </w:pPr>
    </w:p>
    <w:p w14:paraId="026040D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eastAsia="zh-CN"/>
        </w:rPr>
        <w:t>（</w:t>
      </w:r>
      <w:r>
        <w:rPr>
          <w:rFonts w:hint="eastAsia" w:cs="宋体"/>
          <w:b/>
          <w:bCs/>
          <w:color w:val="auto"/>
          <w:sz w:val="36"/>
          <w:szCs w:val="36"/>
          <w:highlight w:val="none"/>
          <w:shd w:val="clear" w:color="auto" w:fill="auto"/>
          <w:lang w:val="en-US" w:eastAsia="zh-CN"/>
        </w:rPr>
        <w:t>2023年度）</w:t>
      </w:r>
    </w:p>
    <w:p w14:paraId="33239A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353839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7DCCF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EEA89B0">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B9CEB9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项目名称：残保金项目</w:t>
      </w:r>
    </w:p>
    <w:p w14:paraId="46983AA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阜康市残疾人联合会</w:t>
      </w:r>
    </w:p>
    <w:p w14:paraId="0CB1D25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昌吉州残疾人联合会</w:t>
      </w:r>
    </w:p>
    <w:p w14:paraId="78839313">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520AD587">
      <w:pPr>
        <w:rPr>
          <w:rFonts w:hint="eastAsia"/>
          <w:color w:val="auto"/>
          <w:highlight w:val="none"/>
          <w:lang w:val="en-US" w:eastAsia="zh-CN"/>
        </w:rPr>
      </w:pPr>
      <w:r>
        <w:rPr>
          <w:rFonts w:hint="eastAsia"/>
          <w:color w:val="auto"/>
          <w:highlight w:val="none"/>
          <w:lang w:val="en-US" w:eastAsia="zh-CN"/>
        </w:rPr>
        <w:br w:type="page"/>
      </w:r>
    </w:p>
    <w:p w14:paraId="14B5929A">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1F657541">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28E2AD6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4A6FB9E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AC3458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6D8AC38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1128AFE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BBD7C2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F054ED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2D0B608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16A918D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5B753F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321983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0F83CD9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705B90E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6701AE9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76B4D38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386490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7BBDFD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0B741EB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20FF138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CB3AA6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400265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7C3D4FEB">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772EE01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残保金</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7499791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2AAA178F">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79990D0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253576AC">
      <w:pPr>
        <w:bidi w:val="0"/>
        <w:rPr>
          <w:rFonts w:hint="eastAsia" w:asciiTheme="minorEastAsia" w:hAnsiTheme="minorEastAsia" w:eastAsiaTheme="minorEastAsia" w:cstheme="minorEastAsia"/>
          <w:b w:val="0"/>
          <w:bCs w:val="0"/>
          <w:color w:val="auto"/>
          <w:sz w:val="28"/>
          <w:szCs w:val="28"/>
          <w:highlight w:val="none"/>
          <w:shd w:val="clear" w:color="auto" w:fill="auto"/>
          <w:lang w:eastAsia="zh-CN"/>
        </w:rPr>
      </w:pPr>
      <w:r>
        <w:rPr>
          <w:rFonts w:hint="eastAsia" w:cs="宋体"/>
          <w:b w:val="0"/>
          <w:bCs w:val="0"/>
          <w:color w:val="auto"/>
          <w:highlight w:val="none"/>
          <w:shd w:val="clear" w:color="auto" w:fill="auto"/>
          <w:lang w:val="en-US" w:eastAsia="zh-CN"/>
        </w:rPr>
        <w:t>阜康市共有各类残疾人6700人，约占总人口的4.25%。截至目前全市持证残疾人4340人，持证率为65%.其中：视力残疾374人，听力残疾502人，言语残疾38人，肢体残疾2408人，智力残疾405人，精神残疾332人，多重残疾281人。我市0-18岁在入学年龄段残疾儿童少年141人（含外地籍11人）。为满足残疾人康复、教育、就业和维权等方面需求，</w:t>
      </w:r>
      <w:r>
        <w:rPr>
          <w:rFonts w:hint="eastAsia" w:asciiTheme="minorEastAsia" w:hAnsiTheme="minorEastAsia" w:eastAsiaTheme="minorEastAsia" w:cstheme="minorEastAsia"/>
          <w:b w:val="0"/>
          <w:bCs w:val="0"/>
          <w:color w:val="auto"/>
          <w:sz w:val="28"/>
          <w:szCs w:val="28"/>
          <w:highlight w:val="none"/>
          <w:shd w:val="clear" w:color="auto" w:fill="auto"/>
          <w:lang w:eastAsia="zh-CN"/>
        </w:rPr>
        <w:t>依照《中华人民共和国残疾人保障法》</w:t>
      </w:r>
      <w:r>
        <w:rPr>
          <w:rFonts w:hint="eastAsia" w:asciiTheme="minorEastAsia" w:hAnsiTheme="minorEastAsia" w:eastAsiaTheme="minorEastAsia" w:cstheme="minorEastAsia"/>
          <w:b w:val="0"/>
          <w:bCs w:val="0"/>
          <w:color w:val="auto"/>
          <w:sz w:val="28"/>
          <w:szCs w:val="28"/>
          <w:highlight w:val="none"/>
          <w:shd w:val="clear" w:color="auto" w:fill="auto"/>
          <w:lang w:val="en-US" w:eastAsia="zh-CN"/>
        </w:rPr>
        <w:t>和</w:t>
      </w:r>
      <w:r>
        <w:rPr>
          <w:rFonts w:hint="eastAsia" w:asciiTheme="minorEastAsia" w:hAnsiTheme="minorEastAsia" w:eastAsiaTheme="minorEastAsia" w:cstheme="minorEastAsia"/>
          <w:b w:val="0"/>
          <w:bCs w:val="0"/>
          <w:color w:val="auto"/>
          <w:sz w:val="28"/>
          <w:szCs w:val="28"/>
          <w:highlight w:val="none"/>
          <w:lang w:eastAsia="zh-CN"/>
        </w:rPr>
        <w:t>《新疆维吾尔自治区残疾人就业保障金征收使用管理办法》的通知（新财非税【</w:t>
      </w:r>
      <w:r>
        <w:rPr>
          <w:rFonts w:hint="eastAsia" w:asciiTheme="minorEastAsia" w:hAnsiTheme="minorEastAsia" w:eastAsiaTheme="minorEastAsia" w:cstheme="minorEastAsia"/>
          <w:b w:val="0"/>
          <w:bCs w:val="0"/>
          <w:color w:val="auto"/>
          <w:sz w:val="28"/>
          <w:szCs w:val="28"/>
          <w:highlight w:val="none"/>
          <w:lang w:val="en-US" w:eastAsia="zh-CN"/>
        </w:rPr>
        <w:t>2016</w:t>
      </w:r>
      <w:r>
        <w:rPr>
          <w:rFonts w:hint="eastAsia" w:asciiTheme="minorEastAsia" w:hAnsiTheme="minorEastAsia" w:eastAsiaTheme="minorEastAsia" w:cstheme="minorEastAsia"/>
          <w:b w:val="0"/>
          <w:bCs w:val="0"/>
          <w:color w:val="auto"/>
          <w:sz w:val="28"/>
          <w:szCs w:val="28"/>
          <w:highlight w:val="none"/>
          <w:lang w:eastAsia="zh-CN"/>
        </w:rPr>
        <w:t>】</w:t>
      </w:r>
      <w:r>
        <w:rPr>
          <w:rFonts w:hint="eastAsia" w:asciiTheme="minorEastAsia" w:hAnsiTheme="minorEastAsia" w:eastAsiaTheme="minorEastAsia" w:cstheme="minorEastAsia"/>
          <w:b w:val="0"/>
          <w:bCs w:val="0"/>
          <w:color w:val="auto"/>
          <w:sz w:val="28"/>
          <w:szCs w:val="28"/>
          <w:highlight w:val="none"/>
          <w:lang w:val="en-US" w:eastAsia="zh-CN"/>
        </w:rPr>
        <w:t>28号</w:t>
      </w:r>
      <w:r>
        <w:rPr>
          <w:rFonts w:hint="eastAsia" w:asciiTheme="minorEastAsia" w:hAnsiTheme="minorEastAsia" w:eastAsiaTheme="minorEastAsia" w:cstheme="minorEastAsia"/>
          <w:b w:val="0"/>
          <w:bCs w:val="0"/>
          <w:color w:val="auto"/>
          <w:sz w:val="28"/>
          <w:szCs w:val="28"/>
          <w:highlight w:val="none"/>
          <w:lang w:eastAsia="zh-CN"/>
        </w:rPr>
        <w:t>）文件精神，结合</w:t>
      </w:r>
      <w:r>
        <w:rPr>
          <w:rFonts w:hint="eastAsia" w:asciiTheme="minorEastAsia" w:hAnsiTheme="minorEastAsia" w:eastAsiaTheme="minorEastAsia" w:cstheme="minorEastAsia"/>
          <w:b w:val="0"/>
          <w:bCs w:val="0"/>
          <w:color w:val="auto"/>
          <w:sz w:val="28"/>
          <w:szCs w:val="28"/>
          <w:highlight w:val="none"/>
          <w:lang w:val="en-US" w:eastAsia="zh-CN"/>
        </w:rPr>
        <w:t>上级残联年度残疾人工作安排部署，为维护好残疾人教育、就业、康复和社会保障等方面基本权益，</w:t>
      </w:r>
      <w:r>
        <w:rPr>
          <w:rFonts w:hint="eastAsia" w:asciiTheme="minorEastAsia" w:hAnsiTheme="minorEastAsia" w:eastAsiaTheme="minorEastAsia" w:cstheme="minorEastAsia"/>
          <w:b w:val="0"/>
          <w:bCs w:val="0"/>
          <w:color w:val="auto"/>
          <w:sz w:val="28"/>
          <w:szCs w:val="28"/>
          <w:highlight w:val="none"/>
          <w:shd w:val="clear" w:color="auto" w:fill="auto"/>
          <w:lang w:val="en-US" w:eastAsia="zh-CN"/>
        </w:rPr>
        <w:t>保障残疾人工作运行</w:t>
      </w:r>
      <w:r>
        <w:rPr>
          <w:rFonts w:hint="eastAsia" w:asciiTheme="minorEastAsia" w:hAnsiTheme="minorEastAsia" w:eastAsiaTheme="minorEastAsia" w:cstheme="minorEastAsia"/>
          <w:b w:val="0"/>
          <w:bCs w:val="0"/>
          <w:color w:val="auto"/>
          <w:sz w:val="28"/>
          <w:szCs w:val="28"/>
          <w:highlight w:val="none"/>
          <w:shd w:val="clear" w:color="auto" w:fill="auto"/>
          <w:lang w:eastAsia="zh-CN"/>
        </w:rPr>
        <w:t>，</w:t>
      </w:r>
      <w:r>
        <w:rPr>
          <w:rFonts w:hint="eastAsia" w:asciiTheme="minorEastAsia" w:hAnsiTheme="minorEastAsia" w:eastAsiaTheme="minorEastAsia" w:cstheme="minorEastAsia"/>
          <w:b w:val="0"/>
          <w:bCs w:val="0"/>
          <w:color w:val="auto"/>
          <w:sz w:val="28"/>
          <w:szCs w:val="28"/>
          <w:highlight w:val="none"/>
          <w:lang w:val="en-US" w:eastAsia="zh-CN"/>
        </w:rPr>
        <w:t>切实推动我市残疾人事业持续、健康、有序发展，</w:t>
      </w:r>
      <w:r>
        <w:rPr>
          <w:rFonts w:hint="eastAsia" w:asciiTheme="minorEastAsia" w:hAnsiTheme="minorEastAsia" w:eastAsiaTheme="minorEastAsia" w:cstheme="minorEastAsia"/>
          <w:b w:val="0"/>
          <w:bCs w:val="0"/>
          <w:color w:val="auto"/>
          <w:sz w:val="28"/>
          <w:szCs w:val="28"/>
          <w:highlight w:val="none"/>
          <w:shd w:val="clear" w:color="auto" w:fill="auto"/>
          <w:lang w:eastAsia="zh-CN"/>
        </w:rPr>
        <w:t>设立本项目。</w:t>
      </w:r>
      <w:bookmarkStart w:id="5" w:name="_Toc27343"/>
    </w:p>
    <w:p w14:paraId="645460B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2.主要内容及实施情况</w:t>
      </w:r>
      <w:bookmarkEnd w:id="5"/>
      <w:bookmarkStart w:id="6" w:name="_Toc16592"/>
    </w:p>
    <w:p w14:paraId="39C311AF">
      <w:pPr>
        <w:numPr>
          <w:ilvl w:val="0"/>
          <w:numId w:val="0"/>
        </w:numPr>
        <w:bidi w:val="0"/>
        <w:ind w:firstLine="560" w:firstLineChars="200"/>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宣传、贯彻、落实国家法律、法规、严格执法，保障残疾人合法权利；听取残疾人意见，反映残疾人需求，维护残疾人权益，为残疾人服务；团结、教育残疾人，遵守法律，履行应尽义务；保障残疾人工作运行所需人员工资及社保，以切实增强为残疾人服务水平，提升贫困残疾人生活水平。截至2023年12月31日，本项目完成保障残疾人工作运行人员工资及社保人数12人，保障残疾人工作运行人员工资及社保发放完成率达到100﹪,资金支付及时率达到100﹪，达到了提升贫困残疾人生活水平，保障残疾人工作运行人员工资及社保，增强服务水平的效益。</w:t>
      </w:r>
      <w:bookmarkEnd w:id="6"/>
    </w:p>
    <w:p w14:paraId="416F9A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阜康市委财经委（阜财经办字【2023】58号）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阜康市残联财经</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宋刚</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孙瑞宝</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项目负责人为孙瑞宝,</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马瑞华</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李睿、周海英、贾建红、李翔</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贾建红</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马瑞华、李睿、周海英</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李翔</w:t>
      </w:r>
      <w:r>
        <w:rPr>
          <w:rFonts w:hint="eastAsia" w:ascii="宋体" w:hAnsi="宋体" w:eastAsia="宋体" w:cs="宋体"/>
          <w:color w:val="auto"/>
          <w:highlight w:val="none"/>
          <w:shd w:val="clear" w:color="auto" w:fill="auto"/>
          <w:lang w:val="en-US" w:eastAsia="zh-CN"/>
        </w:rPr>
        <w:t>负责资金拨付工作。</w:t>
      </w:r>
    </w:p>
    <w:p w14:paraId="58345953">
      <w:pPr>
        <w:pStyle w:val="6"/>
        <w:rPr>
          <w:rFonts w:hint="default" w:eastAsia="宋体"/>
          <w:color w:val="auto"/>
          <w:highlight w:val="none"/>
          <w:u w:val="none"/>
          <w:lang w:val="en-US" w:eastAsia="zh-CN"/>
        </w:rPr>
      </w:pPr>
      <w:r>
        <w:rPr>
          <w:rFonts w:hint="eastAsia"/>
          <w:color w:val="auto"/>
          <w:highlight w:val="none"/>
          <w:u w:val="none"/>
          <w:lang w:val="en-US" w:eastAsia="zh-CN"/>
        </w:rPr>
        <w:t>通过实施本项目，完成保障残疾人康复、就业、社会保障和维权等残疾人工作持续健康运行运转；完成</w:t>
      </w:r>
      <w:r>
        <w:rPr>
          <w:rFonts w:hint="eastAsia" w:ascii="宋体" w:hAnsi="宋体" w:eastAsia="宋体" w:cs="宋体"/>
          <w:color w:val="auto"/>
          <w:highlight w:val="none"/>
          <w:u w:val="none"/>
          <w:shd w:val="clear" w:color="auto" w:fill="auto"/>
          <w:lang w:val="en-US" w:eastAsia="zh-CN"/>
        </w:rPr>
        <w:t>保障</w:t>
      </w:r>
      <w:r>
        <w:rPr>
          <w:rFonts w:hint="eastAsia" w:cs="宋体"/>
          <w:color w:val="auto"/>
          <w:highlight w:val="none"/>
          <w:u w:val="none"/>
          <w:shd w:val="clear" w:color="auto" w:fill="auto"/>
          <w:lang w:val="en-US" w:eastAsia="zh-CN"/>
        </w:rPr>
        <w:t>12名残疾人就业、康复、维权专干</w:t>
      </w:r>
      <w:r>
        <w:rPr>
          <w:rFonts w:hint="eastAsia" w:ascii="宋体" w:hAnsi="宋体" w:eastAsia="宋体" w:cs="宋体"/>
          <w:color w:val="auto"/>
          <w:highlight w:val="none"/>
          <w:u w:val="none"/>
          <w:shd w:val="clear" w:color="auto" w:fill="auto"/>
          <w:lang w:val="en-US" w:eastAsia="zh-CN"/>
        </w:rPr>
        <w:t>工资社保</w:t>
      </w:r>
      <w:r>
        <w:rPr>
          <w:rFonts w:hint="eastAsia" w:cs="宋体"/>
          <w:color w:val="auto"/>
          <w:highlight w:val="none"/>
          <w:u w:val="none"/>
          <w:shd w:val="clear" w:color="auto" w:fill="auto"/>
          <w:lang w:val="en-US" w:eastAsia="zh-CN"/>
        </w:rPr>
        <w:t>。</w:t>
      </w:r>
    </w:p>
    <w:p w14:paraId="74E0CF3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6DDB23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02D504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2023年阜康市残保金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96.05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金96.05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96.05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05363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6612485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截至2023年12月31日，残保金</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96.05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olor w:val="auto"/>
          <w:highlight w:val="none"/>
          <w:lang w:val="en-US" w:eastAsia="zh-CN"/>
        </w:rPr>
        <w:t>保障残疾人康复、就业、社会保障和维权等残疾人工作持续健康运行运转，完成12位</w:t>
      </w:r>
      <w:r>
        <w:rPr>
          <w:rFonts w:hint="eastAsia" w:ascii="宋体" w:hAnsi="宋体" w:eastAsia="宋体" w:cs="宋体"/>
          <w:color w:val="auto"/>
          <w:highlight w:val="none"/>
          <w:shd w:val="clear" w:color="auto" w:fill="auto"/>
          <w:lang w:val="en-US" w:eastAsia="zh-CN"/>
        </w:rPr>
        <w:t>保障</w:t>
      </w:r>
      <w:r>
        <w:rPr>
          <w:rFonts w:hint="eastAsia" w:cs="宋体"/>
          <w:color w:val="auto"/>
          <w:highlight w:val="none"/>
          <w:shd w:val="clear" w:color="auto" w:fill="auto"/>
          <w:lang w:val="en-US" w:eastAsia="zh-CN"/>
        </w:rPr>
        <w:t>残疾人就业、康复、维权专干</w:t>
      </w:r>
      <w:r>
        <w:rPr>
          <w:rFonts w:hint="eastAsia" w:ascii="宋体" w:hAnsi="宋体" w:eastAsia="宋体" w:cs="宋体"/>
          <w:color w:val="auto"/>
          <w:highlight w:val="none"/>
          <w:shd w:val="clear" w:color="auto" w:fill="auto"/>
          <w:lang w:val="en-US" w:eastAsia="zh-CN"/>
        </w:rPr>
        <w:t>工资社保</w:t>
      </w:r>
      <w:r>
        <w:rPr>
          <w:rFonts w:hint="eastAsia" w:cs="宋体"/>
          <w:color w:val="auto"/>
          <w:highlight w:val="none"/>
          <w:shd w:val="clear" w:color="auto" w:fill="auto"/>
          <w:lang w:val="en-US" w:eastAsia="zh-CN"/>
        </w:rPr>
        <w:t>等方面。</w:t>
      </w:r>
    </w:p>
    <w:p w14:paraId="2678AB33">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06020C0E">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599578B7">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残保金项目绩效总体目标为：宣传、贯彻、落实国家法律、法规、严格执法，保障残疾人合法权利，听取残疾人意见，反映残疾人需求，维护残疾人权益，为残疾人服务；团结、教育残疾人，遵守法律，履行应尽义务。2023年预计完成保障残疾人工作运行人员工资及社保人数12人，保障残疾人工作运行人员工资及社保发放完成率达到100﹪，增强服务残疾人意识，提升贫困残疾人生活水平。</w:t>
      </w:r>
    </w:p>
    <w:p w14:paraId="02BD1C08">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32A54AE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2BB40E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EA893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6CB655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保障残疾人工作运行人员工资及社保人数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为≧12人；</w:t>
      </w:r>
    </w:p>
    <w:p w14:paraId="5581E2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6866AD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保障残疾人工作运行人员工资及社保发放完成率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0F1C5B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522B0F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1AABC0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olor w:val="auto"/>
          <w:highlight w:val="none"/>
          <w:lang w:val="en-US" w:eastAsia="zh-CN"/>
        </w:rPr>
        <w:t>项目工作完成时限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olor w:val="auto"/>
          <w:highlight w:val="none"/>
          <w:lang w:val="en-US" w:eastAsia="zh-CN"/>
        </w:rPr>
        <w:t>2023年12月</w:t>
      </w:r>
      <w:r>
        <w:rPr>
          <w:rFonts w:hint="eastAsia" w:ascii="宋体" w:hAnsi="宋体" w:eastAsia="宋体" w:cs="宋体"/>
          <w:color w:val="auto"/>
          <w:highlight w:val="none"/>
          <w:shd w:val="clear" w:color="auto" w:fill="auto"/>
          <w:lang w:val="en-US" w:eastAsia="zh-CN"/>
        </w:rPr>
        <w:t>；</w:t>
      </w:r>
    </w:p>
    <w:p w14:paraId="2BACA0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（2）项目</w:t>
      </w:r>
      <w:r>
        <w:rPr>
          <w:rFonts w:hint="eastAsia" w:ascii="宋体" w:hAnsi="宋体" w:eastAsia="宋体" w:cs="宋体"/>
          <w:color w:val="auto"/>
          <w:highlight w:val="none"/>
          <w:shd w:val="clear" w:color="auto" w:fill="auto"/>
          <w:lang w:val="en-US" w:eastAsia="zh-CN"/>
        </w:rPr>
        <w:t>成本指标</w:t>
      </w:r>
    </w:p>
    <w:p w14:paraId="1ED2A5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残疾人工作运行经费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为≤17.5万元；</w:t>
      </w:r>
    </w:p>
    <w:p w14:paraId="703061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保障残疾人工作运行人员工资及社保发放额</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为≤72.5万元；</w:t>
      </w:r>
    </w:p>
    <w:p w14:paraId="6404AC4D">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320F007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0CD3400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（本项目不存在经济效益）</w:t>
      </w:r>
      <w:r>
        <w:rPr>
          <w:rFonts w:hint="eastAsia" w:ascii="宋体" w:hAnsi="宋体" w:eastAsia="宋体" w:cs="宋体"/>
          <w:color w:val="auto"/>
          <w:highlight w:val="none"/>
          <w:shd w:val="clear" w:color="auto" w:fill="auto"/>
          <w:lang w:val="en-US" w:eastAsia="zh-CN"/>
        </w:rPr>
        <w:t>；</w:t>
      </w:r>
    </w:p>
    <w:p w14:paraId="3C5822A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7BD8A6D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提升贫困残疾人生活水平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为有所提高；</w:t>
      </w:r>
    </w:p>
    <w:p w14:paraId="4A2423E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保障残疾人工作运行人员工资及社保，增强服务水平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为长期；</w:t>
      </w:r>
    </w:p>
    <w:p w14:paraId="0E46A98C">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3C7BC7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（本项目不存在生态效益指标）</w:t>
      </w:r>
      <w:r>
        <w:rPr>
          <w:rFonts w:hint="eastAsia" w:ascii="宋体" w:hAnsi="宋体" w:eastAsia="宋体" w:cs="宋体"/>
          <w:color w:val="auto"/>
          <w:highlight w:val="none"/>
          <w:shd w:val="clear" w:color="auto" w:fill="auto"/>
          <w:lang w:val="en-US" w:eastAsia="zh-CN"/>
        </w:rPr>
        <w:t>；</w:t>
      </w:r>
    </w:p>
    <w:p w14:paraId="48B6503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05B9E61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（本项目不存在可持续影响指标）</w:t>
      </w:r>
      <w:r>
        <w:rPr>
          <w:rFonts w:hint="eastAsia" w:ascii="宋体" w:hAnsi="宋体" w:eastAsia="宋体" w:cs="宋体"/>
          <w:color w:val="auto"/>
          <w:highlight w:val="none"/>
          <w:shd w:val="clear" w:color="auto" w:fill="auto"/>
          <w:lang w:val="en-US" w:eastAsia="zh-CN"/>
        </w:rPr>
        <w:t>；</w:t>
      </w:r>
    </w:p>
    <w:p w14:paraId="38C061E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6847566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（本项目不存在满意度指标）</w:t>
      </w:r>
      <w:r>
        <w:rPr>
          <w:rFonts w:hint="eastAsia" w:ascii="宋体" w:hAnsi="宋体" w:eastAsia="宋体" w:cs="宋体"/>
          <w:color w:val="auto"/>
          <w:highlight w:val="none"/>
          <w:shd w:val="clear" w:color="auto" w:fill="auto"/>
          <w:lang w:val="en-US" w:eastAsia="zh-CN"/>
        </w:rPr>
        <w:t>；</w:t>
      </w:r>
      <w:bookmarkStart w:id="11" w:name="_Toc2549"/>
    </w:p>
    <w:p w14:paraId="0B2C600C">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绩效评价工作开展情况</w:t>
      </w:r>
      <w:bookmarkEnd w:id="11"/>
      <w:bookmarkStart w:id="12" w:name="_Toc26632"/>
      <w:bookmarkStart w:id="13" w:name="_Toc480473081"/>
      <w:bookmarkStart w:id="14" w:name="_Toc22169_WPSOffice_Level2"/>
      <w:bookmarkStart w:id="15" w:name="_Toc21664"/>
      <w:bookmarkStart w:id="16" w:name="_Toc22922"/>
      <w:bookmarkStart w:id="17" w:name="_Toc5258"/>
      <w:bookmarkStart w:id="18" w:name="_Toc12868"/>
      <w:bookmarkStart w:id="19" w:name="_Toc5462343"/>
      <w:bookmarkStart w:id="20" w:name="_Toc21778"/>
    </w:p>
    <w:p w14:paraId="68A501FD">
      <w:pPr>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eastAsia="zh-CN"/>
        </w:rPr>
      </w:pPr>
      <w:r>
        <w:rPr>
          <w:rFonts w:hint="eastAsia"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一</w:t>
      </w:r>
      <w:r>
        <w:rPr>
          <w:rFonts w:hint="eastAsia"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69A7FAAE">
      <w:pPr>
        <w:pStyle w:val="5"/>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0CBA0E9">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6FCF5688">
      <w:pPr>
        <w:pStyle w:val="5"/>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761457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残保金</w:t>
      </w:r>
      <w:r>
        <w:rPr>
          <w:rFonts w:hint="eastAsia" w:ascii="宋体" w:hAnsi="宋体" w:eastAsia="宋体" w:cs="宋体"/>
          <w:color w:val="auto"/>
          <w:highlight w:val="none"/>
          <w:shd w:val="clear" w:color="auto" w:fill="auto"/>
          <w:lang w:val="en-US" w:eastAsia="zh-CN"/>
        </w:rPr>
        <w:t>项目开展部门绩效评价。</w:t>
      </w:r>
    </w:p>
    <w:p w14:paraId="40EB96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451DF711">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66D3BB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5127E3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残保金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项目实际开展情况，运用定量和定性分析相结合的方法，总结经验做法，反思项目实施和管理中的问题，以切实提升财政资金管理的科学化、规范化和精细化水平。根据以上原则，绩效评价应遵循如下要求：</w:t>
      </w:r>
    </w:p>
    <w:p w14:paraId="676868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绩效评价应当运用科学合理的方法，按照规范的程序，对项目绩效进行客观、公正的反映。</w:t>
      </w:r>
    </w:p>
    <w:p w14:paraId="5E5A4A9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单位自评、部门评价和财政评价应职责明确，各有侧重，相互衔接。单位自评应由项目单位自主实施，即“谁支出、谁自评”。</w:t>
      </w:r>
    </w:p>
    <w:p w14:paraId="2D9D9BC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绩效评价结果应与预算安排、政策调整、改进管理实质性挂钩，体现奖优罚劣和激励相容导向，有效要安排、低效要压减、无效要问责。</w:t>
      </w:r>
    </w:p>
    <w:p w14:paraId="090820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绩效评价结果应依法依规公开，并自觉接受社会监督。</w:t>
      </w:r>
    </w:p>
    <w:p w14:paraId="0E307A8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26131"/>
      <w:bookmarkStart w:id="27" w:name="_Toc428278230"/>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0555B5B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54AB218C">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0F2245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tcBorders>
              <w:tl2br w:val="nil"/>
              <w:tr2bl w:val="nil"/>
            </w:tcBorders>
            <w:shd w:val="clear" w:color="auto" w:fill="auto"/>
            <w:vAlign w:val="center"/>
          </w:tcPr>
          <w:p w14:paraId="055197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tcBorders>
              <w:tl2br w:val="nil"/>
              <w:tr2bl w:val="nil"/>
            </w:tcBorders>
            <w:shd w:val="clear" w:color="auto" w:fill="auto"/>
            <w:vAlign w:val="center"/>
          </w:tcPr>
          <w:p w14:paraId="704AC7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tcBorders>
              <w:tl2br w:val="nil"/>
              <w:tr2bl w:val="nil"/>
            </w:tcBorders>
            <w:shd w:val="clear" w:color="auto" w:fill="auto"/>
            <w:vAlign w:val="center"/>
          </w:tcPr>
          <w:p w14:paraId="6F3B52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tcBorders>
              <w:tl2br w:val="nil"/>
              <w:tr2bl w:val="nil"/>
            </w:tcBorders>
            <w:shd w:val="clear" w:color="auto" w:fill="auto"/>
            <w:vAlign w:val="center"/>
          </w:tcPr>
          <w:p w14:paraId="4F828A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tcBorders>
              <w:tl2br w:val="nil"/>
              <w:tr2bl w:val="nil"/>
            </w:tcBorders>
            <w:shd w:val="clear" w:color="auto" w:fill="auto"/>
            <w:vAlign w:val="center"/>
          </w:tcPr>
          <w:p w14:paraId="158A64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1C16D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tcBorders>
              <w:tl2br w:val="nil"/>
              <w:tr2bl w:val="nil"/>
            </w:tcBorders>
            <w:shd w:val="clear" w:color="auto" w:fill="auto"/>
            <w:vAlign w:val="center"/>
          </w:tcPr>
          <w:p w14:paraId="202B00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tcBorders>
              <w:tl2br w:val="nil"/>
              <w:tr2bl w:val="nil"/>
            </w:tcBorders>
            <w:shd w:val="clear" w:color="auto" w:fill="auto"/>
            <w:vAlign w:val="center"/>
          </w:tcPr>
          <w:p w14:paraId="77ECF2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tcBorders>
              <w:tl2br w:val="nil"/>
              <w:tr2bl w:val="nil"/>
            </w:tcBorders>
            <w:shd w:val="clear" w:color="auto" w:fill="auto"/>
            <w:vAlign w:val="center"/>
          </w:tcPr>
          <w:p w14:paraId="5BC0AA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0278D9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tcBorders>
              <w:tl2br w:val="nil"/>
              <w:tr2bl w:val="nil"/>
            </w:tcBorders>
            <w:shd w:val="clear" w:color="auto" w:fill="auto"/>
            <w:vAlign w:val="center"/>
          </w:tcPr>
          <w:p w14:paraId="047762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tcBorders>
              <w:tl2br w:val="nil"/>
              <w:tr2bl w:val="nil"/>
            </w:tcBorders>
            <w:shd w:val="clear" w:color="auto" w:fill="auto"/>
            <w:vAlign w:val="center"/>
          </w:tcPr>
          <w:p w14:paraId="779D735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670CFE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20562D7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37CBAB2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38A39D1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552DA34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30E24F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tcBorders>
              <w:tl2br w:val="nil"/>
              <w:tr2bl w:val="nil"/>
            </w:tcBorders>
            <w:shd w:val="clear" w:color="auto" w:fill="auto"/>
            <w:vAlign w:val="center"/>
          </w:tcPr>
          <w:p w14:paraId="36A7D1E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7ACD8B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1C511E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D7807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tcBorders>
              <w:tl2br w:val="nil"/>
              <w:tr2bl w:val="nil"/>
            </w:tcBorders>
            <w:shd w:val="clear" w:color="auto" w:fill="auto"/>
            <w:vAlign w:val="center"/>
          </w:tcPr>
          <w:p w14:paraId="28137D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tcBorders>
              <w:tl2br w:val="nil"/>
              <w:tr2bl w:val="nil"/>
            </w:tcBorders>
            <w:shd w:val="clear" w:color="auto" w:fill="auto"/>
            <w:vAlign w:val="center"/>
          </w:tcPr>
          <w:p w14:paraId="546C57E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D44110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5BCB240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025F107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9DD4A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tcBorders>
              <w:tl2br w:val="nil"/>
              <w:tr2bl w:val="nil"/>
            </w:tcBorders>
            <w:shd w:val="clear" w:color="auto" w:fill="auto"/>
            <w:vAlign w:val="center"/>
          </w:tcPr>
          <w:p w14:paraId="42FA74E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tcBorders>
              <w:tl2br w:val="nil"/>
              <w:tr2bl w:val="nil"/>
            </w:tcBorders>
            <w:shd w:val="clear" w:color="auto" w:fill="auto"/>
            <w:vAlign w:val="center"/>
          </w:tcPr>
          <w:p w14:paraId="020B5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tcBorders>
              <w:tl2br w:val="nil"/>
              <w:tr2bl w:val="nil"/>
            </w:tcBorders>
            <w:shd w:val="clear" w:color="auto" w:fill="auto"/>
            <w:vAlign w:val="center"/>
          </w:tcPr>
          <w:p w14:paraId="0CB597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700D6C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tcBorders>
              <w:tl2br w:val="nil"/>
              <w:tr2bl w:val="nil"/>
            </w:tcBorders>
            <w:shd w:val="clear" w:color="auto" w:fill="auto"/>
            <w:vAlign w:val="center"/>
          </w:tcPr>
          <w:p w14:paraId="1F53D2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tcBorders>
              <w:tl2br w:val="nil"/>
              <w:tr2bl w:val="nil"/>
            </w:tcBorders>
            <w:shd w:val="clear" w:color="auto" w:fill="auto"/>
            <w:vAlign w:val="center"/>
          </w:tcPr>
          <w:p w14:paraId="7BC5ED8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FE1FF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7E4F868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EF447C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469A1C9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4074C1B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6FE806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tcBorders>
              <w:tl2br w:val="nil"/>
              <w:tr2bl w:val="nil"/>
            </w:tcBorders>
            <w:shd w:val="clear" w:color="auto" w:fill="auto"/>
            <w:vAlign w:val="center"/>
          </w:tcPr>
          <w:p w14:paraId="737A66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4B07DF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2E60FE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110BC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tcBorders>
              <w:tl2br w:val="nil"/>
              <w:tr2bl w:val="nil"/>
            </w:tcBorders>
            <w:shd w:val="clear" w:color="auto" w:fill="auto"/>
            <w:vAlign w:val="center"/>
          </w:tcPr>
          <w:p w14:paraId="3F22E5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tcBorders>
              <w:tl2br w:val="nil"/>
              <w:tr2bl w:val="nil"/>
            </w:tcBorders>
            <w:shd w:val="clear" w:color="auto" w:fill="auto"/>
            <w:vAlign w:val="center"/>
          </w:tcPr>
          <w:p w14:paraId="1631FE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764D3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5E8F7C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331387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9449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tcBorders>
              <w:tl2br w:val="nil"/>
              <w:tr2bl w:val="nil"/>
            </w:tcBorders>
            <w:shd w:val="clear" w:color="auto" w:fill="auto"/>
            <w:vAlign w:val="center"/>
          </w:tcPr>
          <w:p w14:paraId="1910FAC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tcBorders>
              <w:tl2br w:val="nil"/>
              <w:tr2bl w:val="nil"/>
            </w:tcBorders>
            <w:shd w:val="clear" w:color="auto" w:fill="auto"/>
            <w:vAlign w:val="center"/>
          </w:tcPr>
          <w:p w14:paraId="7164CB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tcBorders>
              <w:tl2br w:val="nil"/>
              <w:tr2bl w:val="nil"/>
            </w:tcBorders>
            <w:shd w:val="clear" w:color="auto" w:fill="auto"/>
            <w:vAlign w:val="center"/>
          </w:tcPr>
          <w:p w14:paraId="5A14BE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6CA477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tcBorders>
              <w:tl2br w:val="nil"/>
              <w:tr2bl w:val="nil"/>
            </w:tcBorders>
            <w:shd w:val="clear" w:color="auto" w:fill="auto"/>
            <w:vAlign w:val="center"/>
          </w:tcPr>
          <w:p w14:paraId="2B26CA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tcBorders>
              <w:tl2br w:val="nil"/>
              <w:tr2bl w:val="nil"/>
            </w:tcBorders>
            <w:shd w:val="clear" w:color="auto" w:fill="auto"/>
            <w:vAlign w:val="center"/>
          </w:tcPr>
          <w:p w14:paraId="5427DB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00F3D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1A8866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2C2DA44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5D7440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38AE9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tcBorders>
              <w:tl2br w:val="nil"/>
              <w:tr2bl w:val="nil"/>
            </w:tcBorders>
            <w:shd w:val="clear" w:color="auto" w:fill="auto"/>
            <w:vAlign w:val="center"/>
          </w:tcPr>
          <w:p w14:paraId="650BBD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49ED6D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6EAFCC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31E81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tcBorders>
              <w:tl2br w:val="nil"/>
              <w:tr2bl w:val="nil"/>
            </w:tcBorders>
            <w:shd w:val="clear" w:color="auto" w:fill="auto"/>
            <w:vAlign w:val="center"/>
          </w:tcPr>
          <w:p w14:paraId="2A58D5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tcBorders>
              <w:tl2br w:val="nil"/>
              <w:tr2bl w:val="nil"/>
            </w:tcBorders>
            <w:shd w:val="clear" w:color="auto" w:fill="auto"/>
            <w:vAlign w:val="center"/>
          </w:tcPr>
          <w:p w14:paraId="23BF91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EBF52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2CB4A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7C03A2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tcBorders>
              <w:tl2br w:val="nil"/>
              <w:tr2bl w:val="nil"/>
            </w:tcBorders>
            <w:shd w:val="clear" w:color="auto" w:fill="auto"/>
            <w:vAlign w:val="center"/>
          </w:tcPr>
          <w:p w14:paraId="475128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tcBorders>
              <w:tl2br w:val="nil"/>
              <w:tr2bl w:val="nil"/>
            </w:tcBorders>
            <w:shd w:val="clear" w:color="auto" w:fill="auto"/>
            <w:vAlign w:val="center"/>
          </w:tcPr>
          <w:p w14:paraId="7F4516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tcBorders>
              <w:tl2br w:val="nil"/>
              <w:tr2bl w:val="nil"/>
            </w:tcBorders>
            <w:shd w:val="clear" w:color="auto" w:fill="auto"/>
            <w:vAlign w:val="center"/>
          </w:tcPr>
          <w:p w14:paraId="630A0B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tcBorders>
              <w:tl2br w:val="nil"/>
              <w:tr2bl w:val="nil"/>
            </w:tcBorders>
            <w:shd w:val="clear" w:color="auto" w:fill="auto"/>
            <w:vAlign w:val="center"/>
          </w:tcPr>
          <w:p w14:paraId="76673F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tcBorders>
              <w:tl2br w:val="nil"/>
              <w:tr2bl w:val="nil"/>
            </w:tcBorders>
            <w:shd w:val="clear" w:color="auto" w:fill="auto"/>
            <w:vAlign w:val="center"/>
          </w:tcPr>
          <w:p w14:paraId="60FF38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4F2136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01FB20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3C68AA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tcBorders>
              <w:tl2br w:val="nil"/>
              <w:tr2bl w:val="nil"/>
            </w:tcBorders>
            <w:shd w:val="clear" w:color="auto" w:fill="auto"/>
            <w:vAlign w:val="center"/>
          </w:tcPr>
          <w:p w14:paraId="1FD0D4B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35F8969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3A0910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tcBorders>
              <w:tl2br w:val="nil"/>
              <w:tr2bl w:val="nil"/>
            </w:tcBorders>
            <w:shd w:val="clear" w:color="auto" w:fill="auto"/>
            <w:vAlign w:val="center"/>
          </w:tcPr>
          <w:p w14:paraId="4D041D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tcBorders>
              <w:tl2br w:val="nil"/>
              <w:tr2bl w:val="nil"/>
            </w:tcBorders>
            <w:shd w:val="clear" w:color="auto" w:fill="auto"/>
            <w:vAlign w:val="center"/>
          </w:tcPr>
          <w:p w14:paraId="2DA281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8B2F6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68265E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tcBorders>
              <w:tl2br w:val="nil"/>
              <w:tr2bl w:val="nil"/>
            </w:tcBorders>
            <w:shd w:val="clear" w:color="auto" w:fill="auto"/>
            <w:vAlign w:val="center"/>
          </w:tcPr>
          <w:p w14:paraId="3FAE6B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5DECD0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444FF7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08B0D9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tcBorders>
              <w:tl2br w:val="nil"/>
              <w:tr2bl w:val="nil"/>
            </w:tcBorders>
            <w:shd w:val="clear" w:color="auto" w:fill="auto"/>
            <w:vAlign w:val="center"/>
          </w:tcPr>
          <w:p w14:paraId="321874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tcBorders>
              <w:tl2br w:val="nil"/>
              <w:tr2bl w:val="nil"/>
            </w:tcBorders>
            <w:shd w:val="clear" w:color="auto" w:fill="auto"/>
            <w:vAlign w:val="center"/>
          </w:tcPr>
          <w:p w14:paraId="578ABB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AA31E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398DC6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6BA354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07165D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46126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tcBorders>
              <w:tl2br w:val="nil"/>
              <w:tr2bl w:val="nil"/>
            </w:tcBorders>
            <w:shd w:val="clear" w:color="auto" w:fill="auto"/>
            <w:vAlign w:val="center"/>
          </w:tcPr>
          <w:p w14:paraId="4EEE0EE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tcBorders>
              <w:tl2br w:val="nil"/>
              <w:tr2bl w:val="nil"/>
            </w:tcBorders>
            <w:shd w:val="clear" w:color="auto" w:fill="auto"/>
            <w:vAlign w:val="center"/>
          </w:tcPr>
          <w:p w14:paraId="4EC333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tcBorders>
              <w:tl2br w:val="nil"/>
              <w:tr2bl w:val="nil"/>
            </w:tcBorders>
            <w:shd w:val="clear" w:color="auto" w:fill="auto"/>
            <w:vAlign w:val="center"/>
          </w:tcPr>
          <w:p w14:paraId="6C98C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3A7065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tcBorders>
              <w:tl2br w:val="nil"/>
              <w:tr2bl w:val="nil"/>
            </w:tcBorders>
            <w:shd w:val="clear" w:color="auto" w:fill="auto"/>
            <w:vAlign w:val="center"/>
          </w:tcPr>
          <w:p w14:paraId="287C3E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tcBorders>
              <w:tl2br w:val="nil"/>
              <w:tr2bl w:val="nil"/>
            </w:tcBorders>
            <w:shd w:val="clear" w:color="auto" w:fill="auto"/>
            <w:vAlign w:val="center"/>
          </w:tcPr>
          <w:p w14:paraId="59FABB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8A3F1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5DA160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22CC1D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tcBorders>
              <w:tl2br w:val="nil"/>
              <w:tr2bl w:val="nil"/>
            </w:tcBorders>
            <w:shd w:val="clear" w:color="auto" w:fill="auto"/>
            <w:vAlign w:val="center"/>
          </w:tcPr>
          <w:p w14:paraId="728B38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6B5D69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3892AC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E0A59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tcBorders>
              <w:tl2br w:val="nil"/>
              <w:tr2bl w:val="nil"/>
            </w:tcBorders>
            <w:shd w:val="clear" w:color="auto" w:fill="auto"/>
            <w:vAlign w:val="center"/>
          </w:tcPr>
          <w:p w14:paraId="68278C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tcBorders>
              <w:tl2br w:val="nil"/>
              <w:tr2bl w:val="nil"/>
            </w:tcBorders>
            <w:shd w:val="clear" w:color="auto" w:fill="auto"/>
            <w:vAlign w:val="center"/>
          </w:tcPr>
          <w:p w14:paraId="503CD5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1B02E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2661BE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69E9D9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2028C1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43FF88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tcBorders>
              <w:tl2br w:val="nil"/>
              <w:tr2bl w:val="nil"/>
            </w:tcBorders>
            <w:shd w:val="clear" w:color="auto" w:fill="auto"/>
            <w:vAlign w:val="center"/>
          </w:tcPr>
          <w:p w14:paraId="3E0CB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tcBorders>
              <w:tl2br w:val="nil"/>
              <w:tr2bl w:val="nil"/>
            </w:tcBorders>
            <w:shd w:val="clear" w:color="auto" w:fill="auto"/>
            <w:vAlign w:val="center"/>
          </w:tcPr>
          <w:p w14:paraId="275F8B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tcBorders>
              <w:tl2br w:val="nil"/>
              <w:tr2bl w:val="nil"/>
            </w:tcBorders>
            <w:shd w:val="clear" w:color="auto" w:fill="auto"/>
            <w:vAlign w:val="center"/>
          </w:tcPr>
          <w:p w14:paraId="56DF92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tcBorders>
              <w:tl2br w:val="nil"/>
              <w:tr2bl w:val="nil"/>
            </w:tcBorders>
            <w:shd w:val="clear" w:color="auto" w:fill="auto"/>
            <w:vAlign w:val="center"/>
          </w:tcPr>
          <w:p w14:paraId="3BE247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tcBorders>
              <w:tl2br w:val="nil"/>
              <w:tr2bl w:val="nil"/>
            </w:tcBorders>
            <w:shd w:val="clear" w:color="auto" w:fill="auto"/>
            <w:vAlign w:val="center"/>
          </w:tcPr>
          <w:p w14:paraId="48369A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6E3A5D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504749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31B75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tcBorders>
              <w:tl2br w:val="nil"/>
              <w:tr2bl w:val="nil"/>
            </w:tcBorders>
            <w:shd w:val="clear" w:color="auto" w:fill="auto"/>
            <w:vAlign w:val="center"/>
          </w:tcPr>
          <w:p w14:paraId="64D96B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tcBorders>
              <w:tl2br w:val="nil"/>
              <w:tr2bl w:val="nil"/>
            </w:tcBorders>
            <w:shd w:val="clear" w:color="auto" w:fill="auto"/>
            <w:vAlign w:val="center"/>
          </w:tcPr>
          <w:p w14:paraId="572726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tcBorders>
              <w:tl2br w:val="nil"/>
              <w:tr2bl w:val="nil"/>
            </w:tcBorders>
            <w:shd w:val="clear" w:color="auto" w:fill="auto"/>
            <w:vAlign w:val="center"/>
          </w:tcPr>
          <w:p w14:paraId="7CE807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tcBorders>
              <w:tl2br w:val="nil"/>
              <w:tr2bl w:val="nil"/>
            </w:tcBorders>
            <w:shd w:val="clear" w:color="auto" w:fill="auto"/>
            <w:vAlign w:val="center"/>
          </w:tcPr>
          <w:p w14:paraId="31206C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tcBorders>
              <w:tl2br w:val="nil"/>
              <w:tr2bl w:val="nil"/>
            </w:tcBorders>
            <w:shd w:val="clear" w:color="auto" w:fill="auto"/>
            <w:vAlign w:val="center"/>
          </w:tcPr>
          <w:p w14:paraId="2D075E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2A373D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42ECF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tcBorders>
              <w:tl2br w:val="nil"/>
              <w:tr2bl w:val="nil"/>
            </w:tcBorders>
            <w:shd w:val="clear" w:color="auto" w:fill="auto"/>
            <w:vAlign w:val="center"/>
          </w:tcPr>
          <w:p w14:paraId="021775B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tcBorders>
              <w:tl2br w:val="nil"/>
              <w:tr2bl w:val="nil"/>
            </w:tcBorders>
            <w:shd w:val="clear" w:color="auto" w:fill="auto"/>
            <w:vAlign w:val="center"/>
          </w:tcPr>
          <w:p w14:paraId="6BB0C9C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tcBorders>
              <w:tl2br w:val="nil"/>
              <w:tr2bl w:val="nil"/>
            </w:tcBorders>
            <w:shd w:val="clear" w:color="auto" w:fill="auto"/>
            <w:vAlign w:val="center"/>
          </w:tcPr>
          <w:p w14:paraId="0D3024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tcBorders>
              <w:tl2br w:val="nil"/>
              <w:tr2bl w:val="nil"/>
            </w:tcBorders>
            <w:shd w:val="clear" w:color="auto" w:fill="auto"/>
            <w:vAlign w:val="center"/>
          </w:tcPr>
          <w:p w14:paraId="161D1C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tcBorders>
              <w:tl2br w:val="nil"/>
              <w:tr2bl w:val="nil"/>
            </w:tcBorders>
            <w:shd w:val="clear" w:color="auto" w:fill="auto"/>
            <w:vAlign w:val="center"/>
          </w:tcPr>
          <w:p w14:paraId="48AED28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E3673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28D5D7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tcBorders>
              <w:tl2br w:val="nil"/>
              <w:tr2bl w:val="nil"/>
            </w:tcBorders>
            <w:shd w:val="clear" w:color="auto" w:fill="auto"/>
            <w:vAlign w:val="center"/>
          </w:tcPr>
          <w:p w14:paraId="4DDA59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tcBorders>
              <w:tl2br w:val="nil"/>
              <w:tr2bl w:val="nil"/>
            </w:tcBorders>
            <w:shd w:val="clear" w:color="auto" w:fill="auto"/>
            <w:vAlign w:val="center"/>
          </w:tcPr>
          <w:p w14:paraId="0BF627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tcBorders>
              <w:tl2br w:val="nil"/>
              <w:tr2bl w:val="nil"/>
            </w:tcBorders>
            <w:shd w:val="clear" w:color="auto" w:fill="auto"/>
            <w:vAlign w:val="center"/>
          </w:tcPr>
          <w:p w14:paraId="49B0F9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tcBorders>
              <w:tl2br w:val="nil"/>
              <w:tr2bl w:val="nil"/>
            </w:tcBorders>
            <w:shd w:val="clear" w:color="auto" w:fill="auto"/>
            <w:vAlign w:val="center"/>
          </w:tcPr>
          <w:p w14:paraId="5DCA61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tcBorders>
              <w:tl2br w:val="nil"/>
              <w:tr2bl w:val="nil"/>
            </w:tcBorders>
            <w:shd w:val="clear" w:color="auto" w:fill="auto"/>
            <w:vAlign w:val="center"/>
          </w:tcPr>
          <w:p w14:paraId="0C9AE9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245523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632C1E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26B917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tcBorders>
              <w:tl2br w:val="nil"/>
              <w:tr2bl w:val="nil"/>
            </w:tcBorders>
            <w:shd w:val="clear" w:color="auto" w:fill="auto"/>
            <w:vAlign w:val="center"/>
          </w:tcPr>
          <w:p w14:paraId="1B939F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tcBorders>
              <w:tl2br w:val="nil"/>
              <w:tr2bl w:val="nil"/>
            </w:tcBorders>
            <w:shd w:val="clear" w:color="auto" w:fill="auto"/>
            <w:vAlign w:val="center"/>
          </w:tcPr>
          <w:p w14:paraId="3F473B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tcBorders>
              <w:tl2br w:val="nil"/>
              <w:tr2bl w:val="nil"/>
            </w:tcBorders>
            <w:shd w:val="clear" w:color="auto" w:fill="auto"/>
            <w:vAlign w:val="center"/>
          </w:tcPr>
          <w:p w14:paraId="136EA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tcBorders>
              <w:tl2br w:val="nil"/>
              <w:tr2bl w:val="nil"/>
            </w:tcBorders>
            <w:shd w:val="clear" w:color="auto" w:fill="auto"/>
            <w:vAlign w:val="center"/>
          </w:tcPr>
          <w:p w14:paraId="125CE6A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tcBorders>
              <w:tl2br w:val="nil"/>
              <w:tr2bl w:val="nil"/>
            </w:tcBorders>
            <w:shd w:val="clear" w:color="auto" w:fill="auto"/>
            <w:vAlign w:val="center"/>
          </w:tcPr>
          <w:p w14:paraId="4ED680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22D72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tcBorders>
              <w:tl2br w:val="nil"/>
              <w:tr2bl w:val="nil"/>
            </w:tcBorders>
            <w:shd w:val="clear" w:color="auto" w:fill="auto"/>
            <w:vAlign w:val="center"/>
          </w:tcPr>
          <w:p w14:paraId="112E8A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66408D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134EA4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tcBorders>
              <w:tl2br w:val="nil"/>
              <w:tr2bl w:val="nil"/>
            </w:tcBorders>
            <w:shd w:val="clear" w:color="auto" w:fill="auto"/>
            <w:vAlign w:val="center"/>
          </w:tcPr>
          <w:p w14:paraId="3E1C84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tcBorders>
              <w:tl2br w:val="nil"/>
              <w:tr2bl w:val="nil"/>
            </w:tcBorders>
            <w:shd w:val="clear" w:color="auto" w:fill="auto"/>
            <w:vAlign w:val="center"/>
          </w:tcPr>
          <w:p w14:paraId="3DB534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3D6DD318">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443C0BC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2023年残保金</w:t>
      </w:r>
      <w:r>
        <w:rPr>
          <w:rFonts w:hint="eastAsia" w:ascii="宋体" w:hAnsi="宋体" w:eastAsia="宋体" w:cs="宋体"/>
          <w:color w:val="auto"/>
          <w:highlight w:val="none"/>
          <w:shd w:val="clear" w:color="auto" w:fill="auto"/>
          <w:lang w:val="en-US" w:eastAsia="zh-CN"/>
        </w:rPr>
        <w:t>项目进行评价。</w:t>
      </w:r>
    </w:p>
    <w:p w14:paraId="54FD4314">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1E2BBC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先制定的目标、计划、预算、定额等作为评价标准。</w:t>
      </w:r>
    </w:p>
    <w:p w14:paraId="30AF9D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指参照国家公布的行业指标数据制定的评价标准。</w:t>
      </w:r>
    </w:p>
    <w:p w14:paraId="5FC049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指参照历史数据制定的评价标准，为体现绩效改进的原则，在可实现的条件下应当确定相对较高的评价标准。</w:t>
      </w:r>
    </w:p>
    <w:p w14:paraId="5DA84380">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2615405D">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393ACBD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32BCF71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3D478F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5FD1506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24C38DF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2023年残保金</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bookmarkEnd w:id="35"/>
    </w:p>
    <w:p w14:paraId="476FDFD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0AF763D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5EEC72D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73B3539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75E766A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1F9E8F5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0627091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43A60F2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3D3D64E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1F8FD26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79158E5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47ABAA7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3E65011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C66465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140EB42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02AFD3F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74B8B22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6AD2277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312DD00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6602AD6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702EF4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2023年残保金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优秀</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2E473972">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138DA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残保金</w:t>
            </w:r>
            <w:r>
              <w:rPr>
                <w:rFonts w:hint="eastAsia" w:ascii="宋体" w:hAnsi="宋体" w:eastAsia="宋体" w:cs="宋体"/>
                <w:b/>
                <w:bCs/>
                <w:color w:val="auto"/>
                <w:kern w:val="0"/>
                <w:sz w:val="28"/>
                <w:szCs w:val="28"/>
                <w:highlight w:val="none"/>
                <w:shd w:val="clear" w:color="auto" w:fill="auto"/>
                <w:lang w:val="en-US" w:eastAsia="zh-CN"/>
              </w:rPr>
              <w:t>项目得分表</w:t>
            </w:r>
          </w:p>
        </w:tc>
      </w:tr>
      <w:tr w14:paraId="31EDC37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44F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EBB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B43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C99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C84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C2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720D9E4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33A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8E9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C4D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525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ED0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7A4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7806E1C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5BB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DEB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C0F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30C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122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D33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73EA99F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EC3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39F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66A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B0E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840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A80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019BD5C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081764B6">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65DB25D0">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2B755F5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A16EFDD">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D116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6350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732C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102C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5EAA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85EB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79D4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A99DB8A">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501D8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998E4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C377C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56731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1D5B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6391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D04F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3260C5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299A0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85EAB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517A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81ED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C0AD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F6D8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DB5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493B55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65E34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FD9C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21B2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EF2C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0995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20E0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C0DE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0E85B3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C75FD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5FF1D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3733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83B1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E1DB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1C12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E2D5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5091EA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9CD46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97061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FADDC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761F6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7DD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6E17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5DF1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2B44DF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D0E8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588A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9616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68B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12B4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D3EC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F2C6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9EEE1C5">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4BE1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98A2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25A8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C100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0189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29694657">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6F95A77A">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《关于印发【新疆维吾尔自治区残疾人就业保障金征收使用管理办法】的通知》</w:t>
      </w:r>
      <w:r>
        <w:rPr>
          <w:rFonts w:hint="eastAsia"/>
          <w:color w:val="auto"/>
          <w:highlight w:val="none"/>
          <w:lang w:eastAsia="zh-CN"/>
        </w:rPr>
        <w:t>；</w:t>
      </w:r>
    </w:p>
    <w:p w14:paraId="3023292E">
      <w:pPr>
        <w:bidi w:val="0"/>
        <w:rPr>
          <w:rFonts w:hint="eastAsia"/>
          <w:color w:val="auto"/>
          <w:highlight w:val="none"/>
          <w:lang w:eastAsia="zh-CN"/>
        </w:rPr>
      </w:pPr>
      <w:r>
        <w:rPr>
          <w:rFonts w:hint="eastAsia"/>
          <w:color w:val="auto"/>
          <w:highlight w:val="none"/>
          <w:lang w:eastAsia="zh-CN"/>
        </w:rPr>
        <w:t>②项目立项</w:t>
      </w:r>
      <w:r>
        <w:rPr>
          <w:rFonts w:hint="eastAsia"/>
          <w:color w:val="auto"/>
          <w:highlight w:val="none"/>
          <w:lang w:val="en-US" w:eastAsia="zh-CN"/>
        </w:rPr>
        <w:t>的范围有残疾人教育、就业、扶贫、职业培训及就业服务等关于残疾人的各</w:t>
      </w:r>
      <w:bookmarkStart w:id="88" w:name="_GoBack"/>
      <w:bookmarkEnd w:id="88"/>
      <w:r>
        <w:rPr>
          <w:rFonts w:hint="eastAsia"/>
          <w:color w:val="auto"/>
          <w:highlight w:val="none"/>
          <w:lang w:val="en-US" w:eastAsia="zh-CN"/>
        </w:rPr>
        <w:t>项服务及保障</w:t>
      </w:r>
      <w:r>
        <w:rPr>
          <w:rFonts w:hint="eastAsia"/>
          <w:color w:val="auto"/>
          <w:highlight w:val="none"/>
          <w:lang w:eastAsia="zh-CN"/>
        </w:rPr>
        <w:t>；</w:t>
      </w:r>
    </w:p>
    <w:p w14:paraId="71E194D1">
      <w:pPr>
        <w:bidi w:val="0"/>
        <w:rPr>
          <w:rFonts w:hint="eastAsia"/>
          <w:color w:val="auto"/>
          <w:highlight w:val="none"/>
          <w:lang w:eastAsia="zh-CN"/>
        </w:rPr>
      </w:pPr>
      <w:r>
        <w:rPr>
          <w:rFonts w:hint="eastAsia"/>
          <w:color w:val="auto"/>
          <w:highlight w:val="none"/>
          <w:lang w:eastAsia="zh-CN"/>
        </w:rPr>
        <w:t>③项目立项</w:t>
      </w:r>
      <w:r>
        <w:rPr>
          <w:rFonts w:hint="eastAsia"/>
          <w:color w:val="auto"/>
          <w:highlight w:val="none"/>
          <w:lang w:val="en-US" w:eastAsia="zh-CN"/>
        </w:rPr>
        <w:t>根据批复的残保金项目补助资金计划，把残保金涉及的具体项目目标任务数分解至实施科室，根据相关的文件确定相关项目额度、明确目标、具体实施过程效果，提高残疾人教育、就业、扶贫、职业培训等</w:t>
      </w:r>
      <w:r>
        <w:rPr>
          <w:rFonts w:hint="eastAsia"/>
          <w:color w:val="auto"/>
          <w:highlight w:val="none"/>
          <w:lang w:eastAsia="zh-CN"/>
        </w:rPr>
        <w:t>；</w:t>
      </w:r>
    </w:p>
    <w:p w14:paraId="21B4FA41">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1E9A22D5">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4A366654">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13897D1E">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58E407D1">
      <w:pPr>
        <w:bidi w:val="0"/>
        <w:rPr>
          <w:rFonts w:hint="eastAsia"/>
          <w:color w:val="auto"/>
          <w:highlight w:val="none"/>
          <w:lang w:eastAsia="zh-CN"/>
        </w:rPr>
      </w:pPr>
      <w:r>
        <w:rPr>
          <w:rFonts w:hint="eastAsia"/>
          <w:color w:val="auto"/>
          <w:highlight w:val="none"/>
          <w:lang w:eastAsia="zh-CN"/>
        </w:rPr>
        <w:t>①项目按照规定的程序申请设立；</w:t>
      </w:r>
    </w:p>
    <w:p w14:paraId="09A13B53">
      <w:pPr>
        <w:bidi w:val="0"/>
        <w:rPr>
          <w:rFonts w:hint="eastAsia"/>
          <w:color w:val="auto"/>
          <w:highlight w:val="none"/>
          <w:lang w:eastAsia="zh-CN"/>
        </w:rPr>
      </w:pPr>
      <w:r>
        <w:rPr>
          <w:rFonts w:hint="eastAsia"/>
          <w:color w:val="auto"/>
          <w:highlight w:val="none"/>
          <w:lang w:eastAsia="zh-CN"/>
        </w:rPr>
        <w:t>②审批文件、材料符合相关要求；</w:t>
      </w:r>
    </w:p>
    <w:p w14:paraId="1C9D5070">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p>
    <w:p w14:paraId="7A01D4E3">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156D595C">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4DBC3643">
      <w:pPr>
        <w:bidi w:val="0"/>
        <w:rPr>
          <w:rFonts w:hint="eastAsia"/>
          <w:color w:val="auto"/>
          <w:highlight w:val="none"/>
          <w:lang w:eastAsia="zh-CN"/>
        </w:rPr>
      </w:pPr>
      <w:r>
        <w:rPr>
          <w:rFonts w:hint="eastAsia"/>
          <w:color w:val="auto"/>
          <w:highlight w:val="none"/>
          <w:lang w:eastAsia="zh-CN"/>
        </w:rPr>
        <w:t>①项目有绩效目标；</w:t>
      </w:r>
    </w:p>
    <w:p w14:paraId="1CD3EB76">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19B650FA">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47589FE9">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32FF892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6D0E294">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664F173B">
      <w:pPr>
        <w:bidi w:val="0"/>
        <w:rPr>
          <w:rFonts w:hint="eastAsia"/>
          <w:color w:val="auto"/>
          <w:highlight w:val="none"/>
          <w:lang w:eastAsia="zh-CN"/>
        </w:rPr>
      </w:pPr>
      <w:r>
        <w:rPr>
          <w:rFonts w:hint="eastAsia"/>
          <w:color w:val="auto"/>
          <w:highlight w:val="none"/>
          <w:lang w:eastAsia="zh-CN"/>
        </w:rPr>
        <w:t>①将项目绩效目标细化分解</w:t>
      </w:r>
      <w:r>
        <w:rPr>
          <w:rFonts w:hint="eastAsia"/>
          <w:color w:val="auto"/>
          <w:highlight w:val="none"/>
          <w:lang w:val="en-US" w:eastAsia="zh-CN"/>
        </w:rPr>
        <w:t>5个二级指标和8个三级指标</w:t>
      </w:r>
      <w:r>
        <w:rPr>
          <w:rFonts w:hint="eastAsia"/>
          <w:color w:val="auto"/>
          <w:highlight w:val="none"/>
          <w:lang w:eastAsia="zh-CN"/>
        </w:rPr>
        <w:t>；</w:t>
      </w:r>
    </w:p>
    <w:p w14:paraId="3CF6D2EC">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color w:val="auto"/>
          <w:highlight w:val="none"/>
          <w:lang w:val="en-US" w:eastAsia="zh-CN"/>
        </w:rPr>
        <w:t>量化率为75%</w:t>
      </w:r>
      <w:r>
        <w:rPr>
          <w:rFonts w:hint="eastAsia"/>
          <w:color w:val="auto"/>
          <w:highlight w:val="none"/>
          <w:lang w:eastAsia="zh-CN"/>
        </w:rPr>
        <w:t>；</w:t>
      </w:r>
    </w:p>
    <w:p w14:paraId="60C03943">
      <w:pPr>
        <w:bidi w:val="0"/>
        <w:rPr>
          <w:rFonts w:hint="eastAsia"/>
          <w:color w:val="auto"/>
          <w:highlight w:val="none"/>
          <w:lang w:eastAsia="zh-CN"/>
        </w:rPr>
      </w:pPr>
      <w:r>
        <w:rPr>
          <w:rFonts w:hint="eastAsia"/>
          <w:color w:val="auto"/>
          <w:highlight w:val="none"/>
          <w:lang w:eastAsia="zh-CN"/>
        </w:rPr>
        <w:t>③与项目目标任务数或计划数相对应。</w:t>
      </w:r>
    </w:p>
    <w:p w14:paraId="5451C50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212175D">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33C1DD26">
      <w:pPr>
        <w:bidi w:val="0"/>
        <w:rPr>
          <w:rFonts w:hint="eastAsia"/>
          <w:color w:val="auto"/>
          <w:highlight w:val="none"/>
          <w:lang w:eastAsia="zh-CN"/>
        </w:rPr>
      </w:pPr>
      <w:r>
        <w:rPr>
          <w:rFonts w:hint="eastAsia"/>
          <w:color w:val="auto"/>
          <w:highlight w:val="none"/>
          <w:lang w:eastAsia="zh-CN"/>
        </w:rPr>
        <w:t>①预算编制经过科学论证；</w:t>
      </w:r>
    </w:p>
    <w:p w14:paraId="198C5355">
      <w:pPr>
        <w:bidi w:val="0"/>
        <w:rPr>
          <w:rFonts w:hint="eastAsia"/>
          <w:color w:val="auto"/>
          <w:highlight w:val="none"/>
          <w:lang w:eastAsia="zh-CN"/>
        </w:rPr>
      </w:pPr>
      <w:r>
        <w:rPr>
          <w:rFonts w:hint="eastAsia"/>
          <w:color w:val="auto"/>
          <w:highlight w:val="none"/>
          <w:lang w:eastAsia="zh-CN"/>
        </w:rPr>
        <w:t>②预算内容与项目内容匹配；</w:t>
      </w:r>
    </w:p>
    <w:p w14:paraId="049716E9">
      <w:pPr>
        <w:bidi w:val="0"/>
        <w:rPr>
          <w:rFonts w:hint="eastAsia"/>
          <w:color w:val="auto"/>
          <w:highlight w:val="none"/>
          <w:lang w:eastAsia="zh-CN"/>
        </w:rPr>
      </w:pPr>
      <w:r>
        <w:rPr>
          <w:rFonts w:hint="eastAsia"/>
          <w:color w:val="auto"/>
          <w:highlight w:val="none"/>
          <w:lang w:eastAsia="zh-CN"/>
        </w:rPr>
        <w:t>③预算额度测算依据充分，按照标准编制；</w:t>
      </w:r>
    </w:p>
    <w:p w14:paraId="6F3DA1DE">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255B70E1">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568048B4">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4638BA6B">
      <w:pPr>
        <w:bidi w:val="0"/>
        <w:rPr>
          <w:rFonts w:hint="eastAsia"/>
          <w:color w:val="auto"/>
          <w:highlight w:val="none"/>
          <w:lang w:eastAsia="zh-CN"/>
        </w:rPr>
      </w:pPr>
      <w:r>
        <w:rPr>
          <w:rFonts w:hint="eastAsia"/>
          <w:color w:val="auto"/>
          <w:highlight w:val="none"/>
          <w:lang w:eastAsia="zh-CN"/>
        </w:rPr>
        <w:t>①预算资金分配依据充分；</w:t>
      </w:r>
    </w:p>
    <w:p w14:paraId="017C36F8">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54920E77">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037FDAE7">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60D3B3C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F7BC11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195A0133">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8066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00A1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96A7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85CA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2EF7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889C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FBC8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4E1B533">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64B2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B1F4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7620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F522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B211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8858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5332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DE97C8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5376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DE60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992B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A9C0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9A3D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313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FD8B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D3DE29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A510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5296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8D2B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ECEB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F6E1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7F54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4DE4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962E67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598D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0D5C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B3E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E1BF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09F9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1C4A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A08B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178273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AC7E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877E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E321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93D2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6883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3410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4550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3378A9D">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6FCA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8713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55F3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8EF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81DE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3CC3750A">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77759103">
      <w:pPr>
        <w:bidi w:val="0"/>
        <w:rPr>
          <w:rFonts w:hint="default"/>
          <w:b/>
          <w:bCs/>
          <w:color w:val="auto"/>
          <w:highlight w:val="none"/>
          <w:lang w:val="en-US" w:eastAsia="zh-CN"/>
        </w:rPr>
      </w:pPr>
      <w:r>
        <w:rPr>
          <w:rFonts w:hint="eastAsia"/>
          <w:color w:val="auto"/>
          <w:highlight w:val="none"/>
          <w:lang w:eastAsia="zh-CN"/>
        </w:rPr>
        <w:t>资金到位率</w:t>
      </w:r>
      <w:r>
        <w:rPr>
          <w:rFonts w:hint="eastAsia"/>
          <w:b/>
          <w:bCs/>
          <w:color w:val="auto"/>
          <w:highlight w:val="none"/>
          <w:lang w:val="en-US" w:eastAsia="zh-CN"/>
        </w:rPr>
        <w:t>=(96.05万元/96.05万元）</w:t>
      </w:r>
      <w:r>
        <w:rPr>
          <w:rFonts w:hint="default" w:ascii="Arial" w:hAnsi="Arial" w:cs="Arial"/>
          <w:b/>
          <w:bCs/>
          <w:color w:val="auto"/>
          <w:highlight w:val="none"/>
          <w:lang w:val="en-US" w:eastAsia="zh-CN"/>
        </w:rPr>
        <w:t>×</w:t>
      </w:r>
      <w:r>
        <w:rPr>
          <w:rFonts w:hint="eastAsia"/>
          <w:b/>
          <w:bCs/>
          <w:color w:val="auto"/>
          <w:highlight w:val="none"/>
          <w:lang w:val="en-US" w:eastAsia="zh-CN"/>
        </w:rPr>
        <w:t>100%=100%</w:t>
      </w:r>
    </w:p>
    <w:p w14:paraId="799A836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5F489DD">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4DC1A82F">
      <w:pPr>
        <w:bidi w:val="0"/>
        <w:rPr>
          <w:rFonts w:hint="default"/>
          <w:color w:val="auto"/>
          <w:highlight w:val="none"/>
          <w:lang w:val="en-US" w:eastAsia="zh-CN"/>
        </w:rPr>
      </w:pPr>
      <w:r>
        <w:rPr>
          <w:rFonts w:hint="eastAsia"/>
          <w:color w:val="auto"/>
          <w:highlight w:val="none"/>
          <w:lang w:eastAsia="zh-CN"/>
        </w:rPr>
        <w:t>预算执行率</w:t>
      </w:r>
      <w:r>
        <w:rPr>
          <w:rFonts w:hint="eastAsia"/>
          <w:b/>
          <w:bCs/>
          <w:color w:val="auto"/>
          <w:highlight w:val="none"/>
          <w:lang w:val="en-US" w:eastAsia="zh-CN"/>
        </w:rPr>
        <w:t>=(96.05万元/96.05万元）</w:t>
      </w:r>
      <w:r>
        <w:rPr>
          <w:rFonts w:hint="default" w:ascii="Arial" w:hAnsi="Arial" w:cs="Arial"/>
          <w:b/>
          <w:bCs/>
          <w:color w:val="auto"/>
          <w:highlight w:val="none"/>
          <w:lang w:val="en-US" w:eastAsia="zh-CN"/>
        </w:rPr>
        <w:t>×</w:t>
      </w:r>
      <w:r>
        <w:rPr>
          <w:rFonts w:hint="eastAsia"/>
          <w:b/>
          <w:bCs/>
          <w:color w:val="auto"/>
          <w:highlight w:val="none"/>
          <w:lang w:val="en-US" w:eastAsia="zh-CN"/>
        </w:rPr>
        <w:t>100%=100%</w:t>
      </w:r>
    </w:p>
    <w:p w14:paraId="6AC63E2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641EF90">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49FD2C3C">
      <w:pPr>
        <w:bidi w:val="0"/>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lang w:eastAsia="zh-CN"/>
        </w:rPr>
        <w:t>①符合国家《新疆维吾尔自治区残疾人就业保障金征收使用管理办法》的通知（新财非税【</w:t>
      </w:r>
      <w:r>
        <w:rPr>
          <w:rFonts w:hint="eastAsia" w:ascii="宋体" w:hAnsi="宋体" w:eastAsia="宋体" w:cs="宋体"/>
          <w:b w:val="0"/>
          <w:bCs w:val="0"/>
          <w:color w:val="auto"/>
          <w:sz w:val="28"/>
          <w:szCs w:val="28"/>
          <w:highlight w:val="none"/>
          <w:lang w:val="en-US" w:eastAsia="zh-CN"/>
        </w:rPr>
        <w:t>2016</w:t>
      </w:r>
      <w:r>
        <w:rPr>
          <w:rFonts w:hint="eastAsia" w:ascii="宋体" w:hAnsi="宋体" w:eastAsia="宋体" w:cs="宋体"/>
          <w:b w:val="0"/>
          <w:bCs w:val="0"/>
          <w:color w:val="auto"/>
          <w:sz w:val="28"/>
          <w:szCs w:val="28"/>
          <w:highlight w:val="none"/>
          <w:lang w:eastAsia="zh-CN"/>
        </w:rPr>
        <w:t>】</w:t>
      </w:r>
      <w:r>
        <w:rPr>
          <w:rFonts w:hint="eastAsia" w:ascii="宋体" w:hAnsi="宋体" w:eastAsia="宋体" w:cs="宋体"/>
          <w:b w:val="0"/>
          <w:bCs w:val="0"/>
          <w:color w:val="auto"/>
          <w:sz w:val="28"/>
          <w:szCs w:val="28"/>
          <w:highlight w:val="none"/>
          <w:lang w:val="en-US" w:eastAsia="zh-CN"/>
        </w:rPr>
        <w:t>28号</w:t>
      </w:r>
      <w:r>
        <w:rPr>
          <w:rFonts w:hint="eastAsia" w:ascii="宋体" w:hAnsi="宋体" w:eastAsia="宋体" w:cs="宋体"/>
          <w:b w:val="0"/>
          <w:bCs w:val="0"/>
          <w:color w:val="auto"/>
          <w:sz w:val="28"/>
          <w:szCs w:val="28"/>
          <w:highlight w:val="none"/>
          <w:lang w:eastAsia="zh-CN"/>
        </w:rPr>
        <w:t>）</w:t>
      </w:r>
      <w:r>
        <w:rPr>
          <w:rFonts w:hint="eastAsia" w:ascii="宋体" w:hAnsi="宋体" w:eastAsia="宋体" w:cs="宋体"/>
          <w:b w:val="0"/>
          <w:bCs w:val="0"/>
          <w:color w:val="auto"/>
          <w:sz w:val="28"/>
          <w:szCs w:val="28"/>
          <w:highlight w:val="none"/>
          <w:lang w:val="en-US" w:eastAsia="zh-CN"/>
        </w:rPr>
        <w:t>和</w:t>
      </w:r>
      <w:r>
        <w:rPr>
          <w:rFonts w:hint="eastAsia" w:ascii="宋体" w:hAnsi="宋体" w:eastAsia="宋体" w:cs="宋体"/>
          <w:b w:val="0"/>
          <w:bCs w:val="0"/>
          <w:color w:val="auto"/>
          <w:sz w:val="28"/>
          <w:szCs w:val="28"/>
          <w:highlight w:val="none"/>
          <w:lang w:eastAsia="zh-CN"/>
        </w:rPr>
        <w:t>阜康市残联</w:t>
      </w:r>
      <w:r>
        <w:rPr>
          <w:rFonts w:hint="eastAsia" w:ascii="宋体" w:hAnsi="宋体" w:eastAsia="宋体" w:cs="宋体"/>
          <w:b w:val="0"/>
          <w:bCs w:val="0"/>
          <w:color w:val="auto"/>
          <w:sz w:val="28"/>
          <w:szCs w:val="28"/>
          <w:highlight w:val="none"/>
        </w:rPr>
        <w:t>专项资金管理</w:t>
      </w:r>
      <w:r>
        <w:rPr>
          <w:rFonts w:hint="eastAsia" w:ascii="宋体" w:hAnsi="宋体" w:eastAsia="宋体" w:cs="宋体"/>
          <w:b w:val="0"/>
          <w:bCs w:val="0"/>
          <w:color w:val="auto"/>
          <w:sz w:val="28"/>
          <w:szCs w:val="28"/>
          <w:highlight w:val="none"/>
          <w:lang w:val="en-US" w:eastAsia="zh-CN"/>
        </w:rPr>
        <w:t>制度</w:t>
      </w:r>
      <w:r>
        <w:rPr>
          <w:rFonts w:hint="eastAsia" w:ascii="宋体" w:hAnsi="宋体" w:eastAsia="宋体" w:cs="宋体"/>
          <w:b w:val="0"/>
          <w:bCs w:val="0"/>
          <w:color w:val="auto"/>
          <w:sz w:val="28"/>
          <w:szCs w:val="28"/>
          <w:highlight w:val="none"/>
          <w:lang w:eastAsia="zh-CN"/>
        </w:rPr>
        <w:t>以及有关专项资金管理办法的规定；</w:t>
      </w:r>
    </w:p>
    <w:p w14:paraId="4A3798DD">
      <w:pPr>
        <w:bidi w:val="0"/>
        <w:rPr>
          <w:rFonts w:hint="eastAsia"/>
          <w:color w:val="auto"/>
          <w:highlight w:val="none"/>
          <w:lang w:eastAsia="zh-CN"/>
        </w:rPr>
      </w:pPr>
      <w:r>
        <w:rPr>
          <w:rFonts w:hint="eastAsia"/>
          <w:color w:val="auto"/>
          <w:highlight w:val="none"/>
          <w:lang w:eastAsia="zh-CN"/>
        </w:rPr>
        <w:t>②资金的拨付有完整的审批程序和手续；</w:t>
      </w:r>
    </w:p>
    <w:p w14:paraId="145C97C3">
      <w:pPr>
        <w:bidi w:val="0"/>
        <w:rPr>
          <w:rFonts w:hint="eastAsia"/>
          <w:color w:val="auto"/>
          <w:highlight w:val="none"/>
          <w:lang w:eastAsia="zh-CN"/>
        </w:rPr>
      </w:pPr>
      <w:r>
        <w:rPr>
          <w:rFonts w:hint="eastAsia"/>
          <w:color w:val="auto"/>
          <w:highlight w:val="none"/>
          <w:lang w:eastAsia="zh-CN"/>
        </w:rPr>
        <w:t>③符合项目预算批复或合同规定的用途；</w:t>
      </w:r>
    </w:p>
    <w:p w14:paraId="564A183A">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3436464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A43C310">
      <w:pPr>
        <w:numPr>
          <w:ilvl w:val="0"/>
          <w:numId w:val="0"/>
        </w:numPr>
        <w:bidi w:val="0"/>
        <w:ind w:leftChars="200"/>
        <w:rPr>
          <w:rFonts w:hint="eastAsia"/>
          <w:b/>
          <w:bCs/>
          <w:color w:val="auto"/>
          <w:highlight w:val="none"/>
          <w:lang w:val="en-US" w:eastAsia="zh-CN"/>
        </w:rPr>
      </w:pPr>
      <w:r>
        <w:rPr>
          <w:rFonts w:hint="eastAsia"/>
          <w:b/>
          <w:bCs/>
          <w:color w:val="auto"/>
          <w:highlight w:val="none"/>
          <w:lang w:val="en-US" w:eastAsia="zh-CN"/>
        </w:rPr>
        <w:t>4.管理制度健全性</w:t>
      </w:r>
    </w:p>
    <w:p w14:paraId="5AA0D633">
      <w:pPr>
        <w:numPr>
          <w:ilvl w:val="0"/>
          <w:numId w:val="0"/>
        </w:numPr>
        <w:bidi w:val="0"/>
        <w:ind w:leftChars="200"/>
        <w:rPr>
          <w:rFonts w:hint="eastAsia"/>
          <w:color w:val="auto"/>
          <w:highlight w:val="none"/>
          <w:lang w:eastAsia="zh-CN"/>
        </w:rPr>
      </w:pPr>
      <w:r>
        <w:rPr>
          <w:rFonts w:hint="eastAsia"/>
          <w:color w:val="auto"/>
          <w:highlight w:val="none"/>
          <w:lang w:eastAsia="zh-CN"/>
        </w:rPr>
        <w:t>①已制定或具有相应的财务和业务管理制度；</w:t>
      </w:r>
    </w:p>
    <w:p w14:paraId="3156703B">
      <w:pPr>
        <w:bidi w:val="0"/>
        <w:rPr>
          <w:rFonts w:hint="eastAsia"/>
          <w:color w:val="auto"/>
          <w:highlight w:val="none"/>
          <w:lang w:eastAsia="zh-CN"/>
        </w:rPr>
      </w:pPr>
      <w:r>
        <w:rPr>
          <w:rFonts w:hint="eastAsia"/>
          <w:color w:val="auto"/>
          <w:highlight w:val="none"/>
          <w:lang w:val="en-US" w:eastAsia="zh-CN"/>
        </w:rPr>
        <w:t>1.</w:t>
      </w:r>
      <w:r>
        <w:rPr>
          <w:rFonts w:hint="eastAsia"/>
          <w:color w:val="auto"/>
          <w:highlight w:val="none"/>
          <w:lang w:eastAsia="zh-CN"/>
        </w:rPr>
        <w:t>阜康市残联财务内控制度</w:t>
      </w:r>
    </w:p>
    <w:p w14:paraId="3E806964">
      <w:pPr>
        <w:bidi w:val="0"/>
        <w:rPr>
          <w:rFonts w:hint="eastAsia"/>
          <w:color w:val="auto"/>
          <w:highlight w:val="none"/>
          <w:lang w:eastAsia="zh-CN"/>
        </w:rPr>
      </w:pPr>
      <w:r>
        <w:rPr>
          <w:rFonts w:hint="eastAsia"/>
          <w:color w:val="auto"/>
          <w:highlight w:val="none"/>
          <w:lang w:val="en-US" w:eastAsia="zh-CN"/>
        </w:rPr>
        <w:t>2.</w:t>
      </w:r>
      <w:r>
        <w:rPr>
          <w:rFonts w:hint="eastAsia"/>
          <w:color w:val="auto"/>
          <w:highlight w:val="none"/>
          <w:lang w:eastAsia="zh-CN"/>
        </w:rPr>
        <w:t>阜康市残联采购业务控制制度</w:t>
      </w:r>
    </w:p>
    <w:p w14:paraId="6B9C31F9">
      <w:pPr>
        <w:rPr>
          <w:rFonts w:hint="eastAsia"/>
          <w:color w:val="auto"/>
          <w:highlight w:val="none"/>
          <w:lang w:eastAsia="zh-CN"/>
        </w:rPr>
      </w:pPr>
      <w:r>
        <w:rPr>
          <w:rFonts w:hint="eastAsia"/>
          <w:color w:val="auto"/>
          <w:highlight w:val="none"/>
          <w:lang w:val="en-US" w:eastAsia="zh-CN"/>
        </w:rPr>
        <w:t>3.阜康市残联康复工作管理制度</w:t>
      </w:r>
    </w:p>
    <w:p w14:paraId="03DF49DE">
      <w:pPr>
        <w:bidi w:val="0"/>
        <w:ind w:left="0" w:leftChars="0" w:firstLine="560" w:firstLineChars="200"/>
        <w:rPr>
          <w:rFonts w:hint="eastAsia"/>
          <w:color w:val="auto"/>
          <w:highlight w:val="none"/>
          <w:lang w:eastAsia="zh-CN"/>
        </w:rPr>
      </w:pPr>
      <w:r>
        <w:rPr>
          <w:rFonts w:hint="eastAsia"/>
          <w:color w:val="auto"/>
          <w:highlight w:val="none"/>
          <w:lang w:eastAsia="zh-CN"/>
        </w:rPr>
        <w:t>②财务和业务管理制度合法、合规、完整。</w:t>
      </w:r>
    </w:p>
    <w:p w14:paraId="36191FF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38A7FA5">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77ABBDD9">
      <w:pPr>
        <w:bidi w:val="0"/>
        <w:rPr>
          <w:rFonts w:hint="eastAsia"/>
          <w:color w:val="auto"/>
          <w:highlight w:val="none"/>
          <w:lang w:eastAsia="zh-CN"/>
        </w:rPr>
      </w:pPr>
      <w:r>
        <w:rPr>
          <w:rFonts w:hint="eastAsia"/>
          <w:color w:val="auto"/>
          <w:highlight w:val="none"/>
          <w:lang w:eastAsia="zh-CN"/>
        </w:rPr>
        <w:t>①遵守相关法律法规和相关管理规定；</w:t>
      </w:r>
    </w:p>
    <w:p w14:paraId="18B2064D">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w:t>
      </w:r>
      <w:r>
        <w:rPr>
          <w:rFonts w:hint="eastAsia"/>
          <w:color w:val="auto"/>
          <w:highlight w:val="none"/>
          <w:lang w:eastAsia="zh-CN"/>
        </w:rPr>
        <w:t>调整；</w:t>
      </w:r>
    </w:p>
    <w:p w14:paraId="4501A0F7">
      <w:pPr>
        <w:bidi w:val="0"/>
        <w:rPr>
          <w:rFonts w:hint="eastAsia"/>
          <w:color w:val="auto"/>
          <w:highlight w:val="none"/>
          <w:lang w:eastAsia="zh-CN"/>
        </w:rPr>
      </w:pPr>
      <w:r>
        <w:rPr>
          <w:rFonts w:hint="eastAsia"/>
          <w:color w:val="auto"/>
          <w:highlight w:val="none"/>
          <w:lang w:eastAsia="zh-CN"/>
        </w:rPr>
        <w:t>③项目合同书、验收报告、技术鉴定等资料齐全并及时归档；</w:t>
      </w:r>
    </w:p>
    <w:p w14:paraId="1EBF9445">
      <w:pPr>
        <w:bidi w:val="0"/>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所需</w:t>
      </w:r>
      <w:r>
        <w:rPr>
          <w:rFonts w:hint="eastAsia"/>
          <w:color w:val="auto"/>
          <w:highlight w:val="none"/>
          <w:lang w:eastAsia="zh-CN"/>
        </w:rPr>
        <w:t>的</w:t>
      </w:r>
      <w:r>
        <w:rPr>
          <w:rFonts w:hint="eastAsia"/>
          <w:color w:val="auto"/>
          <w:highlight w:val="none"/>
          <w:lang w:val="en-US" w:eastAsia="zh-CN"/>
        </w:rPr>
        <w:t>领导小组</w:t>
      </w:r>
      <w:r>
        <w:rPr>
          <w:rFonts w:hint="eastAsia"/>
          <w:color w:val="auto"/>
          <w:highlight w:val="none"/>
          <w:shd w:val="clear"/>
          <w:lang w:eastAsia="zh-CN"/>
        </w:rPr>
        <w:t>、</w:t>
      </w:r>
      <w:r>
        <w:rPr>
          <w:rFonts w:hint="eastAsia"/>
          <w:color w:val="auto"/>
          <w:highlight w:val="none"/>
          <w:shd w:val="clear"/>
          <w:lang w:val="en-US" w:eastAsia="zh-CN"/>
        </w:rPr>
        <w:t>工作小组、个人分工以及</w:t>
      </w:r>
      <w:r>
        <w:rPr>
          <w:rFonts w:hint="eastAsia"/>
          <w:color w:val="auto"/>
          <w:highlight w:val="none"/>
          <w:shd w:val="clear"/>
          <w:lang w:eastAsia="zh-CN"/>
        </w:rPr>
        <w:t>场地设备、信息支撑等落实到</w:t>
      </w:r>
      <w:r>
        <w:rPr>
          <w:rFonts w:hint="eastAsia"/>
          <w:color w:val="auto"/>
          <w:highlight w:val="none"/>
          <w:lang w:eastAsia="zh-CN"/>
        </w:rPr>
        <w:t>位。</w:t>
      </w:r>
    </w:p>
    <w:p w14:paraId="2DE2BE3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B57AD76">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07AC718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D76B4A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674"/>
        <w:gridCol w:w="435"/>
        <w:gridCol w:w="1185"/>
        <w:gridCol w:w="697"/>
      </w:tblGrid>
      <w:tr w14:paraId="4809FC59">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48C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FE6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A5A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E79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FE9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070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3F0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27470C64">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E2D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50D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379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保障残疾人工作运行人员工资及社保人数</w:t>
            </w:r>
          </w:p>
        </w:tc>
        <w:tc>
          <w:tcPr>
            <w:tcW w:w="1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390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≧12人</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D60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650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F5F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D970568">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5AB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BF2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B7E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保障残疾人工作运行人员工资及社保发放完成率</w:t>
            </w:r>
          </w:p>
        </w:tc>
        <w:tc>
          <w:tcPr>
            <w:tcW w:w="1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2EC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646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cs="宋体"/>
                <w:color w:val="auto"/>
                <w:kern w:val="0"/>
                <w:sz w:val="20"/>
                <w:szCs w:val="20"/>
                <w:highlight w:val="none"/>
                <w:shd w:val="clear" w:color="auto" w:fill="auto"/>
                <w:lang w:val="en-US" w:eastAsia="zh-CN"/>
              </w:rPr>
              <w:t>5</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BBA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8CF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9F0E270">
        <w:tblPrEx>
          <w:shd w:val="clear" w:color="auto" w:fill="auto"/>
          <w:tblCellMar>
            <w:top w:w="0" w:type="dxa"/>
            <w:left w:w="0" w:type="dxa"/>
            <w:bottom w:w="0" w:type="dxa"/>
            <w:right w:w="0" w:type="dxa"/>
          </w:tblCellMar>
        </w:tblPrEx>
        <w:trPr>
          <w:trHeight w:val="42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206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EA03277">
            <w:pPr>
              <w:keepNext w:val="0"/>
              <w:keepLines w:val="0"/>
              <w:pageBreakBefore w:val="0"/>
              <w:widowControl/>
              <w:tabs>
                <w:tab w:val="left" w:pos="333"/>
              </w:tabs>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892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残疾人工作运行经费</w:t>
            </w:r>
          </w:p>
        </w:tc>
        <w:tc>
          <w:tcPr>
            <w:tcW w:w="1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025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Arial" w:hAnsi="Arial" w:eastAsia="宋体" w:cs="Arial"/>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17.5万元</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869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E39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20万元</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AC7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3E5CE12">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498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83B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CF8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保障残疾人工作运行人员工资及社保发放额</w:t>
            </w:r>
          </w:p>
        </w:tc>
        <w:tc>
          <w:tcPr>
            <w:tcW w:w="1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31D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≤72.5万元</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2CB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190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76.05万元</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58BCD">
            <w:pPr>
              <w:pStyle w:val="2"/>
              <w:spacing w:line="240" w:lineRule="auto"/>
              <w:ind w:left="0" w:leftChars="0" w:firstLine="0" w:firstLineChars="0"/>
              <w:jc w:val="center"/>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4</w:t>
            </w:r>
          </w:p>
        </w:tc>
      </w:tr>
      <w:tr w14:paraId="2FD25E55">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7B3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9548D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8B8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资金支付及时率</w:t>
            </w:r>
          </w:p>
        </w:tc>
        <w:tc>
          <w:tcPr>
            <w:tcW w:w="1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ACD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C94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E8A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039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14:paraId="53B0AB7C">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038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98619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39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项目工作完成时限</w:t>
            </w:r>
          </w:p>
        </w:tc>
        <w:tc>
          <w:tcPr>
            <w:tcW w:w="1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D85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w:t>
            </w:r>
            <w:r>
              <w:rPr>
                <w:rFonts w:hint="eastAsia" w:ascii="宋体" w:hAnsi="宋体" w:eastAsia="宋体" w:cs="宋体"/>
                <w:color w:val="auto"/>
                <w:kern w:val="0"/>
                <w:sz w:val="20"/>
                <w:szCs w:val="20"/>
                <w:highlight w:val="none"/>
                <w:shd w:val="clear" w:color="auto" w:fill="auto"/>
                <w:lang w:val="en-US" w:eastAsia="zh-CN"/>
              </w:rPr>
              <w:t>12</w:t>
            </w:r>
            <w:r>
              <w:rPr>
                <w:rFonts w:hint="eastAsia" w:cs="宋体"/>
                <w:color w:val="auto"/>
                <w:kern w:val="0"/>
                <w:sz w:val="20"/>
                <w:szCs w:val="20"/>
                <w:highlight w:val="none"/>
                <w:shd w:val="clear" w:color="auto" w:fill="auto"/>
                <w:lang w:val="en-US" w:eastAsia="zh-CN"/>
              </w:rPr>
              <w:t>月</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88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B4E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F0B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F18ECE7">
        <w:tblPrEx>
          <w:shd w:val="clear" w:color="auto" w:fill="auto"/>
          <w:tblCellMar>
            <w:top w:w="0" w:type="dxa"/>
            <w:left w:w="0" w:type="dxa"/>
            <w:bottom w:w="0" w:type="dxa"/>
            <w:right w:w="0" w:type="dxa"/>
          </w:tblCellMar>
        </w:tblPrEx>
        <w:trPr>
          <w:trHeight w:val="403" w:hRule="atLeast"/>
        </w:trPr>
        <w:tc>
          <w:tcPr>
            <w:tcW w:w="58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CB4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E2C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B21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2BA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8BAD0D0">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outlineLvl w:val="2"/>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r>
        <w:rPr>
          <w:rFonts w:hint="eastAsia"/>
          <w:b/>
          <w:bCs/>
          <w:color w:val="auto"/>
          <w:highlight w:val="none"/>
          <w:lang w:val="en-US" w:eastAsia="zh-CN"/>
        </w:rPr>
        <w:t>指标</w:t>
      </w:r>
    </w:p>
    <w:p w14:paraId="151ED49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保障残疾人工作运行人员工资及社保人数</w:t>
      </w:r>
      <w:r>
        <w:rPr>
          <w:rFonts w:hint="eastAsia"/>
          <w:color w:val="auto"/>
          <w:highlight w:val="none"/>
          <w:lang w:eastAsia="zh-CN"/>
        </w:rPr>
        <w:t>”</w:t>
      </w:r>
      <w:r>
        <w:rPr>
          <w:rFonts w:hint="eastAsia"/>
          <w:color w:val="auto"/>
          <w:highlight w:val="none"/>
          <w:lang w:val="en-US" w:eastAsia="zh-CN"/>
        </w:rPr>
        <w:t>指标，预期目标值为12人，实际完成为12人。实际完成率=</w:t>
      </w:r>
      <w:r>
        <w:rPr>
          <w:rFonts w:hint="eastAsia"/>
          <w:b/>
          <w:bCs/>
          <w:color w:val="auto"/>
          <w:highlight w:val="none"/>
          <w:lang w:val="en-US" w:eastAsia="zh-CN"/>
        </w:rPr>
        <w:t>(12人/12人）</w:t>
      </w:r>
      <w:r>
        <w:rPr>
          <w:rFonts w:hint="default" w:ascii="Arial" w:hAnsi="Arial" w:cs="Arial"/>
          <w:b/>
          <w:bCs/>
          <w:color w:val="auto"/>
          <w:highlight w:val="none"/>
          <w:lang w:val="en-US" w:eastAsia="zh-CN"/>
        </w:rPr>
        <w:t>×</w:t>
      </w:r>
      <w:r>
        <w:rPr>
          <w:rFonts w:hint="eastAsia"/>
          <w:b/>
          <w:bCs/>
          <w:color w:val="auto"/>
          <w:highlight w:val="none"/>
          <w:lang w:val="en-US" w:eastAsia="zh-CN"/>
        </w:rPr>
        <w:t>100%=100%</w:t>
      </w:r>
      <w:r>
        <w:rPr>
          <w:rFonts w:hint="eastAsia"/>
          <w:color w:val="auto"/>
          <w:highlight w:val="none"/>
          <w:lang w:val="en-US" w:eastAsia="zh-CN"/>
        </w:rPr>
        <w:t>。</w:t>
      </w:r>
    </w:p>
    <w:p w14:paraId="19286E05">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rPr>
          <w:rFonts w:hint="eastAsia"/>
          <w:color w:val="auto"/>
          <w:highlight w:val="none"/>
          <w:lang w:eastAsia="zh-CN"/>
        </w:rPr>
      </w:pPr>
      <w:r>
        <w:rPr>
          <w:rFonts w:hint="eastAsia"/>
          <w:b/>
          <w:bCs/>
          <w:color w:val="auto"/>
          <w:highlight w:val="none"/>
          <w:lang w:val="en-US" w:eastAsia="zh-CN"/>
        </w:rPr>
        <w:t>综上，该项指标满分5分，得分5分。</w:t>
      </w:r>
    </w:p>
    <w:p w14:paraId="727B580F">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r>
        <w:rPr>
          <w:rFonts w:hint="eastAsia"/>
          <w:b/>
          <w:bCs/>
          <w:color w:val="auto"/>
          <w:highlight w:val="none"/>
          <w:lang w:val="en-US" w:eastAsia="zh-CN"/>
        </w:rPr>
        <w:t>指标</w:t>
      </w:r>
    </w:p>
    <w:p w14:paraId="1EB4903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保障残疾人工作运行人员工资及社保发放完成率</w:t>
      </w:r>
      <w:r>
        <w:rPr>
          <w:rFonts w:hint="eastAsia"/>
          <w:color w:val="auto"/>
          <w:highlight w:val="none"/>
          <w:lang w:eastAsia="zh-CN"/>
        </w:rPr>
        <w:t>”</w:t>
      </w:r>
      <w:r>
        <w:rPr>
          <w:rFonts w:hint="eastAsia"/>
          <w:color w:val="auto"/>
          <w:highlight w:val="none"/>
          <w:lang w:val="en-US" w:eastAsia="zh-CN"/>
        </w:rPr>
        <w:t>指标，预期目标值为100%，实际完成为100%。</w:t>
      </w:r>
    </w:p>
    <w:p w14:paraId="1434D306">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75F1E091">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outlineLvl w:val="2"/>
        <w:rPr>
          <w:rFonts w:hint="default"/>
          <w:b/>
          <w:bCs/>
          <w:color w:val="auto"/>
          <w:highlight w:val="none"/>
          <w:lang w:val="en-US" w:eastAsia="zh-CN"/>
        </w:rPr>
      </w:pPr>
      <w:r>
        <w:rPr>
          <w:rFonts w:hint="eastAsia"/>
          <w:b/>
          <w:bCs/>
          <w:color w:val="auto"/>
          <w:highlight w:val="none"/>
          <w:lang w:val="en-US" w:eastAsia="zh-CN"/>
        </w:rPr>
        <w:t>3.经济成本指标</w:t>
      </w:r>
    </w:p>
    <w:p w14:paraId="4003289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color w:val="auto"/>
          <w:highlight w:val="none"/>
          <w:lang w:val="en-US" w:eastAsia="zh-CN"/>
        </w:rPr>
      </w:pPr>
      <w:r>
        <w:rPr>
          <w:rFonts w:hint="eastAsia"/>
          <w:color w:val="auto"/>
          <w:highlight w:val="none"/>
          <w:lang w:eastAsia="zh-CN"/>
        </w:rPr>
        <w:t>“</w:t>
      </w:r>
      <w:r>
        <w:rPr>
          <w:rFonts w:hint="eastAsia" w:cs="宋体"/>
          <w:color w:val="auto"/>
          <w:kern w:val="0"/>
          <w:sz w:val="28"/>
          <w:szCs w:val="28"/>
          <w:highlight w:val="none"/>
          <w:shd w:val="clear" w:color="auto" w:fill="auto"/>
          <w:lang w:val="en-US" w:eastAsia="zh-CN"/>
        </w:rPr>
        <w:t>残疾人工作运行经费</w:t>
      </w:r>
      <w:r>
        <w:rPr>
          <w:rFonts w:hint="eastAsia"/>
          <w:color w:val="auto"/>
          <w:highlight w:val="none"/>
          <w:lang w:eastAsia="zh-CN"/>
        </w:rPr>
        <w:t>”</w:t>
      </w:r>
      <w:r>
        <w:rPr>
          <w:rFonts w:hint="eastAsia"/>
          <w:color w:val="auto"/>
          <w:highlight w:val="none"/>
          <w:lang w:val="en-US" w:eastAsia="zh-CN"/>
        </w:rPr>
        <w:t>指标，预期目标值为</w:t>
      </w:r>
      <w:r>
        <w:rPr>
          <w:rFonts w:hint="default" w:ascii="Arial" w:hAnsi="Arial" w:cs="Arial"/>
          <w:color w:val="auto"/>
          <w:highlight w:val="none"/>
          <w:lang w:val="en-US" w:eastAsia="zh-CN"/>
        </w:rPr>
        <w:t>≤</w:t>
      </w:r>
      <w:r>
        <w:rPr>
          <w:rFonts w:hint="eastAsia"/>
          <w:color w:val="auto"/>
          <w:highlight w:val="none"/>
          <w:lang w:val="en-US" w:eastAsia="zh-CN"/>
        </w:rPr>
        <w:t>17.5万元，实际完成为20万元。</w:t>
      </w:r>
    </w:p>
    <w:p w14:paraId="7552DDB5">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color w:val="auto"/>
          <w:highlight w:val="none"/>
          <w:lang w:val="en-US" w:eastAsia="zh-CN"/>
        </w:rPr>
      </w:pPr>
      <w:r>
        <w:rPr>
          <w:rFonts w:hint="eastAsia"/>
          <w:color w:val="auto"/>
          <w:highlight w:val="none"/>
          <w:lang w:eastAsia="zh-CN"/>
        </w:rPr>
        <w:t>“</w:t>
      </w:r>
      <w:r>
        <w:rPr>
          <w:rFonts w:hint="eastAsia" w:cs="宋体"/>
          <w:color w:val="auto"/>
          <w:kern w:val="0"/>
          <w:sz w:val="28"/>
          <w:szCs w:val="28"/>
          <w:highlight w:val="none"/>
          <w:shd w:val="clear" w:color="auto" w:fill="auto"/>
          <w:lang w:val="en-US" w:eastAsia="zh-CN"/>
        </w:rPr>
        <w:t>保障残疾人工作运行人员工资及社保发放额</w:t>
      </w:r>
      <w:r>
        <w:rPr>
          <w:rFonts w:hint="eastAsia"/>
          <w:color w:val="auto"/>
          <w:highlight w:val="none"/>
          <w:lang w:eastAsia="zh-CN"/>
        </w:rPr>
        <w:t>”</w:t>
      </w:r>
      <w:r>
        <w:rPr>
          <w:rFonts w:hint="eastAsia"/>
          <w:color w:val="auto"/>
          <w:highlight w:val="none"/>
          <w:lang w:val="en-US" w:eastAsia="zh-CN"/>
        </w:rPr>
        <w:t>指标，预期目标值为</w:t>
      </w:r>
      <w:r>
        <w:rPr>
          <w:rFonts w:hint="default" w:ascii="Arial" w:hAnsi="Arial" w:cs="Arial"/>
          <w:color w:val="auto"/>
          <w:highlight w:val="none"/>
          <w:lang w:val="en-US" w:eastAsia="zh-CN"/>
        </w:rPr>
        <w:t>≤</w:t>
      </w:r>
      <w:r>
        <w:rPr>
          <w:rFonts w:hint="eastAsia"/>
          <w:color w:val="auto"/>
          <w:highlight w:val="none"/>
          <w:lang w:val="en-US" w:eastAsia="zh-CN"/>
        </w:rPr>
        <w:t>72.5.5万元，实际完成为76.05万元。</w:t>
      </w:r>
    </w:p>
    <w:p w14:paraId="4A4ACBA5">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rPr>
          <w:rFonts w:hint="eastAsia"/>
          <w:color w:val="auto"/>
          <w:highlight w:val="none"/>
          <w:lang w:eastAsia="zh-CN"/>
        </w:rPr>
      </w:pPr>
      <w:r>
        <w:rPr>
          <w:rFonts w:hint="eastAsia" w:ascii="宋体" w:hAnsi="宋体" w:eastAsia="宋体" w:cs="宋体"/>
          <w:b/>
          <w:bCs/>
          <w:color w:val="auto"/>
          <w:kern w:val="2"/>
          <w:sz w:val="28"/>
          <w:szCs w:val="28"/>
          <w:highlight w:val="none"/>
          <w:lang w:val="en-US" w:eastAsia="zh-CN" w:bidi="ar-SA"/>
        </w:rPr>
        <w:t>综上，该项指标满分8分，得分8分</w:t>
      </w:r>
      <w:r>
        <w:rPr>
          <w:rFonts w:hint="eastAsia"/>
          <w:b/>
          <w:bCs/>
          <w:color w:val="auto"/>
          <w:highlight w:val="none"/>
          <w:lang w:val="en-US" w:eastAsia="zh-CN"/>
        </w:rPr>
        <w:t>。</w:t>
      </w:r>
    </w:p>
    <w:p w14:paraId="6140EBDB">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rPr>
          <w:rFonts w:hint="default"/>
          <w:b/>
          <w:bCs/>
          <w:color w:val="auto"/>
          <w:highlight w:val="none"/>
          <w:lang w:val="en-US" w:eastAsia="zh-CN"/>
        </w:rPr>
      </w:pPr>
      <w:bookmarkStart w:id="72" w:name="_Toc18307"/>
      <w:r>
        <w:rPr>
          <w:rFonts w:hint="eastAsia"/>
          <w:b/>
          <w:bCs/>
          <w:color w:val="auto"/>
          <w:highlight w:val="none"/>
          <w:lang w:val="en-US" w:eastAsia="zh-CN"/>
        </w:rPr>
        <w:t>4.项目完成时效</w:t>
      </w:r>
      <w:bookmarkEnd w:id="72"/>
    </w:p>
    <w:p w14:paraId="714AF6D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资金支付及时率</w:t>
      </w:r>
      <w:r>
        <w:rPr>
          <w:rFonts w:hint="eastAsia"/>
          <w:color w:val="auto"/>
          <w:highlight w:val="none"/>
          <w:lang w:eastAsia="zh-CN"/>
        </w:rPr>
        <w:t>”</w:t>
      </w:r>
      <w:r>
        <w:rPr>
          <w:rFonts w:hint="eastAsia"/>
          <w:color w:val="auto"/>
          <w:highlight w:val="none"/>
          <w:lang w:val="en-US" w:eastAsia="zh-CN"/>
        </w:rPr>
        <w:t>指标，预期目标值为100%，实际完成为100%。</w:t>
      </w:r>
    </w:p>
    <w:p w14:paraId="77C3045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default"/>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项目工作完成时限</w:t>
      </w:r>
      <w:r>
        <w:rPr>
          <w:rFonts w:hint="eastAsia"/>
          <w:color w:val="auto"/>
          <w:highlight w:val="none"/>
          <w:lang w:eastAsia="zh-CN"/>
        </w:rPr>
        <w:t>”</w:t>
      </w:r>
      <w:r>
        <w:rPr>
          <w:rFonts w:hint="eastAsia"/>
          <w:color w:val="auto"/>
          <w:highlight w:val="none"/>
          <w:lang w:val="en-US" w:eastAsia="zh-CN"/>
        </w:rPr>
        <w:t>指标，预期目标值为2023年12月，实际完成为2023年12月31日，完成率100%。</w:t>
      </w:r>
    </w:p>
    <w:p w14:paraId="060AC7B5">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rPr>
          <w:rFonts w:hint="default"/>
          <w:color w:val="auto"/>
          <w:highlight w:val="none"/>
          <w:lang w:val="en-US" w:eastAsia="zh-CN"/>
        </w:rPr>
      </w:pPr>
      <w:r>
        <w:rPr>
          <w:rFonts w:hint="eastAsia"/>
          <w:b/>
          <w:bCs/>
          <w:color w:val="auto"/>
          <w:highlight w:val="none"/>
          <w:lang w:val="en-US" w:eastAsia="zh-CN"/>
        </w:rPr>
        <w:t>综上，该项指标满分12分，得分12分。</w:t>
      </w:r>
    </w:p>
    <w:p w14:paraId="27693B47">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14:paraId="16AEC4FA">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1</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20E545A">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63CC2B1B">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AC4F1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46AE71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DC8B2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A2A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46B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1B0509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11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7AC26F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6C8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5DAD55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CED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230FE7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280B463">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67C43E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26E814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7D233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提升贫困残疾人生活水平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6A9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有所提高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721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06E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692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w:t>
            </w:r>
          </w:p>
        </w:tc>
      </w:tr>
      <w:tr w14:paraId="794197DA">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6F85D5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17107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A9F0D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保障残疾人工作运行人员工资及社保，增强服务水平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056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98E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B8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911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21E3DF99">
        <w:tblPrEx>
          <w:shd w:val="clear" w:color="auto" w:fill="auto"/>
          <w:tblCellMar>
            <w:top w:w="0" w:type="dxa"/>
            <w:left w:w="0" w:type="dxa"/>
            <w:bottom w:w="0" w:type="dxa"/>
            <w:right w:w="0" w:type="dxa"/>
          </w:tblCellMar>
        </w:tblPrEx>
        <w:trPr>
          <w:trHeight w:val="436" w:hRule="atLeast"/>
          <w:jc w:val="center"/>
        </w:trPr>
        <w:tc>
          <w:tcPr>
            <w:tcW w:w="685" w:type="dxa"/>
            <w:tcBorders>
              <w:left w:val="single" w:color="auto" w:sz="4" w:space="0"/>
              <w:right w:val="single" w:color="000000" w:sz="4" w:space="0"/>
            </w:tcBorders>
            <w:shd w:val="clear" w:color="auto" w:fill="auto"/>
            <w:tcMar>
              <w:top w:w="15" w:type="dxa"/>
              <w:left w:w="15" w:type="dxa"/>
              <w:right w:w="15" w:type="dxa"/>
            </w:tcMar>
            <w:vAlign w:val="center"/>
          </w:tcPr>
          <w:p w14:paraId="4AD5BE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C2F84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9B02D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2"/>
                <w:szCs w:val="22"/>
                <w:highlight w:val="none"/>
                <w:lang w:val="en-US" w:eastAsia="zh-CN"/>
              </w:rPr>
              <w:t xml:space="preserve"> 残疾人培训康复就业</w:t>
            </w:r>
            <w:r>
              <w:rPr>
                <w:rFonts w:hint="eastAsia" w:ascii="宋体" w:hAnsi="宋体" w:eastAsia="宋体" w:cs="宋体"/>
                <w:color w:val="auto"/>
                <w:kern w:val="0"/>
                <w:sz w:val="22"/>
                <w:szCs w:val="22"/>
                <w:highlight w:val="none"/>
              </w:rPr>
              <w:t>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0CC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default" w:ascii="Arial" w:hAnsi="Arial" w:cs="Arial"/>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AC5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423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269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r>
      <w:tr w14:paraId="3A9E61F0">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6E5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9DA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0CA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F1B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2D5498A">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default"/>
          <w:b/>
          <w:bCs/>
          <w:color w:val="auto"/>
          <w:highlight w:val="none"/>
          <w:lang w:val="en-US" w:eastAsia="zh-CN"/>
        </w:rPr>
      </w:pPr>
      <w:bookmarkStart w:id="74" w:name="_Toc8010"/>
      <w:r>
        <w:rPr>
          <w:rFonts w:hint="eastAsia"/>
          <w:b/>
          <w:bCs/>
          <w:color w:val="auto"/>
          <w:highlight w:val="none"/>
          <w:lang w:val="en-US" w:eastAsia="zh-CN"/>
        </w:rPr>
        <w:t>1.经济效益指标</w:t>
      </w:r>
      <w:bookmarkEnd w:id="74"/>
    </w:p>
    <w:p w14:paraId="5E8494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color w:val="auto"/>
          <w:highlight w:val="none"/>
          <w:lang w:val="en-US" w:eastAsia="zh-CN"/>
        </w:rPr>
      </w:pPr>
      <w:r>
        <w:rPr>
          <w:rFonts w:hint="eastAsia" w:cs="宋体"/>
          <w:color w:val="auto"/>
          <w:highlight w:val="none"/>
          <w:shd w:val="clear" w:color="auto" w:fill="auto"/>
          <w:lang w:val="en-US" w:eastAsia="zh-CN"/>
        </w:rPr>
        <w:t>本项目不存在经济效益指标。</w:t>
      </w:r>
    </w:p>
    <w:p w14:paraId="5BA6881B">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b/>
          <w:bCs/>
          <w:color w:val="auto"/>
          <w:highlight w:val="none"/>
          <w:lang w:val="en-US" w:eastAsia="zh-CN"/>
        </w:rPr>
      </w:pPr>
      <w:bookmarkStart w:id="75" w:name="_Toc27006"/>
      <w:r>
        <w:rPr>
          <w:rFonts w:hint="eastAsia"/>
          <w:b/>
          <w:bCs/>
          <w:color w:val="auto"/>
          <w:highlight w:val="none"/>
          <w:lang w:val="en-US" w:eastAsia="zh-CN"/>
        </w:rPr>
        <w:t>2.社会效益指标</w:t>
      </w:r>
      <w:bookmarkEnd w:id="75"/>
    </w:p>
    <w:p w14:paraId="08D4EF2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b w:val="0"/>
          <w:bCs w:val="0"/>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提升贫困残疾人生活水平</w:t>
      </w:r>
      <w:r>
        <w:rPr>
          <w:rFonts w:hint="eastAsia"/>
          <w:color w:val="auto"/>
          <w:highlight w:val="none"/>
          <w:lang w:eastAsia="zh-CN"/>
        </w:rPr>
        <w:t>”</w:t>
      </w:r>
      <w:r>
        <w:rPr>
          <w:rFonts w:hint="eastAsia"/>
          <w:color w:val="auto"/>
          <w:highlight w:val="none"/>
          <w:lang w:val="en-US" w:eastAsia="zh-CN"/>
        </w:rPr>
        <w:t>指标，预期目标值为有所提高，实际完成为100%。</w:t>
      </w:r>
    </w:p>
    <w:p w14:paraId="0DFF3E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b w:val="0"/>
          <w:bCs w:val="0"/>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保障残疾人工作运行人员工资及社保，增强服务水平</w:t>
      </w:r>
      <w:r>
        <w:rPr>
          <w:rFonts w:hint="eastAsia"/>
          <w:color w:val="auto"/>
          <w:highlight w:val="none"/>
          <w:lang w:eastAsia="zh-CN"/>
        </w:rPr>
        <w:t>”</w:t>
      </w:r>
      <w:r>
        <w:rPr>
          <w:rFonts w:hint="eastAsia"/>
          <w:color w:val="auto"/>
          <w:highlight w:val="none"/>
          <w:lang w:val="en-US" w:eastAsia="zh-CN"/>
        </w:rPr>
        <w:t>指标，预期目标值为长期，实际完成为100%。</w:t>
      </w:r>
    </w:p>
    <w:p w14:paraId="2E1C1B7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sz w:val="28"/>
          <w:szCs w:val="28"/>
          <w:highlight w:val="none"/>
          <w:lang w:val="en-US" w:eastAsia="zh-CN"/>
        </w:rPr>
      </w:pPr>
      <w:r>
        <w:rPr>
          <w:rFonts w:hint="eastAsia"/>
          <w:b w:val="0"/>
          <w:bCs w:val="0"/>
          <w:color w:val="auto"/>
          <w:sz w:val="28"/>
          <w:szCs w:val="28"/>
          <w:highlight w:val="none"/>
          <w:lang w:val="en-US" w:eastAsia="zh-CN"/>
        </w:rPr>
        <w:t>通过项目的实施，</w:t>
      </w:r>
      <w:r>
        <w:rPr>
          <w:rFonts w:hint="eastAsia" w:ascii="宋体" w:hAnsi="宋体" w:eastAsia="宋体" w:cs="宋体"/>
          <w:color w:val="auto"/>
          <w:kern w:val="0"/>
          <w:sz w:val="28"/>
          <w:szCs w:val="28"/>
          <w:highlight w:val="none"/>
          <w:shd w:val="clear" w:color="auto" w:fill="auto"/>
          <w:lang w:val="en-US" w:eastAsia="zh-CN"/>
        </w:rPr>
        <w:t>残疾人工作</w:t>
      </w:r>
      <w:r>
        <w:rPr>
          <w:rFonts w:hint="eastAsia" w:cs="宋体"/>
          <w:color w:val="auto"/>
          <w:kern w:val="0"/>
          <w:sz w:val="28"/>
          <w:szCs w:val="28"/>
          <w:highlight w:val="none"/>
          <w:shd w:val="clear" w:color="auto" w:fill="auto"/>
          <w:lang w:val="en-US" w:eastAsia="zh-CN"/>
        </w:rPr>
        <w:t>得以持续、健康运转</w:t>
      </w:r>
      <w:r>
        <w:rPr>
          <w:rFonts w:hint="eastAsia" w:ascii="宋体" w:hAnsi="宋体" w:eastAsia="宋体" w:cs="宋体"/>
          <w:color w:val="auto"/>
          <w:kern w:val="0"/>
          <w:sz w:val="28"/>
          <w:szCs w:val="28"/>
          <w:highlight w:val="none"/>
          <w:shd w:val="clear" w:color="auto" w:fill="auto"/>
          <w:lang w:val="en-US" w:eastAsia="zh-CN"/>
        </w:rPr>
        <w:t>，服务水平</w:t>
      </w:r>
      <w:r>
        <w:rPr>
          <w:rFonts w:hint="eastAsia" w:cs="宋体"/>
          <w:color w:val="auto"/>
          <w:kern w:val="0"/>
          <w:sz w:val="28"/>
          <w:szCs w:val="28"/>
          <w:highlight w:val="none"/>
          <w:shd w:val="clear" w:color="auto" w:fill="auto"/>
          <w:lang w:val="en-US" w:eastAsia="zh-CN"/>
        </w:rPr>
        <w:t>得到</w:t>
      </w:r>
      <w:r>
        <w:rPr>
          <w:rFonts w:hint="eastAsia" w:ascii="宋体" w:hAnsi="宋体" w:eastAsia="宋体" w:cs="宋体"/>
          <w:color w:val="auto"/>
          <w:kern w:val="0"/>
          <w:sz w:val="28"/>
          <w:szCs w:val="28"/>
          <w:highlight w:val="none"/>
          <w:shd w:val="clear" w:color="auto" w:fill="auto"/>
          <w:lang w:val="en-US" w:eastAsia="zh-CN"/>
        </w:rPr>
        <w:t>增强</w:t>
      </w:r>
      <w:r>
        <w:rPr>
          <w:rFonts w:hint="eastAsia" w:cs="宋体"/>
          <w:color w:val="auto"/>
          <w:kern w:val="0"/>
          <w:sz w:val="28"/>
          <w:szCs w:val="28"/>
          <w:highlight w:val="none"/>
          <w:shd w:val="clear" w:color="auto" w:fill="auto"/>
          <w:lang w:val="en-US" w:eastAsia="zh-CN"/>
        </w:rPr>
        <w:t>，</w:t>
      </w:r>
      <w:r>
        <w:rPr>
          <w:rFonts w:hint="eastAsia"/>
          <w:b w:val="0"/>
          <w:bCs w:val="0"/>
          <w:color w:val="auto"/>
          <w:sz w:val="28"/>
          <w:szCs w:val="28"/>
          <w:highlight w:val="none"/>
          <w:lang w:val="en-US" w:eastAsia="zh-CN"/>
        </w:rPr>
        <w:t>残疾人在康复、教育、就业和社会保障等方面权益得到有效维护，</w:t>
      </w:r>
      <w:r>
        <w:rPr>
          <w:rFonts w:hint="eastAsia" w:ascii="宋体" w:hAnsi="宋体" w:eastAsia="宋体" w:cs="宋体"/>
          <w:color w:val="auto"/>
          <w:kern w:val="0"/>
          <w:sz w:val="28"/>
          <w:szCs w:val="28"/>
          <w:highlight w:val="none"/>
          <w:shd w:val="clear" w:color="auto" w:fill="auto"/>
          <w:lang w:val="en-US" w:eastAsia="zh-CN"/>
        </w:rPr>
        <w:t>贫困残疾人生活水平</w:t>
      </w:r>
      <w:r>
        <w:rPr>
          <w:rFonts w:hint="eastAsia"/>
          <w:color w:val="auto"/>
          <w:sz w:val="28"/>
          <w:szCs w:val="28"/>
          <w:highlight w:val="none"/>
          <w:lang w:val="en-US" w:eastAsia="zh-CN"/>
        </w:rPr>
        <w:t>有所提高。</w:t>
      </w:r>
    </w:p>
    <w:p w14:paraId="1EF2E2E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b/>
          <w:bCs/>
          <w:color w:val="auto"/>
          <w:highlight w:val="none"/>
          <w:lang w:val="en-US" w:eastAsia="zh-CN"/>
        </w:rPr>
        <w:t>综上，该项指标满分22分，得分22分。</w:t>
      </w:r>
    </w:p>
    <w:p w14:paraId="71F70774">
      <w:pPr>
        <w:pageBreakBefore w:val="0"/>
        <w:widowControl w:val="0"/>
        <w:kinsoku/>
        <w:wordWrap/>
        <w:overflowPunct/>
        <w:topLinePunct w:val="0"/>
        <w:autoSpaceDE/>
        <w:autoSpaceDN/>
        <w:bidi w:val="0"/>
        <w:spacing w:line="560" w:lineRule="exact"/>
        <w:textAlignment w:val="auto"/>
        <w:outlineLvl w:val="2"/>
        <w:rPr>
          <w:rFonts w:hint="eastAsia"/>
          <w:color w:val="auto"/>
          <w:highlight w:val="none"/>
          <w:lang w:val="en-US" w:eastAsia="zh-CN"/>
        </w:rPr>
      </w:pPr>
      <w:bookmarkStart w:id="76" w:name="_Toc23106"/>
      <w:r>
        <w:rPr>
          <w:rFonts w:hint="eastAsia"/>
          <w:b/>
          <w:bCs/>
          <w:color w:val="auto"/>
          <w:highlight w:val="none"/>
          <w:lang w:val="en-US" w:eastAsia="zh-CN"/>
        </w:rPr>
        <w:t>3.生态效益指标</w:t>
      </w:r>
      <w:bookmarkEnd w:id="76"/>
    </w:p>
    <w:p w14:paraId="629FBBBE">
      <w:pPr>
        <w:pageBreakBefore w:val="0"/>
        <w:widowControl w:val="0"/>
        <w:numPr>
          <w:ilvl w:val="0"/>
          <w:numId w:val="0"/>
        </w:numPr>
        <w:kinsoku/>
        <w:wordWrap/>
        <w:overflowPunct/>
        <w:topLinePunct w:val="0"/>
        <w:autoSpaceDE/>
        <w:autoSpaceDN/>
        <w:bidi w:val="0"/>
        <w:spacing w:line="560" w:lineRule="exact"/>
        <w:ind w:leftChars="200"/>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本项目不存在生态效益指标。</w:t>
      </w:r>
    </w:p>
    <w:p w14:paraId="32B98163">
      <w:pPr>
        <w:pageBreakBefore w:val="0"/>
        <w:widowControl w:val="0"/>
        <w:kinsoku/>
        <w:wordWrap/>
        <w:overflowPunct/>
        <w:topLinePunct w:val="0"/>
        <w:autoSpaceDE/>
        <w:autoSpaceDN/>
        <w:bidi w:val="0"/>
        <w:spacing w:line="560" w:lineRule="exact"/>
        <w:textAlignment w:val="auto"/>
        <w:outlineLvl w:val="2"/>
        <w:rPr>
          <w:rFonts w:hint="eastAsia"/>
          <w:b/>
          <w:bCs/>
          <w:color w:val="auto"/>
          <w:highlight w:val="none"/>
          <w:lang w:val="en-US" w:eastAsia="zh-CN"/>
        </w:rPr>
      </w:pPr>
      <w:bookmarkStart w:id="77" w:name="_Toc3271"/>
      <w:r>
        <w:rPr>
          <w:rFonts w:hint="eastAsia"/>
          <w:b/>
          <w:bCs/>
          <w:color w:val="auto"/>
          <w:highlight w:val="none"/>
          <w:lang w:val="en-US" w:eastAsia="zh-CN"/>
        </w:rPr>
        <w:t>4.满意度指标</w:t>
      </w:r>
      <w:bookmarkEnd w:id="77"/>
    </w:p>
    <w:p w14:paraId="64744A3C">
      <w:pPr>
        <w:pageBreakBefore w:val="0"/>
        <w:widowControl w:val="0"/>
        <w:kinsoku/>
        <w:wordWrap/>
        <w:overflowPunct/>
        <w:topLinePunct w:val="0"/>
        <w:autoSpaceDE/>
        <w:autoSpaceDN/>
        <w:bidi w:val="0"/>
        <w:spacing w:line="560" w:lineRule="exact"/>
        <w:textAlignment w:val="auto"/>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残疾人培训康复就业满意度</w:t>
      </w:r>
      <w:r>
        <w:rPr>
          <w:rFonts w:hint="eastAsia"/>
          <w:color w:val="auto"/>
          <w:highlight w:val="none"/>
          <w:lang w:eastAsia="zh-CN"/>
        </w:rPr>
        <w:t>”</w:t>
      </w:r>
      <w:r>
        <w:rPr>
          <w:rFonts w:hint="eastAsia"/>
          <w:color w:val="auto"/>
          <w:highlight w:val="none"/>
          <w:lang w:val="en-US" w:eastAsia="zh-CN"/>
        </w:rPr>
        <w:t>指标，预期目标值为90%，实际完成为95%。</w:t>
      </w:r>
    </w:p>
    <w:p w14:paraId="3058FC56">
      <w:pPr>
        <w:pageBreakBefore w:val="0"/>
        <w:widowControl w:val="0"/>
        <w:kinsoku/>
        <w:wordWrap/>
        <w:overflowPunct/>
        <w:topLinePunct w:val="0"/>
        <w:autoSpaceDE/>
        <w:autoSpaceDN/>
        <w:bidi w:val="0"/>
        <w:spacing w:line="560" w:lineRule="exact"/>
        <w:textAlignment w:val="auto"/>
        <w:rPr>
          <w:rFonts w:hint="eastAsia"/>
          <w:b/>
          <w:bCs/>
          <w:color w:val="auto"/>
          <w:highlight w:val="none"/>
          <w:lang w:val="en-US" w:eastAsia="zh-CN"/>
        </w:rPr>
      </w:pPr>
      <w:r>
        <w:rPr>
          <w:rFonts w:hint="eastAsia"/>
          <w:b/>
          <w:bCs/>
          <w:color w:val="auto"/>
          <w:highlight w:val="none"/>
          <w:lang w:val="en-US" w:eastAsia="zh-CN"/>
        </w:rPr>
        <w:t>综上，该项指标满分8分，得分8分。</w:t>
      </w:r>
    </w:p>
    <w:p w14:paraId="27B47ECC">
      <w:pPr>
        <w:pStyle w:val="3"/>
        <w:pageBreakBefore w:val="0"/>
        <w:widowControl w:val="0"/>
        <w:kinsoku/>
        <w:wordWrap/>
        <w:overflowPunct/>
        <w:topLinePunct w:val="0"/>
        <w:autoSpaceDE/>
        <w:autoSpaceDN/>
        <w:bidi w:val="0"/>
        <w:adjustRightInd/>
        <w:spacing w:beforeLines="0" w:afterLines="0" w:line="560" w:lineRule="exact"/>
        <w:ind w:left="0" w:leftChars="0" w:firstLine="643" w:firstLineChars="200"/>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14:paraId="1786F27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cs="仿宋_GB2312"/>
          <w:b w:val="0"/>
          <w:bCs w:val="0"/>
          <w:color w:val="auto"/>
          <w:sz w:val="28"/>
          <w:szCs w:val="28"/>
          <w:highlight w:val="none"/>
          <w:lang w:val="en-US" w:eastAsia="zh-CN"/>
        </w:rPr>
      </w:pPr>
      <w:r>
        <w:rPr>
          <w:rFonts w:hint="eastAsia" w:cs="仿宋_GB2312"/>
          <w:b w:val="0"/>
          <w:bCs w:val="0"/>
          <w:color w:val="auto"/>
          <w:sz w:val="28"/>
          <w:szCs w:val="28"/>
          <w:highlight w:val="none"/>
          <w:lang w:val="en-US" w:eastAsia="zh-CN"/>
        </w:rPr>
        <w:t>该</w:t>
      </w:r>
      <w:r>
        <w:rPr>
          <w:rFonts w:hint="eastAsia" w:cs="仿宋_GB2312"/>
          <w:b w:val="0"/>
          <w:bCs w:val="0"/>
          <w:color w:val="auto"/>
          <w:sz w:val="28"/>
          <w:szCs w:val="28"/>
          <w:highlight w:val="none"/>
          <w:lang w:eastAsia="zh-CN"/>
        </w:rPr>
        <w:t>项目预算资金总额为</w:t>
      </w:r>
      <w:r>
        <w:rPr>
          <w:rFonts w:hint="eastAsia"/>
          <w:b w:val="0"/>
          <w:bCs w:val="0"/>
          <w:color w:val="auto"/>
          <w:highlight w:val="none"/>
          <w:lang w:val="en-US" w:eastAsia="zh-CN"/>
        </w:rPr>
        <w:t>96.05</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96.05</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 xml:space="preserve">100 </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 xml:space="preserve">100 </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 xml:space="preserve">0 </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21F46430">
      <w:pPr>
        <w:pStyle w:val="3"/>
        <w:pageBreakBefore w:val="0"/>
        <w:widowControl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4EA2F599">
      <w:pPr>
        <w:pageBreakBefore w:val="0"/>
        <w:widowControl w:val="0"/>
        <w:numPr>
          <w:ilvl w:val="0"/>
          <w:numId w:val="0"/>
        </w:numPr>
        <w:kinsoku/>
        <w:wordWrap/>
        <w:overflowPunct/>
        <w:topLinePunct w:val="0"/>
        <w:autoSpaceDE/>
        <w:autoSpaceDN/>
        <w:bidi w:val="0"/>
        <w:spacing w:line="560" w:lineRule="exact"/>
        <w:ind w:left="560" w:leftChars="0"/>
        <w:textAlignment w:val="auto"/>
        <w:outlineLvl w:val="1"/>
        <w:rPr>
          <w:rFonts w:hint="eastAsia"/>
          <w:b/>
          <w:bCs/>
          <w:color w:val="auto"/>
          <w:highlight w:val="none"/>
          <w:lang w:eastAsia="zh-CN"/>
        </w:rPr>
      </w:pPr>
      <w:bookmarkStart w:id="80" w:name="_Toc13160"/>
      <w:bookmarkStart w:id="81" w:name="_Toc1921"/>
      <w:bookmarkStart w:id="82"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14:paraId="69202277">
      <w:pPr>
        <w:pageBreakBefore w:val="0"/>
        <w:widowControl w:val="0"/>
        <w:kinsoku/>
        <w:wordWrap/>
        <w:overflowPunct/>
        <w:topLinePunct w:val="0"/>
        <w:autoSpaceDE/>
        <w:autoSpaceDN/>
        <w:bidi w:val="0"/>
        <w:spacing w:line="560" w:lineRule="exact"/>
        <w:textAlignment w:val="auto"/>
        <w:rPr>
          <w:rFonts w:hint="eastAsia"/>
          <w:color w:val="auto"/>
          <w:highlight w:val="none"/>
          <w:lang w:eastAsia="zh-CN"/>
        </w:rPr>
      </w:pPr>
      <w:r>
        <w:rPr>
          <w:rFonts w:hint="eastAsia"/>
          <w:color w:val="auto"/>
          <w:highlight w:val="none"/>
          <w:lang w:val="en-US" w:eastAsia="zh-CN"/>
        </w:rPr>
        <w:t>残保金项目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96.05</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96.05</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0C09193A">
      <w:pPr>
        <w:pageBreakBefore w:val="0"/>
        <w:widowControl w:val="0"/>
        <w:kinsoku/>
        <w:wordWrap/>
        <w:overflowPunct/>
        <w:topLinePunct w:val="0"/>
        <w:autoSpaceDE/>
        <w:autoSpaceDN/>
        <w:bidi w:val="0"/>
        <w:spacing w:line="560" w:lineRule="exact"/>
        <w:textAlignment w:val="auto"/>
        <w:rPr>
          <w:rFonts w:hint="eastAsia"/>
          <w:color w:val="auto"/>
          <w:highlight w:val="none"/>
          <w:lang w:eastAsia="zh-CN"/>
        </w:rPr>
      </w:pPr>
      <w:r>
        <w:rPr>
          <w:rFonts w:hint="eastAsia"/>
          <w:color w:val="auto"/>
          <w:highlight w:val="none"/>
          <w:lang w:val="en-US" w:eastAsia="zh-CN"/>
        </w:rPr>
        <w:t>阜康市残疾人联合会</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阜康市残疾人联合会</w:t>
      </w:r>
      <w:r>
        <w:rPr>
          <w:rFonts w:hint="eastAsia"/>
          <w:color w:val="auto"/>
          <w:highlight w:val="none"/>
          <w:lang w:eastAsia="zh-CN"/>
        </w:rPr>
        <w:t>事业发展中关系民生与稳定的项目，切实优化资源配置，提高了资金使用的效率和效果。</w:t>
      </w:r>
    </w:p>
    <w:bookmarkEnd w:id="81"/>
    <w:bookmarkEnd w:id="82"/>
    <w:p w14:paraId="48A65D92">
      <w:pPr>
        <w:bidi w:val="0"/>
        <w:outlineLvl w:val="1"/>
        <w:rPr>
          <w:rFonts w:hint="eastAsia"/>
          <w:b/>
          <w:bCs/>
          <w:color w:val="auto"/>
          <w:highlight w:val="none"/>
          <w:lang w:eastAsia="zh-CN"/>
        </w:rPr>
      </w:pPr>
      <w:bookmarkStart w:id="83"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3"/>
    </w:p>
    <w:p w14:paraId="3556F5E1">
      <w:pPr>
        <w:numPr>
          <w:ilvl w:val="0"/>
          <w:numId w:val="0"/>
        </w:numPr>
        <w:bidi w:val="0"/>
        <w:ind w:firstLine="560" w:firstLineChars="200"/>
        <w:rPr>
          <w:rFonts w:hint="eastAsia"/>
          <w:b w:val="0"/>
          <w:bCs w:val="0"/>
          <w:color w:val="auto"/>
          <w:sz w:val="28"/>
          <w:szCs w:val="28"/>
          <w:highlight w:val="none"/>
          <w:shd w:val="clear" w:color="auto" w:fill="auto"/>
          <w:lang w:val="en-US" w:eastAsia="zh-CN"/>
        </w:rPr>
      </w:pPr>
      <w:r>
        <w:rPr>
          <w:rFonts w:hint="eastAsia"/>
          <w:b w:val="0"/>
          <w:bCs w:val="0"/>
          <w:color w:val="auto"/>
          <w:sz w:val="28"/>
          <w:szCs w:val="28"/>
          <w:highlight w:val="none"/>
          <w:shd w:val="clear" w:color="auto" w:fill="auto"/>
          <w:lang w:val="en-US" w:eastAsia="zh-CN"/>
        </w:rPr>
        <w:t>1.个别项目还不能满足残疾人多样化的培训就业需求，主动参与度不高，又有抵触情绪。</w:t>
      </w:r>
    </w:p>
    <w:p w14:paraId="557FB272">
      <w:pPr>
        <w:numPr>
          <w:ilvl w:val="0"/>
          <w:numId w:val="0"/>
        </w:numPr>
        <w:bidi w:val="0"/>
        <w:ind w:firstLine="560" w:firstLineChars="200"/>
        <w:rPr>
          <w:rFonts w:hint="eastAsia"/>
          <w:b w:val="0"/>
          <w:bCs w:val="0"/>
          <w:color w:val="auto"/>
          <w:sz w:val="28"/>
          <w:szCs w:val="28"/>
          <w:highlight w:val="none"/>
          <w:shd w:val="clear" w:color="auto" w:fill="auto"/>
          <w:lang w:val="en-US" w:eastAsia="zh-CN"/>
        </w:rPr>
      </w:pPr>
      <w:r>
        <w:rPr>
          <w:rFonts w:hint="eastAsia" w:ascii="宋体" w:hAnsi="宋体" w:eastAsia="宋体" w:cs="宋体"/>
          <w:b w:val="0"/>
          <w:bCs w:val="0"/>
          <w:color w:val="auto"/>
          <w:sz w:val="28"/>
          <w:szCs w:val="28"/>
          <w:highlight w:val="none"/>
          <w:shd w:val="clear" w:color="auto" w:fill="auto"/>
          <w:lang w:val="en-US" w:eastAsia="zh-CN"/>
        </w:rPr>
        <w:t>2</w:t>
      </w:r>
      <w:r>
        <w:rPr>
          <w:rFonts w:hint="eastAsia"/>
          <w:b w:val="0"/>
          <w:bCs w:val="0"/>
          <w:color w:val="auto"/>
          <w:sz w:val="28"/>
          <w:szCs w:val="28"/>
          <w:highlight w:val="none"/>
          <w:shd w:val="clear" w:color="auto" w:fill="auto"/>
          <w:lang w:val="en-US" w:eastAsia="zh-CN"/>
        </w:rPr>
        <w:t>.教育方面的问题，</w:t>
      </w:r>
      <w:bookmarkStart w:id="84" w:name="_Toc5230"/>
      <w:r>
        <w:rPr>
          <w:rFonts w:hint="eastAsia"/>
          <w:b w:val="0"/>
          <w:bCs w:val="0"/>
          <w:color w:val="auto"/>
          <w:sz w:val="28"/>
          <w:szCs w:val="28"/>
          <w:highlight w:val="none"/>
          <w:shd w:val="clear" w:color="auto" w:fill="auto"/>
          <w:lang w:val="en-US" w:eastAsia="zh-CN"/>
        </w:rPr>
        <w:t>由于家庭经济困难或其他原因，长时间接受教育的耗费较高，导致许多残疾人没有机会接受足够的教育或者缺乏足够的自主性教育活动，一部分残疾人不能充分参与学校教育。</w:t>
      </w:r>
    </w:p>
    <w:p w14:paraId="019A879A">
      <w:pPr>
        <w:numPr>
          <w:ilvl w:val="0"/>
          <w:numId w:val="0"/>
        </w:numPr>
        <w:bidi w:val="0"/>
        <w:ind w:firstLine="562" w:firstLineChars="20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4"/>
    </w:p>
    <w:p w14:paraId="54177B1A">
      <w:pPr>
        <w:pStyle w:val="18"/>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firstLine="560" w:firstLineChars="200"/>
        <w:jc w:val="both"/>
        <w:textAlignment w:val="auto"/>
        <w:rPr>
          <w:rFonts w:hint="eastAsia" w:asciiTheme="minorEastAsia" w:hAnsiTheme="minorEastAsia" w:eastAsiaTheme="minorEastAsia" w:cstheme="minorEastAsia"/>
          <w:color w:val="auto"/>
          <w:kern w:val="2"/>
          <w:sz w:val="28"/>
          <w:szCs w:val="24"/>
          <w:highlight w:val="none"/>
          <w:lang w:val="en-US" w:eastAsia="zh-CN" w:bidi="ar-SA"/>
        </w:rPr>
      </w:pPr>
      <w:r>
        <w:rPr>
          <w:rFonts w:hint="eastAsia" w:asciiTheme="minorEastAsia" w:hAnsiTheme="minorEastAsia" w:eastAsiaTheme="minorEastAsia" w:cstheme="minorEastAsia"/>
          <w:color w:val="auto"/>
          <w:kern w:val="2"/>
          <w:sz w:val="28"/>
          <w:szCs w:val="24"/>
          <w:highlight w:val="none"/>
          <w:lang w:val="en-US" w:eastAsia="zh-CN" w:bidi="ar-SA"/>
        </w:rPr>
        <w:t>（一）加大宣传力度，加强专业技术人员的培训能力和服务水平，制订相关优惠政策和制度，鼓励残疾人自主创业，积极参加教育培训的工作。</w:t>
      </w:r>
    </w:p>
    <w:p w14:paraId="6D053CE3">
      <w:pPr>
        <w:pStyle w:val="18"/>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firstLine="560" w:firstLineChars="200"/>
        <w:jc w:val="both"/>
        <w:textAlignment w:val="auto"/>
        <w:rPr>
          <w:rFonts w:hint="eastAsia" w:ascii="宋体" w:hAnsi="宋体" w:eastAsia="宋体" w:cs="宋体"/>
          <w:color w:val="auto"/>
          <w:kern w:val="2"/>
          <w:sz w:val="28"/>
          <w:szCs w:val="28"/>
          <w:highlight w:val="none"/>
          <w:lang w:val="en-US" w:eastAsia="zh-CN" w:bidi="ar-SA"/>
        </w:rPr>
      </w:pPr>
      <w:r>
        <w:rPr>
          <w:rFonts w:hint="eastAsia" w:cs="宋体"/>
          <w:color w:val="auto"/>
          <w:kern w:val="2"/>
          <w:sz w:val="28"/>
          <w:szCs w:val="28"/>
          <w:highlight w:val="none"/>
          <w:lang w:val="en-US" w:eastAsia="zh-CN" w:bidi="ar-SA"/>
        </w:rPr>
        <w:t>（二）</w:t>
      </w:r>
      <w:r>
        <w:rPr>
          <w:rFonts w:hint="eastAsia" w:ascii="宋体" w:hAnsi="宋体" w:eastAsia="宋体" w:cs="宋体"/>
          <w:color w:val="auto"/>
          <w:kern w:val="2"/>
          <w:sz w:val="28"/>
          <w:szCs w:val="28"/>
          <w:highlight w:val="none"/>
          <w:lang w:val="en-US" w:eastAsia="zh-CN" w:bidi="ar-SA"/>
        </w:rPr>
        <w:t>加强残疾人的教育培训工作，提升他们的受教育能力，建立健全残疾人职业培训体系，制定多样化的培训计划，根据残疾人的职业特长和兴趣，为他们提供个性化的职业培训服务，提高他们的就业竞争力，同时，要积极引导社会力量参与残疾人的教育培训工作。</w:t>
      </w:r>
    </w:p>
    <w:p w14:paraId="19695B06">
      <w:pPr>
        <w:pStyle w:val="3"/>
        <w:pageBreakBefore w:val="0"/>
        <w:kinsoku/>
        <w:wordWrap/>
        <w:overflowPunct/>
        <w:topLinePunct w:val="0"/>
        <w:autoSpaceDE/>
        <w:autoSpaceDN/>
        <w:bidi w:val="0"/>
        <w:adjustRightIn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lang w:val="en-US" w:eastAsia="zh-CN"/>
        </w:rPr>
      </w:pPr>
      <w:bookmarkStart w:id="85" w:name="_Toc15618"/>
      <w:r>
        <w:rPr>
          <w:rFonts w:hint="eastAsia" w:ascii="宋体" w:hAnsi="宋体" w:eastAsia="宋体" w:cs="宋体"/>
          <w:b/>
          <w:bCs/>
          <w:color w:val="auto"/>
          <w:highlight w:val="none"/>
          <w:shd w:val="clear" w:color="auto" w:fill="auto"/>
          <w:lang w:val="en-US" w:eastAsia="zh-CN"/>
        </w:rPr>
        <w:t>八、其他需要说明的问题</w:t>
      </w:r>
      <w:bookmarkEnd w:id="85"/>
    </w:p>
    <w:p w14:paraId="06A9291E">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48EB5699">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2E3EEDA9">
      <w:pPr>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bookmarkStart w:id="86" w:name="_Toc11349"/>
    </w:p>
    <w:p w14:paraId="1E483D5C">
      <w:pPr>
        <w:ind w:left="0" w:leftChars="0" w:firstLine="0" w:firstLineChars="0"/>
        <w:rPr>
          <w:color w:val="auto"/>
          <w:highlight w:val="none"/>
        </w:rPr>
      </w:pPr>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1"/>
        <w:tblW w:w="492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7"/>
        <w:gridCol w:w="937"/>
        <w:gridCol w:w="937"/>
        <w:gridCol w:w="938"/>
        <w:gridCol w:w="1223"/>
        <w:gridCol w:w="938"/>
        <w:gridCol w:w="938"/>
        <w:gridCol w:w="1033"/>
        <w:gridCol w:w="938"/>
        <w:gridCol w:w="938"/>
        <w:gridCol w:w="1223"/>
        <w:gridCol w:w="1223"/>
        <w:gridCol w:w="1033"/>
        <w:gridCol w:w="938"/>
      </w:tblGrid>
      <w:tr w14:paraId="57A09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13207969">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49138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nil"/>
              <w:right w:val="nil"/>
            </w:tcBorders>
            <w:shd w:val="clear" w:color="auto" w:fill="auto"/>
            <w:vAlign w:val="center"/>
          </w:tcPr>
          <w:p w14:paraId="0801AE98">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4C880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0FD5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4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31852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残保金项目</w:t>
            </w:r>
          </w:p>
        </w:tc>
      </w:tr>
      <w:tr w14:paraId="76F44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9157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23459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昌吉州残疾人联合会</w:t>
            </w: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EB6B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7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657B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阜康市残疾人联合会</w:t>
            </w:r>
          </w:p>
        </w:tc>
      </w:tr>
      <w:tr w14:paraId="416B3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38A4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9EBB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077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CAC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EDC6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C716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47A0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FE7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636C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D48B0A">
            <w:pPr>
              <w:jc w:val="center"/>
              <w:rPr>
                <w:rFonts w:hint="eastAsia" w:ascii="宋体" w:hAnsi="宋体" w:eastAsia="宋体" w:cs="宋体"/>
                <w:i w:val="0"/>
                <w:iCs w:val="0"/>
                <w:color w:val="000000"/>
                <w:sz w:val="20"/>
                <w:szCs w:val="20"/>
                <w:u w:val="none"/>
              </w:rPr>
            </w:pPr>
          </w:p>
        </w:tc>
        <w:tc>
          <w:tcPr>
            <w:tcW w:w="22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F3A7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938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90.00 </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B09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96.05 </w:t>
            </w: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1535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96.05 </w:t>
            </w:r>
          </w:p>
        </w:tc>
        <w:tc>
          <w:tcPr>
            <w:tcW w:w="1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E40E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40A9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22C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5AEA9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C288D">
            <w:pPr>
              <w:jc w:val="center"/>
              <w:rPr>
                <w:rFonts w:hint="eastAsia" w:ascii="宋体" w:hAnsi="宋体" w:eastAsia="宋体" w:cs="宋体"/>
                <w:i w:val="0"/>
                <w:iCs w:val="0"/>
                <w:color w:val="000000"/>
                <w:sz w:val="20"/>
                <w:szCs w:val="20"/>
                <w:u w:val="none"/>
              </w:rPr>
            </w:pPr>
          </w:p>
        </w:tc>
        <w:tc>
          <w:tcPr>
            <w:tcW w:w="22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EF4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AA8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90.00 </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1E0E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96.05 </w:t>
            </w: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4B52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96.05 </w:t>
            </w:r>
          </w:p>
        </w:tc>
        <w:tc>
          <w:tcPr>
            <w:tcW w:w="1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BD56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9E05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775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6C75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47F63">
            <w:pPr>
              <w:jc w:val="center"/>
              <w:rPr>
                <w:rFonts w:hint="eastAsia" w:ascii="宋体" w:hAnsi="宋体" w:eastAsia="宋体" w:cs="宋体"/>
                <w:i w:val="0"/>
                <w:iCs w:val="0"/>
                <w:color w:val="000000"/>
                <w:sz w:val="20"/>
                <w:szCs w:val="20"/>
                <w:u w:val="none"/>
              </w:rPr>
            </w:pPr>
          </w:p>
        </w:tc>
        <w:tc>
          <w:tcPr>
            <w:tcW w:w="2295" w:type="dxa"/>
            <w:gridSpan w:val="2"/>
            <w:tcBorders>
              <w:top w:val="single" w:color="000000" w:sz="4" w:space="0"/>
              <w:left w:val="single" w:color="000000" w:sz="4" w:space="0"/>
              <w:bottom w:val="nil"/>
              <w:right w:val="single" w:color="000000" w:sz="4" w:space="0"/>
            </w:tcBorders>
            <w:shd w:val="clear" w:color="auto" w:fill="auto"/>
            <w:vAlign w:val="center"/>
          </w:tcPr>
          <w:p w14:paraId="422980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19" w:type="dxa"/>
            <w:tcBorders>
              <w:top w:val="single" w:color="000000" w:sz="4" w:space="0"/>
              <w:left w:val="single" w:color="000000" w:sz="4" w:space="0"/>
              <w:bottom w:val="nil"/>
              <w:right w:val="single" w:color="000000" w:sz="4" w:space="0"/>
            </w:tcBorders>
            <w:shd w:val="clear" w:color="auto" w:fill="auto"/>
            <w:vAlign w:val="center"/>
          </w:tcPr>
          <w:p w14:paraId="49D6E7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54" w:type="dxa"/>
            <w:gridSpan w:val="2"/>
            <w:tcBorders>
              <w:top w:val="single" w:color="000000" w:sz="4" w:space="0"/>
              <w:left w:val="single" w:color="000000" w:sz="4" w:space="0"/>
              <w:bottom w:val="nil"/>
              <w:right w:val="single" w:color="000000" w:sz="4" w:space="0"/>
            </w:tcBorders>
            <w:shd w:val="clear" w:color="auto" w:fill="auto"/>
            <w:vAlign w:val="center"/>
          </w:tcPr>
          <w:p w14:paraId="5631D1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03" w:type="dxa"/>
            <w:gridSpan w:val="2"/>
            <w:tcBorders>
              <w:top w:val="single" w:color="000000" w:sz="4" w:space="0"/>
              <w:left w:val="single" w:color="000000" w:sz="4" w:space="0"/>
              <w:bottom w:val="nil"/>
              <w:right w:val="single" w:color="000000" w:sz="4" w:space="0"/>
            </w:tcBorders>
            <w:shd w:val="clear" w:color="auto" w:fill="auto"/>
            <w:vAlign w:val="center"/>
          </w:tcPr>
          <w:p w14:paraId="1D1AF1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45ADB7">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A442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AC3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9051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716B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97FEE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7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01BA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73B1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85401">
            <w:pPr>
              <w:jc w:val="center"/>
              <w:rPr>
                <w:rFonts w:hint="eastAsia" w:ascii="宋体" w:hAnsi="宋体" w:eastAsia="宋体" w:cs="宋体"/>
                <w:i w:val="0"/>
                <w:iCs w:val="0"/>
                <w:color w:val="000000"/>
                <w:sz w:val="20"/>
                <w:szCs w:val="20"/>
                <w:u w:val="none"/>
              </w:rPr>
            </w:pPr>
          </w:p>
        </w:tc>
        <w:tc>
          <w:tcPr>
            <w:tcW w:w="77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02E8E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残疾人联合会负责宣传、贯彻、落实国家法律、法规、严格执法，保障残疾人合法权利；听取残疾人意见，反映残疾人需求，维护残疾人权益，为残疾人服务；团结、教育残疾人，遵守法律，履行应尽义务。2023年预计完成保障残疾人工作运行人员工资及社保人数12人，保障残疾人工作运行人员工资及社保发放完成率达到100﹪，增强服务水平，提升贫困残疾人生活水平。</w:t>
            </w:r>
          </w:p>
        </w:tc>
        <w:tc>
          <w:tcPr>
            <w:tcW w:w="57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8786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保障残疾人工作运行人员工资及社保人数12人，保障残疾人工作运行人员工资及社保发放完成率达到100﹪,资金支付及时率达到100﹪，达到了提升贫困残疾人生活水平，保障残疾人工作运行人员工资及社保，增强服务水平的效益。</w:t>
            </w:r>
          </w:p>
        </w:tc>
      </w:tr>
      <w:tr w14:paraId="572F9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47CEB">
            <w:pPr>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989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76C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C8C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68A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877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11E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899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67D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BA3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051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D4A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B9D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6EB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B7EA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7B91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3202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5E7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07F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保障残疾人工作运行人员工资及社保人数</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A0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≧12人</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3FD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5DF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3D5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719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BBD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15B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AB0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F65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D430F">
            <w:pPr>
              <w:jc w:val="center"/>
              <w:rPr>
                <w:rFonts w:hint="eastAsia" w:ascii="宋体" w:hAnsi="宋体" w:eastAsia="宋体" w:cs="宋体"/>
                <w:i w:val="0"/>
                <w:iCs w:val="0"/>
                <w:color w:val="000000"/>
                <w:sz w:val="20"/>
                <w:szCs w:val="20"/>
                <w:u w:val="none"/>
              </w:rPr>
            </w:pPr>
          </w:p>
        </w:tc>
      </w:tr>
      <w:tr w14:paraId="6AB6E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86AA9">
            <w:pPr>
              <w:jc w:val="center"/>
              <w:rPr>
                <w:rFonts w:hint="eastAsia" w:ascii="宋体" w:hAnsi="宋体" w:eastAsia="宋体" w:cs="宋体"/>
                <w:i w:val="0"/>
                <w:iCs w:val="0"/>
                <w:color w:val="000000"/>
                <w:sz w:val="20"/>
                <w:szCs w:val="20"/>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CB3B0A">
            <w:pPr>
              <w:jc w:val="center"/>
              <w:rPr>
                <w:rFonts w:hint="eastAsia" w:ascii="宋体" w:hAnsi="宋体" w:eastAsia="宋体" w:cs="宋体"/>
                <w:i w:val="0"/>
                <w:iCs w:val="0"/>
                <w:color w:val="000000"/>
                <w:sz w:val="20"/>
                <w:szCs w:val="20"/>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104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C21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保障残疾人工作运行人员工资及社保发放完成率</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183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A6B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E42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F4F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A18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A99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20B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C91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AF7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BCFF8">
            <w:pPr>
              <w:jc w:val="center"/>
              <w:rPr>
                <w:rFonts w:hint="eastAsia" w:ascii="宋体" w:hAnsi="宋体" w:eastAsia="宋体" w:cs="宋体"/>
                <w:i w:val="0"/>
                <w:iCs w:val="0"/>
                <w:color w:val="000000"/>
                <w:sz w:val="20"/>
                <w:szCs w:val="20"/>
                <w:u w:val="none"/>
              </w:rPr>
            </w:pPr>
          </w:p>
        </w:tc>
      </w:tr>
      <w:tr w14:paraId="30009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FAC57">
            <w:pPr>
              <w:jc w:val="center"/>
              <w:rPr>
                <w:rFonts w:hint="eastAsia" w:ascii="宋体" w:hAnsi="宋体" w:eastAsia="宋体" w:cs="宋体"/>
                <w:i w:val="0"/>
                <w:iCs w:val="0"/>
                <w:color w:val="000000"/>
                <w:sz w:val="20"/>
                <w:szCs w:val="20"/>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0B264">
            <w:pPr>
              <w:jc w:val="center"/>
              <w:rPr>
                <w:rFonts w:hint="eastAsia" w:ascii="宋体" w:hAnsi="宋体" w:eastAsia="宋体" w:cs="宋体"/>
                <w:i w:val="0"/>
                <w:iCs w:val="0"/>
                <w:color w:val="000000"/>
                <w:sz w:val="20"/>
                <w:szCs w:val="20"/>
                <w:u w:val="none"/>
              </w:rPr>
            </w:pPr>
          </w:p>
        </w:tc>
        <w:tc>
          <w:tcPr>
            <w:tcW w:w="8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C6B9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F7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7B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A9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CBF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F29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C55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D2B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CF7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A6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41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89A08">
            <w:pPr>
              <w:jc w:val="center"/>
              <w:rPr>
                <w:rFonts w:hint="eastAsia" w:ascii="宋体" w:hAnsi="宋体" w:eastAsia="宋体" w:cs="宋体"/>
                <w:i w:val="0"/>
                <w:iCs w:val="0"/>
                <w:color w:val="000000"/>
                <w:sz w:val="20"/>
                <w:szCs w:val="20"/>
                <w:u w:val="none"/>
              </w:rPr>
            </w:pPr>
          </w:p>
        </w:tc>
      </w:tr>
      <w:tr w14:paraId="767FA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E53A11">
            <w:pPr>
              <w:jc w:val="center"/>
              <w:rPr>
                <w:rFonts w:hint="eastAsia" w:ascii="宋体" w:hAnsi="宋体" w:eastAsia="宋体" w:cs="宋体"/>
                <w:i w:val="0"/>
                <w:iCs w:val="0"/>
                <w:color w:val="000000"/>
                <w:sz w:val="20"/>
                <w:szCs w:val="20"/>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933A3">
            <w:pPr>
              <w:jc w:val="center"/>
              <w:rPr>
                <w:rFonts w:hint="eastAsia" w:ascii="宋体" w:hAnsi="宋体" w:eastAsia="宋体" w:cs="宋体"/>
                <w:i w:val="0"/>
                <w:iCs w:val="0"/>
                <w:color w:val="000000"/>
                <w:sz w:val="20"/>
                <w:szCs w:val="20"/>
                <w:u w:val="none"/>
              </w:rPr>
            </w:pPr>
          </w:p>
        </w:tc>
        <w:tc>
          <w:tcPr>
            <w:tcW w:w="8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CBA21">
            <w:pPr>
              <w:jc w:val="center"/>
              <w:rPr>
                <w:rFonts w:hint="eastAsia" w:ascii="宋体" w:hAnsi="宋体" w:eastAsia="宋体" w:cs="宋体"/>
                <w:i w:val="0"/>
                <w:iCs w:val="0"/>
                <w:color w:val="000000"/>
                <w:sz w:val="20"/>
                <w:szCs w:val="20"/>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FF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项目工作完成时限</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D10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AAD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072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02A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F55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56B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DB0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812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C34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ADAAD">
            <w:pPr>
              <w:jc w:val="center"/>
              <w:rPr>
                <w:rFonts w:hint="eastAsia" w:ascii="宋体" w:hAnsi="宋体" w:eastAsia="宋体" w:cs="宋体"/>
                <w:i w:val="0"/>
                <w:iCs w:val="0"/>
                <w:color w:val="000000"/>
                <w:sz w:val="20"/>
                <w:szCs w:val="20"/>
                <w:u w:val="none"/>
              </w:rPr>
            </w:pPr>
          </w:p>
        </w:tc>
      </w:tr>
      <w:tr w14:paraId="5F41B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CDA8C">
            <w:pPr>
              <w:jc w:val="center"/>
              <w:rPr>
                <w:rFonts w:hint="eastAsia" w:ascii="宋体" w:hAnsi="宋体" w:eastAsia="宋体" w:cs="宋体"/>
                <w:i w:val="0"/>
                <w:iCs w:val="0"/>
                <w:color w:val="000000"/>
                <w:sz w:val="20"/>
                <w:szCs w:val="20"/>
                <w:u w:val="none"/>
              </w:rPr>
            </w:pP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8289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ECB4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A38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残疾人工作运行经费</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CB2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≤17.5万元</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C9C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3F9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C13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CE2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2E5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61F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969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FA1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000A7">
            <w:pPr>
              <w:jc w:val="center"/>
              <w:rPr>
                <w:rFonts w:hint="eastAsia" w:ascii="宋体" w:hAnsi="宋体" w:eastAsia="宋体" w:cs="宋体"/>
                <w:i w:val="0"/>
                <w:iCs w:val="0"/>
                <w:color w:val="000000"/>
                <w:sz w:val="20"/>
                <w:szCs w:val="20"/>
                <w:u w:val="none"/>
              </w:rPr>
            </w:pPr>
          </w:p>
        </w:tc>
      </w:tr>
      <w:tr w14:paraId="63A13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D1962">
            <w:pPr>
              <w:jc w:val="center"/>
              <w:rPr>
                <w:rFonts w:hint="eastAsia" w:ascii="宋体" w:hAnsi="宋体" w:eastAsia="宋体" w:cs="宋体"/>
                <w:i w:val="0"/>
                <w:iCs w:val="0"/>
                <w:color w:val="000000"/>
                <w:sz w:val="20"/>
                <w:szCs w:val="20"/>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894B9">
            <w:pPr>
              <w:jc w:val="center"/>
              <w:rPr>
                <w:rFonts w:hint="eastAsia" w:ascii="宋体" w:hAnsi="宋体" w:eastAsia="宋体" w:cs="宋体"/>
                <w:i w:val="0"/>
                <w:iCs w:val="0"/>
                <w:color w:val="000000"/>
                <w:sz w:val="20"/>
                <w:szCs w:val="20"/>
                <w:u w:val="none"/>
              </w:rPr>
            </w:pPr>
          </w:p>
        </w:tc>
        <w:tc>
          <w:tcPr>
            <w:tcW w:w="8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F6DD5">
            <w:pPr>
              <w:jc w:val="center"/>
              <w:rPr>
                <w:rFonts w:hint="eastAsia" w:ascii="宋体" w:hAnsi="宋体" w:eastAsia="宋体" w:cs="宋体"/>
                <w:i w:val="0"/>
                <w:iCs w:val="0"/>
                <w:color w:val="000000"/>
                <w:sz w:val="20"/>
                <w:szCs w:val="20"/>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335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保障残疾人工作运行人员工资及社保发放额</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801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≤72.5万元</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86A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684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785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8C2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64E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619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76.05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8AC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2F3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C1A7F">
            <w:pPr>
              <w:jc w:val="center"/>
              <w:rPr>
                <w:rFonts w:hint="eastAsia" w:ascii="宋体" w:hAnsi="宋体" w:eastAsia="宋体" w:cs="宋体"/>
                <w:i w:val="0"/>
                <w:iCs w:val="0"/>
                <w:color w:val="000000"/>
                <w:sz w:val="20"/>
                <w:szCs w:val="20"/>
                <w:u w:val="none"/>
              </w:rPr>
            </w:pPr>
          </w:p>
        </w:tc>
      </w:tr>
      <w:tr w14:paraId="0473A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10C72">
            <w:pPr>
              <w:jc w:val="center"/>
              <w:rPr>
                <w:rFonts w:hint="eastAsia" w:ascii="宋体" w:hAnsi="宋体" w:eastAsia="宋体" w:cs="宋体"/>
                <w:i w:val="0"/>
                <w:iCs w:val="0"/>
                <w:color w:val="000000"/>
                <w:sz w:val="20"/>
                <w:szCs w:val="20"/>
                <w:u w:val="none"/>
              </w:rPr>
            </w:pP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0AE3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7635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A60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提升贫困残疾人生活水平</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C78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有所提高</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B0C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B31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881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1A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C21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E61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613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B2F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F1499">
            <w:pPr>
              <w:jc w:val="center"/>
              <w:rPr>
                <w:rFonts w:hint="eastAsia" w:ascii="宋体" w:hAnsi="宋体" w:eastAsia="宋体" w:cs="宋体"/>
                <w:i w:val="0"/>
                <w:iCs w:val="0"/>
                <w:color w:val="000000"/>
                <w:sz w:val="20"/>
                <w:szCs w:val="20"/>
                <w:u w:val="none"/>
              </w:rPr>
            </w:pPr>
          </w:p>
        </w:tc>
      </w:tr>
      <w:tr w14:paraId="6FC13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47F30">
            <w:pPr>
              <w:jc w:val="center"/>
              <w:rPr>
                <w:rFonts w:hint="eastAsia" w:ascii="宋体" w:hAnsi="宋体" w:eastAsia="宋体" w:cs="宋体"/>
                <w:i w:val="0"/>
                <w:iCs w:val="0"/>
                <w:color w:val="000000"/>
                <w:sz w:val="20"/>
                <w:szCs w:val="20"/>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5D0EE">
            <w:pPr>
              <w:jc w:val="center"/>
              <w:rPr>
                <w:rFonts w:hint="eastAsia" w:ascii="宋体" w:hAnsi="宋体" w:eastAsia="宋体" w:cs="宋体"/>
                <w:i w:val="0"/>
                <w:iCs w:val="0"/>
                <w:color w:val="000000"/>
                <w:sz w:val="20"/>
                <w:szCs w:val="20"/>
                <w:u w:val="none"/>
              </w:rPr>
            </w:pPr>
          </w:p>
        </w:tc>
        <w:tc>
          <w:tcPr>
            <w:tcW w:w="8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9AE5A">
            <w:pPr>
              <w:jc w:val="center"/>
              <w:rPr>
                <w:rFonts w:hint="eastAsia" w:ascii="宋体" w:hAnsi="宋体" w:eastAsia="宋体" w:cs="宋体"/>
                <w:i w:val="0"/>
                <w:iCs w:val="0"/>
                <w:color w:val="000000"/>
                <w:sz w:val="20"/>
                <w:szCs w:val="20"/>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EC4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保障残疾人工作运行人员工资及社保，增强服务水平</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DF4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E86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EC0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CB7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814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C6F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E51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B15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FDB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F9CDD">
            <w:pPr>
              <w:jc w:val="center"/>
              <w:rPr>
                <w:rFonts w:hint="eastAsia" w:ascii="宋体" w:hAnsi="宋体" w:eastAsia="宋体" w:cs="宋体"/>
                <w:i w:val="0"/>
                <w:iCs w:val="0"/>
                <w:color w:val="000000"/>
                <w:sz w:val="20"/>
                <w:szCs w:val="20"/>
                <w:u w:val="none"/>
              </w:rPr>
            </w:pPr>
          </w:p>
        </w:tc>
      </w:tr>
      <w:tr w14:paraId="32179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627" w:type="dxa"/>
            <w:gridSpan w:val="4"/>
            <w:tcBorders>
              <w:top w:val="single" w:color="000000" w:sz="4" w:space="0"/>
              <w:left w:val="single" w:color="000000" w:sz="4" w:space="0"/>
              <w:bottom w:val="single" w:color="000000" w:sz="4" w:space="0"/>
              <w:right w:val="nil"/>
            </w:tcBorders>
            <w:shd w:val="clear" w:color="auto" w:fill="auto"/>
            <w:vAlign w:val="center"/>
          </w:tcPr>
          <w:p w14:paraId="501C7D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965BA">
            <w:pPr>
              <w:jc w:val="center"/>
              <w:rPr>
                <w:rFonts w:hint="eastAsia" w:ascii="宋体" w:hAnsi="宋体" w:eastAsia="宋体" w:cs="宋体"/>
                <w:i w:val="0"/>
                <w:iCs w:val="0"/>
                <w:color w:val="000000"/>
                <w:sz w:val="20"/>
                <w:szCs w:val="20"/>
                <w:u w:val="none"/>
              </w:rPr>
            </w:pPr>
          </w:p>
        </w:tc>
        <w:tc>
          <w:tcPr>
            <w:tcW w:w="877" w:type="dxa"/>
            <w:tcBorders>
              <w:top w:val="single" w:color="000000" w:sz="4" w:space="0"/>
              <w:left w:val="nil"/>
              <w:bottom w:val="single" w:color="000000" w:sz="4" w:space="0"/>
              <w:right w:val="single" w:color="000000" w:sz="4" w:space="0"/>
            </w:tcBorders>
            <w:shd w:val="clear" w:color="auto" w:fill="auto"/>
            <w:vAlign w:val="center"/>
          </w:tcPr>
          <w:p w14:paraId="659FF982">
            <w:pPr>
              <w:jc w:val="center"/>
              <w:rPr>
                <w:rFonts w:hint="eastAsia" w:ascii="宋体" w:hAnsi="宋体" w:eastAsia="宋体" w:cs="宋体"/>
                <w:b/>
                <w:bCs/>
                <w:i w:val="0"/>
                <w:iCs w:val="0"/>
                <w:color w:val="000000"/>
                <w:sz w:val="20"/>
                <w:szCs w:val="20"/>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FE7BD">
            <w:pPr>
              <w:jc w:val="center"/>
              <w:rPr>
                <w:rFonts w:hint="eastAsia" w:ascii="宋体" w:hAnsi="宋体" w:eastAsia="宋体" w:cs="宋体"/>
                <w:i w:val="0"/>
                <w:iCs w:val="0"/>
                <w:color w:val="000000"/>
                <w:sz w:val="20"/>
                <w:szCs w:val="20"/>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285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5EBA2">
            <w:pPr>
              <w:jc w:val="center"/>
              <w:rPr>
                <w:rFonts w:hint="eastAsia" w:ascii="宋体" w:hAnsi="宋体" w:eastAsia="宋体" w:cs="宋体"/>
                <w:i w:val="0"/>
                <w:iCs w:val="0"/>
                <w:color w:val="000000"/>
                <w:sz w:val="20"/>
                <w:szCs w:val="20"/>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B53E8">
            <w:pPr>
              <w:jc w:val="center"/>
              <w:rPr>
                <w:rFonts w:hint="eastAsia" w:ascii="宋体" w:hAnsi="宋体" w:eastAsia="宋体" w:cs="宋体"/>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4A2F">
            <w:pPr>
              <w:jc w:val="center"/>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8D2F0">
            <w:pPr>
              <w:jc w:val="center"/>
              <w:rPr>
                <w:rFonts w:hint="eastAsia" w:ascii="宋体" w:hAnsi="宋体" w:eastAsia="宋体" w:cs="宋体"/>
                <w:i w:val="0"/>
                <w:iCs w:val="0"/>
                <w:color w:val="000000"/>
                <w:sz w:val="20"/>
                <w:szCs w:val="20"/>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FA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60DEA">
            <w:pPr>
              <w:jc w:val="center"/>
              <w:rPr>
                <w:rFonts w:hint="eastAsia" w:ascii="宋体" w:hAnsi="宋体" w:eastAsia="宋体" w:cs="宋体"/>
                <w:i w:val="0"/>
                <w:iCs w:val="0"/>
                <w:color w:val="000000"/>
                <w:sz w:val="20"/>
                <w:szCs w:val="20"/>
                <w:u w:val="none"/>
              </w:rPr>
            </w:pPr>
          </w:p>
        </w:tc>
      </w:tr>
    </w:tbl>
    <w:p w14:paraId="4FDC2BF8">
      <w:pPr>
        <w:ind w:left="0" w:leftChars="0" w:firstLine="0" w:firstLineChars="0"/>
        <w:jc w:val="center"/>
        <w:rPr>
          <w:rFonts w:hint="default"/>
          <w:color w:val="auto"/>
          <w:highlight w:val="none"/>
          <w:lang w:val="en-US" w:eastAsia="zh-CN"/>
        </w:rPr>
        <w:sectPr>
          <w:footerReference r:id="rId6" w:type="default"/>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color w:val="auto"/>
          <w:highlight w:val="none"/>
        </w:rPr>
        <w:br w:type="page"/>
      </w:r>
    </w:p>
    <w:p w14:paraId="5B89AF9E">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408"/>
        <w:gridCol w:w="607"/>
        <w:gridCol w:w="1393"/>
        <w:gridCol w:w="2141"/>
        <w:gridCol w:w="7821"/>
        <w:gridCol w:w="785"/>
        <w:gridCol w:w="769"/>
      </w:tblGrid>
      <w:tr w14:paraId="38F907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408" w:type="dxa"/>
            <w:shd w:val="clear" w:color="auto" w:fill="auto"/>
            <w:noWrap w:val="0"/>
            <w:vAlign w:val="center"/>
          </w:tcPr>
          <w:p w14:paraId="4730E159">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607" w:type="dxa"/>
            <w:shd w:val="clear" w:color="auto" w:fill="auto"/>
            <w:noWrap w:val="0"/>
            <w:vAlign w:val="center"/>
          </w:tcPr>
          <w:p w14:paraId="20553F1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393" w:type="dxa"/>
            <w:shd w:val="clear" w:color="auto" w:fill="auto"/>
            <w:noWrap w:val="0"/>
            <w:vAlign w:val="center"/>
          </w:tcPr>
          <w:p w14:paraId="6692567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6DD34E4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18AD621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0BF91397">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073B5980">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1BCEE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38" w:hRule="atLeast"/>
          <w:jc w:val="center"/>
        </w:trPr>
        <w:tc>
          <w:tcPr>
            <w:tcW w:w="408" w:type="dxa"/>
            <w:vMerge w:val="restart"/>
            <w:shd w:val="clear" w:color="auto" w:fill="auto"/>
            <w:noWrap w:val="0"/>
            <w:vAlign w:val="center"/>
          </w:tcPr>
          <w:p w14:paraId="141430F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0CE97BC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9D0C1E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607" w:type="dxa"/>
            <w:vMerge w:val="restart"/>
            <w:shd w:val="clear" w:color="auto" w:fill="auto"/>
            <w:noWrap w:val="0"/>
            <w:vAlign w:val="center"/>
          </w:tcPr>
          <w:p w14:paraId="1BDDB21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393" w:type="dxa"/>
            <w:shd w:val="clear" w:color="auto" w:fill="auto"/>
            <w:noWrap w:val="0"/>
            <w:vAlign w:val="center"/>
          </w:tcPr>
          <w:p w14:paraId="765BFA0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5E12EA2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7C69B8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098CDC0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DE22F4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6EC46A8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2667F52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1BD3943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113E468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794EEB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05C66F7">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2</w:t>
            </w:r>
          </w:p>
        </w:tc>
      </w:tr>
      <w:tr w14:paraId="546A14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7" w:hRule="atLeast"/>
          <w:jc w:val="center"/>
        </w:trPr>
        <w:tc>
          <w:tcPr>
            <w:tcW w:w="408" w:type="dxa"/>
            <w:vMerge w:val="continue"/>
            <w:shd w:val="clear" w:color="auto" w:fill="auto"/>
            <w:noWrap w:val="0"/>
            <w:vAlign w:val="center"/>
          </w:tcPr>
          <w:p w14:paraId="372A3DB6">
            <w:pPr>
              <w:spacing w:line="0" w:lineRule="atLeast"/>
              <w:ind w:firstLine="0" w:firstLineChars="0"/>
              <w:jc w:val="center"/>
              <w:rPr>
                <w:rFonts w:ascii="宋体" w:hAnsi="宋体" w:eastAsia="宋体" w:cs="宋体"/>
                <w:color w:val="auto"/>
                <w:kern w:val="0"/>
                <w:sz w:val="22"/>
                <w:szCs w:val="22"/>
                <w:highlight w:val="none"/>
              </w:rPr>
            </w:pPr>
          </w:p>
        </w:tc>
        <w:tc>
          <w:tcPr>
            <w:tcW w:w="607" w:type="dxa"/>
            <w:vMerge w:val="continue"/>
            <w:shd w:val="clear" w:color="auto" w:fill="auto"/>
            <w:noWrap w:val="0"/>
            <w:vAlign w:val="center"/>
          </w:tcPr>
          <w:p w14:paraId="01D4D980">
            <w:pPr>
              <w:widowControl/>
              <w:spacing w:line="0" w:lineRule="atLeast"/>
              <w:ind w:firstLine="0" w:firstLineChars="0"/>
              <w:jc w:val="center"/>
              <w:rPr>
                <w:rFonts w:ascii="宋体" w:hAnsi="宋体" w:eastAsia="宋体" w:cs="宋体"/>
                <w:color w:val="auto"/>
                <w:kern w:val="0"/>
                <w:sz w:val="22"/>
                <w:szCs w:val="22"/>
                <w:highlight w:val="none"/>
              </w:rPr>
            </w:pPr>
          </w:p>
        </w:tc>
        <w:tc>
          <w:tcPr>
            <w:tcW w:w="1393" w:type="dxa"/>
            <w:shd w:val="clear" w:color="auto" w:fill="auto"/>
            <w:noWrap w:val="0"/>
            <w:vAlign w:val="center"/>
          </w:tcPr>
          <w:p w14:paraId="7212072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213B4DC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37708EF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452CAA2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463250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38636BB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6D7CF667">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6823A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2F3038E">
            <w:pPr>
              <w:widowControl/>
              <w:spacing w:line="0" w:lineRule="atLeast"/>
              <w:ind w:firstLine="220" w:firstLineChars="10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2 </w:t>
            </w:r>
          </w:p>
        </w:tc>
      </w:tr>
      <w:tr w14:paraId="32EFE1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809" w:hRule="atLeast"/>
          <w:jc w:val="center"/>
        </w:trPr>
        <w:tc>
          <w:tcPr>
            <w:tcW w:w="408" w:type="dxa"/>
            <w:vMerge w:val="continue"/>
            <w:shd w:val="clear" w:color="auto" w:fill="auto"/>
            <w:noWrap w:val="0"/>
            <w:vAlign w:val="center"/>
          </w:tcPr>
          <w:p w14:paraId="63A9D509">
            <w:pPr>
              <w:spacing w:line="0" w:lineRule="atLeast"/>
              <w:ind w:firstLine="0" w:firstLineChars="0"/>
              <w:jc w:val="center"/>
              <w:rPr>
                <w:rFonts w:ascii="宋体" w:hAnsi="宋体" w:eastAsia="宋体" w:cs="宋体"/>
                <w:color w:val="auto"/>
                <w:kern w:val="0"/>
                <w:sz w:val="22"/>
                <w:szCs w:val="22"/>
                <w:highlight w:val="none"/>
              </w:rPr>
            </w:pPr>
          </w:p>
        </w:tc>
        <w:tc>
          <w:tcPr>
            <w:tcW w:w="607" w:type="dxa"/>
            <w:shd w:val="clear" w:color="auto" w:fill="auto"/>
            <w:noWrap w:val="0"/>
            <w:vAlign w:val="center"/>
          </w:tcPr>
          <w:p w14:paraId="3D7D8E4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393" w:type="dxa"/>
            <w:shd w:val="clear" w:color="auto" w:fill="auto"/>
            <w:noWrap w:val="0"/>
            <w:vAlign w:val="center"/>
          </w:tcPr>
          <w:p w14:paraId="0A73AF7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3C1FC0F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190E0E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7ACEC80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A3ED95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7DD8BA5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4B1E603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11953CA7">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11033D67">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08E960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7DD0651">
            <w:pPr>
              <w:widowControl/>
              <w:spacing w:line="0" w:lineRule="atLeast"/>
              <w:ind w:firstLine="220" w:firstLineChars="10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40001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408" w:type="dxa"/>
            <w:vMerge w:val="restart"/>
            <w:shd w:val="clear" w:color="auto" w:fill="auto"/>
            <w:noWrap w:val="0"/>
            <w:vAlign w:val="center"/>
          </w:tcPr>
          <w:p w14:paraId="68E0E28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607" w:type="dxa"/>
            <w:shd w:val="clear" w:color="auto" w:fill="auto"/>
            <w:noWrap w:val="0"/>
            <w:vAlign w:val="center"/>
          </w:tcPr>
          <w:p w14:paraId="661BB6A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393" w:type="dxa"/>
            <w:shd w:val="clear" w:color="auto" w:fill="auto"/>
            <w:noWrap w:val="0"/>
            <w:vAlign w:val="center"/>
          </w:tcPr>
          <w:p w14:paraId="60C015B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5F3956F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4598B6F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73EFEA2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DAE0A8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01BF57B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6CC8208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5D1DA23">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2061A3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1274C0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5</w:t>
            </w:r>
          </w:p>
        </w:tc>
      </w:tr>
      <w:tr w14:paraId="7C78F1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408" w:type="dxa"/>
            <w:vMerge w:val="continue"/>
            <w:shd w:val="clear" w:color="auto" w:fill="auto"/>
            <w:noWrap w:val="0"/>
            <w:vAlign w:val="center"/>
          </w:tcPr>
          <w:p w14:paraId="179AF78F">
            <w:pPr>
              <w:spacing w:line="0" w:lineRule="atLeast"/>
              <w:ind w:firstLine="0" w:firstLineChars="0"/>
              <w:jc w:val="center"/>
              <w:rPr>
                <w:rFonts w:ascii="宋体" w:hAnsi="宋体" w:eastAsia="宋体" w:cs="宋体"/>
                <w:color w:val="auto"/>
                <w:kern w:val="0"/>
                <w:sz w:val="22"/>
                <w:szCs w:val="22"/>
                <w:highlight w:val="none"/>
              </w:rPr>
            </w:pPr>
          </w:p>
        </w:tc>
        <w:tc>
          <w:tcPr>
            <w:tcW w:w="607" w:type="dxa"/>
            <w:vMerge w:val="restart"/>
            <w:shd w:val="clear" w:color="auto" w:fill="auto"/>
            <w:noWrap w:val="0"/>
            <w:vAlign w:val="center"/>
          </w:tcPr>
          <w:p w14:paraId="63F5F18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59ACFDE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393" w:type="dxa"/>
            <w:shd w:val="clear" w:color="auto" w:fill="auto"/>
            <w:noWrap w:val="0"/>
            <w:vAlign w:val="center"/>
          </w:tcPr>
          <w:p w14:paraId="1D6A8F4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59B864A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0D0D1B8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1C8258B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72A44E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7921005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736E8DC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5E03D64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66358F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15C3FD2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2</w:t>
            </w:r>
          </w:p>
        </w:tc>
      </w:tr>
      <w:tr w14:paraId="2DE723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408" w:type="dxa"/>
            <w:vMerge w:val="continue"/>
            <w:shd w:val="clear" w:color="auto" w:fill="auto"/>
            <w:noWrap w:val="0"/>
            <w:vAlign w:val="center"/>
          </w:tcPr>
          <w:p w14:paraId="3379C3C7">
            <w:pPr>
              <w:widowControl/>
              <w:spacing w:line="0" w:lineRule="atLeast"/>
              <w:ind w:firstLine="0" w:firstLineChars="0"/>
              <w:jc w:val="center"/>
              <w:rPr>
                <w:rFonts w:ascii="宋体" w:hAnsi="宋体" w:eastAsia="宋体" w:cs="宋体"/>
                <w:color w:val="auto"/>
                <w:kern w:val="0"/>
                <w:sz w:val="22"/>
                <w:szCs w:val="22"/>
                <w:highlight w:val="none"/>
              </w:rPr>
            </w:pPr>
          </w:p>
        </w:tc>
        <w:tc>
          <w:tcPr>
            <w:tcW w:w="607" w:type="dxa"/>
            <w:vMerge w:val="continue"/>
            <w:shd w:val="clear" w:color="auto" w:fill="auto"/>
            <w:noWrap w:val="0"/>
            <w:vAlign w:val="center"/>
          </w:tcPr>
          <w:p w14:paraId="275CB428">
            <w:pPr>
              <w:widowControl/>
              <w:spacing w:line="0" w:lineRule="atLeast"/>
              <w:ind w:firstLine="0" w:firstLineChars="0"/>
              <w:jc w:val="center"/>
              <w:rPr>
                <w:rFonts w:ascii="宋体" w:hAnsi="宋体" w:eastAsia="宋体" w:cs="宋体"/>
                <w:color w:val="auto"/>
                <w:kern w:val="0"/>
                <w:sz w:val="22"/>
                <w:szCs w:val="22"/>
                <w:highlight w:val="none"/>
              </w:rPr>
            </w:pPr>
          </w:p>
        </w:tc>
        <w:tc>
          <w:tcPr>
            <w:tcW w:w="1393" w:type="dxa"/>
            <w:shd w:val="clear" w:color="auto" w:fill="auto"/>
            <w:noWrap w:val="0"/>
            <w:vAlign w:val="center"/>
          </w:tcPr>
          <w:p w14:paraId="440E3C1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6192177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75BFFEE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B98694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E4E7EB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6F7CFDC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070215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D44523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3</w:t>
            </w:r>
          </w:p>
        </w:tc>
      </w:tr>
      <w:tr w14:paraId="6B7C26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408" w:type="dxa"/>
            <w:vMerge w:val="restart"/>
            <w:shd w:val="clear" w:color="auto" w:fill="auto"/>
            <w:noWrap w:val="0"/>
            <w:vAlign w:val="center"/>
          </w:tcPr>
          <w:p w14:paraId="00352ECB">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607" w:type="dxa"/>
            <w:vMerge w:val="restart"/>
            <w:shd w:val="clear" w:color="auto" w:fill="auto"/>
            <w:noWrap w:val="0"/>
            <w:vAlign w:val="center"/>
          </w:tcPr>
          <w:p w14:paraId="21E3875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393" w:type="dxa"/>
            <w:shd w:val="clear" w:color="auto" w:fill="auto"/>
            <w:noWrap w:val="0"/>
            <w:vAlign w:val="center"/>
          </w:tcPr>
          <w:p w14:paraId="4549C8D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22EE336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4A8FD27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7D38186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7CD237E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15429B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FF29C9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4</w:t>
            </w:r>
          </w:p>
        </w:tc>
      </w:tr>
      <w:tr w14:paraId="6E295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408" w:type="dxa"/>
            <w:vMerge w:val="continue"/>
            <w:shd w:val="clear" w:color="auto" w:fill="auto"/>
            <w:noWrap w:val="0"/>
            <w:vAlign w:val="center"/>
          </w:tcPr>
          <w:p w14:paraId="622031B9">
            <w:pPr>
              <w:spacing w:line="0" w:lineRule="atLeast"/>
              <w:ind w:firstLine="0" w:firstLineChars="0"/>
              <w:jc w:val="center"/>
              <w:rPr>
                <w:rFonts w:hint="eastAsia" w:ascii="宋体" w:hAnsi="宋体" w:eastAsia="宋体" w:cs="宋体"/>
                <w:color w:val="auto"/>
                <w:kern w:val="0"/>
                <w:sz w:val="22"/>
                <w:szCs w:val="22"/>
                <w:highlight w:val="none"/>
              </w:rPr>
            </w:pPr>
          </w:p>
        </w:tc>
        <w:tc>
          <w:tcPr>
            <w:tcW w:w="607" w:type="dxa"/>
            <w:vMerge w:val="continue"/>
            <w:shd w:val="clear" w:color="auto" w:fill="auto"/>
            <w:noWrap w:val="0"/>
            <w:vAlign w:val="center"/>
          </w:tcPr>
          <w:p w14:paraId="4063AED4">
            <w:pPr>
              <w:spacing w:line="0" w:lineRule="atLeast"/>
              <w:ind w:firstLine="0" w:firstLineChars="0"/>
              <w:jc w:val="center"/>
              <w:rPr>
                <w:rFonts w:hint="eastAsia" w:ascii="宋体" w:hAnsi="宋体" w:eastAsia="宋体" w:cs="宋体"/>
                <w:color w:val="auto"/>
                <w:kern w:val="0"/>
                <w:sz w:val="22"/>
                <w:szCs w:val="22"/>
                <w:highlight w:val="none"/>
              </w:rPr>
            </w:pPr>
          </w:p>
        </w:tc>
        <w:tc>
          <w:tcPr>
            <w:tcW w:w="1393" w:type="dxa"/>
            <w:shd w:val="clear" w:color="auto" w:fill="auto"/>
            <w:noWrap w:val="0"/>
            <w:vAlign w:val="center"/>
          </w:tcPr>
          <w:p w14:paraId="2E8BAEA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1CA09C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6F061AA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2853A55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17CDAE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B403D8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4</w:t>
            </w:r>
          </w:p>
        </w:tc>
      </w:tr>
      <w:tr w14:paraId="5348E8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408" w:type="dxa"/>
            <w:vMerge w:val="restart"/>
            <w:shd w:val="clear" w:color="auto" w:fill="auto"/>
            <w:noWrap w:val="0"/>
            <w:vAlign w:val="center"/>
          </w:tcPr>
          <w:p w14:paraId="557B661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557167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607" w:type="dxa"/>
            <w:shd w:val="clear" w:color="auto" w:fill="auto"/>
            <w:noWrap w:val="0"/>
            <w:vAlign w:val="center"/>
          </w:tcPr>
          <w:p w14:paraId="44F597D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393" w:type="dxa"/>
            <w:shd w:val="clear" w:color="auto" w:fill="auto"/>
            <w:noWrap w:val="0"/>
            <w:vAlign w:val="center"/>
          </w:tcPr>
          <w:p w14:paraId="6F1E0D2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0C8FCD2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5E16AB1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53941C2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FD2811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3DC720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4F317A9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DD4B96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338D70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81FE73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4</w:t>
            </w:r>
          </w:p>
        </w:tc>
      </w:tr>
      <w:tr w14:paraId="171A78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408" w:type="dxa"/>
            <w:vMerge w:val="continue"/>
            <w:shd w:val="clear" w:color="auto" w:fill="auto"/>
            <w:noWrap w:val="0"/>
            <w:vAlign w:val="center"/>
          </w:tcPr>
          <w:p w14:paraId="4C1EAB51">
            <w:pPr>
              <w:spacing w:line="0" w:lineRule="atLeast"/>
              <w:ind w:firstLine="0" w:firstLineChars="0"/>
              <w:jc w:val="center"/>
              <w:rPr>
                <w:rFonts w:ascii="宋体" w:hAnsi="宋体" w:eastAsia="宋体" w:cs="宋体"/>
                <w:color w:val="auto"/>
                <w:kern w:val="0"/>
                <w:sz w:val="22"/>
                <w:szCs w:val="22"/>
                <w:highlight w:val="none"/>
              </w:rPr>
            </w:pPr>
          </w:p>
        </w:tc>
        <w:tc>
          <w:tcPr>
            <w:tcW w:w="607" w:type="dxa"/>
            <w:vMerge w:val="restart"/>
            <w:shd w:val="clear" w:color="auto" w:fill="auto"/>
            <w:noWrap w:val="0"/>
            <w:vAlign w:val="center"/>
          </w:tcPr>
          <w:p w14:paraId="6CC46C0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466402A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393" w:type="dxa"/>
            <w:shd w:val="clear" w:color="auto" w:fill="auto"/>
            <w:noWrap w:val="0"/>
            <w:vAlign w:val="center"/>
          </w:tcPr>
          <w:p w14:paraId="2682358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1A57985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7A4685A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540EF52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414092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5C0DD70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7E756A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17D927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4</w:t>
            </w:r>
          </w:p>
        </w:tc>
      </w:tr>
      <w:tr w14:paraId="053EB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56" w:hRule="atLeast"/>
          <w:jc w:val="center"/>
        </w:trPr>
        <w:tc>
          <w:tcPr>
            <w:tcW w:w="408" w:type="dxa"/>
            <w:vMerge w:val="continue"/>
            <w:shd w:val="clear" w:color="auto" w:fill="auto"/>
            <w:noWrap w:val="0"/>
            <w:vAlign w:val="center"/>
          </w:tcPr>
          <w:p w14:paraId="3CDE456F">
            <w:pPr>
              <w:widowControl/>
              <w:spacing w:line="0" w:lineRule="atLeast"/>
              <w:ind w:firstLine="0" w:firstLineChars="0"/>
              <w:jc w:val="center"/>
              <w:rPr>
                <w:rFonts w:ascii="宋体" w:hAnsi="宋体" w:eastAsia="宋体" w:cs="宋体"/>
                <w:color w:val="auto"/>
                <w:kern w:val="0"/>
                <w:sz w:val="22"/>
                <w:szCs w:val="22"/>
                <w:highlight w:val="none"/>
              </w:rPr>
            </w:pPr>
          </w:p>
        </w:tc>
        <w:tc>
          <w:tcPr>
            <w:tcW w:w="607" w:type="dxa"/>
            <w:vMerge w:val="continue"/>
            <w:shd w:val="clear" w:color="auto" w:fill="auto"/>
            <w:noWrap w:val="0"/>
            <w:vAlign w:val="center"/>
          </w:tcPr>
          <w:p w14:paraId="46951C53">
            <w:pPr>
              <w:widowControl/>
              <w:spacing w:line="0" w:lineRule="atLeast"/>
              <w:ind w:firstLine="0" w:firstLineChars="0"/>
              <w:jc w:val="center"/>
              <w:rPr>
                <w:rFonts w:ascii="宋体" w:hAnsi="宋体" w:eastAsia="宋体" w:cs="宋体"/>
                <w:color w:val="auto"/>
                <w:kern w:val="0"/>
                <w:sz w:val="22"/>
                <w:szCs w:val="22"/>
                <w:highlight w:val="none"/>
              </w:rPr>
            </w:pPr>
          </w:p>
        </w:tc>
        <w:tc>
          <w:tcPr>
            <w:tcW w:w="1393" w:type="dxa"/>
            <w:shd w:val="clear" w:color="auto" w:fill="auto"/>
            <w:noWrap w:val="0"/>
            <w:vAlign w:val="center"/>
          </w:tcPr>
          <w:p w14:paraId="5625E91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31E4F6C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599AE51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7448CB3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C974FA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240C02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0EADFF2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7470782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74B821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26CD8E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4</w:t>
            </w:r>
          </w:p>
        </w:tc>
      </w:tr>
      <w:tr w14:paraId="61D9B2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9" w:hRule="atLeast"/>
          <w:jc w:val="center"/>
        </w:trPr>
        <w:tc>
          <w:tcPr>
            <w:tcW w:w="408" w:type="dxa"/>
            <w:shd w:val="clear" w:color="auto" w:fill="auto"/>
            <w:noWrap w:val="0"/>
            <w:vAlign w:val="center"/>
          </w:tcPr>
          <w:p w14:paraId="06B6E54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607" w:type="dxa"/>
            <w:shd w:val="clear" w:color="auto" w:fill="auto"/>
            <w:noWrap w:val="0"/>
            <w:vAlign w:val="center"/>
          </w:tcPr>
          <w:p w14:paraId="3591AA6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1393" w:type="dxa"/>
            <w:shd w:val="clear" w:color="auto" w:fill="auto"/>
            <w:noWrap w:val="0"/>
            <w:vAlign w:val="center"/>
          </w:tcPr>
          <w:p w14:paraId="173798FC">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firstLine="0" w:firstLineChars="0"/>
              <w:jc w:val="center"/>
              <w:textAlignment w:val="center"/>
              <w:rPr>
                <w:rFonts w:hint="eastAsia" w:ascii="宋体" w:hAnsi="宋体" w:eastAsia="宋体" w:cs="宋体"/>
                <w:b w:val="0"/>
                <w:bCs w:val="0"/>
                <w:color w:val="auto"/>
                <w:kern w:val="0"/>
                <w:sz w:val="22"/>
                <w:szCs w:val="22"/>
                <w:highlight w:val="none"/>
              </w:rPr>
            </w:pPr>
            <w:r>
              <w:rPr>
                <w:rFonts w:hint="eastAsia" w:ascii="宋体" w:hAnsi="宋体" w:eastAsia="宋体" w:cs="宋体"/>
                <w:b w:val="0"/>
                <w:bCs w:val="0"/>
                <w:i w:val="0"/>
                <w:color w:val="auto"/>
                <w:kern w:val="0"/>
                <w:sz w:val="22"/>
                <w:szCs w:val="22"/>
                <w:highlight w:val="none"/>
                <w:u w:val="none"/>
                <w:lang w:val="en-US" w:eastAsia="zh-CN" w:bidi="ar"/>
              </w:rPr>
              <w:t>保障残疾人工作运行人员工资及社保人数</w:t>
            </w:r>
          </w:p>
        </w:tc>
        <w:tc>
          <w:tcPr>
            <w:tcW w:w="2141" w:type="dxa"/>
            <w:shd w:val="clear" w:color="auto" w:fill="auto"/>
            <w:noWrap w:val="0"/>
            <w:vAlign w:val="center"/>
          </w:tcPr>
          <w:p w14:paraId="5C0B4ED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30E5B44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61EE9C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B2FD80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26AF99D">
            <w:pPr>
              <w:keepNext w:val="0"/>
              <w:keepLines w:val="0"/>
              <w:widowControl/>
              <w:suppressLineNumbers w:val="0"/>
              <w:jc w:val="both"/>
              <w:textAlignment w:val="center"/>
              <w:rPr>
                <w:rFonts w:hint="eastAsia" w:ascii="宋体" w:hAnsi="宋体" w:eastAsia="宋体" w:cs="宋体"/>
                <w:color w:val="auto"/>
                <w:kern w:val="0"/>
                <w:sz w:val="22"/>
                <w:szCs w:val="22"/>
                <w:highlight w:val="none"/>
              </w:rPr>
            </w:pPr>
            <w:r>
              <w:rPr>
                <w:rFonts w:hint="eastAsia" w:ascii="宋体" w:hAnsi="宋体" w:eastAsia="宋体" w:cs="宋体"/>
                <w:b/>
                <w:i w:val="0"/>
                <w:color w:val="auto"/>
                <w:kern w:val="0"/>
                <w:sz w:val="20"/>
                <w:szCs w:val="20"/>
                <w:highlight w:val="none"/>
                <w:u w:val="none"/>
                <w:lang w:val="en-US" w:eastAsia="zh-CN" w:bidi="ar"/>
              </w:rPr>
              <w:t>5</w:t>
            </w:r>
          </w:p>
        </w:tc>
        <w:tc>
          <w:tcPr>
            <w:tcW w:w="769" w:type="dxa"/>
            <w:shd w:val="clear" w:color="auto" w:fill="auto"/>
            <w:noWrap w:val="0"/>
            <w:vAlign w:val="center"/>
          </w:tcPr>
          <w:p w14:paraId="4C120D2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5</w:t>
            </w:r>
          </w:p>
        </w:tc>
      </w:tr>
      <w:tr w14:paraId="21031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68" w:hRule="atLeast"/>
          <w:jc w:val="center"/>
        </w:trPr>
        <w:tc>
          <w:tcPr>
            <w:tcW w:w="408" w:type="dxa"/>
            <w:vMerge w:val="restart"/>
            <w:shd w:val="clear" w:color="auto" w:fill="auto"/>
            <w:noWrap w:val="0"/>
            <w:vAlign w:val="center"/>
          </w:tcPr>
          <w:p w14:paraId="2EAEAC1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607" w:type="dxa"/>
            <w:shd w:val="clear" w:color="auto" w:fill="auto"/>
            <w:noWrap w:val="0"/>
            <w:vAlign w:val="center"/>
          </w:tcPr>
          <w:p w14:paraId="1BBBC53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1393" w:type="dxa"/>
            <w:shd w:val="clear" w:color="auto" w:fill="auto"/>
            <w:noWrap w:val="0"/>
            <w:vAlign w:val="center"/>
          </w:tcPr>
          <w:p w14:paraId="2FD679F5">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firstLine="0" w:firstLineChars="0"/>
              <w:jc w:val="center"/>
              <w:textAlignment w:val="center"/>
              <w:rPr>
                <w:rFonts w:hint="eastAsia" w:ascii="宋体" w:hAnsi="宋体" w:eastAsia="宋体" w:cs="宋体"/>
                <w:b w:val="0"/>
                <w:bCs w:val="0"/>
                <w:color w:val="auto"/>
                <w:kern w:val="0"/>
                <w:sz w:val="22"/>
                <w:szCs w:val="22"/>
                <w:highlight w:val="none"/>
              </w:rPr>
            </w:pPr>
            <w:r>
              <w:rPr>
                <w:rFonts w:hint="eastAsia" w:ascii="宋体" w:hAnsi="宋体" w:eastAsia="宋体" w:cs="宋体"/>
                <w:b w:val="0"/>
                <w:bCs w:val="0"/>
                <w:i w:val="0"/>
                <w:color w:val="auto"/>
                <w:kern w:val="0"/>
                <w:sz w:val="22"/>
                <w:szCs w:val="22"/>
                <w:highlight w:val="none"/>
                <w:u w:val="none"/>
                <w:lang w:val="en-US" w:eastAsia="zh-CN" w:bidi="ar"/>
              </w:rPr>
              <w:t>保障残疾人工作运行人员工资及社保发放完成率</w:t>
            </w:r>
          </w:p>
        </w:tc>
        <w:tc>
          <w:tcPr>
            <w:tcW w:w="2141" w:type="dxa"/>
            <w:shd w:val="clear" w:color="auto" w:fill="auto"/>
            <w:noWrap w:val="0"/>
            <w:vAlign w:val="center"/>
          </w:tcPr>
          <w:p w14:paraId="504A69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A87841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6046ADE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1CC0D8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8</w:t>
            </w:r>
          </w:p>
        </w:tc>
        <w:tc>
          <w:tcPr>
            <w:tcW w:w="769" w:type="dxa"/>
            <w:shd w:val="clear" w:color="auto" w:fill="auto"/>
            <w:noWrap w:val="0"/>
            <w:vAlign w:val="center"/>
          </w:tcPr>
          <w:p w14:paraId="1628A60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8</w:t>
            </w:r>
          </w:p>
        </w:tc>
      </w:tr>
      <w:tr w14:paraId="15973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408" w:type="dxa"/>
            <w:vMerge w:val="continue"/>
            <w:shd w:val="clear" w:color="auto" w:fill="auto"/>
            <w:noWrap w:val="0"/>
            <w:vAlign w:val="center"/>
          </w:tcPr>
          <w:p w14:paraId="57B4C70D">
            <w:pPr>
              <w:spacing w:line="0" w:lineRule="atLeast"/>
              <w:ind w:firstLine="0" w:firstLineChars="0"/>
              <w:jc w:val="center"/>
              <w:rPr>
                <w:rFonts w:ascii="宋体" w:hAnsi="宋体" w:eastAsia="宋体" w:cs="宋体"/>
                <w:color w:val="auto"/>
                <w:kern w:val="0"/>
                <w:sz w:val="22"/>
                <w:szCs w:val="22"/>
                <w:highlight w:val="none"/>
              </w:rPr>
            </w:pPr>
          </w:p>
        </w:tc>
        <w:tc>
          <w:tcPr>
            <w:tcW w:w="607" w:type="dxa"/>
            <w:vMerge w:val="restart"/>
            <w:shd w:val="clear" w:color="auto" w:fill="auto"/>
            <w:noWrap w:val="0"/>
            <w:vAlign w:val="center"/>
          </w:tcPr>
          <w:p w14:paraId="63E9B32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1393" w:type="dxa"/>
            <w:shd w:val="clear" w:color="auto" w:fill="auto"/>
            <w:noWrap w:val="0"/>
            <w:vAlign w:val="center"/>
          </w:tcPr>
          <w:p w14:paraId="39E2E1D7">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firstLine="0" w:firstLineChars="0"/>
              <w:jc w:val="center"/>
              <w:textAlignment w:val="center"/>
              <w:rPr>
                <w:rFonts w:hint="eastAsia" w:ascii="宋体" w:hAnsi="宋体" w:eastAsia="宋体" w:cs="宋体"/>
                <w:b w:val="0"/>
                <w:bCs w:val="0"/>
                <w:color w:val="auto"/>
                <w:kern w:val="0"/>
                <w:sz w:val="22"/>
                <w:szCs w:val="22"/>
                <w:highlight w:val="none"/>
              </w:rPr>
            </w:pPr>
            <w:r>
              <w:rPr>
                <w:rFonts w:hint="eastAsia" w:ascii="宋体" w:hAnsi="宋体" w:eastAsia="宋体" w:cs="宋体"/>
                <w:b w:val="0"/>
                <w:bCs w:val="0"/>
                <w:i w:val="0"/>
                <w:color w:val="auto"/>
                <w:kern w:val="0"/>
                <w:sz w:val="22"/>
                <w:szCs w:val="22"/>
                <w:highlight w:val="none"/>
                <w:u w:val="none"/>
                <w:lang w:val="en-US" w:eastAsia="zh-CN" w:bidi="ar"/>
              </w:rPr>
              <w:t>资金支付及时率</w:t>
            </w:r>
          </w:p>
        </w:tc>
        <w:tc>
          <w:tcPr>
            <w:tcW w:w="2141" w:type="dxa"/>
            <w:shd w:val="clear" w:color="auto" w:fill="auto"/>
            <w:noWrap w:val="0"/>
            <w:vAlign w:val="center"/>
          </w:tcPr>
          <w:p w14:paraId="433B8AD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1755CD7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2157BAB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5835E713">
            <w:pPr>
              <w:widowControl/>
              <w:spacing w:line="0" w:lineRule="atLeast"/>
              <w:ind w:firstLine="220" w:firstLineChars="10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c>
          <w:tcPr>
            <w:tcW w:w="769" w:type="dxa"/>
            <w:shd w:val="clear" w:color="auto" w:fill="auto"/>
            <w:noWrap w:val="0"/>
            <w:vAlign w:val="center"/>
          </w:tcPr>
          <w:p w14:paraId="08F3067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7</w:t>
            </w:r>
          </w:p>
        </w:tc>
      </w:tr>
      <w:tr w14:paraId="4DBD76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14" w:hRule="atLeast"/>
          <w:jc w:val="center"/>
        </w:trPr>
        <w:tc>
          <w:tcPr>
            <w:tcW w:w="408" w:type="dxa"/>
            <w:vMerge w:val="continue"/>
            <w:shd w:val="clear" w:color="auto" w:fill="auto"/>
            <w:noWrap w:val="0"/>
            <w:vAlign w:val="center"/>
          </w:tcPr>
          <w:p w14:paraId="30D0EAFC">
            <w:pPr>
              <w:spacing w:line="0" w:lineRule="atLeast"/>
              <w:ind w:firstLine="0" w:firstLineChars="0"/>
              <w:jc w:val="center"/>
              <w:rPr>
                <w:rFonts w:ascii="宋体" w:hAnsi="宋体" w:eastAsia="宋体" w:cs="宋体"/>
                <w:color w:val="auto"/>
                <w:kern w:val="0"/>
                <w:sz w:val="22"/>
                <w:szCs w:val="22"/>
                <w:highlight w:val="none"/>
              </w:rPr>
            </w:pPr>
          </w:p>
        </w:tc>
        <w:tc>
          <w:tcPr>
            <w:tcW w:w="607" w:type="dxa"/>
            <w:vMerge w:val="continue"/>
            <w:shd w:val="clear" w:color="auto" w:fill="auto"/>
            <w:noWrap w:val="0"/>
            <w:vAlign w:val="center"/>
          </w:tcPr>
          <w:p w14:paraId="7AD8894A">
            <w:pPr>
              <w:spacing w:line="0" w:lineRule="atLeast"/>
              <w:ind w:firstLine="0" w:firstLineChars="0"/>
              <w:jc w:val="center"/>
              <w:rPr>
                <w:rFonts w:ascii="宋体" w:hAnsi="宋体" w:eastAsia="宋体" w:cs="宋体"/>
                <w:color w:val="auto"/>
                <w:kern w:val="0"/>
                <w:sz w:val="22"/>
                <w:szCs w:val="22"/>
                <w:highlight w:val="none"/>
              </w:rPr>
            </w:pPr>
          </w:p>
        </w:tc>
        <w:tc>
          <w:tcPr>
            <w:tcW w:w="1393" w:type="dxa"/>
            <w:shd w:val="clear" w:color="auto" w:fill="auto"/>
            <w:noWrap w:val="0"/>
            <w:vAlign w:val="center"/>
          </w:tcPr>
          <w:p w14:paraId="0B736B50">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firstLine="0" w:firstLineChars="0"/>
              <w:jc w:val="center"/>
              <w:textAlignment w:val="center"/>
              <w:rPr>
                <w:rFonts w:hint="eastAsia" w:ascii="宋体" w:hAnsi="宋体" w:eastAsia="宋体" w:cs="宋体"/>
                <w:b w:val="0"/>
                <w:bCs w:val="0"/>
                <w:color w:val="auto"/>
                <w:kern w:val="0"/>
                <w:sz w:val="22"/>
                <w:szCs w:val="22"/>
                <w:highlight w:val="none"/>
              </w:rPr>
            </w:pPr>
            <w:r>
              <w:rPr>
                <w:rFonts w:hint="eastAsia" w:ascii="宋体" w:hAnsi="宋体" w:eastAsia="宋体" w:cs="宋体"/>
                <w:b w:val="0"/>
                <w:bCs w:val="0"/>
                <w:i w:val="0"/>
                <w:color w:val="auto"/>
                <w:kern w:val="0"/>
                <w:sz w:val="22"/>
                <w:szCs w:val="22"/>
                <w:highlight w:val="none"/>
                <w:u w:val="none"/>
                <w:lang w:val="en-US" w:eastAsia="zh-CN" w:bidi="ar"/>
              </w:rPr>
              <w:t>项目工作完成时限</w:t>
            </w:r>
          </w:p>
        </w:tc>
        <w:tc>
          <w:tcPr>
            <w:tcW w:w="2141" w:type="dxa"/>
            <w:shd w:val="clear" w:color="auto" w:fill="auto"/>
            <w:noWrap w:val="0"/>
            <w:vAlign w:val="center"/>
          </w:tcPr>
          <w:p w14:paraId="555D094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247EEF5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125185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3AFDA09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10</w:t>
            </w:r>
          </w:p>
        </w:tc>
        <w:tc>
          <w:tcPr>
            <w:tcW w:w="769" w:type="dxa"/>
            <w:shd w:val="clear" w:color="auto" w:fill="auto"/>
            <w:noWrap w:val="0"/>
            <w:vAlign w:val="center"/>
          </w:tcPr>
          <w:p w14:paraId="64D420F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10</w:t>
            </w:r>
          </w:p>
        </w:tc>
      </w:tr>
      <w:tr w14:paraId="68D3D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76" w:hRule="atLeast"/>
          <w:jc w:val="center"/>
        </w:trPr>
        <w:tc>
          <w:tcPr>
            <w:tcW w:w="408" w:type="dxa"/>
            <w:vMerge w:val="continue"/>
            <w:shd w:val="clear" w:color="auto" w:fill="auto"/>
            <w:noWrap w:val="0"/>
            <w:vAlign w:val="center"/>
          </w:tcPr>
          <w:p w14:paraId="121EBF2D">
            <w:pPr>
              <w:widowControl/>
              <w:spacing w:line="0" w:lineRule="atLeast"/>
              <w:ind w:firstLine="0" w:firstLineChars="0"/>
              <w:jc w:val="center"/>
              <w:rPr>
                <w:rFonts w:ascii="宋体" w:hAnsi="宋体" w:eastAsia="宋体" w:cs="宋体"/>
                <w:color w:val="auto"/>
                <w:kern w:val="0"/>
                <w:sz w:val="22"/>
                <w:szCs w:val="22"/>
                <w:highlight w:val="none"/>
              </w:rPr>
            </w:pPr>
          </w:p>
        </w:tc>
        <w:tc>
          <w:tcPr>
            <w:tcW w:w="607" w:type="dxa"/>
            <w:vMerge w:val="restart"/>
            <w:shd w:val="clear" w:color="auto" w:fill="auto"/>
            <w:noWrap w:val="0"/>
            <w:vAlign w:val="center"/>
          </w:tcPr>
          <w:p w14:paraId="500AB26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393" w:type="dxa"/>
            <w:shd w:val="clear" w:color="auto" w:fill="auto"/>
            <w:noWrap w:val="0"/>
            <w:vAlign w:val="center"/>
          </w:tcPr>
          <w:p w14:paraId="7D9BC2B5">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firstLine="0" w:firstLineChars="0"/>
              <w:jc w:val="center"/>
              <w:textAlignment w:val="center"/>
              <w:rPr>
                <w:rFonts w:hint="eastAsia" w:ascii="宋体" w:hAnsi="宋体" w:eastAsia="宋体" w:cs="宋体"/>
                <w:b w:val="0"/>
                <w:bCs w:val="0"/>
                <w:color w:val="auto"/>
                <w:kern w:val="0"/>
                <w:sz w:val="22"/>
                <w:szCs w:val="22"/>
                <w:highlight w:val="none"/>
              </w:rPr>
            </w:pPr>
            <w:r>
              <w:rPr>
                <w:rFonts w:hint="eastAsia" w:ascii="宋体" w:hAnsi="宋体" w:eastAsia="宋体" w:cs="宋体"/>
                <w:b w:val="0"/>
                <w:bCs w:val="0"/>
                <w:i w:val="0"/>
                <w:color w:val="auto"/>
                <w:kern w:val="0"/>
                <w:sz w:val="22"/>
                <w:szCs w:val="22"/>
                <w:highlight w:val="none"/>
                <w:u w:val="none"/>
                <w:lang w:val="en-US" w:eastAsia="zh-CN" w:bidi="ar"/>
              </w:rPr>
              <w:t>残疾人工作运行经费</w:t>
            </w:r>
          </w:p>
        </w:tc>
        <w:tc>
          <w:tcPr>
            <w:tcW w:w="2141" w:type="dxa"/>
            <w:shd w:val="clear" w:color="auto" w:fill="auto"/>
            <w:noWrap w:val="0"/>
            <w:vAlign w:val="center"/>
          </w:tcPr>
          <w:p w14:paraId="3CA9D61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4A62D05B">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584AFD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1926B57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A854F2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988184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10</w:t>
            </w:r>
          </w:p>
        </w:tc>
        <w:tc>
          <w:tcPr>
            <w:tcW w:w="769" w:type="dxa"/>
            <w:shd w:val="clear" w:color="auto" w:fill="auto"/>
            <w:noWrap w:val="0"/>
            <w:vAlign w:val="center"/>
          </w:tcPr>
          <w:p w14:paraId="2CBB9A6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10</w:t>
            </w:r>
          </w:p>
        </w:tc>
      </w:tr>
      <w:tr w14:paraId="483E41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41" w:hRule="atLeast"/>
          <w:jc w:val="center"/>
        </w:trPr>
        <w:tc>
          <w:tcPr>
            <w:tcW w:w="408" w:type="dxa"/>
            <w:shd w:val="clear" w:color="auto" w:fill="auto"/>
            <w:noWrap w:val="0"/>
            <w:vAlign w:val="center"/>
          </w:tcPr>
          <w:p w14:paraId="03120B66">
            <w:pPr>
              <w:widowControl/>
              <w:spacing w:line="0" w:lineRule="atLeast"/>
              <w:ind w:firstLine="0" w:firstLineChars="0"/>
              <w:jc w:val="center"/>
              <w:rPr>
                <w:rFonts w:ascii="宋体" w:hAnsi="宋体" w:eastAsia="宋体" w:cs="宋体"/>
                <w:color w:val="auto"/>
                <w:kern w:val="0"/>
                <w:sz w:val="22"/>
                <w:szCs w:val="22"/>
                <w:highlight w:val="none"/>
              </w:rPr>
            </w:pPr>
          </w:p>
        </w:tc>
        <w:tc>
          <w:tcPr>
            <w:tcW w:w="607" w:type="dxa"/>
            <w:vMerge w:val="continue"/>
            <w:shd w:val="clear" w:color="auto" w:fill="auto"/>
            <w:noWrap w:val="0"/>
            <w:vAlign w:val="center"/>
          </w:tcPr>
          <w:p w14:paraId="27A6CE9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393" w:type="dxa"/>
            <w:shd w:val="clear" w:color="auto" w:fill="auto"/>
            <w:noWrap w:val="0"/>
            <w:vAlign w:val="center"/>
          </w:tcPr>
          <w:p w14:paraId="3D67C507">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firstLine="0" w:firstLineChars="0"/>
              <w:jc w:val="center"/>
              <w:textAlignment w:val="center"/>
              <w:rPr>
                <w:rFonts w:hint="eastAsia" w:ascii="宋体" w:hAnsi="宋体" w:eastAsia="宋体" w:cs="宋体"/>
                <w:b w:val="0"/>
                <w:bCs w:val="0"/>
                <w:color w:val="auto"/>
                <w:kern w:val="0"/>
                <w:sz w:val="22"/>
                <w:szCs w:val="22"/>
                <w:highlight w:val="none"/>
              </w:rPr>
            </w:pPr>
            <w:r>
              <w:rPr>
                <w:rFonts w:hint="eastAsia" w:ascii="宋体" w:hAnsi="宋体" w:eastAsia="宋体" w:cs="宋体"/>
                <w:b w:val="0"/>
                <w:bCs w:val="0"/>
                <w:i w:val="0"/>
                <w:color w:val="auto"/>
                <w:kern w:val="0"/>
                <w:sz w:val="22"/>
                <w:szCs w:val="22"/>
                <w:highlight w:val="none"/>
                <w:u w:val="none"/>
                <w:lang w:val="en-US" w:eastAsia="zh-CN" w:bidi="ar"/>
              </w:rPr>
              <w:t>保障残疾人工作运行人员工资及社保发放额</w:t>
            </w:r>
          </w:p>
        </w:tc>
        <w:tc>
          <w:tcPr>
            <w:tcW w:w="2141" w:type="dxa"/>
            <w:shd w:val="clear" w:color="auto" w:fill="auto"/>
            <w:noWrap w:val="0"/>
            <w:vAlign w:val="center"/>
          </w:tcPr>
          <w:p w14:paraId="6D424E0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600A9E62">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061D7D5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10</w:t>
            </w:r>
          </w:p>
        </w:tc>
        <w:tc>
          <w:tcPr>
            <w:tcW w:w="769" w:type="dxa"/>
            <w:shd w:val="clear" w:color="auto" w:fill="auto"/>
            <w:noWrap w:val="0"/>
            <w:vAlign w:val="center"/>
          </w:tcPr>
          <w:p w14:paraId="6174E34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10</w:t>
            </w:r>
          </w:p>
        </w:tc>
      </w:tr>
      <w:tr w14:paraId="42516E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2" w:hRule="atLeast"/>
          <w:jc w:val="center"/>
        </w:trPr>
        <w:tc>
          <w:tcPr>
            <w:tcW w:w="408" w:type="dxa"/>
            <w:vMerge w:val="restart"/>
            <w:shd w:val="clear" w:color="auto" w:fill="auto"/>
            <w:noWrap w:val="0"/>
            <w:vAlign w:val="center"/>
          </w:tcPr>
          <w:p w14:paraId="050176AC">
            <w:pPr>
              <w:widowControl/>
              <w:spacing w:line="0" w:lineRule="atLeast"/>
              <w:ind w:firstLine="0" w:firstLineChars="0"/>
              <w:jc w:val="center"/>
              <w:rPr>
                <w:rFonts w:ascii="宋体" w:hAnsi="宋体" w:eastAsia="宋体" w:cs="宋体"/>
                <w:color w:val="auto"/>
                <w:kern w:val="0"/>
                <w:sz w:val="22"/>
                <w:szCs w:val="22"/>
                <w:highlight w:val="none"/>
              </w:rPr>
            </w:pPr>
          </w:p>
        </w:tc>
        <w:tc>
          <w:tcPr>
            <w:tcW w:w="607" w:type="dxa"/>
            <w:vMerge w:val="restart"/>
            <w:shd w:val="clear" w:color="auto" w:fill="auto"/>
            <w:noWrap w:val="0"/>
            <w:vAlign w:val="center"/>
          </w:tcPr>
          <w:p w14:paraId="0DB0854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1393" w:type="dxa"/>
            <w:shd w:val="clear" w:color="auto" w:fill="auto"/>
            <w:noWrap w:val="0"/>
            <w:vAlign w:val="center"/>
          </w:tcPr>
          <w:p w14:paraId="2C65B887">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firstLine="0" w:firstLineChars="0"/>
              <w:jc w:val="center"/>
              <w:textAlignment w:val="center"/>
              <w:rPr>
                <w:rFonts w:hint="eastAsia" w:ascii="宋体" w:hAnsi="宋体" w:eastAsia="宋体" w:cs="宋体"/>
                <w:b w:val="0"/>
                <w:bCs w:val="0"/>
                <w:color w:val="auto"/>
                <w:kern w:val="0"/>
                <w:sz w:val="22"/>
                <w:szCs w:val="22"/>
                <w:highlight w:val="none"/>
              </w:rPr>
            </w:pPr>
            <w:r>
              <w:rPr>
                <w:rFonts w:hint="eastAsia" w:ascii="宋体" w:hAnsi="宋体" w:eastAsia="宋体" w:cs="宋体"/>
                <w:b w:val="0"/>
                <w:bCs w:val="0"/>
                <w:i w:val="0"/>
                <w:color w:val="auto"/>
                <w:kern w:val="0"/>
                <w:sz w:val="22"/>
                <w:szCs w:val="22"/>
                <w:highlight w:val="none"/>
                <w:u w:val="none"/>
                <w:lang w:val="en-US" w:eastAsia="zh-CN" w:bidi="ar"/>
              </w:rPr>
              <w:t>提升贫困</w:t>
            </w:r>
            <w:r>
              <w:rPr>
                <w:rFonts w:hint="eastAsia" w:ascii="宋体" w:hAnsi="宋体" w:eastAsia="宋体" w:cs="宋体"/>
                <w:b w:val="0"/>
                <w:bCs w:val="0"/>
                <w:color w:val="auto"/>
                <w:kern w:val="0"/>
                <w:sz w:val="22"/>
                <w:szCs w:val="22"/>
                <w:highlight w:val="none"/>
                <w:lang w:val="en-US" w:eastAsia="zh-CN"/>
              </w:rPr>
              <w:t>残疾人</w:t>
            </w:r>
            <w:r>
              <w:rPr>
                <w:rFonts w:hint="eastAsia" w:ascii="宋体" w:hAnsi="宋体" w:eastAsia="宋体" w:cs="宋体"/>
                <w:b w:val="0"/>
                <w:bCs w:val="0"/>
                <w:i w:val="0"/>
                <w:color w:val="auto"/>
                <w:kern w:val="0"/>
                <w:sz w:val="22"/>
                <w:szCs w:val="22"/>
                <w:highlight w:val="none"/>
                <w:u w:val="none"/>
                <w:lang w:val="en-US" w:eastAsia="zh-CN" w:bidi="ar"/>
              </w:rPr>
              <w:t>生活水平</w:t>
            </w:r>
          </w:p>
        </w:tc>
        <w:tc>
          <w:tcPr>
            <w:tcW w:w="2141" w:type="dxa"/>
            <w:shd w:val="clear" w:color="auto" w:fill="auto"/>
            <w:noWrap w:val="0"/>
            <w:vAlign w:val="center"/>
          </w:tcPr>
          <w:p w14:paraId="1FE2F77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242B66C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3E3BAC9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9</w:t>
            </w:r>
          </w:p>
        </w:tc>
        <w:tc>
          <w:tcPr>
            <w:tcW w:w="769" w:type="dxa"/>
            <w:shd w:val="clear" w:color="auto" w:fill="auto"/>
            <w:noWrap w:val="0"/>
            <w:vAlign w:val="center"/>
          </w:tcPr>
          <w:p w14:paraId="44B809D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9</w:t>
            </w:r>
          </w:p>
        </w:tc>
      </w:tr>
      <w:tr w14:paraId="5F2EC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877" w:hRule="atLeast"/>
          <w:jc w:val="center"/>
        </w:trPr>
        <w:tc>
          <w:tcPr>
            <w:tcW w:w="408" w:type="dxa"/>
            <w:vMerge w:val="continue"/>
            <w:shd w:val="clear" w:color="auto" w:fill="auto"/>
            <w:noWrap w:val="0"/>
            <w:vAlign w:val="center"/>
          </w:tcPr>
          <w:p w14:paraId="06C1E5CF">
            <w:pPr>
              <w:widowControl/>
              <w:spacing w:line="0" w:lineRule="atLeast"/>
              <w:ind w:firstLine="0" w:firstLineChars="0"/>
              <w:jc w:val="center"/>
              <w:rPr>
                <w:rFonts w:ascii="宋体" w:hAnsi="宋体" w:eastAsia="宋体" w:cs="宋体"/>
                <w:color w:val="auto"/>
                <w:kern w:val="0"/>
                <w:sz w:val="22"/>
                <w:szCs w:val="22"/>
                <w:highlight w:val="none"/>
              </w:rPr>
            </w:pPr>
          </w:p>
        </w:tc>
        <w:tc>
          <w:tcPr>
            <w:tcW w:w="607" w:type="dxa"/>
            <w:vMerge w:val="continue"/>
            <w:shd w:val="clear" w:color="auto" w:fill="auto"/>
            <w:noWrap w:val="0"/>
            <w:vAlign w:val="center"/>
          </w:tcPr>
          <w:p w14:paraId="52F671AD">
            <w:pPr>
              <w:widowControl/>
              <w:spacing w:line="0" w:lineRule="atLeast"/>
              <w:ind w:firstLine="0" w:firstLineChars="0"/>
              <w:jc w:val="center"/>
              <w:rPr>
                <w:rFonts w:ascii="宋体" w:hAnsi="宋体" w:eastAsia="宋体" w:cs="宋体"/>
                <w:color w:val="auto"/>
                <w:kern w:val="0"/>
                <w:sz w:val="22"/>
                <w:szCs w:val="22"/>
                <w:highlight w:val="none"/>
              </w:rPr>
            </w:pPr>
          </w:p>
        </w:tc>
        <w:tc>
          <w:tcPr>
            <w:tcW w:w="1393" w:type="dxa"/>
            <w:shd w:val="clear" w:color="auto" w:fill="auto"/>
            <w:noWrap w:val="0"/>
            <w:vAlign w:val="center"/>
          </w:tcPr>
          <w:p w14:paraId="1AB533E8">
            <w:pPr>
              <w:keepNext w:val="0"/>
              <w:keepLines w:val="0"/>
              <w:pageBreakBefore w:val="0"/>
              <w:widowControl/>
              <w:suppressLineNumbers w:val="0"/>
              <w:kinsoku/>
              <w:wordWrap/>
              <w:overflowPunct/>
              <w:topLinePunct w:val="0"/>
              <w:autoSpaceDE/>
              <w:autoSpaceDN/>
              <w:bidi w:val="0"/>
              <w:adjustRightInd/>
              <w:snapToGrid/>
              <w:spacing w:line="15" w:lineRule="auto"/>
              <w:ind w:left="0" w:leftChars="0" w:firstLine="0" w:firstLineChars="0"/>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保障残疾人工作运行人员工资及社保，增强服务水平</w:t>
            </w:r>
          </w:p>
        </w:tc>
        <w:tc>
          <w:tcPr>
            <w:tcW w:w="2141" w:type="dxa"/>
            <w:shd w:val="clear" w:color="auto" w:fill="auto"/>
            <w:noWrap w:val="0"/>
            <w:vAlign w:val="center"/>
          </w:tcPr>
          <w:p w14:paraId="02DCFAE7">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7580797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58FA4320">
            <w:pPr>
              <w:widowControl/>
              <w:spacing w:line="0" w:lineRule="atLeast"/>
              <w:ind w:firstLine="220" w:firstLineChars="10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796F3A78">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10</w:t>
            </w:r>
          </w:p>
        </w:tc>
      </w:tr>
      <w:tr w14:paraId="5DFAFA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45" w:hRule="atLeast"/>
          <w:jc w:val="center"/>
        </w:trPr>
        <w:tc>
          <w:tcPr>
            <w:tcW w:w="408" w:type="dxa"/>
            <w:vMerge w:val="continue"/>
            <w:shd w:val="clear" w:color="auto" w:fill="auto"/>
            <w:noWrap w:val="0"/>
            <w:vAlign w:val="center"/>
          </w:tcPr>
          <w:p w14:paraId="5C423577">
            <w:pPr>
              <w:widowControl/>
              <w:spacing w:line="0" w:lineRule="atLeast"/>
              <w:ind w:firstLine="0" w:firstLineChars="0"/>
              <w:jc w:val="center"/>
              <w:rPr>
                <w:rFonts w:ascii="宋体" w:hAnsi="宋体" w:eastAsia="宋体" w:cs="宋体"/>
                <w:color w:val="auto"/>
                <w:kern w:val="0"/>
                <w:sz w:val="22"/>
                <w:szCs w:val="22"/>
                <w:highlight w:val="none"/>
              </w:rPr>
            </w:pPr>
          </w:p>
        </w:tc>
        <w:tc>
          <w:tcPr>
            <w:tcW w:w="607" w:type="dxa"/>
            <w:vMerge w:val="continue"/>
            <w:shd w:val="clear" w:color="auto" w:fill="auto"/>
            <w:noWrap w:val="0"/>
            <w:vAlign w:val="center"/>
          </w:tcPr>
          <w:p w14:paraId="036A6CFA">
            <w:pPr>
              <w:widowControl/>
              <w:spacing w:line="0" w:lineRule="atLeast"/>
              <w:ind w:firstLine="0" w:firstLineChars="0"/>
              <w:jc w:val="center"/>
              <w:rPr>
                <w:rFonts w:ascii="宋体" w:hAnsi="宋体" w:eastAsia="宋体" w:cs="宋体"/>
                <w:color w:val="auto"/>
                <w:kern w:val="0"/>
                <w:sz w:val="22"/>
                <w:szCs w:val="22"/>
                <w:highlight w:val="none"/>
              </w:rPr>
            </w:pPr>
          </w:p>
        </w:tc>
        <w:tc>
          <w:tcPr>
            <w:tcW w:w="1393" w:type="dxa"/>
            <w:shd w:val="clear" w:color="auto" w:fill="auto"/>
            <w:noWrap w:val="0"/>
            <w:vAlign w:val="center"/>
          </w:tcPr>
          <w:p w14:paraId="40206DF9">
            <w:pPr>
              <w:keepNext w:val="0"/>
              <w:keepLines w:val="0"/>
              <w:pageBreakBefore w:val="0"/>
              <w:widowControl/>
              <w:suppressLineNumbers w:val="0"/>
              <w:kinsoku/>
              <w:wordWrap/>
              <w:overflowPunct/>
              <w:topLinePunct w:val="0"/>
              <w:autoSpaceDE/>
              <w:autoSpaceDN/>
              <w:bidi w:val="0"/>
              <w:adjustRightInd/>
              <w:snapToGrid/>
              <w:spacing w:line="15" w:lineRule="auto"/>
              <w:ind w:left="0" w:leftChars="0" w:firstLine="0" w:firstLineChars="0"/>
              <w:jc w:val="center"/>
              <w:textAlignment w:val="center"/>
              <w:rPr>
                <w:rFonts w:hint="eastAsia" w:ascii="宋体" w:hAnsi="宋体" w:eastAsia="宋体" w:cs="宋体"/>
                <w:b w:val="0"/>
                <w:bCs w:val="0"/>
                <w:color w:val="auto"/>
                <w:kern w:val="0"/>
                <w:sz w:val="22"/>
                <w:szCs w:val="22"/>
                <w:highlight w:val="none"/>
                <w:lang w:val="en-US" w:eastAsia="zh-CN"/>
              </w:rPr>
            </w:pPr>
            <w:r>
              <w:rPr>
                <w:rFonts w:hint="eastAsia" w:cs="宋体"/>
                <w:b w:val="0"/>
                <w:bCs w:val="0"/>
                <w:color w:val="auto"/>
                <w:kern w:val="0"/>
                <w:sz w:val="22"/>
                <w:szCs w:val="22"/>
                <w:highlight w:val="none"/>
                <w:lang w:val="en-US" w:eastAsia="zh-CN"/>
              </w:rPr>
              <w:t>残疾人就业康复培训</w:t>
            </w:r>
            <w:r>
              <w:rPr>
                <w:rFonts w:hint="eastAsia" w:ascii="宋体" w:hAnsi="宋体" w:eastAsia="宋体" w:cs="宋体"/>
                <w:b w:val="0"/>
                <w:bCs w:val="0"/>
                <w:color w:val="auto"/>
                <w:kern w:val="0"/>
                <w:sz w:val="22"/>
                <w:szCs w:val="22"/>
                <w:highlight w:val="none"/>
                <w:lang w:val="en-US" w:eastAsia="zh-CN"/>
              </w:rPr>
              <w:t>满意度</w:t>
            </w:r>
          </w:p>
        </w:tc>
        <w:tc>
          <w:tcPr>
            <w:tcW w:w="2141" w:type="dxa"/>
            <w:shd w:val="clear" w:color="auto" w:fill="auto"/>
            <w:noWrap w:val="0"/>
            <w:vAlign w:val="center"/>
          </w:tcPr>
          <w:p w14:paraId="072A2DE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 xml:space="preserve"> </w:t>
            </w: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76F3741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4FF2A85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noWrap w:val="0"/>
            <w:vAlign w:val="center"/>
          </w:tcPr>
          <w:p w14:paraId="592FB308">
            <w:pPr>
              <w:widowControl/>
              <w:spacing w:line="0" w:lineRule="atLeast"/>
              <w:ind w:firstLine="220" w:firstLineChars="10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r>
      <w:tr w14:paraId="6C87DC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7A1FA3F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12038A3A">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5096DCA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3A537483">
            <w:pPr>
              <w:widowControl/>
              <w:spacing w:line="0" w:lineRule="atLeast"/>
              <w:ind w:left="0" w:leftChars="0"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2A01B3B1">
      <w:pPr>
        <w:spacing w:line="240" w:lineRule="auto"/>
        <w:ind w:firstLine="0" w:firstLineChars="0"/>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1EDD3">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A87530">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A87530">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11C98">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2">
    <w:nsid w:val="276BE2F6"/>
    <w:multiLevelType w:val="singleLevel"/>
    <w:tmpl w:val="276BE2F6"/>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00172A27"/>
    <w:rsid w:val="007D6A04"/>
    <w:rsid w:val="00E23C81"/>
    <w:rsid w:val="01253350"/>
    <w:rsid w:val="01254E9D"/>
    <w:rsid w:val="01282E62"/>
    <w:rsid w:val="014029CF"/>
    <w:rsid w:val="01470C4C"/>
    <w:rsid w:val="02200440"/>
    <w:rsid w:val="02284B43"/>
    <w:rsid w:val="02B015E2"/>
    <w:rsid w:val="02DC08FA"/>
    <w:rsid w:val="033B569D"/>
    <w:rsid w:val="039C3BA0"/>
    <w:rsid w:val="03A845BB"/>
    <w:rsid w:val="03B45AD1"/>
    <w:rsid w:val="04D12EE4"/>
    <w:rsid w:val="04D63993"/>
    <w:rsid w:val="05862638"/>
    <w:rsid w:val="07552972"/>
    <w:rsid w:val="075B1ECE"/>
    <w:rsid w:val="07635C12"/>
    <w:rsid w:val="07890F4F"/>
    <w:rsid w:val="08227E14"/>
    <w:rsid w:val="08892439"/>
    <w:rsid w:val="08EB30F3"/>
    <w:rsid w:val="09237408"/>
    <w:rsid w:val="09781BD6"/>
    <w:rsid w:val="09F359DF"/>
    <w:rsid w:val="0A522E89"/>
    <w:rsid w:val="0A575E65"/>
    <w:rsid w:val="0ACA0AB6"/>
    <w:rsid w:val="0C032502"/>
    <w:rsid w:val="0C072032"/>
    <w:rsid w:val="0C27698C"/>
    <w:rsid w:val="0C9D2956"/>
    <w:rsid w:val="0D4452F3"/>
    <w:rsid w:val="0F5E5042"/>
    <w:rsid w:val="0FE95707"/>
    <w:rsid w:val="10510571"/>
    <w:rsid w:val="10787A20"/>
    <w:rsid w:val="108672DE"/>
    <w:rsid w:val="10EC685A"/>
    <w:rsid w:val="11FA6155"/>
    <w:rsid w:val="12CF0947"/>
    <w:rsid w:val="12F1313F"/>
    <w:rsid w:val="136C678E"/>
    <w:rsid w:val="13EB2FF5"/>
    <w:rsid w:val="15233C15"/>
    <w:rsid w:val="15A46B04"/>
    <w:rsid w:val="165825BC"/>
    <w:rsid w:val="16BC5D73"/>
    <w:rsid w:val="176F36D7"/>
    <w:rsid w:val="1795226D"/>
    <w:rsid w:val="18456B1E"/>
    <w:rsid w:val="1ADA43E6"/>
    <w:rsid w:val="1BB43819"/>
    <w:rsid w:val="1C1171C5"/>
    <w:rsid w:val="1D1C3C5A"/>
    <w:rsid w:val="1D265138"/>
    <w:rsid w:val="1D7B6BCA"/>
    <w:rsid w:val="1DA41A79"/>
    <w:rsid w:val="1DF53469"/>
    <w:rsid w:val="1E2F24F2"/>
    <w:rsid w:val="1E58492F"/>
    <w:rsid w:val="1E5B6757"/>
    <w:rsid w:val="1ED10AC6"/>
    <w:rsid w:val="1F89225F"/>
    <w:rsid w:val="1F900A1F"/>
    <w:rsid w:val="1FC0575D"/>
    <w:rsid w:val="1FE002E0"/>
    <w:rsid w:val="206132C7"/>
    <w:rsid w:val="21B00C1D"/>
    <w:rsid w:val="23031BEB"/>
    <w:rsid w:val="23917691"/>
    <w:rsid w:val="244D65B8"/>
    <w:rsid w:val="245E1E24"/>
    <w:rsid w:val="25AD5E5D"/>
    <w:rsid w:val="26A70C98"/>
    <w:rsid w:val="2732478D"/>
    <w:rsid w:val="27661469"/>
    <w:rsid w:val="27900EAD"/>
    <w:rsid w:val="279B538A"/>
    <w:rsid w:val="27D62FBE"/>
    <w:rsid w:val="27DA4607"/>
    <w:rsid w:val="286F545C"/>
    <w:rsid w:val="29314FBC"/>
    <w:rsid w:val="29A57CF2"/>
    <w:rsid w:val="29CB5EF7"/>
    <w:rsid w:val="2BAF37C6"/>
    <w:rsid w:val="2C024B86"/>
    <w:rsid w:val="2C927671"/>
    <w:rsid w:val="2D2D7DD7"/>
    <w:rsid w:val="2D7C5CD6"/>
    <w:rsid w:val="2DE64EEE"/>
    <w:rsid w:val="2E483E7E"/>
    <w:rsid w:val="2E690493"/>
    <w:rsid w:val="2E9854BD"/>
    <w:rsid w:val="2F0D407F"/>
    <w:rsid w:val="2F454B19"/>
    <w:rsid w:val="30622C98"/>
    <w:rsid w:val="308C66BA"/>
    <w:rsid w:val="308E16F6"/>
    <w:rsid w:val="30C9556B"/>
    <w:rsid w:val="310224D9"/>
    <w:rsid w:val="31B4621C"/>
    <w:rsid w:val="31E3230A"/>
    <w:rsid w:val="330957E0"/>
    <w:rsid w:val="33356F64"/>
    <w:rsid w:val="33944516"/>
    <w:rsid w:val="34B62907"/>
    <w:rsid w:val="34DD145F"/>
    <w:rsid w:val="35BF4639"/>
    <w:rsid w:val="36BD137C"/>
    <w:rsid w:val="37A05100"/>
    <w:rsid w:val="385D37E7"/>
    <w:rsid w:val="38782EDD"/>
    <w:rsid w:val="38A430F0"/>
    <w:rsid w:val="3B42664A"/>
    <w:rsid w:val="3B7F4E52"/>
    <w:rsid w:val="3D836A4E"/>
    <w:rsid w:val="3DE25063"/>
    <w:rsid w:val="3EA37E97"/>
    <w:rsid w:val="3FBE0BC5"/>
    <w:rsid w:val="3FCF131C"/>
    <w:rsid w:val="4048103A"/>
    <w:rsid w:val="40736643"/>
    <w:rsid w:val="40D24A7A"/>
    <w:rsid w:val="421576CE"/>
    <w:rsid w:val="4230501A"/>
    <w:rsid w:val="42621029"/>
    <w:rsid w:val="435241E2"/>
    <w:rsid w:val="43975C51"/>
    <w:rsid w:val="439E3FA7"/>
    <w:rsid w:val="44B32266"/>
    <w:rsid w:val="44BC7BF2"/>
    <w:rsid w:val="44FC64F4"/>
    <w:rsid w:val="467F4585"/>
    <w:rsid w:val="470628CB"/>
    <w:rsid w:val="47555BD4"/>
    <w:rsid w:val="47E96399"/>
    <w:rsid w:val="48045B43"/>
    <w:rsid w:val="48E12B50"/>
    <w:rsid w:val="499441BE"/>
    <w:rsid w:val="499A6C1C"/>
    <w:rsid w:val="49DE3F56"/>
    <w:rsid w:val="4A2138F0"/>
    <w:rsid w:val="4A583887"/>
    <w:rsid w:val="4A9277F5"/>
    <w:rsid w:val="4B9F6E02"/>
    <w:rsid w:val="4C89637B"/>
    <w:rsid w:val="4DBB392E"/>
    <w:rsid w:val="4E4A5793"/>
    <w:rsid w:val="4E6E48A8"/>
    <w:rsid w:val="4EEC036B"/>
    <w:rsid w:val="4EFA47A8"/>
    <w:rsid w:val="4FB83EBE"/>
    <w:rsid w:val="501D2673"/>
    <w:rsid w:val="509A48A8"/>
    <w:rsid w:val="50C80BF1"/>
    <w:rsid w:val="51852833"/>
    <w:rsid w:val="52F11AC8"/>
    <w:rsid w:val="534E488D"/>
    <w:rsid w:val="534F49D9"/>
    <w:rsid w:val="53555F0F"/>
    <w:rsid w:val="535D23D5"/>
    <w:rsid w:val="56F4341A"/>
    <w:rsid w:val="575A7321"/>
    <w:rsid w:val="57FF56DE"/>
    <w:rsid w:val="580C3AB9"/>
    <w:rsid w:val="583C7AE0"/>
    <w:rsid w:val="586C1E9A"/>
    <w:rsid w:val="586E0800"/>
    <w:rsid w:val="58B02BCC"/>
    <w:rsid w:val="59216F96"/>
    <w:rsid w:val="598C4145"/>
    <w:rsid w:val="59957D1B"/>
    <w:rsid w:val="59C661A7"/>
    <w:rsid w:val="59D4294E"/>
    <w:rsid w:val="5B634312"/>
    <w:rsid w:val="5B9D2CCD"/>
    <w:rsid w:val="5B9E71EA"/>
    <w:rsid w:val="5E226FBC"/>
    <w:rsid w:val="5F597297"/>
    <w:rsid w:val="5FE72BD2"/>
    <w:rsid w:val="60071156"/>
    <w:rsid w:val="60120613"/>
    <w:rsid w:val="618D5292"/>
    <w:rsid w:val="61E87CB7"/>
    <w:rsid w:val="622E78FA"/>
    <w:rsid w:val="632A6E07"/>
    <w:rsid w:val="63343F70"/>
    <w:rsid w:val="633B3505"/>
    <w:rsid w:val="64296E1C"/>
    <w:rsid w:val="649E64A2"/>
    <w:rsid w:val="65E5270A"/>
    <w:rsid w:val="663D3C54"/>
    <w:rsid w:val="66862C89"/>
    <w:rsid w:val="66BB486D"/>
    <w:rsid w:val="67394C7D"/>
    <w:rsid w:val="68126B38"/>
    <w:rsid w:val="68291A1A"/>
    <w:rsid w:val="68352BB8"/>
    <w:rsid w:val="691B1594"/>
    <w:rsid w:val="693A016B"/>
    <w:rsid w:val="6A17429C"/>
    <w:rsid w:val="6A567EA3"/>
    <w:rsid w:val="6A9550F7"/>
    <w:rsid w:val="6B0B7163"/>
    <w:rsid w:val="6B4B4368"/>
    <w:rsid w:val="6B79100E"/>
    <w:rsid w:val="6C844C00"/>
    <w:rsid w:val="6D652176"/>
    <w:rsid w:val="6E10212C"/>
    <w:rsid w:val="6E43561A"/>
    <w:rsid w:val="6E557973"/>
    <w:rsid w:val="6E873DAB"/>
    <w:rsid w:val="6E9568DB"/>
    <w:rsid w:val="6F0D6C22"/>
    <w:rsid w:val="6F47657F"/>
    <w:rsid w:val="6FAF23D9"/>
    <w:rsid w:val="70635CF6"/>
    <w:rsid w:val="70670707"/>
    <w:rsid w:val="720E3691"/>
    <w:rsid w:val="724E244C"/>
    <w:rsid w:val="72DA6946"/>
    <w:rsid w:val="732764B3"/>
    <w:rsid w:val="74026044"/>
    <w:rsid w:val="74746410"/>
    <w:rsid w:val="755C2C11"/>
    <w:rsid w:val="75E5007C"/>
    <w:rsid w:val="76F11F22"/>
    <w:rsid w:val="7737798A"/>
    <w:rsid w:val="77813724"/>
    <w:rsid w:val="77861774"/>
    <w:rsid w:val="78F31435"/>
    <w:rsid w:val="79300B45"/>
    <w:rsid w:val="794D3E18"/>
    <w:rsid w:val="79F3729A"/>
    <w:rsid w:val="7A576F5B"/>
    <w:rsid w:val="7A880722"/>
    <w:rsid w:val="7ACB0498"/>
    <w:rsid w:val="7AED0B4D"/>
    <w:rsid w:val="7BC67408"/>
    <w:rsid w:val="7C1E4487"/>
    <w:rsid w:val="7C215E02"/>
    <w:rsid w:val="7CF23764"/>
    <w:rsid w:val="7D9800FB"/>
    <w:rsid w:val="7E797F74"/>
    <w:rsid w:val="7F4E11D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 w:type="paragraph" w:styleId="18">
    <w:name w:val="List Paragraph"/>
    <w:basedOn w:val="1"/>
    <w:autoRedefine/>
    <w:unhideWhenUsed/>
    <w:qFormat/>
    <w:uiPriority w:val="99"/>
    <w:pPr>
      <w:ind w:firstLine="420" w:firstLineChars="200"/>
    </w:pPr>
  </w:style>
  <w:style w:type="character" w:customStyle="1" w:styleId="19">
    <w:name w:val="font21"/>
    <w:basedOn w:val="12"/>
    <w:autoRedefine/>
    <w:qFormat/>
    <w:uiPriority w:val="0"/>
    <w:rPr>
      <w:rFonts w:hint="eastAsia" w:ascii="宋体" w:hAnsi="宋体" w:eastAsia="宋体" w:cs="宋体"/>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9560</Words>
  <Characters>10040</Characters>
  <Lines>0</Lines>
  <Paragraphs>0</Paragraphs>
  <TotalTime>2</TotalTime>
  <ScaleCrop>false</ScaleCrop>
  <LinksUpToDate>false</LinksUpToDate>
  <CharactersWithSpaces>10063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cp:lastPrinted>2024-04-12T04:12:00Z</cp:lastPrinted>
  <dcterms:modified xsi:type="dcterms:W3CDTF">2025-05-24T17:05:52Z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