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850BC">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688390E">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1D47F51">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9A386B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博物馆纪念馆免费开放运行经费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w:t>
      </w:r>
    </w:p>
    <w:p w14:paraId="3721E51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绩效评价报告</w:t>
      </w:r>
      <w:bookmarkEnd w:id="0"/>
    </w:p>
    <w:p w14:paraId="2AABC88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BCC8D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689B7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C2939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46E66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13C24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075C88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EE9C3D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项目名称：博物馆纪念馆免费开放运行经费</w:t>
      </w:r>
    </w:p>
    <w:p w14:paraId="221598A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实施单位：阜康市博物馆</w:t>
      </w:r>
    </w:p>
    <w:p w14:paraId="4E6EFF8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主管部门：阜康市文化体育广播电视和旅游局</w:t>
      </w:r>
    </w:p>
    <w:p w14:paraId="797B1FAC">
      <w:pPr>
        <w:pStyle w:val="10"/>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22514F7B">
      <w:pPr>
        <w:rPr>
          <w:rFonts w:hint="eastAsia"/>
          <w:lang w:val="en-US" w:eastAsia="zh-CN"/>
        </w:rPr>
      </w:pPr>
      <w:r>
        <w:rPr>
          <w:rFonts w:hint="eastAsia"/>
          <w:lang w:val="en-US" w:eastAsia="zh-CN"/>
        </w:rPr>
        <w:br w:type="page"/>
      </w:r>
    </w:p>
    <w:p w14:paraId="14CA914A">
      <w:pPr>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14:paraId="32A05F91">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14:paraId="1D19902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14:paraId="37DFA70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_Toc17540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一、基本情况</w:t>
          </w:r>
          <w:r>
            <w:rPr>
              <w:b/>
              <w:bCs/>
              <w:sz w:val="28"/>
              <w:szCs w:val="28"/>
            </w:rPr>
            <w:tab/>
          </w:r>
          <w:r>
            <w:rPr>
              <w:b/>
              <w:bCs/>
              <w:sz w:val="28"/>
              <w:szCs w:val="28"/>
            </w:rPr>
            <w:fldChar w:fldCharType="begin"/>
          </w:r>
          <w:r>
            <w:rPr>
              <w:b/>
              <w:bCs/>
              <w:sz w:val="28"/>
              <w:szCs w:val="28"/>
            </w:rPr>
            <w:instrText xml:space="preserve"> PAGEREF _Toc17540 \h </w:instrText>
          </w:r>
          <w:r>
            <w:rPr>
              <w:b/>
              <w:bCs/>
              <w:sz w:val="28"/>
              <w:szCs w:val="28"/>
            </w:rPr>
            <w:fldChar w:fldCharType="separate"/>
          </w:r>
          <w:r>
            <w:rPr>
              <w:b/>
              <w:bCs/>
              <w:sz w:val="28"/>
              <w:szCs w:val="28"/>
            </w:rPr>
            <w:t>1</w:t>
          </w:r>
          <w:r>
            <w:rPr>
              <w:b/>
              <w:bCs/>
              <w:sz w:val="28"/>
              <w:szCs w:val="28"/>
            </w:rPr>
            <w:fldChar w:fldCharType="end"/>
          </w:r>
          <w:r>
            <w:rPr>
              <w:rFonts w:hint="eastAsia"/>
              <w:b/>
              <w:bCs/>
              <w:sz w:val="28"/>
              <w:szCs w:val="28"/>
              <w:lang w:val="en-US" w:eastAsia="zh-CN"/>
            </w:rPr>
            <w:fldChar w:fldCharType="end"/>
          </w:r>
        </w:p>
        <w:p w14:paraId="0EE1A20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_Toc18966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（一）项目概况</w:t>
          </w:r>
          <w:r>
            <w:rPr>
              <w:sz w:val="28"/>
              <w:szCs w:val="28"/>
            </w:rPr>
            <w:tab/>
          </w:r>
          <w:r>
            <w:rPr>
              <w:sz w:val="28"/>
              <w:szCs w:val="28"/>
            </w:rPr>
            <w:fldChar w:fldCharType="begin"/>
          </w:r>
          <w:r>
            <w:rPr>
              <w:sz w:val="28"/>
              <w:szCs w:val="28"/>
            </w:rPr>
            <w:instrText xml:space="preserve"> PAGEREF _Toc18966 \h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fldChar w:fldCharType="end"/>
          </w:r>
        </w:p>
        <w:p w14:paraId="68EA35A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_Toc2879 </w:instrText>
          </w:r>
          <w:r>
            <w:rPr>
              <w:rFonts w:hint="eastAsia"/>
              <w:sz w:val="28"/>
              <w:szCs w:val="28"/>
              <w:lang w:val="en-US" w:eastAsia="zh-CN"/>
            </w:rPr>
            <w:fldChar w:fldCharType="separate"/>
          </w:r>
          <w:r>
            <w:rPr>
              <w:rFonts w:hint="eastAsia" w:ascii="宋体" w:hAnsi="宋体" w:eastAsia="宋体" w:cs="宋体"/>
              <w:sz w:val="28"/>
              <w:szCs w:val="28"/>
              <w:shd w:val="clear" w:fill="auto"/>
            </w:rPr>
            <w:t>（二）</w:t>
          </w:r>
          <w:r>
            <w:rPr>
              <w:rFonts w:hint="eastAsia" w:ascii="宋体" w:hAnsi="宋体" w:eastAsia="宋体" w:cs="宋体"/>
              <w:sz w:val="28"/>
              <w:szCs w:val="28"/>
              <w:highlight w:val="none"/>
              <w:shd w:val="clear" w:color="auto" w:fill="auto"/>
            </w:rPr>
            <w:t>项目绩效目标</w:t>
          </w:r>
          <w:r>
            <w:rPr>
              <w:sz w:val="28"/>
              <w:szCs w:val="28"/>
            </w:rPr>
            <w:tab/>
          </w:r>
          <w:r>
            <w:rPr>
              <w:sz w:val="28"/>
              <w:szCs w:val="28"/>
            </w:rPr>
            <w:fldChar w:fldCharType="begin"/>
          </w:r>
          <w:r>
            <w:rPr>
              <w:sz w:val="28"/>
              <w:szCs w:val="28"/>
            </w:rPr>
            <w:instrText xml:space="preserve"> PAGEREF _Toc2879 \h </w:instrText>
          </w:r>
          <w:r>
            <w:rPr>
              <w:sz w:val="28"/>
              <w:szCs w:val="28"/>
            </w:rPr>
            <w:fldChar w:fldCharType="separate"/>
          </w:r>
          <w:r>
            <w:rPr>
              <w:sz w:val="28"/>
              <w:szCs w:val="28"/>
            </w:rPr>
            <w:t>2</w:t>
          </w:r>
          <w:r>
            <w:rPr>
              <w:sz w:val="28"/>
              <w:szCs w:val="28"/>
            </w:rPr>
            <w:fldChar w:fldCharType="end"/>
          </w:r>
          <w:r>
            <w:rPr>
              <w:rFonts w:hint="eastAsia"/>
              <w:sz w:val="28"/>
              <w:szCs w:val="28"/>
              <w:lang w:val="en-US" w:eastAsia="zh-CN"/>
            </w:rPr>
            <w:fldChar w:fldCharType="end"/>
          </w:r>
        </w:p>
        <w:p w14:paraId="2DE4ABE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_Toc2549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rPr>
            <w:t>二、绩效评价工作开展情况</w:t>
          </w:r>
          <w:r>
            <w:rPr>
              <w:b/>
              <w:bCs/>
              <w:sz w:val="28"/>
              <w:szCs w:val="28"/>
            </w:rPr>
            <w:tab/>
          </w:r>
          <w:r>
            <w:rPr>
              <w:b/>
              <w:bCs/>
              <w:sz w:val="28"/>
              <w:szCs w:val="28"/>
            </w:rPr>
            <w:fldChar w:fldCharType="begin"/>
          </w:r>
          <w:r>
            <w:rPr>
              <w:b/>
              <w:bCs/>
              <w:sz w:val="28"/>
              <w:szCs w:val="28"/>
            </w:rPr>
            <w:instrText xml:space="preserve"> PAGEREF _Toc2549 \h </w:instrText>
          </w:r>
          <w:r>
            <w:rPr>
              <w:b/>
              <w:bCs/>
              <w:sz w:val="28"/>
              <w:szCs w:val="28"/>
            </w:rPr>
            <w:fldChar w:fldCharType="separate"/>
          </w:r>
          <w:r>
            <w:rPr>
              <w:b/>
              <w:bCs/>
              <w:sz w:val="28"/>
              <w:szCs w:val="28"/>
            </w:rPr>
            <w:t>3</w:t>
          </w:r>
          <w:r>
            <w:rPr>
              <w:b/>
              <w:bCs/>
              <w:sz w:val="28"/>
              <w:szCs w:val="28"/>
            </w:rPr>
            <w:fldChar w:fldCharType="end"/>
          </w:r>
          <w:r>
            <w:rPr>
              <w:rFonts w:hint="eastAsia"/>
              <w:b/>
              <w:bCs/>
              <w:sz w:val="28"/>
              <w:szCs w:val="28"/>
              <w:lang w:val="en-US" w:eastAsia="zh-CN"/>
            </w:rPr>
            <w:fldChar w:fldCharType="end"/>
          </w:r>
        </w:p>
        <w:p w14:paraId="2B17E94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_Toc21778 </w:instrText>
          </w:r>
          <w:r>
            <w:rPr>
              <w:rFonts w:hint="eastAsia"/>
              <w:sz w:val="28"/>
              <w:szCs w:val="28"/>
              <w:lang w:val="en-US" w:eastAsia="zh-CN"/>
            </w:rPr>
            <w:fldChar w:fldCharType="separate"/>
          </w:r>
          <w:r>
            <w:rPr>
              <w:rFonts w:hint="eastAsia" w:ascii="宋体" w:hAnsi="宋体" w:eastAsia="宋体" w:cs="宋体"/>
              <w:sz w:val="28"/>
              <w:szCs w:val="28"/>
              <w:shd w:val="clear" w:fill="auto"/>
              <w:lang w:eastAsia="zh-CN"/>
            </w:rPr>
            <w:t>（一）</w:t>
          </w:r>
          <w:r>
            <w:rPr>
              <w:rFonts w:hint="eastAsia" w:ascii="宋体" w:hAnsi="宋体" w:eastAsia="宋体" w:cs="宋体"/>
              <w:sz w:val="28"/>
              <w:szCs w:val="28"/>
              <w:highlight w:val="none"/>
              <w:shd w:val="clear" w:color="auto" w:fill="auto"/>
              <w:lang w:eastAsia="zh-CN"/>
            </w:rPr>
            <w:t>绩效评价的目的、对象和范围</w:t>
          </w:r>
          <w:r>
            <w:rPr>
              <w:sz w:val="28"/>
              <w:szCs w:val="28"/>
            </w:rPr>
            <w:tab/>
          </w:r>
          <w:r>
            <w:rPr>
              <w:sz w:val="28"/>
              <w:szCs w:val="28"/>
            </w:rPr>
            <w:fldChar w:fldCharType="begin"/>
          </w:r>
          <w:r>
            <w:rPr>
              <w:sz w:val="28"/>
              <w:szCs w:val="28"/>
            </w:rPr>
            <w:instrText xml:space="preserve"> PAGEREF _Toc21778 \h </w:instrText>
          </w:r>
          <w:r>
            <w:rPr>
              <w:sz w:val="28"/>
              <w:szCs w:val="28"/>
            </w:rPr>
            <w:fldChar w:fldCharType="separate"/>
          </w:r>
          <w:r>
            <w:rPr>
              <w:sz w:val="28"/>
              <w:szCs w:val="28"/>
            </w:rPr>
            <w:t>3</w:t>
          </w:r>
          <w:r>
            <w:rPr>
              <w:sz w:val="28"/>
              <w:szCs w:val="28"/>
            </w:rPr>
            <w:fldChar w:fldCharType="end"/>
          </w:r>
          <w:r>
            <w:rPr>
              <w:rFonts w:hint="eastAsia"/>
              <w:sz w:val="28"/>
              <w:szCs w:val="28"/>
              <w:lang w:val="en-US" w:eastAsia="zh-CN"/>
            </w:rPr>
            <w:fldChar w:fldCharType="end"/>
          </w:r>
        </w:p>
        <w:p w14:paraId="3F20E6D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_Toc15902 </w:instrText>
          </w:r>
          <w:r>
            <w:rPr>
              <w:rFonts w:hint="eastAsia"/>
              <w:sz w:val="28"/>
              <w:szCs w:val="28"/>
              <w:lang w:val="en-US" w:eastAsia="zh-CN"/>
            </w:rPr>
            <w:fldChar w:fldCharType="separate"/>
          </w:r>
          <w:r>
            <w:rPr>
              <w:rFonts w:hint="eastAsia" w:ascii="宋体" w:hAnsi="宋体" w:eastAsia="宋体" w:cs="宋体"/>
              <w:sz w:val="28"/>
              <w:szCs w:val="28"/>
              <w:shd w:val="clear" w:fill="auto"/>
              <w:lang w:val="en-US" w:eastAsia="zh-CN"/>
            </w:rPr>
            <w:t>（二）</w:t>
          </w:r>
          <w:r>
            <w:rPr>
              <w:rFonts w:hint="eastAsia" w:ascii="宋体" w:hAnsi="宋体" w:eastAsia="宋体" w:cs="宋体"/>
              <w:sz w:val="28"/>
              <w:szCs w:val="28"/>
              <w:highlight w:val="none"/>
              <w:shd w:val="clear" w:color="auto" w:fill="auto"/>
              <w:lang w:val="en-US" w:eastAsia="zh-CN"/>
            </w:rPr>
            <w:t>绩效评价原则、评价指标体系（附表说明）、评价方法、评价标准</w:t>
          </w:r>
          <w:r>
            <w:rPr>
              <w:sz w:val="28"/>
              <w:szCs w:val="28"/>
            </w:rPr>
            <w:tab/>
          </w:r>
          <w:r>
            <w:rPr>
              <w:sz w:val="28"/>
              <w:szCs w:val="28"/>
            </w:rPr>
            <w:fldChar w:fldCharType="begin"/>
          </w:r>
          <w:r>
            <w:rPr>
              <w:sz w:val="28"/>
              <w:szCs w:val="28"/>
            </w:rPr>
            <w:instrText xml:space="preserve"> PAGEREF _Toc15902 \h </w:instrText>
          </w:r>
          <w:r>
            <w:rPr>
              <w:sz w:val="28"/>
              <w:szCs w:val="28"/>
            </w:rPr>
            <w:fldChar w:fldCharType="separate"/>
          </w:r>
          <w:r>
            <w:rPr>
              <w:sz w:val="28"/>
              <w:szCs w:val="28"/>
            </w:rPr>
            <w:t>4</w:t>
          </w:r>
          <w:r>
            <w:rPr>
              <w:sz w:val="28"/>
              <w:szCs w:val="28"/>
            </w:rPr>
            <w:fldChar w:fldCharType="end"/>
          </w:r>
          <w:r>
            <w:rPr>
              <w:rFonts w:hint="eastAsia"/>
              <w:sz w:val="28"/>
              <w:szCs w:val="28"/>
              <w:lang w:val="en-US" w:eastAsia="zh-CN"/>
            </w:rPr>
            <w:fldChar w:fldCharType="end"/>
          </w:r>
        </w:p>
        <w:p w14:paraId="74038848">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_Toc1070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val="en-US" w:eastAsia="zh-CN"/>
            </w:rPr>
            <w:t>（三）绩效评价工作过程</w:t>
          </w:r>
          <w:r>
            <w:rPr>
              <w:sz w:val="28"/>
              <w:szCs w:val="28"/>
            </w:rPr>
            <w:tab/>
          </w:r>
          <w:r>
            <w:rPr>
              <w:sz w:val="28"/>
              <w:szCs w:val="28"/>
            </w:rPr>
            <w:fldChar w:fldCharType="begin"/>
          </w:r>
          <w:r>
            <w:rPr>
              <w:sz w:val="28"/>
              <w:szCs w:val="28"/>
            </w:rPr>
            <w:instrText xml:space="preserve"> PAGEREF _Toc1070 \h </w:instrText>
          </w:r>
          <w:r>
            <w:rPr>
              <w:sz w:val="28"/>
              <w:szCs w:val="28"/>
            </w:rPr>
            <w:fldChar w:fldCharType="separate"/>
          </w:r>
          <w:r>
            <w:rPr>
              <w:sz w:val="28"/>
              <w:szCs w:val="28"/>
            </w:rPr>
            <w:t>8</w:t>
          </w:r>
          <w:r>
            <w:rPr>
              <w:sz w:val="28"/>
              <w:szCs w:val="28"/>
            </w:rPr>
            <w:fldChar w:fldCharType="end"/>
          </w:r>
          <w:r>
            <w:rPr>
              <w:rFonts w:hint="eastAsia"/>
              <w:sz w:val="28"/>
              <w:szCs w:val="28"/>
              <w:lang w:val="en-US" w:eastAsia="zh-CN"/>
            </w:rPr>
            <w:fldChar w:fldCharType="end"/>
          </w:r>
        </w:p>
        <w:p w14:paraId="78D0E1D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_Toc1100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三、</w:t>
          </w:r>
          <w:r>
            <w:rPr>
              <w:rFonts w:hint="eastAsia" w:ascii="宋体" w:hAnsi="宋体" w:eastAsia="宋体" w:cs="宋体"/>
              <w:b/>
              <w:bCs/>
              <w:sz w:val="28"/>
              <w:szCs w:val="28"/>
              <w:highlight w:val="none"/>
              <w:shd w:val="clear" w:color="auto" w:fill="auto"/>
            </w:rPr>
            <w:t>综合评价情况及评价结论</w:t>
          </w:r>
          <w:r>
            <w:rPr>
              <w:b/>
              <w:bCs/>
              <w:sz w:val="28"/>
              <w:szCs w:val="28"/>
            </w:rPr>
            <w:tab/>
          </w:r>
          <w:r>
            <w:rPr>
              <w:b/>
              <w:bCs/>
              <w:sz w:val="28"/>
              <w:szCs w:val="28"/>
            </w:rPr>
            <w:fldChar w:fldCharType="begin"/>
          </w:r>
          <w:r>
            <w:rPr>
              <w:b/>
              <w:bCs/>
              <w:sz w:val="28"/>
              <w:szCs w:val="28"/>
            </w:rPr>
            <w:instrText xml:space="preserve"> PAGEREF _Toc1100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14:paraId="1F0B33F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_Toc9421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四、绩效评价指标分析</w:t>
          </w:r>
          <w:r>
            <w:rPr>
              <w:b/>
              <w:bCs/>
              <w:sz w:val="28"/>
              <w:szCs w:val="28"/>
            </w:rPr>
            <w:tab/>
          </w:r>
          <w:r>
            <w:rPr>
              <w:b/>
              <w:bCs/>
              <w:sz w:val="28"/>
              <w:szCs w:val="28"/>
            </w:rPr>
            <w:fldChar w:fldCharType="begin"/>
          </w:r>
          <w:r>
            <w:rPr>
              <w:b/>
              <w:bCs/>
              <w:sz w:val="28"/>
              <w:szCs w:val="28"/>
            </w:rPr>
            <w:instrText xml:space="preserve"> PAGEREF _Toc9421 \h </w:instrText>
          </w:r>
          <w:r>
            <w:rPr>
              <w:b/>
              <w:bCs/>
              <w:sz w:val="28"/>
              <w:szCs w:val="28"/>
            </w:rPr>
            <w:fldChar w:fldCharType="separate"/>
          </w:r>
          <w:r>
            <w:rPr>
              <w:b/>
              <w:bCs/>
              <w:sz w:val="28"/>
              <w:szCs w:val="28"/>
            </w:rPr>
            <w:t>10</w:t>
          </w:r>
          <w:r>
            <w:rPr>
              <w:b/>
              <w:bCs/>
              <w:sz w:val="28"/>
              <w:szCs w:val="28"/>
            </w:rPr>
            <w:fldChar w:fldCharType="end"/>
          </w:r>
          <w:r>
            <w:rPr>
              <w:rFonts w:hint="eastAsia"/>
              <w:b/>
              <w:bCs/>
              <w:sz w:val="28"/>
              <w:szCs w:val="28"/>
              <w:lang w:val="en-US" w:eastAsia="zh-CN"/>
            </w:rPr>
            <w:fldChar w:fldCharType="end"/>
          </w:r>
        </w:p>
        <w:p w14:paraId="578A504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_Toc15355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rPr>
            <w:t>（一）项目决策情况</w:t>
          </w:r>
          <w:r>
            <w:rPr>
              <w:sz w:val="28"/>
              <w:szCs w:val="28"/>
            </w:rPr>
            <w:tab/>
          </w:r>
          <w:r>
            <w:rPr>
              <w:sz w:val="28"/>
              <w:szCs w:val="28"/>
            </w:rPr>
            <w:fldChar w:fldCharType="begin"/>
          </w:r>
          <w:r>
            <w:rPr>
              <w:sz w:val="28"/>
              <w:szCs w:val="28"/>
            </w:rPr>
            <w:instrText xml:space="preserve"> PAGEREF _Toc15355 \h </w:instrText>
          </w:r>
          <w:r>
            <w:rPr>
              <w:sz w:val="28"/>
              <w:szCs w:val="28"/>
            </w:rPr>
            <w:fldChar w:fldCharType="separate"/>
          </w:r>
          <w:r>
            <w:rPr>
              <w:sz w:val="28"/>
              <w:szCs w:val="28"/>
            </w:rPr>
            <w:t>10</w:t>
          </w:r>
          <w:r>
            <w:rPr>
              <w:sz w:val="28"/>
              <w:szCs w:val="28"/>
            </w:rPr>
            <w:fldChar w:fldCharType="end"/>
          </w:r>
          <w:r>
            <w:rPr>
              <w:rFonts w:hint="eastAsia"/>
              <w:sz w:val="28"/>
              <w:szCs w:val="28"/>
              <w:lang w:val="en-US" w:eastAsia="zh-CN"/>
            </w:rPr>
            <w:fldChar w:fldCharType="end"/>
          </w:r>
        </w:p>
        <w:p w14:paraId="19DE73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_Toc11361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二</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项目过程情况</w:t>
          </w:r>
          <w:r>
            <w:rPr>
              <w:sz w:val="28"/>
              <w:szCs w:val="28"/>
            </w:rPr>
            <w:tab/>
          </w:r>
          <w:r>
            <w:rPr>
              <w:sz w:val="28"/>
              <w:szCs w:val="28"/>
            </w:rPr>
            <w:fldChar w:fldCharType="begin"/>
          </w:r>
          <w:r>
            <w:rPr>
              <w:sz w:val="28"/>
              <w:szCs w:val="28"/>
            </w:rPr>
            <w:instrText xml:space="preserve"> PAGEREF _Toc11361 \h </w:instrText>
          </w:r>
          <w:r>
            <w:rPr>
              <w:sz w:val="28"/>
              <w:szCs w:val="28"/>
            </w:rPr>
            <w:fldChar w:fldCharType="separate"/>
          </w:r>
          <w:r>
            <w:rPr>
              <w:sz w:val="28"/>
              <w:szCs w:val="28"/>
            </w:rPr>
            <w:t>12</w:t>
          </w:r>
          <w:r>
            <w:rPr>
              <w:sz w:val="28"/>
              <w:szCs w:val="28"/>
            </w:rPr>
            <w:fldChar w:fldCharType="end"/>
          </w:r>
          <w:r>
            <w:rPr>
              <w:rFonts w:hint="eastAsia"/>
              <w:sz w:val="28"/>
              <w:szCs w:val="28"/>
              <w:lang w:val="en-US" w:eastAsia="zh-CN"/>
            </w:rPr>
            <w:fldChar w:fldCharType="end"/>
          </w:r>
        </w:p>
        <w:p w14:paraId="38580F6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_Toc16268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三</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项目产出情况</w:t>
          </w:r>
          <w:r>
            <w:rPr>
              <w:sz w:val="28"/>
              <w:szCs w:val="28"/>
            </w:rPr>
            <w:tab/>
          </w:r>
          <w:r>
            <w:rPr>
              <w:sz w:val="28"/>
              <w:szCs w:val="28"/>
            </w:rPr>
            <w:fldChar w:fldCharType="begin"/>
          </w:r>
          <w:r>
            <w:rPr>
              <w:sz w:val="28"/>
              <w:szCs w:val="28"/>
            </w:rPr>
            <w:instrText xml:space="preserve"> PAGEREF _Toc16268 \h </w:instrText>
          </w:r>
          <w:r>
            <w:rPr>
              <w:sz w:val="28"/>
              <w:szCs w:val="28"/>
            </w:rPr>
            <w:fldChar w:fldCharType="separate"/>
          </w:r>
          <w:r>
            <w:rPr>
              <w:sz w:val="28"/>
              <w:szCs w:val="28"/>
            </w:rPr>
            <w:t>14</w:t>
          </w:r>
          <w:r>
            <w:rPr>
              <w:sz w:val="28"/>
              <w:szCs w:val="28"/>
            </w:rPr>
            <w:fldChar w:fldCharType="end"/>
          </w:r>
          <w:r>
            <w:rPr>
              <w:rFonts w:hint="eastAsia"/>
              <w:sz w:val="28"/>
              <w:szCs w:val="28"/>
              <w:lang w:val="en-US" w:eastAsia="zh-CN"/>
            </w:rPr>
            <w:fldChar w:fldCharType="end"/>
          </w:r>
        </w:p>
        <w:p w14:paraId="70BB6D6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_Toc18446 </w:instrText>
          </w:r>
          <w:r>
            <w:rPr>
              <w:rFonts w:hint="eastAsia"/>
              <w:sz w:val="28"/>
              <w:szCs w:val="28"/>
              <w:lang w:val="en-US" w:eastAsia="zh-CN"/>
            </w:rPr>
            <w:fldChar w:fldCharType="separate"/>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lang w:val="en-US" w:eastAsia="zh-CN"/>
            </w:rPr>
            <w:t>四</w:t>
          </w:r>
          <w:r>
            <w:rPr>
              <w:rFonts w:hint="eastAsia" w:ascii="宋体" w:hAnsi="宋体" w:eastAsia="宋体" w:cs="宋体"/>
              <w:sz w:val="28"/>
              <w:szCs w:val="28"/>
              <w:highlight w:val="none"/>
              <w:shd w:val="clear" w:color="auto" w:fill="auto"/>
              <w:lang w:eastAsia="zh-CN"/>
            </w:rPr>
            <w:t>）</w:t>
          </w:r>
          <w:r>
            <w:rPr>
              <w:rFonts w:hint="eastAsia" w:ascii="宋体" w:hAnsi="宋体" w:eastAsia="宋体" w:cs="宋体"/>
              <w:sz w:val="28"/>
              <w:szCs w:val="28"/>
              <w:highlight w:val="none"/>
              <w:shd w:val="clear" w:color="auto" w:fill="auto"/>
            </w:rPr>
            <w:t>项目效益情况</w:t>
          </w:r>
          <w:r>
            <w:rPr>
              <w:sz w:val="28"/>
              <w:szCs w:val="28"/>
            </w:rPr>
            <w:tab/>
          </w:r>
          <w:r>
            <w:rPr>
              <w:sz w:val="28"/>
              <w:szCs w:val="28"/>
            </w:rPr>
            <w:fldChar w:fldCharType="begin"/>
          </w:r>
          <w:r>
            <w:rPr>
              <w:sz w:val="28"/>
              <w:szCs w:val="28"/>
            </w:rPr>
            <w:instrText xml:space="preserve"> PAGEREF _Toc18446 \h </w:instrText>
          </w:r>
          <w:r>
            <w:rPr>
              <w:sz w:val="28"/>
              <w:szCs w:val="28"/>
            </w:rPr>
            <w:fldChar w:fldCharType="separate"/>
          </w:r>
          <w:r>
            <w:rPr>
              <w:sz w:val="28"/>
              <w:szCs w:val="28"/>
            </w:rPr>
            <w:t>15</w:t>
          </w:r>
          <w:r>
            <w:rPr>
              <w:sz w:val="28"/>
              <w:szCs w:val="28"/>
            </w:rPr>
            <w:fldChar w:fldCharType="end"/>
          </w:r>
          <w:r>
            <w:rPr>
              <w:rFonts w:hint="eastAsia"/>
              <w:sz w:val="28"/>
              <w:szCs w:val="28"/>
              <w:lang w:val="en-US" w:eastAsia="zh-CN"/>
            </w:rPr>
            <w:fldChar w:fldCharType="end"/>
          </w:r>
        </w:p>
        <w:p w14:paraId="6100A73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_Toc19962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五、预算执行进度与指标偏差</w:t>
          </w:r>
          <w:r>
            <w:rPr>
              <w:b/>
              <w:bCs/>
              <w:sz w:val="28"/>
              <w:szCs w:val="28"/>
            </w:rPr>
            <w:tab/>
          </w:r>
          <w:r>
            <w:rPr>
              <w:b/>
              <w:bCs/>
              <w:sz w:val="28"/>
              <w:szCs w:val="28"/>
            </w:rPr>
            <w:fldChar w:fldCharType="begin"/>
          </w:r>
          <w:r>
            <w:rPr>
              <w:b/>
              <w:bCs/>
              <w:sz w:val="28"/>
              <w:szCs w:val="28"/>
            </w:rPr>
            <w:instrText xml:space="preserve"> PAGEREF _Toc19962 \h </w:instrText>
          </w:r>
          <w:r>
            <w:rPr>
              <w:b/>
              <w:bCs/>
              <w:sz w:val="28"/>
              <w:szCs w:val="28"/>
            </w:rPr>
            <w:fldChar w:fldCharType="separate"/>
          </w:r>
          <w:r>
            <w:rPr>
              <w:b/>
              <w:bCs/>
              <w:sz w:val="28"/>
              <w:szCs w:val="28"/>
            </w:rPr>
            <w:t>17</w:t>
          </w:r>
          <w:r>
            <w:rPr>
              <w:b/>
              <w:bCs/>
              <w:sz w:val="28"/>
              <w:szCs w:val="28"/>
            </w:rPr>
            <w:fldChar w:fldCharType="end"/>
          </w:r>
          <w:r>
            <w:rPr>
              <w:rFonts w:hint="eastAsia"/>
              <w:b/>
              <w:bCs/>
              <w:sz w:val="28"/>
              <w:szCs w:val="28"/>
              <w:lang w:val="en-US" w:eastAsia="zh-CN"/>
            </w:rPr>
            <w:fldChar w:fldCharType="end"/>
          </w:r>
        </w:p>
        <w:p w14:paraId="3084E716">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_Toc29934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六、主要经验及做法、存在的问题及原因分析</w:t>
          </w:r>
          <w:r>
            <w:rPr>
              <w:b/>
              <w:bCs/>
              <w:sz w:val="28"/>
              <w:szCs w:val="28"/>
            </w:rPr>
            <w:tab/>
          </w:r>
          <w:r>
            <w:rPr>
              <w:b/>
              <w:bCs/>
              <w:sz w:val="28"/>
              <w:szCs w:val="28"/>
            </w:rPr>
            <w:fldChar w:fldCharType="begin"/>
          </w:r>
          <w:r>
            <w:rPr>
              <w:b/>
              <w:bCs/>
              <w:sz w:val="28"/>
              <w:szCs w:val="28"/>
            </w:rPr>
            <w:instrText xml:space="preserve"> PAGEREF _Toc29934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6EECA5E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_Toc13160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一</w:t>
          </w:r>
          <w:r>
            <w:rPr>
              <w:rFonts w:hint="eastAsia"/>
              <w:bCs/>
              <w:sz w:val="28"/>
              <w:szCs w:val="28"/>
              <w:lang w:eastAsia="zh-CN"/>
            </w:rPr>
            <w:t>）</w:t>
          </w:r>
          <w:r>
            <w:rPr>
              <w:rFonts w:hint="eastAsia"/>
              <w:bCs/>
              <w:sz w:val="28"/>
              <w:szCs w:val="28"/>
            </w:rPr>
            <w:t>主要经验及做法</w:t>
          </w:r>
          <w:r>
            <w:rPr>
              <w:sz w:val="28"/>
              <w:szCs w:val="28"/>
            </w:rPr>
            <w:tab/>
          </w:r>
          <w:r>
            <w:rPr>
              <w:sz w:val="28"/>
              <w:szCs w:val="28"/>
            </w:rPr>
            <w:fldChar w:fldCharType="begin"/>
          </w:r>
          <w:r>
            <w:rPr>
              <w:sz w:val="28"/>
              <w:szCs w:val="28"/>
            </w:rPr>
            <w:instrText xml:space="preserve"> PAGEREF _Toc13160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476582C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r>
            <w:rPr>
              <w:rFonts w:hint="eastAsia"/>
              <w:sz w:val="28"/>
              <w:szCs w:val="28"/>
              <w:lang w:val="en-US" w:eastAsia="zh-CN"/>
            </w:rPr>
            <w:fldChar w:fldCharType="begin"/>
          </w:r>
          <w:r>
            <w:rPr>
              <w:rFonts w:hint="eastAsia"/>
              <w:sz w:val="28"/>
              <w:szCs w:val="28"/>
              <w:lang w:val="en-US" w:eastAsia="zh-CN"/>
            </w:rPr>
            <w:instrText xml:space="preserve"> HYPERLINK \l _Toc9582 </w:instrText>
          </w:r>
          <w:r>
            <w:rPr>
              <w:rFonts w:hint="eastAsia"/>
              <w:sz w:val="28"/>
              <w:szCs w:val="28"/>
              <w:lang w:val="en-US" w:eastAsia="zh-CN"/>
            </w:rPr>
            <w:fldChar w:fldCharType="separate"/>
          </w:r>
          <w:r>
            <w:rPr>
              <w:rFonts w:hint="eastAsia"/>
              <w:bCs/>
              <w:sz w:val="28"/>
              <w:szCs w:val="28"/>
              <w:lang w:eastAsia="zh-CN"/>
            </w:rPr>
            <w:t>（</w:t>
          </w:r>
          <w:r>
            <w:rPr>
              <w:rFonts w:hint="eastAsia"/>
              <w:bCs/>
              <w:sz w:val="28"/>
              <w:szCs w:val="28"/>
              <w:lang w:val="en-US" w:eastAsia="zh-CN"/>
            </w:rPr>
            <w:t>二</w:t>
          </w:r>
          <w:r>
            <w:rPr>
              <w:rFonts w:hint="eastAsia"/>
              <w:bCs/>
              <w:sz w:val="28"/>
              <w:szCs w:val="28"/>
              <w:lang w:eastAsia="zh-CN"/>
            </w:rPr>
            <w:t>）</w:t>
          </w:r>
          <w:r>
            <w:rPr>
              <w:rFonts w:hint="eastAsia"/>
              <w:bCs/>
              <w:sz w:val="28"/>
              <w:szCs w:val="28"/>
            </w:rPr>
            <w:t>存在的问题及原因分析</w:t>
          </w:r>
          <w:r>
            <w:rPr>
              <w:sz w:val="28"/>
              <w:szCs w:val="28"/>
            </w:rPr>
            <w:tab/>
          </w:r>
          <w:r>
            <w:rPr>
              <w:sz w:val="28"/>
              <w:szCs w:val="28"/>
            </w:rPr>
            <w:fldChar w:fldCharType="begin"/>
          </w:r>
          <w:r>
            <w:rPr>
              <w:sz w:val="28"/>
              <w:szCs w:val="28"/>
            </w:rPr>
            <w:instrText xml:space="preserve"> PAGEREF _Toc9582 \h </w:instrText>
          </w:r>
          <w:r>
            <w:rPr>
              <w:sz w:val="28"/>
              <w:szCs w:val="28"/>
            </w:rPr>
            <w:fldChar w:fldCharType="separate"/>
          </w:r>
          <w:r>
            <w:rPr>
              <w:sz w:val="28"/>
              <w:szCs w:val="28"/>
            </w:rPr>
            <w:t>18</w:t>
          </w:r>
          <w:r>
            <w:rPr>
              <w:sz w:val="28"/>
              <w:szCs w:val="28"/>
            </w:rPr>
            <w:fldChar w:fldCharType="end"/>
          </w:r>
          <w:r>
            <w:rPr>
              <w:rFonts w:hint="eastAsia"/>
              <w:sz w:val="28"/>
              <w:szCs w:val="28"/>
              <w:lang w:val="en-US" w:eastAsia="zh-CN"/>
            </w:rPr>
            <w:fldChar w:fldCharType="end"/>
          </w:r>
        </w:p>
        <w:p w14:paraId="41EEDE4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_Toc5230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七、有关建议</w:t>
          </w:r>
          <w:r>
            <w:rPr>
              <w:b/>
              <w:bCs/>
              <w:sz w:val="28"/>
              <w:szCs w:val="28"/>
            </w:rPr>
            <w:tab/>
          </w:r>
          <w:r>
            <w:rPr>
              <w:b/>
              <w:bCs/>
              <w:sz w:val="28"/>
              <w:szCs w:val="28"/>
            </w:rPr>
            <w:fldChar w:fldCharType="begin"/>
          </w:r>
          <w:r>
            <w:rPr>
              <w:b/>
              <w:bCs/>
              <w:sz w:val="28"/>
              <w:szCs w:val="28"/>
            </w:rPr>
            <w:instrText xml:space="preserve"> PAGEREF _Toc5230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7C09CCE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sz w:val="28"/>
              <w:szCs w:val="28"/>
            </w:rPr>
          </w:pPr>
          <w:r>
            <w:rPr>
              <w:rFonts w:hint="eastAsia"/>
              <w:b/>
              <w:bCs/>
              <w:sz w:val="28"/>
              <w:szCs w:val="28"/>
              <w:lang w:val="en-US" w:eastAsia="zh-CN"/>
            </w:rPr>
            <w:fldChar w:fldCharType="begin"/>
          </w:r>
          <w:r>
            <w:rPr>
              <w:rFonts w:hint="eastAsia"/>
              <w:b/>
              <w:bCs/>
              <w:sz w:val="28"/>
              <w:szCs w:val="28"/>
              <w:lang w:val="en-US" w:eastAsia="zh-CN"/>
            </w:rPr>
            <w:instrText xml:space="preserve"> HYPERLINK \l _Toc15618 </w:instrText>
          </w:r>
          <w:r>
            <w:rPr>
              <w:rFonts w:hint="eastAsia"/>
              <w:b/>
              <w:bCs/>
              <w:sz w:val="28"/>
              <w:szCs w:val="28"/>
              <w:lang w:val="en-US" w:eastAsia="zh-CN"/>
            </w:rPr>
            <w:fldChar w:fldCharType="separate"/>
          </w:r>
          <w:r>
            <w:rPr>
              <w:rFonts w:hint="eastAsia" w:ascii="宋体" w:hAnsi="宋体" w:eastAsia="宋体" w:cs="宋体"/>
              <w:b/>
              <w:bCs/>
              <w:sz w:val="28"/>
              <w:szCs w:val="28"/>
              <w:highlight w:val="none"/>
              <w:shd w:val="clear" w:color="auto" w:fill="auto"/>
              <w:lang w:val="en-US" w:eastAsia="zh-CN"/>
            </w:rPr>
            <w:t>八、其他需要说明的问题</w:t>
          </w:r>
          <w:r>
            <w:rPr>
              <w:b/>
              <w:bCs/>
              <w:sz w:val="28"/>
              <w:szCs w:val="28"/>
            </w:rPr>
            <w:tab/>
          </w:r>
          <w:r>
            <w:rPr>
              <w:b/>
              <w:bCs/>
              <w:sz w:val="28"/>
              <w:szCs w:val="28"/>
            </w:rPr>
            <w:fldChar w:fldCharType="begin"/>
          </w:r>
          <w:r>
            <w:rPr>
              <w:b/>
              <w:bCs/>
              <w:sz w:val="28"/>
              <w:szCs w:val="28"/>
            </w:rPr>
            <w:instrText xml:space="preserve"> PAGEREF _Toc15618 \h </w:instrText>
          </w:r>
          <w:r>
            <w:rPr>
              <w:b/>
              <w:bCs/>
              <w:sz w:val="28"/>
              <w:szCs w:val="28"/>
            </w:rPr>
            <w:fldChar w:fldCharType="separate"/>
          </w:r>
          <w:r>
            <w:rPr>
              <w:b/>
              <w:bCs/>
              <w:sz w:val="28"/>
              <w:szCs w:val="28"/>
            </w:rPr>
            <w:t>18</w:t>
          </w:r>
          <w:r>
            <w:rPr>
              <w:b/>
              <w:bCs/>
              <w:sz w:val="28"/>
              <w:szCs w:val="28"/>
            </w:rPr>
            <w:fldChar w:fldCharType="end"/>
          </w:r>
          <w:r>
            <w:rPr>
              <w:rFonts w:hint="eastAsia"/>
              <w:b/>
              <w:bCs/>
              <w:sz w:val="28"/>
              <w:szCs w:val="28"/>
              <w:lang w:val="en-US" w:eastAsia="zh-CN"/>
            </w:rPr>
            <w:fldChar w:fldCharType="end"/>
          </w:r>
        </w:p>
        <w:p w14:paraId="59FC19F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sz w:val="28"/>
              <w:szCs w:val="28"/>
            </w:rPr>
          </w:pPr>
        </w:p>
        <w:p w14:paraId="165E40CF">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lang w:val="en-US" w:eastAsia="zh-CN"/>
            </w:rPr>
            <w:sectPr>
              <w:pgSz w:w="11906" w:h="16838"/>
              <w:pgMar w:top="1928" w:right="1531" w:bottom="1701" w:left="1531" w:header="737" w:footer="851" w:gutter="0"/>
              <w:cols w:space="720" w:num="1"/>
              <w:docGrid w:type="lines" w:linePitch="408" w:charSpace="0"/>
            </w:sectPr>
          </w:pPr>
          <w:r>
            <w:rPr>
              <w:rFonts w:hint="eastAsia"/>
              <w:sz w:val="28"/>
              <w:szCs w:val="28"/>
              <w:lang w:val="en-US" w:eastAsia="zh-CN"/>
            </w:rPr>
            <w:fldChar w:fldCharType="end"/>
          </w:r>
        </w:p>
      </w:sdtContent>
    </w:sdt>
    <w:p w14:paraId="24B90EF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6"/>
          <w:szCs w:val="36"/>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博物馆纪念馆免费开放运行经费项目</w:t>
      </w:r>
      <w:r>
        <w:rPr>
          <w:rFonts w:hint="eastAsia" w:ascii="宋体" w:hAnsi="宋体" w:eastAsia="宋体" w:cs="宋体"/>
          <w:b/>
          <w:bCs/>
          <w:color w:val="auto"/>
          <w:sz w:val="36"/>
          <w:szCs w:val="36"/>
          <w:highlight w:val="none"/>
          <w:shd w:val="clear" w:color="auto" w:fill="auto"/>
        </w:rPr>
        <w:t>支出</w:t>
      </w:r>
    </w:p>
    <w:p w14:paraId="5883429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绩效评价报告</w:t>
      </w:r>
      <w:bookmarkEnd w:id="1"/>
    </w:p>
    <w:p w14:paraId="528E476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252C82B5">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5C33C798">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14:paraId="00FF1E7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随着博物馆的教育功能不断提升，发挥好阜康市博物馆的教育功能显得更加重要，</w:t>
      </w:r>
      <w:r>
        <w:rPr>
          <w:rFonts w:hint="eastAsia" w:ascii="宋体" w:hAnsi="宋体" w:eastAsia="宋体" w:cs="宋体"/>
          <w:color w:val="auto"/>
          <w:highlight w:val="none"/>
          <w:shd w:val="clear" w:color="auto" w:fill="auto"/>
          <w:lang w:val="en-US" w:eastAsia="zh-CN"/>
        </w:rPr>
        <w:t>做好阜康市博物馆历史展览具有重要的意义。它不仅是贯彻党中央治疆方略，落实纪要精神和《新疆若干历史问题》白皮书的重要体现措施，还是当前落实新疆社会稳定和长治久安总目标的重要任务。更为值得强调的是，博物馆是文化建设的重要阵地和重要领域，也是彰显文化自信和引导新疆各族人民牢固树立中华民族共同体意识的重要宣传窗口。</w:t>
      </w:r>
    </w:p>
    <w:p w14:paraId="757991B0">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14:paraId="75BAC4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6" w:name="_Toc16592"/>
      <w:r>
        <w:rPr>
          <w:rFonts w:hint="eastAsia" w:cs="宋体"/>
          <w:color w:val="auto"/>
          <w:highlight w:val="none"/>
          <w:shd w:val="clear" w:color="auto" w:fill="auto"/>
          <w:lang w:val="en-US" w:eastAsia="zh-CN"/>
        </w:rPr>
        <w:t>主要内容</w:t>
      </w:r>
      <w:r>
        <w:rPr>
          <w:rFonts w:hint="eastAsia" w:ascii="宋体" w:hAnsi="宋体" w:eastAsia="宋体" w:cs="宋体"/>
          <w:color w:val="auto"/>
          <w:highlight w:val="none"/>
          <w:shd w:val="clear" w:color="auto" w:fill="auto"/>
          <w:lang w:val="en-US" w:eastAsia="zh-CN"/>
        </w:rPr>
        <w:t>：</w:t>
      </w:r>
      <w:bookmarkEnd w:id="6"/>
      <w:r>
        <w:rPr>
          <w:rFonts w:hint="eastAsia" w:cs="宋体"/>
          <w:color w:val="auto"/>
          <w:highlight w:val="none"/>
          <w:shd w:val="clear" w:color="auto" w:fill="auto"/>
          <w:lang w:val="en-US" w:eastAsia="zh-CN"/>
        </w:rPr>
        <w:t>通过</w:t>
      </w:r>
      <w:r>
        <w:rPr>
          <w:rFonts w:hint="eastAsia" w:ascii="宋体" w:hAnsi="宋体" w:eastAsia="宋体" w:cs="宋体"/>
          <w:color w:val="auto"/>
          <w:highlight w:val="none"/>
          <w:shd w:val="clear" w:color="auto" w:fill="auto"/>
          <w:lang w:val="en-US" w:eastAsia="zh-CN"/>
        </w:rPr>
        <w:t>博物馆免费开放活动及流动博物馆宣传活动，切实发挥博物馆教育引导各族人民牢固树立“五个认同”，</w:t>
      </w:r>
      <w:r>
        <w:rPr>
          <w:rFonts w:hint="eastAsia" w:cs="宋体"/>
          <w:color w:val="auto"/>
          <w:highlight w:val="none"/>
          <w:shd w:val="clear" w:color="auto" w:fill="auto"/>
          <w:lang w:val="en-US" w:eastAsia="zh-CN"/>
        </w:rPr>
        <w:t>铸牢</w:t>
      </w:r>
      <w:r>
        <w:rPr>
          <w:rFonts w:hint="eastAsia" w:ascii="宋体" w:hAnsi="宋体" w:eastAsia="宋体" w:cs="宋体"/>
          <w:color w:val="auto"/>
          <w:highlight w:val="none"/>
          <w:shd w:val="clear" w:color="auto" w:fill="auto"/>
          <w:lang w:val="en-US" w:eastAsia="zh-CN"/>
        </w:rPr>
        <w:t>中华民族共同体意识等方面的积极作用，充分发挥博物馆纪念馆在提高群众鉴赏能力、提高各族群众思想道德和科学文化素质的作用，不断强化文物工作的实证史证作用和宣传教育功能，不断弘扬传承优秀传统文化，大力培育社会主义核心价值观，有效保障各族群众精神文化需求，促进社会和谐稳定。</w:t>
      </w:r>
    </w:p>
    <w:p w14:paraId="1484EA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2022</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22</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昌州财教[2022]61号“关于提前下达2023年中央补助地方博物馆纪念馆免费开放补助资金的通知”</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单位三重一大</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高晓玲</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冯超</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项目负责人为陈莉蓉,</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马国智、</w:t>
      </w:r>
      <w:r>
        <w:rPr>
          <w:rFonts w:hint="eastAsia" w:ascii="宋体" w:hAnsi="宋体" w:eastAsia="宋体" w:cs="宋体"/>
          <w:color w:val="auto"/>
          <w:highlight w:val="none"/>
          <w:shd w:val="clear" w:color="auto" w:fill="auto"/>
          <w:lang w:val="en-US" w:eastAsia="zh-CN"/>
        </w:rPr>
        <w:t>许诺、许修文、加尔恒娜依，其中：高晓玲负责监管工作，陈莉蓉负责项目档案资料，许修文负责资金拨付工作。</w:t>
      </w:r>
    </w:p>
    <w:p w14:paraId="4750DB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color w:val="auto"/>
          <w:highlight w:val="none"/>
          <w:shd w:val="clear" w:color="auto" w:fill="auto"/>
          <w:lang w:val="en-US" w:eastAsia="zh-CN"/>
        </w:rPr>
        <w:t>本项目完成完成免费开放活动36场，流动博物馆宣传30场，活动共计66天，参加人数278</w:t>
      </w:r>
      <w:r>
        <w:rPr>
          <w:rFonts w:hint="eastAsia" w:ascii="宋体" w:hAnsi="宋体" w:eastAsia="宋体" w:cs="宋体"/>
          <w:b w:val="0"/>
          <w:bCs w:val="0"/>
          <w:color w:val="auto"/>
          <w:kern w:val="2"/>
          <w:sz w:val="28"/>
          <w:szCs w:val="28"/>
          <w:highlight w:val="none"/>
          <w:shd w:val="clear" w:color="auto" w:fill="auto"/>
          <w:lang w:val="en-US" w:eastAsia="zh-CN" w:bidi="ar-SA"/>
        </w:rPr>
        <w:t>00人；通过举办免费开放活动和流动博物馆宣传活动，达到传播历史和科学文化知识，对人民群众进行爱国主义教育作用，达到了提升博物馆宣传教育和社会服务阵地作用、提升文物的实证史证作用和宣传教育功能，弘扬传承优秀传统文化的社会效益，满意度达95%。</w:t>
      </w:r>
    </w:p>
    <w:p w14:paraId="69FBD1D3">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7C184B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332334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博物馆纪念馆免费开放运行经费</w:t>
      </w:r>
      <w:r>
        <w:rPr>
          <w:rFonts w:hint="eastAsia" w:ascii="宋体" w:hAnsi="宋体" w:eastAsia="宋体" w:cs="宋体"/>
          <w:color w:val="auto"/>
          <w:highlight w:val="none"/>
          <w:shd w:val="clear" w:color="auto" w:fill="auto"/>
          <w:lang w:val="en-US" w:eastAsia="zh-CN"/>
        </w:rPr>
        <w:t>项目预算安排总额为41.37万元，其中财政资</w:t>
      </w:r>
      <w:r>
        <w:rPr>
          <w:rFonts w:hint="eastAsia" w:cs="宋体"/>
          <w:color w:val="auto"/>
          <w:highlight w:val="none"/>
          <w:shd w:val="clear" w:color="auto" w:fill="auto"/>
          <w:lang w:val="en-US" w:eastAsia="zh-CN"/>
        </w:rPr>
        <w:t>金</w:t>
      </w:r>
      <w:r>
        <w:rPr>
          <w:rFonts w:hint="eastAsia" w:ascii="宋体" w:hAnsi="宋体" w:eastAsia="宋体" w:cs="宋体"/>
          <w:color w:val="auto"/>
          <w:highlight w:val="none"/>
          <w:shd w:val="clear" w:color="auto" w:fill="auto"/>
          <w:lang w:val="en-US" w:eastAsia="zh-CN"/>
        </w:rPr>
        <w:t>41.37万元，其他资金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年实际收到预算资金41.37万元，预算资金到位率为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6BC377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6E7757B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截至2023年12月31日，博物馆纪念馆免费开放运行经费</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rPr>
        <w:t>实际支付资金</w:t>
      </w:r>
      <w:r>
        <w:rPr>
          <w:rFonts w:hint="eastAsia" w:ascii="宋体" w:hAnsi="宋体" w:eastAsia="宋体" w:cs="宋体"/>
          <w:color w:val="auto"/>
          <w:highlight w:val="none"/>
          <w:shd w:val="clear" w:color="auto" w:fill="auto"/>
          <w:lang w:val="en-US" w:eastAsia="zh-CN"/>
        </w:rPr>
        <w:t>41.37万元</w:t>
      </w:r>
      <w:r>
        <w:rPr>
          <w:rFonts w:hint="eastAsia" w:ascii="宋体" w:hAnsi="宋体" w:eastAsia="宋体" w:cs="宋体"/>
          <w:color w:val="auto"/>
          <w:highlight w:val="none"/>
          <w:shd w:val="clear" w:color="auto" w:fill="auto"/>
        </w:rPr>
        <w:t>，预算执行率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免费开放活动用品购置、流动博物馆展板装卸搬运、宣传用品印制等方面。</w:t>
      </w:r>
    </w:p>
    <w:p w14:paraId="2D5C7088">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7D0F7120">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4BD9C60B">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FF0000"/>
          <w:highlight w:val="none"/>
          <w:shd w:val="clear" w:color="auto" w:fill="auto"/>
          <w:lang w:val="en-US" w:eastAsia="zh-CN"/>
        </w:rPr>
      </w:pPr>
      <w:r>
        <w:rPr>
          <w:rFonts w:hint="eastAsia" w:cs="宋体"/>
          <w:color w:val="auto"/>
          <w:highlight w:val="none"/>
          <w:shd w:val="clear" w:color="auto" w:fill="auto"/>
          <w:lang w:val="en-US" w:eastAsia="zh-CN"/>
        </w:rPr>
        <w:t>博物馆纪念馆免费开放运行经费项目绩效总体目标为：阜康市博物馆的主要职能为宣传弘扬传承传统文化，提高公众的历史和科学文化知识，2023年预计完成免费开放活动36场，举办流动博物馆宣传30场，活动共计66天，参加人数27800人；通过举办免费开放活动和流动博物馆宣传活动，来传播历史和科学文化知识，对人民群众进行爱国主义教育。博物馆宣传教育和社会服务阵地作用得到有效提升，并且有效提升文物的实证史证作用和宣传教育功能，弘扬传承优秀传统文化，大力培育社会主义核心价值观。</w:t>
      </w:r>
    </w:p>
    <w:p w14:paraId="1C2DA752">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654D280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2C9F1B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356F59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29B30C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举办免费开放活动场次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为=36场；</w:t>
      </w:r>
    </w:p>
    <w:p w14:paraId="1D5FDF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举办流动博物馆巡展宣传场次</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为=30场；</w:t>
      </w:r>
    </w:p>
    <w:p w14:paraId="6FF974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免费开放及流动博物馆活动天数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为=66天；</w:t>
      </w:r>
    </w:p>
    <w:p w14:paraId="14B4CF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参加人数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为≥27800人；</w:t>
      </w:r>
    </w:p>
    <w:p w14:paraId="3D4635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7213A8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免费开放绩效考评率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14:paraId="37BA22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陈列展示水平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14:paraId="03B3D0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社会教育服务水平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14:paraId="6188E1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时效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p>
    <w:p w14:paraId="334F7A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举办免费开放活动完成时间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14:paraId="3E3030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举办流动博物馆宣传完成时间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为≤2023-12-31；</w:t>
      </w:r>
    </w:p>
    <w:p w14:paraId="00122A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博物馆免费开放专项资金完成及时率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p>
    <w:p w14:paraId="40C654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329C02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免费开放活动支出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为≤18万元；</w:t>
      </w:r>
    </w:p>
    <w:p w14:paraId="1FF6AB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流动博物馆巡展宣传支出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为≤17.64万元；</w:t>
      </w:r>
    </w:p>
    <w:p w14:paraId="2C743C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博物馆免费开放专项资金到位率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55E42C9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3B36D13B">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①经济效益指标</w:t>
      </w:r>
    </w:p>
    <w:p w14:paraId="5F3230A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本项目不存在经济效益</w:t>
      </w:r>
      <w:r>
        <w:rPr>
          <w:rFonts w:hint="eastAsia" w:ascii="宋体" w:hAnsi="宋体" w:eastAsia="宋体" w:cs="宋体"/>
          <w:color w:val="auto"/>
          <w:highlight w:val="none"/>
          <w:shd w:val="clear" w:color="auto" w:fill="auto"/>
          <w:lang w:val="en-US" w:eastAsia="zh-CN"/>
        </w:rPr>
        <w:t>；</w:t>
      </w:r>
    </w:p>
    <w:p w14:paraId="723356D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②社会效益指标</w:t>
      </w:r>
    </w:p>
    <w:p w14:paraId="3160FE8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充分发挥博物馆宣传教育和社会服务阵地作用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54F20F4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不断强化文物的实证史证作用和宣传教育功能，不断弘扬传承优秀传统文化，大力培育社会主义核心价值观</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为有效提升；</w:t>
      </w:r>
    </w:p>
    <w:p w14:paraId="3AF4A800">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w:t>
      </w:r>
      <w:r>
        <w:rPr>
          <w:rFonts w:hint="eastAsia" w:cs="宋体"/>
          <w:color w:val="000000" w:themeColor="text1"/>
          <w:highlight w:val="none"/>
          <w:shd w:val="clear" w:color="auto" w:fill="auto"/>
          <w:lang w:val="en-US" w:eastAsia="zh-CN"/>
          <w14:textFill>
            <w14:solidFill>
              <w14:schemeClr w14:val="tx1"/>
            </w14:solidFill>
          </w14:textFill>
        </w:rPr>
        <w:t>生态效益指标</w:t>
      </w:r>
    </w:p>
    <w:p w14:paraId="1199816F">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auto"/>
          <w:highlight w:val="none"/>
          <w:shd w:val="clear" w:color="auto" w:fill="auto"/>
          <w:lang w:val="en-US" w:eastAsia="zh-CN"/>
        </w:rPr>
        <w:t>本项目不存在生态效益；</w:t>
      </w:r>
    </w:p>
    <w:p w14:paraId="1813B1B2">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④满意度指标</w:t>
      </w:r>
    </w:p>
    <w:p w14:paraId="5870B49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社会公众对博物馆服务满意度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685D965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37BB126B">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26632"/>
      <w:bookmarkStart w:id="13" w:name="_Toc12868"/>
      <w:bookmarkStart w:id="14" w:name="_Toc21664"/>
      <w:bookmarkStart w:id="15" w:name="_Toc22922"/>
      <w:bookmarkStart w:id="16" w:name="_Toc22169_WPSOffice_Level2"/>
      <w:bookmarkStart w:id="17" w:name="_Toc480473081"/>
      <w:bookmarkStart w:id="18" w:name="_Toc5258"/>
      <w:bookmarkStart w:id="19" w:name="_Toc5462343"/>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7D6DBFCE">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6B190350">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7CA3E87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782291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w:t>
      </w:r>
      <w:r>
        <w:rPr>
          <w:rFonts w:hint="eastAsia" w:ascii="宋体" w:hAnsi="宋体" w:eastAsia="宋体" w:cs="宋体"/>
          <w:color w:val="auto"/>
          <w:highlight w:val="none"/>
          <w:shd w:val="clear" w:color="auto" w:fill="auto"/>
          <w:lang w:val="en-US" w:eastAsia="zh-CN"/>
        </w:rPr>
        <w:t>单位实施的博物馆纪念馆免费开放运行经费项目开展部门绩效评价。</w:t>
      </w:r>
    </w:p>
    <w:p w14:paraId="37BBF0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608ED676">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1D412B9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25A5D61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w:t>
      </w:r>
      <w:r>
        <w:rPr>
          <w:rFonts w:hint="eastAsia" w:ascii="宋体" w:hAnsi="宋体" w:eastAsia="宋体" w:cs="宋体"/>
          <w:color w:val="auto"/>
          <w:highlight w:val="none"/>
          <w:shd w:val="clear" w:color="auto" w:fill="auto"/>
          <w:lang w:eastAsia="zh-CN"/>
        </w:rPr>
        <w:t>响的绩效逻辑路径，结合</w:t>
      </w:r>
      <w:r>
        <w:rPr>
          <w:rFonts w:hint="eastAsia" w:cs="宋体"/>
          <w:color w:val="auto"/>
          <w:highlight w:val="none"/>
          <w:shd w:val="clear" w:color="auto" w:fill="auto"/>
          <w:lang w:val="en-US" w:eastAsia="zh-CN"/>
        </w:rPr>
        <w:t>博物馆纪念馆免费开放运行经费</w:t>
      </w:r>
      <w:r>
        <w:rPr>
          <w:rFonts w:hint="eastAsia" w:ascii="宋体" w:hAnsi="宋体" w:eastAsia="宋体" w:cs="宋体"/>
          <w:color w:val="auto"/>
          <w:highlight w:val="none"/>
          <w:shd w:val="clear" w:color="auto" w:fill="auto"/>
          <w:lang w:eastAsia="zh-CN"/>
        </w:rPr>
        <w:t>项目实际开</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展情况，运用定量和定性分析相结合的方法，总结经验做法，反思项目实施和管理中的问题，以切实提升财政资金管理的科学化、规范化和精细化水平。</w:t>
      </w:r>
    </w:p>
    <w:p w14:paraId="7DC073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728CD1AF">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542D967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192EAC0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37FDD05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09C9E1CA">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428278230"/>
      <w:bookmarkStart w:id="26" w:name="_Toc419984722"/>
      <w:bookmarkStart w:id="27" w:name="_Toc1913"/>
      <w:bookmarkStart w:id="28" w:name="_Toc26131"/>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3D4DF3E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1C3D40EA">
      <w:pPr>
        <w:jc w:val="center"/>
        <w:rPr>
          <w:rFonts w:hint="default"/>
          <w:b/>
          <w:bCs/>
          <w:sz w:val="28"/>
          <w:szCs w:val="28"/>
          <w:lang w:val="en-US" w:eastAsia="zh-CN"/>
        </w:rPr>
      </w:pPr>
      <w:r>
        <w:rPr>
          <w:rFonts w:hint="eastAsia"/>
          <w:b/>
          <w:bCs/>
          <w:sz w:val="28"/>
          <w:szCs w:val="28"/>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42"/>
        <w:gridCol w:w="1196"/>
        <w:gridCol w:w="1050"/>
        <w:gridCol w:w="1996"/>
        <w:gridCol w:w="3793"/>
      </w:tblGrid>
      <w:tr w14:paraId="0D4B1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tblHeader/>
          <w:jc w:val="center"/>
        </w:trPr>
        <w:tc>
          <w:tcPr>
            <w:tcW w:w="642" w:type="dxa"/>
            <w:shd w:val="clear" w:color="auto" w:fill="FFFFFF"/>
            <w:vAlign w:val="center"/>
          </w:tcPr>
          <w:p w14:paraId="0B4E6C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FFFFFF"/>
            <w:vAlign w:val="center"/>
          </w:tcPr>
          <w:p w14:paraId="0F7BBB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FFFFFF"/>
            <w:vAlign w:val="center"/>
          </w:tcPr>
          <w:p w14:paraId="79CA26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FFFFFF"/>
            <w:vAlign w:val="center"/>
          </w:tcPr>
          <w:p w14:paraId="24430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FFFFFF"/>
            <w:vAlign w:val="center"/>
          </w:tcPr>
          <w:p w14:paraId="6C474B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022FC2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044" w:hRule="atLeast"/>
          <w:jc w:val="center"/>
        </w:trPr>
        <w:tc>
          <w:tcPr>
            <w:tcW w:w="642" w:type="dxa"/>
            <w:vMerge w:val="restart"/>
            <w:shd w:val="clear" w:color="auto" w:fill="FFFFFF"/>
            <w:vAlign w:val="center"/>
          </w:tcPr>
          <w:p w14:paraId="3A2302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FFFFFF"/>
            <w:vAlign w:val="center"/>
          </w:tcPr>
          <w:p w14:paraId="593A70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FFFFFF"/>
            <w:vAlign w:val="center"/>
          </w:tcPr>
          <w:p w14:paraId="4B3E67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72581F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FFFFFF"/>
            <w:vAlign w:val="center"/>
          </w:tcPr>
          <w:p w14:paraId="084B3DF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FFFFFF"/>
            <w:vAlign w:val="center"/>
          </w:tcPr>
          <w:p w14:paraId="02349EB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AB5346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2686C6D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15D6F99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2393CE8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50E7B44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4E60EF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94" w:hRule="atLeast"/>
          <w:jc w:val="center"/>
        </w:trPr>
        <w:tc>
          <w:tcPr>
            <w:tcW w:w="642" w:type="dxa"/>
            <w:vMerge w:val="continue"/>
            <w:shd w:val="clear" w:color="auto" w:fill="FFFFFF"/>
            <w:vAlign w:val="center"/>
          </w:tcPr>
          <w:p w14:paraId="5D996B2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14:paraId="3A1164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14:paraId="3130B4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4984A5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FFFFFF"/>
            <w:vAlign w:val="center"/>
          </w:tcPr>
          <w:p w14:paraId="367A14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FFFFFF"/>
            <w:vAlign w:val="center"/>
          </w:tcPr>
          <w:p w14:paraId="32A423C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C3DF2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576186B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29CE058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6E5F53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68" w:hRule="atLeast"/>
          <w:jc w:val="center"/>
        </w:trPr>
        <w:tc>
          <w:tcPr>
            <w:tcW w:w="642" w:type="dxa"/>
            <w:vMerge w:val="continue"/>
            <w:shd w:val="clear" w:color="auto" w:fill="FFFFFF"/>
            <w:vAlign w:val="center"/>
          </w:tcPr>
          <w:p w14:paraId="54619E5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14:paraId="691D42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FFFFFF"/>
            <w:vAlign w:val="center"/>
          </w:tcPr>
          <w:p w14:paraId="43858C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596194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000000" w:fill="FFFFFF"/>
            <w:vAlign w:val="center"/>
          </w:tcPr>
          <w:p w14:paraId="516480A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000000" w:fill="FFFFFF"/>
            <w:vAlign w:val="center"/>
          </w:tcPr>
          <w:p w14:paraId="5743AA5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E734B9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507194C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3BE6202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5B4C64E3">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10ED955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6664D3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14:paraId="3793AC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14:paraId="385AEA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14:paraId="1C84D1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103ECB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000000" w:fill="FFFFFF"/>
            <w:vAlign w:val="center"/>
          </w:tcPr>
          <w:p w14:paraId="6AD805B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000000" w:fill="FFFFFF"/>
            <w:vAlign w:val="center"/>
          </w:tcPr>
          <w:p w14:paraId="560105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4550B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7A1EDC5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3C908D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2AA1A4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FFFFFF"/>
            <w:vAlign w:val="center"/>
          </w:tcPr>
          <w:p w14:paraId="6A0B0CD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14:paraId="6352C6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FFFFFF"/>
            <w:vAlign w:val="center"/>
          </w:tcPr>
          <w:p w14:paraId="500A1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65CCC7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FFFFFF"/>
            <w:vAlign w:val="center"/>
          </w:tcPr>
          <w:p w14:paraId="571239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FFFFFF"/>
            <w:vAlign w:val="center"/>
          </w:tcPr>
          <w:p w14:paraId="3DE594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D5EBF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2DEB6D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4980125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7CFE4F3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3AAA54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FFFFFF"/>
            <w:vAlign w:val="center"/>
          </w:tcPr>
          <w:p w14:paraId="26A083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14:paraId="15469F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14:paraId="43186A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496C5A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FFFFFF"/>
            <w:vAlign w:val="center"/>
          </w:tcPr>
          <w:p w14:paraId="71C9BC9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FFFFFF"/>
            <w:vAlign w:val="center"/>
          </w:tcPr>
          <w:p w14:paraId="24BDDA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A659A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037FB42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0FCE2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restart"/>
            <w:shd w:val="clear" w:color="auto" w:fill="FFFFFF"/>
            <w:vAlign w:val="center"/>
          </w:tcPr>
          <w:p w14:paraId="75EA9EB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FFFFFF"/>
            <w:vAlign w:val="center"/>
          </w:tcPr>
          <w:p w14:paraId="201AAD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FFFFFF"/>
            <w:vAlign w:val="center"/>
          </w:tcPr>
          <w:p w14:paraId="3E46AA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000000" w:fill="FFFFFF"/>
            <w:vAlign w:val="center"/>
          </w:tcPr>
          <w:p w14:paraId="703B0CA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000000" w:fill="FFFFFF"/>
            <w:vAlign w:val="center"/>
          </w:tcPr>
          <w:p w14:paraId="3E4631B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0B9A493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75FAE1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007CF0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20" w:hRule="atLeast"/>
          <w:jc w:val="center"/>
        </w:trPr>
        <w:tc>
          <w:tcPr>
            <w:tcW w:w="642" w:type="dxa"/>
            <w:vMerge w:val="continue"/>
            <w:shd w:val="clear" w:color="auto" w:fill="FFFFFF"/>
            <w:vAlign w:val="center"/>
          </w:tcPr>
          <w:p w14:paraId="7C452CC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14:paraId="4970223A">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14:paraId="48BD1E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FFFFFF"/>
            <w:vAlign w:val="center"/>
          </w:tcPr>
          <w:p w14:paraId="3130FC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FFFFFF"/>
            <w:vAlign w:val="center"/>
          </w:tcPr>
          <w:p w14:paraId="66B2941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4C0968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0A0A8C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94" w:hRule="atLeast"/>
          <w:jc w:val="center"/>
        </w:trPr>
        <w:tc>
          <w:tcPr>
            <w:tcW w:w="642" w:type="dxa"/>
            <w:vMerge w:val="continue"/>
            <w:shd w:val="clear" w:color="auto" w:fill="FFFFFF"/>
            <w:vAlign w:val="center"/>
          </w:tcPr>
          <w:p w14:paraId="71FB74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14:paraId="36445D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14:paraId="41838C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42AAFA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000000" w:fill="FFFFFF"/>
            <w:vAlign w:val="center"/>
          </w:tcPr>
          <w:p w14:paraId="75C7AC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000000" w:fill="FFFFFF"/>
            <w:vAlign w:val="center"/>
          </w:tcPr>
          <w:p w14:paraId="54CE32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69E630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36434F9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5382AD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012D78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4D93B8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14:paraId="6DB4DCD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FFFFFF"/>
            <w:vAlign w:val="center"/>
          </w:tcPr>
          <w:p w14:paraId="335362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FFFFFF"/>
            <w:vAlign w:val="center"/>
          </w:tcPr>
          <w:p w14:paraId="5DA3E4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561B4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000000" w:fill="FFFFFF"/>
            <w:vAlign w:val="center"/>
          </w:tcPr>
          <w:p w14:paraId="3476A6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000000" w:fill="FFFFFF"/>
            <w:vAlign w:val="center"/>
          </w:tcPr>
          <w:p w14:paraId="6AF737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2AB265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45E1AD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0E0AD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14:paraId="2E1119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14:paraId="713DD0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14:paraId="76F745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349DCA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000000" w:fill="FFFFFF"/>
            <w:vAlign w:val="center"/>
          </w:tcPr>
          <w:p w14:paraId="047F17B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000000" w:fill="FFFFFF"/>
            <w:vAlign w:val="center"/>
          </w:tcPr>
          <w:p w14:paraId="735C8FE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79A3D9D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1E79A93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7C9136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508B182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1D3716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restart"/>
            <w:shd w:val="clear" w:color="auto" w:fill="FFFFFF"/>
            <w:vAlign w:val="center"/>
          </w:tcPr>
          <w:p w14:paraId="0269AB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FFFFFF"/>
            <w:vAlign w:val="center"/>
          </w:tcPr>
          <w:p w14:paraId="33CADF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FFFFFF"/>
            <w:vAlign w:val="center"/>
          </w:tcPr>
          <w:p w14:paraId="69EE4B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000000" w:fill="FFFFFF"/>
            <w:vAlign w:val="center"/>
          </w:tcPr>
          <w:p w14:paraId="206E5A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000000" w:fill="FFFFFF"/>
            <w:vAlign w:val="center"/>
          </w:tcPr>
          <w:p w14:paraId="61E2729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0137782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2E5FA6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536AE7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FFFFFF"/>
            <w:vAlign w:val="center"/>
          </w:tcPr>
          <w:p w14:paraId="465442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14:paraId="2C2BA2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FFFFFF"/>
            <w:vAlign w:val="center"/>
          </w:tcPr>
          <w:p w14:paraId="3C8AD7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000000" w:fill="FFFFFF"/>
            <w:vAlign w:val="center"/>
          </w:tcPr>
          <w:p w14:paraId="6CABC8C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000000" w:fill="FFFFFF"/>
            <w:vAlign w:val="center"/>
          </w:tcPr>
          <w:p w14:paraId="0711E6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4CBBCB5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A8DC5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FFFFFF"/>
            <w:vAlign w:val="center"/>
          </w:tcPr>
          <w:p w14:paraId="5E5C105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14:paraId="331C940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FFFFFF"/>
            <w:vAlign w:val="center"/>
          </w:tcPr>
          <w:p w14:paraId="519B42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000000" w:fill="FFFFFF"/>
            <w:vAlign w:val="center"/>
          </w:tcPr>
          <w:p w14:paraId="16C707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000000" w:fill="FFFFFF"/>
            <w:vAlign w:val="center"/>
          </w:tcPr>
          <w:p w14:paraId="64FCD9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49054A8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090D7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FFFFFF"/>
            <w:vAlign w:val="center"/>
          </w:tcPr>
          <w:p w14:paraId="685012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FFFFFF"/>
            <w:vAlign w:val="center"/>
          </w:tcPr>
          <w:p w14:paraId="482F3E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FFFFFF"/>
            <w:vAlign w:val="center"/>
          </w:tcPr>
          <w:p w14:paraId="24CC80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000000" w:fill="FFFFFF"/>
            <w:vAlign w:val="center"/>
          </w:tcPr>
          <w:p w14:paraId="372886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000000" w:fill="FFFFFF"/>
            <w:vAlign w:val="center"/>
          </w:tcPr>
          <w:p w14:paraId="07C455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4A7C94E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68A7CF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5EFB3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FFFFFF"/>
            <w:vAlign w:val="center"/>
          </w:tcPr>
          <w:p w14:paraId="08C5E1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FFFFFF"/>
            <w:vAlign w:val="center"/>
          </w:tcPr>
          <w:p w14:paraId="149423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FFFFFF"/>
            <w:vAlign w:val="center"/>
          </w:tcPr>
          <w:p w14:paraId="11C3F5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FFFFFF"/>
            <w:vAlign w:val="center"/>
          </w:tcPr>
          <w:p w14:paraId="508AE70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FFFFFF"/>
            <w:vAlign w:val="center"/>
          </w:tcPr>
          <w:p w14:paraId="2E7411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7DE23D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FFFFFF"/>
            <w:vAlign w:val="center"/>
          </w:tcPr>
          <w:p w14:paraId="797B4F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FFFFFF"/>
            <w:vAlign w:val="center"/>
          </w:tcPr>
          <w:p w14:paraId="32D258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FFFFFF"/>
            <w:vAlign w:val="center"/>
          </w:tcPr>
          <w:p w14:paraId="0321FF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000000" w:fill="FFFFFF"/>
            <w:vAlign w:val="center"/>
          </w:tcPr>
          <w:p w14:paraId="5F28BD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000000" w:fill="FFFFFF"/>
            <w:vAlign w:val="center"/>
          </w:tcPr>
          <w:p w14:paraId="6BCD000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2FA39001">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61E8FB7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w:t>
      </w:r>
      <w:r>
        <w:rPr>
          <w:rFonts w:hint="eastAsia" w:ascii="宋体" w:hAnsi="宋体" w:eastAsia="宋体" w:cs="宋体"/>
          <w:color w:val="auto"/>
          <w:highlight w:val="none"/>
          <w:shd w:val="clear" w:color="auto" w:fill="auto"/>
          <w:lang w:val="en-US" w:eastAsia="zh-CN"/>
        </w:rPr>
        <w:t>判的方法对</w:t>
      </w:r>
      <w:r>
        <w:rPr>
          <w:rFonts w:hint="eastAsia" w:cs="宋体"/>
          <w:color w:val="auto"/>
          <w:highlight w:val="none"/>
          <w:shd w:val="clear" w:color="auto" w:fill="auto"/>
          <w:lang w:val="en-US" w:eastAsia="zh-CN"/>
        </w:rPr>
        <w:t>博物馆纪念馆免费开放运行经费</w:t>
      </w:r>
      <w:r>
        <w:rPr>
          <w:rFonts w:hint="eastAsia" w:ascii="宋体" w:hAnsi="宋体" w:eastAsia="宋体" w:cs="宋体"/>
          <w:color w:val="auto"/>
          <w:highlight w:val="none"/>
          <w:shd w:val="clear" w:color="auto" w:fill="auto"/>
          <w:lang w:val="en-US" w:eastAsia="zh-CN"/>
        </w:rPr>
        <w:t>项目进行评价。</w:t>
      </w:r>
    </w:p>
    <w:p w14:paraId="55FDCE5E">
      <w:pPr>
        <w:pStyle w:val="4"/>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1C8021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1FECE3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7B0C48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25CF6D8F">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736A3C20">
      <w:pPr>
        <w:pStyle w:val="4"/>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2FC0170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0B80315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2FE9CD0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71C54E2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42D29DE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w:t>
      </w:r>
      <w:r>
        <w:rPr>
          <w:rFonts w:hint="eastAsia" w:ascii="宋体" w:hAnsi="宋体" w:eastAsia="宋体" w:cs="宋体"/>
          <w:b w:val="0"/>
          <w:bCs w:val="0"/>
          <w:color w:val="auto"/>
          <w:kern w:val="2"/>
          <w:sz w:val="28"/>
          <w:szCs w:val="24"/>
          <w:highlight w:val="none"/>
          <w:shd w:val="clear" w:color="auto" w:fill="auto"/>
          <w:lang w:val="en-US" w:eastAsia="zh-CN" w:bidi="ar-SA"/>
        </w:rPr>
        <w:t>过调研对</w:t>
      </w:r>
      <w:r>
        <w:rPr>
          <w:rFonts w:hint="eastAsia" w:ascii="宋体" w:hAnsi="宋体" w:cs="宋体"/>
          <w:b w:val="0"/>
          <w:bCs w:val="0"/>
          <w:color w:val="auto"/>
          <w:kern w:val="2"/>
          <w:sz w:val="28"/>
          <w:szCs w:val="24"/>
          <w:highlight w:val="none"/>
          <w:shd w:val="clear" w:color="auto" w:fill="auto"/>
          <w:lang w:val="en-US" w:eastAsia="zh-CN" w:bidi="ar-SA"/>
        </w:rPr>
        <w:t>博物馆纪念馆免费开放运行经费项目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做好准备。</w:t>
      </w:r>
      <w:bookmarkEnd w:id="35"/>
    </w:p>
    <w:p w14:paraId="47290F2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5443A5D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05118B5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3D710EB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663767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4D803C5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28C1CE7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3DED66C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25E9500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4518FAB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32ED70B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0B6C849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0A5E75C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54BEA2C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3015AAA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sz w:val="28"/>
          <w:szCs w:val="28"/>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142889E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3C4FE2E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1AC2E46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1F48380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6DFB948C">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004312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w:t>
      </w:r>
      <w:r>
        <w:rPr>
          <w:rFonts w:hint="eastAsia" w:ascii="宋体" w:hAnsi="宋体" w:eastAsia="宋体" w:cs="宋体"/>
          <w:color w:val="auto"/>
          <w:highlight w:val="none"/>
          <w:shd w:val="clear" w:color="auto" w:fill="auto"/>
          <w:lang w:val="zh-TW" w:eastAsia="zh-TW"/>
        </w:rPr>
        <w:t>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博物馆纪念馆免费开放运行经费项目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98</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zh-TW"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3BAC8EEE">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57CE2B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博物馆纪念馆免费开放运行经费项目</w:t>
            </w:r>
            <w:r>
              <w:rPr>
                <w:rFonts w:hint="eastAsia" w:ascii="宋体" w:hAnsi="宋体" w:eastAsia="宋体" w:cs="宋体"/>
                <w:b/>
                <w:bCs/>
                <w:color w:val="auto"/>
                <w:kern w:val="0"/>
                <w:sz w:val="28"/>
                <w:szCs w:val="28"/>
                <w:highlight w:val="none"/>
                <w:shd w:val="clear" w:color="auto" w:fill="auto"/>
                <w:lang w:val="en-US" w:eastAsia="zh-CN"/>
              </w:rPr>
              <w:t>得分表</w:t>
            </w:r>
          </w:p>
        </w:tc>
      </w:tr>
      <w:tr w14:paraId="4FD3B553">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E79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98C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E9F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07B0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E0C7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D19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6703D50">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F35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B8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540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F61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A1D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A553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3CF4C0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0A43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E23C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18</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1B3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BC5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21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5FD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p>
        </w:tc>
      </w:tr>
      <w:tr w14:paraId="49607C99">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E0E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5F1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4A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FFB6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A78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2964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r>
    </w:tbl>
    <w:p w14:paraId="16D81EBC">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793143D0">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0DE46ED1">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18</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20AE2EEB">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77"/>
        <w:gridCol w:w="960"/>
        <w:gridCol w:w="1248"/>
        <w:gridCol w:w="794"/>
        <w:gridCol w:w="3"/>
        <w:gridCol w:w="1868"/>
        <w:gridCol w:w="3"/>
        <w:gridCol w:w="1414"/>
        <w:gridCol w:w="1077"/>
      </w:tblGrid>
      <w:tr w14:paraId="7F1FA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2" w:hRule="atLeast"/>
          <w:tblHeader/>
          <w:jc w:val="center"/>
        </w:trPr>
        <w:tc>
          <w:tcPr>
            <w:tcW w:w="1077" w:type="dxa"/>
            <w:shd w:val="clear" w:color="auto" w:fill="auto"/>
            <w:tcMar>
              <w:top w:w="12" w:type="dxa"/>
              <w:left w:w="12" w:type="dxa"/>
              <w:right w:w="12" w:type="dxa"/>
            </w:tcMar>
            <w:vAlign w:val="center"/>
          </w:tcPr>
          <w:p w14:paraId="3268A5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14:paraId="582C45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14:paraId="31BBE5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14:paraId="561D35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14:paraId="7BDD84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14:paraId="50B7E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shd w:val="clear" w:color="auto" w:fill="FFFFFF"/>
            <w:tcMar>
              <w:top w:w="12" w:type="dxa"/>
              <w:left w:w="12" w:type="dxa"/>
              <w:right w:w="12" w:type="dxa"/>
            </w:tcMar>
            <w:vAlign w:val="center"/>
          </w:tcPr>
          <w:p w14:paraId="2FBD45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3B4E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1077" w:type="dxa"/>
            <w:vMerge w:val="restart"/>
            <w:shd w:val="clear" w:color="auto" w:fill="auto"/>
            <w:tcMar>
              <w:top w:w="12" w:type="dxa"/>
              <w:left w:w="12" w:type="dxa"/>
              <w:right w:w="12" w:type="dxa"/>
            </w:tcMar>
            <w:vAlign w:val="center"/>
          </w:tcPr>
          <w:p w14:paraId="239B60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14:paraId="55C453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14:paraId="7E0CF7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14:paraId="736FA9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7612FA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14:paraId="0A4729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shd w:val="clear" w:color="auto" w:fill="auto"/>
            <w:tcMar>
              <w:top w:w="12" w:type="dxa"/>
              <w:left w:w="12" w:type="dxa"/>
              <w:right w:w="12" w:type="dxa"/>
            </w:tcMar>
            <w:vAlign w:val="center"/>
          </w:tcPr>
          <w:p w14:paraId="3CE245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FDEB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14:paraId="4FCACC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7CEDBA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076F98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27CB9E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431782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14:paraId="306ADE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shd w:val="clear" w:color="auto" w:fill="auto"/>
            <w:tcMar>
              <w:top w:w="12" w:type="dxa"/>
              <w:left w:w="12" w:type="dxa"/>
              <w:right w:w="12" w:type="dxa"/>
            </w:tcMar>
            <w:vAlign w:val="center"/>
          </w:tcPr>
          <w:p w14:paraId="5FDB5D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w:t>
            </w:r>
          </w:p>
        </w:tc>
      </w:tr>
      <w:tr w14:paraId="71E89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14:paraId="1210CD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77A4B5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682302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14:paraId="1E5E4A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14:paraId="3BF623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14:paraId="0C0003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shd w:val="clear" w:color="auto" w:fill="auto"/>
            <w:tcMar>
              <w:top w:w="12" w:type="dxa"/>
              <w:left w:w="12" w:type="dxa"/>
              <w:right w:w="12" w:type="dxa"/>
            </w:tcMar>
            <w:vAlign w:val="center"/>
          </w:tcPr>
          <w:p w14:paraId="216AB5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5C79C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14:paraId="66F435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331259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1A375B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644E69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0BD592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14:paraId="3F0CBC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shd w:val="clear" w:color="auto" w:fill="auto"/>
            <w:tcMar>
              <w:top w:w="12" w:type="dxa"/>
              <w:left w:w="12" w:type="dxa"/>
              <w:right w:w="12" w:type="dxa"/>
            </w:tcMar>
            <w:vAlign w:val="center"/>
          </w:tcPr>
          <w:p w14:paraId="664031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14:paraId="27A04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14:paraId="7AFE8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2E4F64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6B72B6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14:paraId="16F45C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7C3003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14:paraId="38CDEE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shd w:val="clear" w:color="auto" w:fill="auto"/>
            <w:tcMar>
              <w:top w:w="12" w:type="dxa"/>
              <w:left w:w="12" w:type="dxa"/>
              <w:right w:w="12" w:type="dxa"/>
            </w:tcMar>
            <w:vAlign w:val="center"/>
          </w:tcPr>
          <w:p w14:paraId="39F7CB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14:paraId="019F7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1077" w:type="dxa"/>
            <w:vMerge w:val="continue"/>
            <w:shd w:val="clear" w:color="auto" w:fill="auto"/>
            <w:tcMar>
              <w:top w:w="12" w:type="dxa"/>
              <w:left w:w="12" w:type="dxa"/>
              <w:right w:w="12" w:type="dxa"/>
            </w:tcMar>
            <w:vAlign w:val="center"/>
          </w:tcPr>
          <w:p w14:paraId="741C56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23D7B4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2735C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0421DC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7410B8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14:paraId="0F2BB4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shd w:val="clear" w:color="auto" w:fill="auto"/>
            <w:tcMar>
              <w:top w:w="12" w:type="dxa"/>
              <w:left w:w="12" w:type="dxa"/>
              <w:right w:w="12" w:type="dxa"/>
            </w:tcMar>
            <w:vAlign w:val="center"/>
          </w:tcPr>
          <w:p w14:paraId="337E35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14:paraId="4460A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75A900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14:paraId="6FDFCE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14:paraId="741D06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4" w:type="dxa"/>
            <w:shd w:val="clear" w:color="auto" w:fill="auto"/>
            <w:tcMar>
              <w:top w:w="12" w:type="dxa"/>
              <w:left w:w="12" w:type="dxa"/>
              <w:right w:w="12" w:type="dxa"/>
            </w:tcMar>
            <w:vAlign w:val="center"/>
          </w:tcPr>
          <w:p w14:paraId="42FC2C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shd w:val="clear" w:color="auto" w:fill="auto"/>
            <w:tcMar>
              <w:top w:w="12" w:type="dxa"/>
              <w:left w:w="12" w:type="dxa"/>
              <w:right w:w="12" w:type="dxa"/>
            </w:tcMar>
            <w:vAlign w:val="center"/>
          </w:tcPr>
          <w:p w14:paraId="756987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18</w:t>
            </w:r>
          </w:p>
        </w:tc>
      </w:tr>
    </w:tbl>
    <w:p w14:paraId="6D67B832">
      <w:pPr>
        <w:bidi w:val="0"/>
        <w:outlineLvl w:val="2"/>
        <w:rPr>
          <w:rFonts w:hint="default"/>
          <w:b/>
          <w:bCs/>
          <w:lang w:val="en-US" w:eastAsia="zh-CN"/>
        </w:rPr>
      </w:pPr>
      <w:bookmarkStart w:id="58" w:name="_Toc13522"/>
      <w:r>
        <w:rPr>
          <w:rFonts w:hint="eastAsia"/>
          <w:b/>
          <w:bCs/>
          <w:lang w:val="en-US" w:eastAsia="zh-CN"/>
        </w:rPr>
        <w:t>1.立项依据充分性</w:t>
      </w:r>
      <w:bookmarkEnd w:id="58"/>
    </w:p>
    <w:p w14:paraId="1ED0D0BF">
      <w:pPr>
        <w:bidi w:val="0"/>
        <w:rPr>
          <w:rFonts w:hint="eastAsia"/>
          <w:color w:val="auto"/>
          <w:lang w:eastAsia="zh-CN"/>
        </w:rPr>
      </w:pPr>
      <w:r>
        <w:rPr>
          <w:rFonts w:hint="eastAsia"/>
          <w:lang w:eastAsia="zh-CN"/>
        </w:rPr>
        <w:t>①项目</w:t>
      </w:r>
      <w:r>
        <w:rPr>
          <w:rFonts w:hint="eastAsia"/>
          <w:color w:val="auto"/>
          <w:lang w:eastAsia="zh-CN"/>
        </w:rPr>
        <w:t>立项符合</w:t>
      </w:r>
      <w:r>
        <w:rPr>
          <w:rFonts w:hint="eastAsia" w:ascii="宋体" w:hAnsi="宋体" w:eastAsia="宋体" w:cs="宋体"/>
          <w:b w:val="0"/>
          <w:bCs w:val="0"/>
          <w:color w:val="auto"/>
          <w:kern w:val="2"/>
          <w:sz w:val="28"/>
          <w:szCs w:val="28"/>
          <w:highlight w:val="none"/>
          <w:lang w:val="en-US" w:eastAsia="zh-CN" w:bidi="ar-SA"/>
        </w:rPr>
        <w:t>昌州财教[2022]61号和昌州财教[2021]75号文件博物馆纪念馆逐步免费开放补助资金文件设立本项目相关政策，</w:t>
      </w:r>
      <w:r>
        <w:rPr>
          <w:rFonts w:hint="eastAsia"/>
          <w:color w:val="auto"/>
          <w:lang w:eastAsia="zh-CN"/>
        </w:rPr>
        <w:t>符合</w:t>
      </w:r>
      <w:bookmarkStart w:id="89" w:name="_GoBack"/>
      <w:r>
        <w:rPr>
          <w:rFonts w:hint="eastAsia"/>
          <w:color w:val="auto"/>
          <w:lang w:eastAsia="zh-CN"/>
        </w:rPr>
        <w:t>《中华人民共和国合同法》、《中华人民共和国劳动法》</w:t>
      </w:r>
      <w:bookmarkEnd w:id="89"/>
      <w:r>
        <w:rPr>
          <w:rFonts w:hint="eastAsia"/>
          <w:color w:val="auto"/>
          <w:lang w:eastAsia="zh-CN"/>
        </w:rPr>
        <w:t>等国家法律法规、国民经济发展规划和相关政策</w:t>
      </w:r>
      <w:r>
        <w:rPr>
          <w:rFonts w:hint="eastAsia" w:ascii="宋体" w:hAnsi="宋体" w:eastAsia="宋体" w:cs="宋体"/>
          <w:b w:val="0"/>
          <w:bCs w:val="0"/>
          <w:color w:val="auto"/>
          <w:kern w:val="2"/>
          <w:sz w:val="28"/>
          <w:szCs w:val="28"/>
          <w:highlight w:val="none"/>
          <w:lang w:val="en-US" w:eastAsia="zh-CN" w:bidi="ar-SA"/>
        </w:rPr>
        <w:t>；</w:t>
      </w:r>
    </w:p>
    <w:p w14:paraId="256C829F">
      <w:pPr>
        <w:bidi w:val="0"/>
        <w:rPr>
          <w:rFonts w:hint="eastAsia"/>
          <w:color w:val="auto"/>
          <w:lang w:eastAsia="zh-CN"/>
        </w:rPr>
      </w:pPr>
      <w:r>
        <w:rPr>
          <w:rFonts w:hint="eastAsia"/>
          <w:lang w:eastAsia="zh-CN"/>
        </w:rPr>
        <w:t>②项目</w:t>
      </w:r>
      <w:r>
        <w:rPr>
          <w:rFonts w:hint="eastAsia"/>
          <w:color w:val="auto"/>
          <w:lang w:eastAsia="zh-CN"/>
        </w:rPr>
        <w:t>立项符合行业发展规划和政策要求；</w:t>
      </w:r>
    </w:p>
    <w:p w14:paraId="2D4772EB">
      <w:pPr>
        <w:bidi w:val="0"/>
        <w:rPr>
          <w:rFonts w:hint="eastAsia"/>
          <w:lang w:eastAsia="zh-CN"/>
        </w:rPr>
      </w:pPr>
      <w:r>
        <w:rPr>
          <w:rFonts w:hint="eastAsia"/>
          <w:lang w:eastAsia="zh-CN"/>
        </w:rPr>
        <w:t>③项目立</w:t>
      </w:r>
      <w:r>
        <w:rPr>
          <w:rFonts w:hint="eastAsia"/>
          <w:color w:val="auto"/>
          <w:lang w:eastAsia="zh-CN"/>
        </w:rPr>
        <w:t>项与部门职责范围相符，属于部门履职所需</w:t>
      </w:r>
      <w:r>
        <w:rPr>
          <w:rFonts w:hint="eastAsia"/>
          <w:lang w:eastAsia="zh-CN"/>
        </w:rPr>
        <w:t>；</w:t>
      </w:r>
    </w:p>
    <w:p w14:paraId="3EACBCA6">
      <w:pPr>
        <w:bidi w:val="0"/>
        <w:rPr>
          <w:rFonts w:hint="eastAsia"/>
          <w:lang w:eastAsia="zh-CN"/>
        </w:rPr>
      </w:pPr>
      <w:r>
        <w:rPr>
          <w:rFonts w:hint="eastAsia"/>
          <w:lang w:eastAsia="zh-CN"/>
        </w:rPr>
        <w:t>④项目属于公共财政支持范围，符合中央、地方事权支出责任划分原则；</w:t>
      </w:r>
    </w:p>
    <w:p w14:paraId="0BBAF357">
      <w:pPr>
        <w:bidi w:val="0"/>
        <w:rPr>
          <w:rFonts w:hint="eastAsia"/>
          <w:lang w:eastAsia="zh-CN"/>
        </w:rPr>
      </w:pPr>
      <w:r>
        <w:rPr>
          <w:rFonts w:hint="eastAsia"/>
          <w:lang w:eastAsia="zh-CN"/>
        </w:rPr>
        <w:t>⑤项目与相关部门同类项目或部门内部相关项目</w:t>
      </w:r>
      <w:r>
        <w:rPr>
          <w:rFonts w:hint="eastAsia"/>
          <w:lang w:val="en-US" w:eastAsia="zh-CN"/>
        </w:rPr>
        <w:t>不</w:t>
      </w:r>
      <w:r>
        <w:rPr>
          <w:rFonts w:hint="eastAsia"/>
          <w:lang w:eastAsia="zh-CN"/>
        </w:rPr>
        <w:t>重复。</w:t>
      </w:r>
    </w:p>
    <w:p w14:paraId="30031D13">
      <w:pPr>
        <w:bidi w:val="0"/>
        <w:rPr>
          <w:rFonts w:hint="default"/>
          <w:color w:val="auto"/>
          <w:lang w:val="en-US" w:eastAsia="zh-CN"/>
        </w:rPr>
      </w:pPr>
      <w:r>
        <w:rPr>
          <w:rFonts w:hint="eastAsia"/>
          <w:b/>
          <w:bCs/>
          <w:lang w:val="en-US" w:eastAsia="zh-CN"/>
        </w:rPr>
        <w:t>综上，</w:t>
      </w:r>
      <w:r>
        <w:rPr>
          <w:rFonts w:hint="eastAsia"/>
          <w:b/>
          <w:bCs/>
          <w:color w:val="auto"/>
          <w:lang w:val="en-US" w:eastAsia="zh-CN"/>
        </w:rPr>
        <w:t>该项指标满分2分，得分2分。</w:t>
      </w:r>
    </w:p>
    <w:p w14:paraId="4CAB0ED4">
      <w:pPr>
        <w:bidi w:val="0"/>
        <w:outlineLvl w:val="2"/>
        <w:rPr>
          <w:rFonts w:hint="default"/>
          <w:b/>
          <w:bCs/>
          <w:color w:val="auto"/>
          <w:lang w:val="en-US" w:eastAsia="zh-CN"/>
        </w:rPr>
      </w:pPr>
      <w:bookmarkStart w:id="59" w:name="_Toc21976"/>
      <w:r>
        <w:rPr>
          <w:rFonts w:hint="eastAsia"/>
          <w:b/>
          <w:bCs/>
          <w:color w:val="auto"/>
          <w:lang w:val="en-US" w:eastAsia="zh-CN"/>
        </w:rPr>
        <w:t>2.立项程序规范性</w:t>
      </w:r>
      <w:bookmarkEnd w:id="59"/>
    </w:p>
    <w:p w14:paraId="1D02DD8D">
      <w:pPr>
        <w:bidi w:val="0"/>
        <w:rPr>
          <w:rFonts w:hint="eastAsia"/>
          <w:lang w:eastAsia="zh-CN"/>
        </w:rPr>
      </w:pPr>
      <w:r>
        <w:rPr>
          <w:rFonts w:hint="eastAsia"/>
          <w:lang w:eastAsia="zh-CN"/>
        </w:rPr>
        <w:t>①项目按照规定的程序申请设立；</w:t>
      </w:r>
    </w:p>
    <w:p w14:paraId="60890A2F">
      <w:pPr>
        <w:bidi w:val="0"/>
        <w:rPr>
          <w:rFonts w:hint="eastAsia"/>
          <w:highlight w:val="none"/>
          <w:lang w:eastAsia="zh-CN"/>
        </w:rPr>
      </w:pPr>
      <w:r>
        <w:rPr>
          <w:rFonts w:hint="eastAsia"/>
          <w:lang w:eastAsia="zh-CN"/>
        </w:rPr>
        <w:t>②审批文件、材料符合相关要求</w:t>
      </w:r>
      <w:r>
        <w:rPr>
          <w:rFonts w:hint="eastAsia"/>
          <w:highlight w:val="none"/>
          <w:lang w:eastAsia="zh-CN"/>
        </w:rPr>
        <w:t>；</w:t>
      </w:r>
    </w:p>
    <w:p w14:paraId="049EC272">
      <w:pPr>
        <w:bidi w:val="0"/>
        <w:rPr>
          <w:rFonts w:hint="eastAsia"/>
          <w:highlight w:val="none"/>
          <w:lang w:eastAsia="zh-CN"/>
        </w:rPr>
      </w:pPr>
      <w:r>
        <w:rPr>
          <w:rFonts w:hint="eastAsia"/>
          <w:highlight w:val="none"/>
          <w:lang w:eastAsia="zh-CN"/>
        </w:rPr>
        <w:t>③事前经过集体决策</w:t>
      </w:r>
      <w:r>
        <w:rPr>
          <w:rFonts w:hint="eastAsia"/>
          <w:highlight w:val="none"/>
          <w:lang w:val="en-US" w:eastAsia="zh-CN"/>
        </w:rPr>
        <w:t>,未进行</w:t>
      </w:r>
      <w:r>
        <w:rPr>
          <w:rFonts w:hint="eastAsia"/>
          <w:highlight w:val="none"/>
          <w:lang w:eastAsia="zh-CN"/>
        </w:rPr>
        <w:t>可行性研究、风险评估、绩效评估</w:t>
      </w:r>
      <w:r>
        <w:rPr>
          <w:rFonts w:hint="eastAsia"/>
          <w:highlight w:val="none"/>
          <w:lang w:val="en-US" w:eastAsia="zh-CN"/>
        </w:rPr>
        <w:t>,扣2分</w:t>
      </w:r>
      <w:r>
        <w:rPr>
          <w:rFonts w:hint="eastAsia"/>
          <w:highlight w:val="none"/>
          <w:lang w:eastAsia="zh-CN"/>
        </w:rPr>
        <w:t>。</w:t>
      </w:r>
    </w:p>
    <w:p w14:paraId="614941FC">
      <w:pPr>
        <w:bidi w:val="0"/>
        <w:rPr>
          <w:rFonts w:hint="eastAsia"/>
          <w:color w:val="auto"/>
          <w:lang w:eastAsia="zh-CN"/>
        </w:rPr>
      </w:pPr>
      <w:r>
        <w:rPr>
          <w:rFonts w:hint="eastAsia"/>
          <w:b/>
          <w:bCs/>
          <w:highlight w:val="none"/>
          <w:lang w:val="en-US" w:eastAsia="zh-CN"/>
        </w:rPr>
        <w:t>综上，该项</w:t>
      </w:r>
      <w:r>
        <w:rPr>
          <w:rFonts w:hint="eastAsia"/>
          <w:b/>
          <w:bCs/>
          <w:color w:val="auto"/>
          <w:highlight w:val="none"/>
          <w:lang w:val="en-US" w:eastAsia="zh-CN"/>
        </w:rPr>
        <w:t>指标满分3分，得分1分</w:t>
      </w:r>
      <w:r>
        <w:rPr>
          <w:rFonts w:hint="eastAsia"/>
          <w:b/>
          <w:bCs/>
          <w:color w:val="auto"/>
          <w:lang w:val="en-US" w:eastAsia="zh-CN"/>
        </w:rPr>
        <w:t>。</w:t>
      </w:r>
    </w:p>
    <w:p w14:paraId="22AFA58D">
      <w:pPr>
        <w:bidi w:val="0"/>
        <w:outlineLvl w:val="2"/>
        <w:rPr>
          <w:rFonts w:hint="default"/>
          <w:b/>
          <w:bCs/>
          <w:lang w:val="en-US" w:eastAsia="zh-CN"/>
        </w:rPr>
      </w:pPr>
      <w:bookmarkStart w:id="60" w:name="_Toc15382"/>
      <w:r>
        <w:rPr>
          <w:rFonts w:hint="eastAsia"/>
          <w:b/>
          <w:bCs/>
          <w:lang w:val="en-US" w:eastAsia="zh-CN"/>
        </w:rPr>
        <w:t>3.绩效目标合理性</w:t>
      </w:r>
      <w:bookmarkEnd w:id="60"/>
    </w:p>
    <w:p w14:paraId="07B87D30">
      <w:pPr>
        <w:bidi w:val="0"/>
        <w:rPr>
          <w:rFonts w:hint="eastAsia"/>
          <w:lang w:eastAsia="zh-CN"/>
        </w:rPr>
      </w:pPr>
      <w:r>
        <w:rPr>
          <w:rFonts w:hint="eastAsia"/>
          <w:lang w:eastAsia="zh-CN"/>
        </w:rPr>
        <w:t>①项目有绩效目标；</w:t>
      </w:r>
    </w:p>
    <w:p w14:paraId="55298621">
      <w:pPr>
        <w:bidi w:val="0"/>
        <w:rPr>
          <w:rFonts w:hint="eastAsia"/>
          <w:lang w:eastAsia="zh-CN"/>
        </w:rPr>
      </w:pPr>
      <w:r>
        <w:rPr>
          <w:rFonts w:hint="eastAsia"/>
          <w:lang w:eastAsia="zh-CN"/>
        </w:rPr>
        <w:t>②项目绩效目标与实际工作内容具有相关性；</w:t>
      </w:r>
    </w:p>
    <w:p w14:paraId="283EC8FB">
      <w:pPr>
        <w:bidi w:val="0"/>
        <w:rPr>
          <w:rFonts w:hint="eastAsia"/>
          <w:lang w:eastAsia="zh-CN"/>
        </w:rPr>
      </w:pPr>
      <w:r>
        <w:rPr>
          <w:rFonts w:hint="eastAsia"/>
          <w:lang w:eastAsia="zh-CN"/>
        </w:rPr>
        <w:t>③项目预期产出效益和效果符合正常的业绩水平；</w:t>
      </w:r>
    </w:p>
    <w:p w14:paraId="4B12496A">
      <w:pPr>
        <w:bidi w:val="0"/>
        <w:rPr>
          <w:rFonts w:hint="eastAsia"/>
          <w:lang w:eastAsia="zh-CN"/>
        </w:rPr>
      </w:pPr>
      <w:r>
        <w:rPr>
          <w:rFonts w:hint="eastAsia"/>
          <w:lang w:eastAsia="zh-CN"/>
        </w:rPr>
        <w:t>④与预算确定的项目投资额或资金量相匹配。</w:t>
      </w:r>
    </w:p>
    <w:p w14:paraId="1B58961C">
      <w:pPr>
        <w:bidi w:val="0"/>
        <w:rPr>
          <w:rFonts w:hint="eastAsia"/>
          <w:color w:val="auto"/>
          <w:lang w:eastAsia="zh-CN"/>
        </w:rPr>
      </w:pPr>
      <w:r>
        <w:rPr>
          <w:rFonts w:hint="eastAsia"/>
          <w:b/>
          <w:bCs/>
          <w:lang w:val="en-US" w:eastAsia="zh-CN"/>
        </w:rPr>
        <w:t>综上，该项指</w:t>
      </w:r>
      <w:r>
        <w:rPr>
          <w:rFonts w:hint="eastAsia"/>
          <w:b/>
          <w:bCs/>
          <w:color w:val="auto"/>
          <w:lang w:val="en-US" w:eastAsia="zh-CN"/>
        </w:rPr>
        <w:t>标满分5分，得分5分。</w:t>
      </w:r>
    </w:p>
    <w:p w14:paraId="0EF7AB50">
      <w:pPr>
        <w:bidi w:val="0"/>
        <w:outlineLvl w:val="2"/>
        <w:rPr>
          <w:rFonts w:hint="default"/>
          <w:b/>
          <w:bCs/>
          <w:lang w:val="en-US" w:eastAsia="zh-CN"/>
        </w:rPr>
      </w:pPr>
      <w:bookmarkStart w:id="61" w:name="_Toc10650"/>
      <w:r>
        <w:rPr>
          <w:rFonts w:hint="eastAsia"/>
          <w:b/>
          <w:bCs/>
          <w:lang w:val="en-US" w:eastAsia="zh-CN"/>
        </w:rPr>
        <w:t>4.绩效指标明确性</w:t>
      </w:r>
      <w:bookmarkEnd w:id="61"/>
    </w:p>
    <w:p w14:paraId="0D73F244">
      <w:pPr>
        <w:bidi w:val="0"/>
        <w:rPr>
          <w:rFonts w:hint="eastAsia"/>
          <w:lang w:eastAsia="zh-CN"/>
        </w:rPr>
      </w:pPr>
      <w:r>
        <w:rPr>
          <w:rFonts w:hint="eastAsia"/>
          <w:lang w:eastAsia="zh-CN"/>
        </w:rPr>
        <w:t>①将项目绩效目标细化分解为具体的绩效指标；</w:t>
      </w:r>
    </w:p>
    <w:p w14:paraId="7FCDB1D7">
      <w:pPr>
        <w:bidi w:val="0"/>
        <w:rPr>
          <w:rFonts w:hint="eastAsia"/>
          <w:lang w:eastAsia="zh-CN"/>
        </w:rPr>
      </w:pPr>
      <w:r>
        <w:rPr>
          <w:rFonts w:hint="eastAsia"/>
          <w:lang w:eastAsia="zh-CN"/>
        </w:rPr>
        <w:t>②通过清晰、可衡量的指标值予以体现；</w:t>
      </w:r>
    </w:p>
    <w:p w14:paraId="5C098967">
      <w:pPr>
        <w:bidi w:val="0"/>
        <w:rPr>
          <w:rFonts w:hint="eastAsia"/>
          <w:lang w:eastAsia="zh-CN"/>
        </w:rPr>
      </w:pPr>
      <w:r>
        <w:rPr>
          <w:rFonts w:hint="eastAsia"/>
          <w:lang w:eastAsia="zh-CN"/>
        </w:rPr>
        <w:t>③与项目目标任务数或计划数相对应。</w:t>
      </w:r>
    </w:p>
    <w:p w14:paraId="1A6F919D">
      <w:pPr>
        <w:bidi w:val="0"/>
        <w:rPr>
          <w:rFonts w:hint="eastAsia"/>
          <w:color w:val="auto"/>
          <w:lang w:eastAsia="zh-CN"/>
        </w:rPr>
      </w:pPr>
      <w:r>
        <w:rPr>
          <w:rFonts w:hint="eastAsia"/>
          <w:b/>
          <w:bCs/>
          <w:lang w:val="en-US" w:eastAsia="zh-CN"/>
        </w:rPr>
        <w:t>综上，该</w:t>
      </w:r>
      <w:r>
        <w:rPr>
          <w:rFonts w:hint="eastAsia"/>
          <w:b/>
          <w:bCs/>
          <w:color w:val="auto"/>
          <w:lang w:val="en-US" w:eastAsia="zh-CN"/>
        </w:rPr>
        <w:t>项指标满分5分，得分5分。</w:t>
      </w:r>
    </w:p>
    <w:p w14:paraId="7C7F99EF">
      <w:pPr>
        <w:bidi w:val="0"/>
        <w:outlineLvl w:val="2"/>
        <w:rPr>
          <w:rFonts w:hint="default"/>
          <w:b/>
          <w:bCs/>
          <w:lang w:val="en-US" w:eastAsia="zh-CN"/>
        </w:rPr>
      </w:pPr>
      <w:bookmarkStart w:id="62" w:name="_Toc19401"/>
      <w:r>
        <w:rPr>
          <w:rFonts w:hint="eastAsia"/>
          <w:b/>
          <w:bCs/>
          <w:lang w:val="en-US" w:eastAsia="zh-CN"/>
        </w:rPr>
        <w:t>5.预算编制科学性</w:t>
      </w:r>
      <w:bookmarkEnd w:id="62"/>
    </w:p>
    <w:p w14:paraId="522A8D04">
      <w:pPr>
        <w:bidi w:val="0"/>
        <w:rPr>
          <w:rFonts w:hint="eastAsia"/>
          <w:lang w:eastAsia="zh-CN"/>
        </w:rPr>
      </w:pPr>
      <w:r>
        <w:rPr>
          <w:rFonts w:hint="eastAsia"/>
          <w:lang w:eastAsia="zh-CN"/>
        </w:rPr>
        <w:t>①预算编制经过科学论证；</w:t>
      </w:r>
    </w:p>
    <w:p w14:paraId="5CEE721C">
      <w:pPr>
        <w:bidi w:val="0"/>
        <w:rPr>
          <w:rFonts w:hint="eastAsia"/>
          <w:lang w:eastAsia="zh-CN"/>
        </w:rPr>
      </w:pPr>
      <w:r>
        <w:rPr>
          <w:rFonts w:hint="eastAsia"/>
          <w:lang w:eastAsia="zh-CN"/>
        </w:rPr>
        <w:t>②预算内容与项目内容匹配；</w:t>
      </w:r>
    </w:p>
    <w:p w14:paraId="1933100F">
      <w:pPr>
        <w:bidi w:val="0"/>
        <w:rPr>
          <w:rFonts w:hint="eastAsia"/>
          <w:lang w:eastAsia="zh-CN"/>
        </w:rPr>
      </w:pPr>
      <w:r>
        <w:rPr>
          <w:rFonts w:hint="eastAsia"/>
          <w:lang w:eastAsia="zh-CN"/>
        </w:rPr>
        <w:t>③预算额度测算依据充分，按照标准编制；</w:t>
      </w:r>
    </w:p>
    <w:p w14:paraId="1C831EEF">
      <w:pPr>
        <w:bidi w:val="0"/>
        <w:rPr>
          <w:rFonts w:hint="eastAsia"/>
          <w:lang w:eastAsia="zh-CN"/>
        </w:rPr>
      </w:pPr>
      <w:r>
        <w:rPr>
          <w:rFonts w:hint="eastAsia"/>
          <w:lang w:eastAsia="zh-CN"/>
        </w:rPr>
        <w:t>④预算确定的项目投资额或资金量与工作任务相匹配。</w:t>
      </w:r>
    </w:p>
    <w:p w14:paraId="4907E0CD">
      <w:pPr>
        <w:bidi w:val="0"/>
        <w:rPr>
          <w:rFonts w:hint="eastAsia"/>
          <w:color w:val="auto"/>
          <w:lang w:eastAsia="zh-CN"/>
        </w:rPr>
      </w:pPr>
      <w:r>
        <w:rPr>
          <w:rFonts w:hint="eastAsia"/>
          <w:b/>
          <w:bCs/>
          <w:lang w:val="en-US" w:eastAsia="zh-CN"/>
        </w:rPr>
        <w:t>综上，该项指标满</w:t>
      </w:r>
      <w:r>
        <w:rPr>
          <w:rFonts w:hint="eastAsia"/>
          <w:b/>
          <w:bCs/>
          <w:color w:val="auto"/>
          <w:lang w:val="en-US" w:eastAsia="zh-CN"/>
        </w:rPr>
        <w:t>分2分，得分2分。</w:t>
      </w:r>
    </w:p>
    <w:p w14:paraId="02208C86">
      <w:pPr>
        <w:bidi w:val="0"/>
        <w:outlineLvl w:val="2"/>
        <w:rPr>
          <w:rFonts w:hint="default"/>
          <w:b/>
          <w:bCs/>
          <w:lang w:val="en-US" w:eastAsia="zh-CN"/>
        </w:rPr>
      </w:pPr>
      <w:bookmarkStart w:id="63" w:name="_Toc697"/>
      <w:r>
        <w:rPr>
          <w:rFonts w:hint="eastAsia"/>
          <w:b/>
          <w:bCs/>
          <w:lang w:val="en-US" w:eastAsia="zh-CN"/>
        </w:rPr>
        <w:t>6.资金分配合理性</w:t>
      </w:r>
      <w:bookmarkEnd w:id="63"/>
    </w:p>
    <w:p w14:paraId="20B3338E">
      <w:pPr>
        <w:bidi w:val="0"/>
        <w:rPr>
          <w:rFonts w:hint="eastAsia"/>
          <w:lang w:eastAsia="zh-CN"/>
        </w:rPr>
      </w:pPr>
      <w:r>
        <w:rPr>
          <w:rFonts w:hint="eastAsia"/>
          <w:lang w:eastAsia="zh-CN"/>
        </w:rPr>
        <w:t>①预算资金分配依据充分；</w:t>
      </w:r>
    </w:p>
    <w:p w14:paraId="08E0B8FF">
      <w:pPr>
        <w:bidi w:val="0"/>
        <w:rPr>
          <w:rFonts w:hint="eastAsia"/>
          <w:lang w:eastAsia="zh-CN"/>
        </w:rPr>
      </w:pPr>
      <w:r>
        <w:rPr>
          <w:rFonts w:hint="eastAsia"/>
          <w:lang w:eastAsia="zh-CN"/>
        </w:rPr>
        <w:t>②资金分配额度合理，与项目单位或地方实际相适应。</w:t>
      </w:r>
    </w:p>
    <w:p w14:paraId="30417A0D">
      <w:pPr>
        <w:bidi w:val="0"/>
        <w:rPr>
          <w:rFonts w:hint="eastAsia"/>
          <w:color w:val="auto"/>
          <w:lang w:eastAsia="zh-CN"/>
        </w:rPr>
      </w:pPr>
      <w:r>
        <w:rPr>
          <w:rFonts w:hint="eastAsia"/>
          <w:b/>
          <w:bCs/>
          <w:lang w:val="en-US" w:eastAsia="zh-CN"/>
        </w:rPr>
        <w:t>综上，该项指标满</w:t>
      </w:r>
      <w:r>
        <w:rPr>
          <w:rFonts w:hint="eastAsia"/>
          <w:b/>
          <w:bCs/>
          <w:color w:val="auto"/>
          <w:lang w:val="en-US" w:eastAsia="zh-CN"/>
        </w:rPr>
        <w:t>分3分，得分3分。</w:t>
      </w:r>
    </w:p>
    <w:p w14:paraId="2CA16817">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75C9B9DB">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4C80728">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627090CA">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2309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1F39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9AC7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BDAF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A9EB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4CD0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26C075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5A876D1">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FF47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74AF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7CF4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E759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F766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546D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BBEC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00871EF">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6FC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0416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1A4F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1466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ECEB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BFED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E19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5BDE466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86E4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CADD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19C4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A29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B471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F931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1BB2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0181926D">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B85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59A5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0E62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B71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546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7545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88D5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7C421D5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2B09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5CAC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CF77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437F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CD5D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51C5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4E42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2EDD31E">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1EC7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DAD6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9E4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088C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7E44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r>
    </w:tbl>
    <w:p w14:paraId="2D613338">
      <w:pPr>
        <w:bidi w:val="0"/>
        <w:outlineLvl w:val="2"/>
        <w:rPr>
          <w:rFonts w:hint="default"/>
          <w:b/>
          <w:bCs/>
          <w:color w:val="FF0000"/>
          <w:lang w:val="en-US" w:eastAsia="zh-CN"/>
        </w:rPr>
      </w:pPr>
      <w:bookmarkStart w:id="65" w:name="_Toc3886"/>
      <w:r>
        <w:rPr>
          <w:rFonts w:hint="eastAsia"/>
          <w:b/>
          <w:bCs/>
          <w:lang w:val="en-US" w:eastAsia="zh-CN"/>
        </w:rPr>
        <w:t>1.资金到位率</w:t>
      </w:r>
      <w:bookmarkEnd w:id="65"/>
    </w:p>
    <w:p w14:paraId="1B86787A">
      <w:pPr>
        <w:bidi w:val="0"/>
        <w:rPr>
          <w:rFonts w:hint="default"/>
          <w:b/>
          <w:bCs/>
          <w:highlight w:val="none"/>
          <w:lang w:val="en-US" w:eastAsia="zh-CN"/>
        </w:rPr>
      </w:pPr>
      <w:r>
        <w:rPr>
          <w:rFonts w:hint="eastAsia"/>
          <w:lang w:eastAsia="zh-CN"/>
        </w:rPr>
        <w:t>资金</w:t>
      </w:r>
      <w:r>
        <w:rPr>
          <w:rFonts w:hint="eastAsia"/>
          <w:highlight w:val="none"/>
          <w:lang w:eastAsia="zh-CN"/>
        </w:rPr>
        <w:t>到位率=</w:t>
      </w:r>
      <w:r>
        <w:rPr>
          <w:rFonts w:hint="eastAsia"/>
          <w:color w:val="auto"/>
          <w:highlight w:val="none"/>
          <w:lang w:eastAsia="zh-CN"/>
        </w:rPr>
        <w:t>（41.37万元/</w:t>
      </w:r>
      <w:r>
        <w:rPr>
          <w:rFonts w:hint="eastAsia"/>
          <w:color w:val="auto"/>
          <w:highlight w:val="none"/>
          <w:lang w:val="en-US" w:eastAsia="zh-CN"/>
        </w:rPr>
        <w:t>41.37</w:t>
      </w:r>
      <w:r>
        <w:rPr>
          <w:rFonts w:hint="eastAsia"/>
          <w:color w:val="auto"/>
          <w:highlight w:val="none"/>
          <w:lang w:eastAsia="zh-CN"/>
        </w:rPr>
        <w:t>万元）×100%</w:t>
      </w:r>
      <w:r>
        <w:rPr>
          <w:rFonts w:hint="eastAsia"/>
          <w:b/>
          <w:bCs/>
          <w:color w:val="auto"/>
          <w:highlight w:val="none"/>
          <w:lang w:val="en-US" w:eastAsia="zh-CN"/>
        </w:rPr>
        <w:t>=</w:t>
      </w:r>
      <w:r>
        <w:rPr>
          <w:rFonts w:hint="eastAsia"/>
          <w:color w:val="auto"/>
          <w:highlight w:val="none"/>
          <w:lang w:eastAsia="zh-CN"/>
        </w:rPr>
        <w:t>100%</w:t>
      </w:r>
      <w:r>
        <w:rPr>
          <w:rFonts w:hint="eastAsia"/>
          <w:highlight w:val="none"/>
          <w:lang w:eastAsia="zh-CN"/>
        </w:rPr>
        <w:t>。</w:t>
      </w:r>
    </w:p>
    <w:p w14:paraId="03451765">
      <w:pPr>
        <w:bidi w:val="0"/>
        <w:rPr>
          <w:rFonts w:hint="eastAsia"/>
          <w:color w:val="auto"/>
          <w:highlight w:val="none"/>
          <w:lang w:eastAsia="zh-CN"/>
        </w:rPr>
      </w:pPr>
      <w:r>
        <w:rPr>
          <w:rFonts w:hint="eastAsia"/>
          <w:b/>
          <w:bCs/>
          <w:highlight w:val="none"/>
          <w:lang w:val="en-US" w:eastAsia="zh-CN"/>
        </w:rPr>
        <w:t>综上，该项</w:t>
      </w:r>
      <w:r>
        <w:rPr>
          <w:rFonts w:hint="eastAsia"/>
          <w:b/>
          <w:bCs/>
          <w:color w:val="auto"/>
          <w:highlight w:val="none"/>
          <w:lang w:val="en-US" w:eastAsia="zh-CN"/>
        </w:rPr>
        <w:t>指标满分4分，得分4分。</w:t>
      </w:r>
    </w:p>
    <w:p w14:paraId="6A8784C0">
      <w:pPr>
        <w:bidi w:val="0"/>
        <w:outlineLvl w:val="2"/>
        <w:rPr>
          <w:rFonts w:hint="default"/>
          <w:b/>
          <w:bCs/>
          <w:highlight w:val="none"/>
          <w:lang w:val="en-US" w:eastAsia="zh-CN"/>
        </w:rPr>
      </w:pPr>
      <w:bookmarkStart w:id="66" w:name="_Toc9705"/>
      <w:r>
        <w:rPr>
          <w:rFonts w:hint="eastAsia"/>
          <w:b/>
          <w:bCs/>
          <w:highlight w:val="none"/>
          <w:lang w:val="en-US" w:eastAsia="zh-CN"/>
        </w:rPr>
        <w:t>2.预算执行率</w:t>
      </w:r>
      <w:bookmarkEnd w:id="66"/>
    </w:p>
    <w:p w14:paraId="6AA810B9">
      <w:pPr>
        <w:bidi w:val="0"/>
        <w:rPr>
          <w:rFonts w:hint="default"/>
          <w:color w:val="auto"/>
          <w:highlight w:val="none"/>
          <w:lang w:val="en-US" w:eastAsia="zh-CN"/>
        </w:rPr>
      </w:pPr>
      <w:r>
        <w:rPr>
          <w:rFonts w:hint="eastAsia"/>
          <w:highlight w:val="none"/>
          <w:lang w:eastAsia="zh-CN"/>
        </w:rPr>
        <w:t>预算执行率</w:t>
      </w:r>
      <w:r>
        <w:rPr>
          <w:rFonts w:hint="eastAsia"/>
          <w:color w:val="auto"/>
          <w:highlight w:val="none"/>
          <w:lang w:eastAsia="zh-CN"/>
        </w:rPr>
        <w:t>=（41.37万元/</w:t>
      </w:r>
      <w:r>
        <w:rPr>
          <w:rFonts w:hint="eastAsia"/>
          <w:color w:val="auto"/>
          <w:highlight w:val="none"/>
          <w:lang w:val="en-US" w:eastAsia="zh-CN"/>
        </w:rPr>
        <w:t>41.37</w:t>
      </w:r>
      <w:r>
        <w:rPr>
          <w:rFonts w:hint="eastAsia"/>
          <w:color w:val="auto"/>
          <w:highlight w:val="none"/>
          <w:lang w:eastAsia="zh-CN"/>
        </w:rPr>
        <w:t>万元）×100%</w:t>
      </w:r>
      <w:r>
        <w:rPr>
          <w:rFonts w:hint="eastAsia"/>
          <w:b/>
          <w:bCs/>
          <w:color w:val="auto"/>
          <w:highlight w:val="none"/>
          <w:lang w:val="en-US" w:eastAsia="zh-CN"/>
        </w:rPr>
        <w:t>=</w:t>
      </w:r>
      <w:r>
        <w:rPr>
          <w:rFonts w:hint="eastAsia"/>
          <w:color w:val="auto"/>
          <w:highlight w:val="none"/>
          <w:lang w:eastAsia="zh-CN"/>
        </w:rPr>
        <w:t>100%</w:t>
      </w:r>
    </w:p>
    <w:p w14:paraId="717A8C0C">
      <w:pPr>
        <w:bidi w:val="0"/>
        <w:rPr>
          <w:rFonts w:hint="eastAsia"/>
          <w:color w:val="auto"/>
          <w:highlight w:val="none"/>
          <w:lang w:eastAsia="zh-CN"/>
        </w:rPr>
      </w:pPr>
      <w:r>
        <w:rPr>
          <w:rFonts w:hint="eastAsia"/>
          <w:b/>
          <w:bCs/>
          <w:highlight w:val="none"/>
          <w:lang w:val="en-US" w:eastAsia="zh-CN"/>
        </w:rPr>
        <w:t>综上，该项指</w:t>
      </w:r>
      <w:r>
        <w:rPr>
          <w:rFonts w:hint="eastAsia"/>
          <w:b/>
          <w:bCs/>
          <w:color w:val="auto"/>
          <w:highlight w:val="none"/>
          <w:lang w:val="en-US" w:eastAsia="zh-CN"/>
        </w:rPr>
        <w:t>标满分4分，得分4分。</w:t>
      </w:r>
    </w:p>
    <w:p w14:paraId="0FC52766">
      <w:pPr>
        <w:bidi w:val="0"/>
        <w:outlineLvl w:val="2"/>
        <w:rPr>
          <w:rFonts w:hint="default"/>
          <w:b/>
          <w:bCs/>
          <w:highlight w:val="none"/>
          <w:lang w:val="en-US" w:eastAsia="zh-CN"/>
        </w:rPr>
      </w:pPr>
      <w:bookmarkStart w:id="67" w:name="_Toc18691"/>
      <w:r>
        <w:rPr>
          <w:rFonts w:hint="eastAsia"/>
          <w:b/>
          <w:bCs/>
          <w:highlight w:val="none"/>
          <w:lang w:val="en-US" w:eastAsia="zh-CN"/>
        </w:rPr>
        <w:t>3.资金使用合规性</w:t>
      </w:r>
      <w:bookmarkEnd w:id="67"/>
    </w:p>
    <w:p w14:paraId="096AC3BC">
      <w:pPr>
        <w:bidi w:val="0"/>
        <w:rPr>
          <w:rFonts w:hint="eastAsia"/>
          <w:color w:val="auto"/>
          <w:highlight w:val="none"/>
          <w:lang w:eastAsia="zh-CN"/>
        </w:rPr>
      </w:pPr>
      <w:r>
        <w:rPr>
          <w:rFonts w:hint="eastAsia"/>
          <w:highlight w:val="none"/>
          <w:lang w:eastAsia="zh-CN"/>
        </w:rPr>
        <w:t>①</w:t>
      </w:r>
      <w:r>
        <w:rPr>
          <w:rFonts w:hint="eastAsia"/>
          <w:color w:val="auto"/>
          <w:highlight w:val="none"/>
          <w:lang w:eastAsia="zh-CN"/>
        </w:rPr>
        <w:t>符合《阜康市博物馆财务管理制度》《博物馆纪念馆专项资金管理办法》的规定；</w:t>
      </w:r>
    </w:p>
    <w:p w14:paraId="19CF09B2">
      <w:pPr>
        <w:bidi w:val="0"/>
        <w:rPr>
          <w:rFonts w:hint="eastAsia"/>
          <w:lang w:eastAsia="zh-CN"/>
        </w:rPr>
      </w:pPr>
      <w:r>
        <w:rPr>
          <w:rFonts w:hint="eastAsia"/>
          <w:highlight w:val="none"/>
          <w:lang w:eastAsia="zh-CN"/>
        </w:rPr>
        <w:t>②资金的拨付有</w:t>
      </w:r>
      <w:r>
        <w:rPr>
          <w:rFonts w:hint="eastAsia"/>
          <w:lang w:eastAsia="zh-CN"/>
        </w:rPr>
        <w:t>完整的审批程序和手续；</w:t>
      </w:r>
    </w:p>
    <w:p w14:paraId="42E0CEF1">
      <w:pPr>
        <w:bidi w:val="0"/>
        <w:rPr>
          <w:rFonts w:hint="eastAsia"/>
          <w:lang w:eastAsia="zh-CN"/>
        </w:rPr>
      </w:pPr>
      <w:r>
        <w:rPr>
          <w:rFonts w:hint="eastAsia"/>
          <w:lang w:eastAsia="zh-CN"/>
        </w:rPr>
        <w:t>③符合项目预算批复或合同规定的用途；</w:t>
      </w:r>
    </w:p>
    <w:p w14:paraId="0D28D6F2">
      <w:pPr>
        <w:bidi w:val="0"/>
        <w:rPr>
          <w:rFonts w:hint="eastAsia"/>
          <w:lang w:eastAsia="zh-CN"/>
        </w:rPr>
      </w:pPr>
      <w:r>
        <w:rPr>
          <w:rFonts w:hint="eastAsia"/>
          <w:lang w:eastAsia="zh-CN"/>
        </w:rPr>
        <w:t>④</w:t>
      </w:r>
      <w:r>
        <w:rPr>
          <w:rFonts w:hint="eastAsia"/>
          <w:lang w:val="en-US" w:eastAsia="zh-CN"/>
        </w:rPr>
        <w:t>不</w:t>
      </w:r>
      <w:r>
        <w:rPr>
          <w:rFonts w:hint="eastAsia"/>
          <w:lang w:eastAsia="zh-CN"/>
        </w:rPr>
        <w:t>存在截留、挤占、挪用、虚列支出等情况。</w:t>
      </w:r>
    </w:p>
    <w:p w14:paraId="1F48BAA6">
      <w:pPr>
        <w:bidi w:val="0"/>
        <w:rPr>
          <w:rFonts w:hint="eastAsia"/>
          <w:color w:val="auto"/>
          <w:highlight w:val="none"/>
          <w:lang w:eastAsia="zh-CN"/>
        </w:rPr>
      </w:pPr>
      <w:r>
        <w:rPr>
          <w:rFonts w:hint="eastAsia"/>
          <w:b/>
          <w:bCs/>
          <w:color w:val="auto"/>
          <w:lang w:val="en-US" w:eastAsia="zh-CN"/>
        </w:rPr>
        <w:t>综上</w:t>
      </w:r>
      <w:r>
        <w:rPr>
          <w:rFonts w:hint="eastAsia"/>
          <w:b/>
          <w:bCs/>
          <w:color w:val="auto"/>
          <w:highlight w:val="none"/>
          <w:lang w:val="en-US" w:eastAsia="zh-CN"/>
        </w:rPr>
        <w:t>，该项指标满分4分，得分4分。</w:t>
      </w:r>
    </w:p>
    <w:p w14:paraId="11C33F04">
      <w:pPr>
        <w:bidi w:val="0"/>
        <w:rPr>
          <w:rFonts w:hint="eastAsia"/>
          <w:b/>
          <w:bCs/>
          <w:highlight w:val="none"/>
          <w:lang w:val="en-US" w:eastAsia="zh-CN"/>
        </w:rPr>
      </w:pPr>
      <w:r>
        <w:rPr>
          <w:rFonts w:hint="eastAsia"/>
          <w:b/>
          <w:bCs/>
          <w:highlight w:val="none"/>
          <w:lang w:val="en-US" w:eastAsia="zh-CN"/>
        </w:rPr>
        <w:t>4.管理制度健全性</w:t>
      </w:r>
    </w:p>
    <w:p w14:paraId="66D88F9F">
      <w:pPr>
        <w:bidi w:val="0"/>
        <w:rPr>
          <w:rFonts w:hint="eastAsia"/>
          <w:highlight w:val="none"/>
          <w:lang w:eastAsia="zh-CN"/>
        </w:rPr>
      </w:pPr>
      <w:r>
        <w:rPr>
          <w:rFonts w:hint="eastAsia"/>
          <w:highlight w:val="none"/>
          <w:lang w:eastAsia="zh-CN"/>
        </w:rPr>
        <w:t>①已制定《</w:t>
      </w:r>
      <w:r>
        <w:rPr>
          <w:rFonts w:hint="eastAsia"/>
          <w:color w:val="auto"/>
          <w:highlight w:val="none"/>
          <w:lang w:eastAsia="zh-CN"/>
        </w:rPr>
        <w:t>阜康市博物馆资金收支管理制度》《会计岗位管理制度》《出纳岗位管理制度》《阜康市博物馆合同管理办法》</w:t>
      </w:r>
      <w:r>
        <w:rPr>
          <w:rFonts w:hint="eastAsia"/>
          <w:highlight w:val="none"/>
          <w:lang w:eastAsia="zh-CN"/>
        </w:rPr>
        <w:t>；</w:t>
      </w:r>
    </w:p>
    <w:p w14:paraId="230E1FE5">
      <w:pPr>
        <w:bidi w:val="0"/>
        <w:rPr>
          <w:rFonts w:hint="eastAsia"/>
          <w:highlight w:val="none"/>
          <w:lang w:eastAsia="zh-CN"/>
        </w:rPr>
      </w:pPr>
      <w:r>
        <w:rPr>
          <w:rFonts w:hint="eastAsia"/>
          <w:highlight w:val="none"/>
          <w:lang w:eastAsia="zh-CN"/>
        </w:rPr>
        <w:t>②财务和业务管理制度合法、合规、完整。</w:t>
      </w:r>
    </w:p>
    <w:p w14:paraId="09669D24">
      <w:pPr>
        <w:bidi w:val="0"/>
        <w:rPr>
          <w:rFonts w:hint="eastAsia"/>
          <w:color w:val="auto"/>
          <w:highlight w:val="none"/>
          <w:lang w:eastAsia="zh-CN"/>
        </w:rPr>
      </w:pPr>
      <w:r>
        <w:rPr>
          <w:rFonts w:hint="eastAsia"/>
          <w:b/>
          <w:bCs/>
          <w:highlight w:val="none"/>
          <w:lang w:val="en-US" w:eastAsia="zh-CN"/>
        </w:rPr>
        <w:t>综上，该</w:t>
      </w:r>
      <w:r>
        <w:rPr>
          <w:rFonts w:hint="eastAsia"/>
          <w:b/>
          <w:bCs/>
          <w:color w:val="auto"/>
          <w:highlight w:val="none"/>
          <w:lang w:val="en-US" w:eastAsia="zh-CN"/>
        </w:rPr>
        <w:t>项指标满分4分，得分4分。</w:t>
      </w:r>
    </w:p>
    <w:p w14:paraId="5C44227D">
      <w:pPr>
        <w:bidi w:val="0"/>
        <w:ind w:left="1403" w:leftChars="200" w:hanging="843" w:hangingChars="300"/>
        <w:outlineLvl w:val="2"/>
        <w:rPr>
          <w:rFonts w:hint="eastAsia"/>
          <w:b/>
          <w:bCs/>
          <w:lang w:val="en-US" w:eastAsia="zh-CN"/>
        </w:rPr>
      </w:pPr>
      <w:bookmarkStart w:id="68" w:name="_Toc31684"/>
      <w:r>
        <w:rPr>
          <w:rFonts w:hint="eastAsia"/>
          <w:b/>
          <w:bCs/>
          <w:highlight w:val="none"/>
          <w:lang w:val="en-US" w:eastAsia="zh-CN"/>
        </w:rPr>
        <w:t>5.制度执行</w:t>
      </w:r>
      <w:r>
        <w:rPr>
          <w:rFonts w:hint="eastAsia"/>
          <w:b/>
          <w:bCs/>
          <w:lang w:val="en-US" w:eastAsia="zh-CN"/>
        </w:rPr>
        <w:t>有效性</w:t>
      </w:r>
      <w:bookmarkEnd w:id="68"/>
    </w:p>
    <w:p w14:paraId="60F2384B">
      <w:pPr>
        <w:bidi w:val="0"/>
        <w:rPr>
          <w:rFonts w:hint="eastAsia"/>
          <w:highlight w:val="none"/>
          <w:lang w:eastAsia="zh-CN"/>
        </w:rPr>
      </w:pPr>
      <w:r>
        <w:rPr>
          <w:rFonts w:hint="eastAsia"/>
          <w:lang w:eastAsia="zh-CN"/>
        </w:rPr>
        <w:t>①遵</w:t>
      </w:r>
      <w:r>
        <w:rPr>
          <w:rFonts w:hint="eastAsia"/>
          <w:highlight w:val="none"/>
          <w:lang w:eastAsia="zh-CN"/>
        </w:rPr>
        <w:t>守相关法律法规和相关管理规定；</w:t>
      </w:r>
    </w:p>
    <w:p w14:paraId="3824FEC3">
      <w:pPr>
        <w:bidi w:val="0"/>
        <w:rPr>
          <w:rFonts w:hint="eastAsia"/>
          <w:highlight w:val="none"/>
          <w:lang w:eastAsia="zh-CN"/>
        </w:rPr>
      </w:pPr>
      <w:r>
        <w:rPr>
          <w:rFonts w:hint="eastAsia"/>
          <w:highlight w:val="none"/>
          <w:lang w:eastAsia="zh-CN"/>
        </w:rPr>
        <w:t>②项目调整及支出调整手续完备：本项目年初预算资金35.64万元，年中追加</w:t>
      </w:r>
      <w:r>
        <w:rPr>
          <w:rFonts w:hint="eastAsia"/>
          <w:highlight w:val="none"/>
          <w:lang w:val="en-US" w:eastAsia="zh-CN"/>
        </w:rPr>
        <w:t>5.73万元，调整后项目金额为41.37万元</w:t>
      </w:r>
      <w:r>
        <w:rPr>
          <w:rFonts w:hint="eastAsia"/>
          <w:highlight w:val="none"/>
          <w:lang w:eastAsia="zh-CN"/>
        </w:rPr>
        <w:t>；</w:t>
      </w:r>
    </w:p>
    <w:p w14:paraId="0BDB40AA">
      <w:pPr>
        <w:bidi w:val="0"/>
        <w:rPr>
          <w:rFonts w:hint="eastAsia"/>
          <w:highlight w:val="none"/>
          <w:lang w:eastAsia="zh-CN"/>
        </w:rPr>
      </w:pPr>
      <w:r>
        <w:rPr>
          <w:rFonts w:hint="eastAsia"/>
          <w:highlight w:val="none"/>
          <w:lang w:eastAsia="zh-CN"/>
        </w:rPr>
        <w:t>③项目相关支出合同书、</w:t>
      </w:r>
      <w:r>
        <w:rPr>
          <w:rFonts w:hint="eastAsia"/>
          <w:color w:val="auto"/>
          <w:highlight w:val="none"/>
          <w:lang w:eastAsia="zh-CN"/>
        </w:rPr>
        <w:t>验收报告、活动方案、总结、活动照片等资</w:t>
      </w:r>
      <w:r>
        <w:rPr>
          <w:rFonts w:hint="eastAsia"/>
          <w:highlight w:val="none"/>
          <w:lang w:eastAsia="zh-CN"/>
        </w:rPr>
        <w:t>料齐全并及时归档；</w:t>
      </w:r>
    </w:p>
    <w:p w14:paraId="61988D7E">
      <w:pPr>
        <w:bidi w:val="0"/>
        <w:rPr>
          <w:rFonts w:hint="eastAsia"/>
          <w:color w:val="auto"/>
          <w:highlight w:val="none"/>
          <w:lang w:eastAsia="zh-CN"/>
        </w:rPr>
      </w:pPr>
      <w:r>
        <w:rPr>
          <w:rFonts w:hint="eastAsia"/>
          <w:highlight w:val="none"/>
          <w:lang w:eastAsia="zh-CN"/>
        </w:rPr>
        <w:t>④</w:t>
      </w:r>
      <w:r>
        <w:rPr>
          <w:rFonts w:hint="eastAsia"/>
          <w:color w:val="auto"/>
          <w:highlight w:val="none"/>
          <w:lang w:eastAsia="zh-CN"/>
        </w:rPr>
        <w:t>项目实施的通过公开招标由第三方人员组织实施、在博物馆场馆展厅及各活动现场开展、各项支撑落实到位。</w:t>
      </w:r>
    </w:p>
    <w:p w14:paraId="0FAC6863">
      <w:pPr>
        <w:bidi w:val="0"/>
        <w:rPr>
          <w:rFonts w:hint="eastAsia"/>
          <w:color w:val="auto"/>
          <w:lang w:eastAsia="zh-CN"/>
        </w:rPr>
      </w:pPr>
      <w:r>
        <w:rPr>
          <w:rFonts w:hint="eastAsia"/>
          <w:b/>
          <w:bCs/>
          <w:lang w:val="en-US" w:eastAsia="zh-CN"/>
        </w:rPr>
        <w:t>综上，该</w:t>
      </w:r>
      <w:r>
        <w:rPr>
          <w:rFonts w:hint="eastAsia"/>
          <w:b/>
          <w:bCs/>
          <w:color w:val="auto"/>
          <w:lang w:val="en-US" w:eastAsia="zh-CN"/>
        </w:rPr>
        <w:t>项指标满分4分，得分4分。</w:t>
      </w:r>
    </w:p>
    <w:p w14:paraId="5EC4773A">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14:paraId="471E8D47">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13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5DF84B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987"/>
        <w:gridCol w:w="1437"/>
        <w:gridCol w:w="558"/>
        <w:gridCol w:w="1624"/>
        <w:gridCol w:w="631"/>
      </w:tblGrid>
      <w:tr w14:paraId="4EBEE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750" w:hRule="atLeast"/>
          <w:jc w:val="center"/>
        </w:trPr>
        <w:tc>
          <w:tcPr>
            <w:tcW w:w="634" w:type="dxa"/>
            <w:shd w:val="clear" w:color="auto" w:fill="FFFFFF"/>
            <w:tcMar>
              <w:top w:w="15" w:type="dxa"/>
              <w:left w:w="15" w:type="dxa"/>
              <w:right w:w="15" w:type="dxa"/>
            </w:tcMar>
            <w:vAlign w:val="center"/>
          </w:tcPr>
          <w:p w14:paraId="35267A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FFFFFF"/>
            <w:tcMar>
              <w:top w:w="15" w:type="dxa"/>
              <w:left w:w="15" w:type="dxa"/>
              <w:right w:w="15" w:type="dxa"/>
            </w:tcMar>
            <w:vAlign w:val="center"/>
          </w:tcPr>
          <w:p w14:paraId="690BB7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987" w:type="dxa"/>
            <w:shd w:val="clear" w:color="auto" w:fill="FFFFFF"/>
            <w:tcMar>
              <w:top w:w="15" w:type="dxa"/>
              <w:left w:w="15" w:type="dxa"/>
              <w:right w:w="15" w:type="dxa"/>
            </w:tcMar>
            <w:vAlign w:val="center"/>
          </w:tcPr>
          <w:p w14:paraId="1544B6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FFFFFF"/>
            <w:tcMar>
              <w:top w:w="15" w:type="dxa"/>
              <w:left w:w="15" w:type="dxa"/>
              <w:right w:w="15" w:type="dxa"/>
            </w:tcMar>
            <w:vAlign w:val="center"/>
          </w:tcPr>
          <w:p w14:paraId="467F6C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FFFFFF"/>
            <w:tcMar>
              <w:top w:w="15" w:type="dxa"/>
              <w:left w:w="15" w:type="dxa"/>
              <w:right w:w="15" w:type="dxa"/>
            </w:tcMar>
            <w:vAlign w:val="center"/>
          </w:tcPr>
          <w:p w14:paraId="5922EA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624" w:type="dxa"/>
            <w:shd w:val="clear" w:color="auto" w:fill="FFFFFF"/>
            <w:tcMar>
              <w:top w:w="15" w:type="dxa"/>
              <w:left w:w="15" w:type="dxa"/>
              <w:right w:w="15" w:type="dxa"/>
            </w:tcMar>
            <w:vAlign w:val="center"/>
          </w:tcPr>
          <w:p w14:paraId="50728F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FFFFFF"/>
            <w:tcMar>
              <w:top w:w="15" w:type="dxa"/>
              <w:left w:w="15" w:type="dxa"/>
              <w:right w:w="15" w:type="dxa"/>
            </w:tcMar>
            <w:vAlign w:val="center"/>
          </w:tcPr>
          <w:p w14:paraId="6B7D35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0618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jc w:val="center"/>
        </w:trPr>
        <w:tc>
          <w:tcPr>
            <w:tcW w:w="634" w:type="dxa"/>
            <w:vMerge w:val="restart"/>
            <w:shd w:val="clear" w:color="auto" w:fill="auto"/>
            <w:tcMar>
              <w:top w:w="15" w:type="dxa"/>
              <w:left w:w="15" w:type="dxa"/>
              <w:right w:w="15" w:type="dxa"/>
            </w:tcMar>
            <w:vAlign w:val="center"/>
          </w:tcPr>
          <w:p w14:paraId="58D767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shd w:val="clear" w:color="auto" w:fill="auto"/>
            <w:tcMar>
              <w:top w:w="15" w:type="dxa"/>
              <w:left w:w="15" w:type="dxa"/>
              <w:right w:w="15" w:type="dxa"/>
            </w:tcMar>
            <w:vAlign w:val="center"/>
          </w:tcPr>
          <w:p w14:paraId="1E605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987" w:type="dxa"/>
            <w:shd w:val="clear" w:color="auto" w:fill="auto"/>
            <w:tcMar>
              <w:top w:w="15" w:type="dxa"/>
              <w:left w:w="15" w:type="dxa"/>
              <w:right w:w="15" w:type="dxa"/>
            </w:tcMar>
            <w:vAlign w:val="center"/>
          </w:tcPr>
          <w:p w14:paraId="73630A8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举办免费开放活动场次</w:t>
            </w:r>
          </w:p>
        </w:tc>
        <w:tc>
          <w:tcPr>
            <w:tcW w:w="1437" w:type="dxa"/>
            <w:shd w:val="clear" w:color="auto" w:fill="auto"/>
            <w:tcMar>
              <w:top w:w="15" w:type="dxa"/>
              <w:left w:w="15" w:type="dxa"/>
              <w:right w:w="15" w:type="dxa"/>
            </w:tcMar>
            <w:vAlign w:val="center"/>
          </w:tcPr>
          <w:p w14:paraId="20D0A156">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=36场</w:t>
            </w:r>
          </w:p>
        </w:tc>
        <w:tc>
          <w:tcPr>
            <w:tcW w:w="558" w:type="dxa"/>
            <w:shd w:val="clear" w:color="auto" w:fill="auto"/>
            <w:tcMar>
              <w:top w:w="15" w:type="dxa"/>
              <w:left w:w="15" w:type="dxa"/>
              <w:right w:w="15" w:type="dxa"/>
            </w:tcMar>
            <w:vAlign w:val="center"/>
          </w:tcPr>
          <w:p w14:paraId="02F3A7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519F4B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36场</w:t>
            </w:r>
          </w:p>
        </w:tc>
        <w:tc>
          <w:tcPr>
            <w:tcW w:w="631" w:type="dxa"/>
            <w:shd w:val="clear" w:color="auto" w:fill="auto"/>
            <w:tcMar>
              <w:top w:w="15" w:type="dxa"/>
              <w:left w:w="15" w:type="dxa"/>
              <w:right w:w="15" w:type="dxa"/>
            </w:tcMar>
            <w:vAlign w:val="center"/>
          </w:tcPr>
          <w:p w14:paraId="72BA62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2778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jc w:val="center"/>
        </w:trPr>
        <w:tc>
          <w:tcPr>
            <w:tcW w:w="634" w:type="dxa"/>
            <w:vMerge w:val="continue"/>
            <w:shd w:val="clear" w:color="auto" w:fill="auto"/>
            <w:tcMar>
              <w:top w:w="15" w:type="dxa"/>
              <w:left w:w="15" w:type="dxa"/>
              <w:right w:w="15" w:type="dxa"/>
            </w:tcMar>
            <w:vAlign w:val="center"/>
          </w:tcPr>
          <w:p w14:paraId="53BF7C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06191B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14:paraId="0C814AA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举办流动博物馆巡展宣传场次</w:t>
            </w:r>
          </w:p>
        </w:tc>
        <w:tc>
          <w:tcPr>
            <w:tcW w:w="1437" w:type="dxa"/>
            <w:shd w:val="clear" w:color="auto" w:fill="auto"/>
            <w:tcMar>
              <w:top w:w="15" w:type="dxa"/>
              <w:left w:w="15" w:type="dxa"/>
              <w:right w:w="15" w:type="dxa"/>
            </w:tcMar>
            <w:vAlign w:val="center"/>
          </w:tcPr>
          <w:p w14:paraId="007636EF">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=30场</w:t>
            </w:r>
          </w:p>
        </w:tc>
        <w:tc>
          <w:tcPr>
            <w:tcW w:w="558" w:type="dxa"/>
            <w:shd w:val="clear" w:color="auto" w:fill="auto"/>
            <w:tcMar>
              <w:top w:w="15" w:type="dxa"/>
              <w:left w:w="15" w:type="dxa"/>
              <w:right w:w="15" w:type="dxa"/>
            </w:tcMar>
            <w:vAlign w:val="center"/>
          </w:tcPr>
          <w:p w14:paraId="072885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13D8F7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30场</w:t>
            </w:r>
          </w:p>
        </w:tc>
        <w:tc>
          <w:tcPr>
            <w:tcW w:w="631" w:type="dxa"/>
            <w:shd w:val="clear" w:color="auto" w:fill="auto"/>
            <w:tcMar>
              <w:top w:w="15" w:type="dxa"/>
              <w:left w:w="15" w:type="dxa"/>
              <w:right w:w="15" w:type="dxa"/>
            </w:tcMar>
            <w:vAlign w:val="center"/>
          </w:tcPr>
          <w:p w14:paraId="5BE706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F5ED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jc w:val="center"/>
        </w:trPr>
        <w:tc>
          <w:tcPr>
            <w:tcW w:w="634" w:type="dxa"/>
            <w:vMerge w:val="continue"/>
            <w:shd w:val="clear" w:color="auto" w:fill="auto"/>
            <w:tcMar>
              <w:top w:w="15" w:type="dxa"/>
              <w:left w:w="15" w:type="dxa"/>
              <w:right w:w="15" w:type="dxa"/>
            </w:tcMar>
            <w:vAlign w:val="center"/>
          </w:tcPr>
          <w:p w14:paraId="26DD42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7F2100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14:paraId="6769DC5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免费开放及流动博物馆活动天数</w:t>
            </w:r>
          </w:p>
        </w:tc>
        <w:tc>
          <w:tcPr>
            <w:tcW w:w="1437" w:type="dxa"/>
            <w:shd w:val="clear" w:color="auto" w:fill="auto"/>
            <w:tcMar>
              <w:top w:w="15" w:type="dxa"/>
              <w:left w:w="15" w:type="dxa"/>
              <w:right w:w="15" w:type="dxa"/>
            </w:tcMar>
            <w:vAlign w:val="center"/>
          </w:tcPr>
          <w:p w14:paraId="04A808B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=66天</w:t>
            </w:r>
          </w:p>
        </w:tc>
        <w:tc>
          <w:tcPr>
            <w:tcW w:w="558" w:type="dxa"/>
            <w:shd w:val="clear" w:color="auto" w:fill="auto"/>
            <w:tcMar>
              <w:top w:w="15" w:type="dxa"/>
              <w:left w:w="15" w:type="dxa"/>
              <w:right w:w="15" w:type="dxa"/>
            </w:tcMar>
            <w:vAlign w:val="center"/>
          </w:tcPr>
          <w:p w14:paraId="6478D8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64E55B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66天</w:t>
            </w:r>
          </w:p>
        </w:tc>
        <w:tc>
          <w:tcPr>
            <w:tcW w:w="631" w:type="dxa"/>
            <w:shd w:val="clear" w:color="auto" w:fill="auto"/>
            <w:tcMar>
              <w:top w:w="15" w:type="dxa"/>
              <w:left w:w="15" w:type="dxa"/>
              <w:right w:w="15" w:type="dxa"/>
            </w:tcMar>
            <w:vAlign w:val="center"/>
          </w:tcPr>
          <w:p w14:paraId="16E421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14D5F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5" w:hRule="atLeast"/>
          <w:jc w:val="center"/>
        </w:trPr>
        <w:tc>
          <w:tcPr>
            <w:tcW w:w="634" w:type="dxa"/>
            <w:vMerge w:val="continue"/>
            <w:shd w:val="clear" w:color="auto" w:fill="auto"/>
            <w:tcMar>
              <w:top w:w="15" w:type="dxa"/>
              <w:left w:w="15" w:type="dxa"/>
              <w:right w:w="15" w:type="dxa"/>
            </w:tcMar>
            <w:vAlign w:val="center"/>
          </w:tcPr>
          <w:p w14:paraId="41835F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42935C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14:paraId="1EE845C1">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参加人数</w:t>
            </w:r>
          </w:p>
        </w:tc>
        <w:tc>
          <w:tcPr>
            <w:tcW w:w="1437" w:type="dxa"/>
            <w:shd w:val="clear" w:color="auto" w:fill="auto"/>
            <w:tcMar>
              <w:top w:w="15" w:type="dxa"/>
              <w:left w:w="15" w:type="dxa"/>
              <w:right w:w="15" w:type="dxa"/>
            </w:tcMar>
            <w:vAlign w:val="center"/>
          </w:tcPr>
          <w:p w14:paraId="0CC350AB">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≥27800人</w:t>
            </w:r>
          </w:p>
        </w:tc>
        <w:tc>
          <w:tcPr>
            <w:tcW w:w="558" w:type="dxa"/>
            <w:shd w:val="clear" w:color="auto" w:fill="auto"/>
            <w:tcMar>
              <w:top w:w="15" w:type="dxa"/>
              <w:left w:w="15" w:type="dxa"/>
              <w:right w:w="15" w:type="dxa"/>
            </w:tcMar>
            <w:vAlign w:val="center"/>
          </w:tcPr>
          <w:p w14:paraId="5C703D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54430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28411人</w:t>
            </w:r>
          </w:p>
        </w:tc>
        <w:tc>
          <w:tcPr>
            <w:tcW w:w="631" w:type="dxa"/>
            <w:shd w:val="clear" w:color="auto" w:fill="auto"/>
            <w:tcMar>
              <w:top w:w="15" w:type="dxa"/>
              <w:left w:w="15" w:type="dxa"/>
              <w:right w:w="15" w:type="dxa"/>
            </w:tcMar>
            <w:vAlign w:val="center"/>
          </w:tcPr>
          <w:p w14:paraId="5C91C1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49700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14:paraId="19E564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61B1A33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987" w:type="dxa"/>
            <w:shd w:val="clear" w:color="auto" w:fill="auto"/>
            <w:tcMar>
              <w:top w:w="15" w:type="dxa"/>
              <w:left w:w="15" w:type="dxa"/>
              <w:right w:w="15" w:type="dxa"/>
            </w:tcMar>
            <w:vAlign w:val="center"/>
          </w:tcPr>
          <w:p w14:paraId="702E8948">
            <w:pPr>
              <w:keepNext w:val="0"/>
              <w:keepLines w:val="0"/>
              <w:pageBreakBefore w:val="0"/>
              <w:widowControl/>
              <w:suppressLineNumbers w:val="0"/>
              <w:kinsoku/>
              <w:wordWrap/>
              <w:overflowPunct/>
              <w:topLinePunct w:val="0"/>
              <w:autoSpaceDE/>
              <w:autoSpaceDN/>
              <w:bidi w:val="0"/>
              <w:adjustRightInd/>
              <w:snapToGrid/>
              <w:spacing w:line="300" w:lineRule="exact"/>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免费开放绩效考评率</w:t>
            </w:r>
          </w:p>
        </w:tc>
        <w:tc>
          <w:tcPr>
            <w:tcW w:w="1437" w:type="dxa"/>
            <w:shd w:val="clear" w:color="auto" w:fill="auto"/>
            <w:tcMar>
              <w:top w:w="15" w:type="dxa"/>
              <w:left w:w="15" w:type="dxa"/>
              <w:right w:w="15" w:type="dxa"/>
            </w:tcMar>
            <w:vAlign w:val="center"/>
          </w:tcPr>
          <w:p w14:paraId="08F24CB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14:paraId="37AD61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1333F2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631" w:type="dxa"/>
            <w:shd w:val="clear" w:color="auto" w:fill="auto"/>
            <w:tcMar>
              <w:top w:w="15" w:type="dxa"/>
              <w:left w:w="15" w:type="dxa"/>
              <w:right w:w="15" w:type="dxa"/>
            </w:tcMar>
            <w:vAlign w:val="center"/>
          </w:tcPr>
          <w:p w14:paraId="62DCD7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CD0B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14:paraId="64D56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7AC887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14:paraId="4C85EA49">
            <w:pPr>
              <w:keepNext w:val="0"/>
              <w:keepLines w:val="0"/>
              <w:pageBreakBefore w:val="0"/>
              <w:widowControl/>
              <w:suppressLineNumbers w:val="0"/>
              <w:kinsoku/>
              <w:wordWrap/>
              <w:overflowPunct/>
              <w:topLinePunct w:val="0"/>
              <w:autoSpaceDE/>
              <w:autoSpaceDN/>
              <w:bidi w:val="0"/>
              <w:adjustRightInd/>
              <w:snapToGrid/>
              <w:spacing w:line="300" w:lineRule="exact"/>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陈列展示水平</w:t>
            </w:r>
          </w:p>
        </w:tc>
        <w:tc>
          <w:tcPr>
            <w:tcW w:w="1437" w:type="dxa"/>
            <w:shd w:val="clear" w:color="auto" w:fill="auto"/>
            <w:tcMar>
              <w:top w:w="15" w:type="dxa"/>
              <w:left w:w="15" w:type="dxa"/>
              <w:right w:w="15" w:type="dxa"/>
            </w:tcMar>
            <w:vAlign w:val="center"/>
          </w:tcPr>
          <w:p w14:paraId="08F5EE3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14:paraId="771CB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007B67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631" w:type="dxa"/>
            <w:shd w:val="clear" w:color="auto" w:fill="auto"/>
            <w:tcMar>
              <w:top w:w="15" w:type="dxa"/>
              <w:left w:w="15" w:type="dxa"/>
              <w:right w:w="15" w:type="dxa"/>
            </w:tcMar>
            <w:vAlign w:val="center"/>
          </w:tcPr>
          <w:p w14:paraId="6D08C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EAFD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14:paraId="0A21B2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0BDF61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14:paraId="23F9ED9F">
            <w:pPr>
              <w:keepNext w:val="0"/>
              <w:keepLines w:val="0"/>
              <w:pageBreakBefore w:val="0"/>
              <w:widowControl/>
              <w:suppressLineNumbers w:val="0"/>
              <w:kinsoku/>
              <w:wordWrap/>
              <w:overflowPunct/>
              <w:topLinePunct w:val="0"/>
              <w:autoSpaceDE/>
              <w:autoSpaceDN/>
              <w:bidi w:val="0"/>
              <w:adjustRightInd/>
              <w:snapToGrid/>
              <w:spacing w:line="300" w:lineRule="exact"/>
              <w:ind w:firstLine="400" w:firstLineChars="20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社会教育服务水平</w:t>
            </w:r>
          </w:p>
        </w:tc>
        <w:tc>
          <w:tcPr>
            <w:tcW w:w="1437" w:type="dxa"/>
            <w:shd w:val="clear" w:color="auto" w:fill="auto"/>
            <w:tcMar>
              <w:top w:w="15" w:type="dxa"/>
              <w:left w:w="15" w:type="dxa"/>
              <w:right w:w="15" w:type="dxa"/>
            </w:tcMar>
            <w:vAlign w:val="center"/>
          </w:tcPr>
          <w:p w14:paraId="13888822">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14:paraId="444770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2DC738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631" w:type="dxa"/>
            <w:shd w:val="clear" w:color="auto" w:fill="auto"/>
            <w:tcMar>
              <w:top w:w="15" w:type="dxa"/>
              <w:left w:w="15" w:type="dxa"/>
              <w:right w:w="15" w:type="dxa"/>
            </w:tcMar>
            <w:vAlign w:val="center"/>
          </w:tcPr>
          <w:p w14:paraId="074C0A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F0A6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14:paraId="341D6D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102EB1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987" w:type="dxa"/>
            <w:shd w:val="clear" w:color="auto" w:fill="auto"/>
            <w:tcMar>
              <w:top w:w="15" w:type="dxa"/>
              <w:left w:w="15" w:type="dxa"/>
              <w:right w:w="15" w:type="dxa"/>
            </w:tcMar>
            <w:vAlign w:val="center"/>
          </w:tcPr>
          <w:p w14:paraId="2C4AA1E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举办免费开放活动完成时间</w:t>
            </w:r>
          </w:p>
        </w:tc>
        <w:tc>
          <w:tcPr>
            <w:tcW w:w="1437" w:type="dxa"/>
            <w:shd w:val="clear" w:color="auto" w:fill="auto"/>
            <w:tcMar>
              <w:top w:w="15" w:type="dxa"/>
              <w:left w:w="15" w:type="dxa"/>
              <w:right w:w="15" w:type="dxa"/>
            </w:tcMar>
            <w:vAlign w:val="center"/>
          </w:tcPr>
          <w:p w14:paraId="2A2236AE">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558" w:type="dxa"/>
            <w:shd w:val="clear" w:color="auto" w:fill="auto"/>
            <w:tcMar>
              <w:top w:w="15" w:type="dxa"/>
              <w:left w:w="15" w:type="dxa"/>
              <w:right w:w="15" w:type="dxa"/>
            </w:tcMar>
            <w:vAlign w:val="center"/>
          </w:tcPr>
          <w:p w14:paraId="7FBB236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25DABC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12</w:t>
            </w:r>
            <w:r>
              <w:rPr>
                <w:rFonts w:hint="eastAsia" w:cs="宋体"/>
                <w:color w:val="auto"/>
                <w:kern w:val="0"/>
                <w:sz w:val="20"/>
                <w:szCs w:val="20"/>
                <w:highlight w:val="none"/>
                <w:shd w:val="clear" w:color="auto" w:fill="auto"/>
                <w:lang w:val="en-US" w:eastAsia="zh-CN"/>
              </w:rPr>
              <w:t>月</w:t>
            </w:r>
            <w:r>
              <w:rPr>
                <w:rFonts w:hint="eastAsia" w:ascii="宋体" w:hAnsi="宋体" w:eastAsia="宋体" w:cs="宋体"/>
                <w:color w:val="auto"/>
                <w:kern w:val="0"/>
                <w:sz w:val="20"/>
                <w:szCs w:val="20"/>
                <w:highlight w:val="none"/>
                <w:shd w:val="clear" w:color="auto" w:fill="auto"/>
                <w:lang w:val="en-US" w:eastAsia="zh-CN"/>
              </w:rPr>
              <w:t>31</w:t>
            </w:r>
            <w:r>
              <w:rPr>
                <w:rFonts w:hint="eastAsia" w:cs="宋体"/>
                <w:color w:val="auto"/>
                <w:kern w:val="0"/>
                <w:sz w:val="20"/>
                <w:szCs w:val="20"/>
                <w:highlight w:val="none"/>
                <w:shd w:val="clear" w:color="auto" w:fill="auto"/>
                <w:lang w:val="en-US" w:eastAsia="zh-CN"/>
              </w:rPr>
              <w:t>日</w:t>
            </w:r>
          </w:p>
        </w:tc>
        <w:tc>
          <w:tcPr>
            <w:tcW w:w="631" w:type="dxa"/>
            <w:shd w:val="clear" w:color="auto" w:fill="auto"/>
            <w:tcMar>
              <w:top w:w="15" w:type="dxa"/>
              <w:left w:w="15" w:type="dxa"/>
              <w:right w:w="15" w:type="dxa"/>
            </w:tcMar>
            <w:vAlign w:val="center"/>
          </w:tcPr>
          <w:p w14:paraId="4F04D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3D578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0" w:hRule="atLeast"/>
          <w:jc w:val="center"/>
        </w:trPr>
        <w:tc>
          <w:tcPr>
            <w:tcW w:w="634" w:type="dxa"/>
            <w:vMerge w:val="continue"/>
            <w:shd w:val="clear" w:color="auto" w:fill="auto"/>
            <w:tcMar>
              <w:top w:w="15" w:type="dxa"/>
              <w:left w:w="15" w:type="dxa"/>
              <w:right w:w="15" w:type="dxa"/>
            </w:tcMar>
            <w:vAlign w:val="center"/>
          </w:tcPr>
          <w:p w14:paraId="2004B3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4E7BBC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14:paraId="3B7294A5">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举办流动博物馆宣传完成时间</w:t>
            </w:r>
          </w:p>
        </w:tc>
        <w:tc>
          <w:tcPr>
            <w:tcW w:w="1437" w:type="dxa"/>
            <w:shd w:val="clear" w:color="auto" w:fill="auto"/>
            <w:tcMar>
              <w:top w:w="15" w:type="dxa"/>
              <w:left w:w="15" w:type="dxa"/>
              <w:right w:w="15" w:type="dxa"/>
            </w:tcMar>
            <w:vAlign w:val="center"/>
          </w:tcPr>
          <w:p w14:paraId="37C0BDCA">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≤2023-12-31</w:t>
            </w:r>
          </w:p>
        </w:tc>
        <w:tc>
          <w:tcPr>
            <w:tcW w:w="558" w:type="dxa"/>
            <w:shd w:val="clear" w:color="auto" w:fill="auto"/>
            <w:tcMar>
              <w:top w:w="15" w:type="dxa"/>
              <w:left w:w="15" w:type="dxa"/>
              <w:right w:w="15" w:type="dxa"/>
            </w:tcMar>
            <w:vAlign w:val="center"/>
          </w:tcPr>
          <w:p w14:paraId="565816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624" w:type="dxa"/>
            <w:shd w:val="clear" w:color="auto" w:fill="auto"/>
            <w:tcMar>
              <w:top w:w="15" w:type="dxa"/>
              <w:left w:w="15" w:type="dxa"/>
              <w:right w:w="15" w:type="dxa"/>
            </w:tcMar>
            <w:vAlign w:val="center"/>
          </w:tcPr>
          <w:p w14:paraId="6E4F48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w:t>
            </w:r>
            <w:r>
              <w:rPr>
                <w:rFonts w:hint="eastAsia" w:ascii="宋体" w:hAnsi="宋体" w:eastAsia="宋体" w:cs="宋体"/>
                <w:color w:val="auto"/>
                <w:kern w:val="0"/>
                <w:sz w:val="20"/>
                <w:szCs w:val="20"/>
                <w:highlight w:val="none"/>
                <w:shd w:val="clear" w:color="auto" w:fill="auto"/>
                <w:lang w:val="en-US" w:eastAsia="zh-CN"/>
              </w:rPr>
              <w:t>12</w:t>
            </w:r>
            <w:r>
              <w:rPr>
                <w:rFonts w:hint="eastAsia" w:cs="宋体"/>
                <w:color w:val="auto"/>
                <w:kern w:val="0"/>
                <w:sz w:val="20"/>
                <w:szCs w:val="20"/>
                <w:highlight w:val="none"/>
                <w:shd w:val="clear" w:color="auto" w:fill="auto"/>
                <w:lang w:val="en-US" w:eastAsia="zh-CN"/>
              </w:rPr>
              <w:t>月</w:t>
            </w:r>
            <w:r>
              <w:rPr>
                <w:rFonts w:hint="eastAsia" w:ascii="宋体" w:hAnsi="宋体" w:eastAsia="宋体" w:cs="宋体"/>
                <w:color w:val="auto"/>
                <w:kern w:val="0"/>
                <w:sz w:val="20"/>
                <w:szCs w:val="20"/>
                <w:highlight w:val="none"/>
                <w:shd w:val="clear" w:color="auto" w:fill="auto"/>
                <w:lang w:val="en-US" w:eastAsia="zh-CN"/>
              </w:rPr>
              <w:t>31</w:t>
            </w:r>
            <w:r>
              <w:rPr>
                <w:rFonts w:hint="eastAsia" w:cs="宋体"/>
                <w:color w:val="auto"/>
                <w:kern w:val="0"/>
                <w:sz w:val="20"/>
                <w:szCs w:val="20"/>
                <w:highlight w:val="none"/>
                <w:shd w:val="clear" w:color="auto" w:fill="auto"/>
                <w:lang w:val="en-US" w:eastAsia="zh-CN"/>
              </w:rPr>
              <w:t>日</w:t>
            </w:r>
          </w:p>
        </w:tc>
        <w:tc>
          <w:tcPr>
            <w:tcW w:w="631" w:type="dxa"/>
            <w:shd w:val="clear" w:color="auto" w:fill="auto"/>
            <w:tcMar>
              <w:top w:w="15" w:type="dxa"/>
              <w:left w:w="15" w:type="dxa"/>
              <w:right w:w="15" w:type="dxa"/>
            </w:tcMar>
            <w:vAlign w:val="center"/>
          </w:tcPr>
          <w:p w14:paraId="7FA9B7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B8CE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10" w:hRule="atLeast"/>
          <w:jc w:val="center"/>
        </w:trPr>
        <w:tc>
          <w:tcPr>
            <w:tcW w:w="634" w:type="dxa"/>
            <w:vMerge w:val="continue"/>
            <w:shd w:val="clear" w:color="auto" w:fill="auto"/>
            <w:tcMar>
              <w:top w:w="15" w:type="dxa"/>
              <w:left w:w="15" w:type="dxa"/>
              <w:right w:w="15" w:type="dxa"/>
            </w:tcMar>
            <w:vAlign w:val="center"/>
          </w:tcPr>
          <w:p w14:paraId="02FE69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7D0EB7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987" w:type="dxa"/>
            <w:shd w:val="clear" w:color="auto" w:fill="auto"/>
            <w:tcMar>
              <w:top w:w="15" w:type="dxa"/>
              <w:left w:w="15" w:type="dxa"/>
              <w:right w:w="15" w:type="dxa"/>
            </w:tcMar>
            <w:vAlign w:val="center"/>
          </w:tcPr>
          <w:p w14:paraId="0BE95F1C">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博物馆免费开放专项资金完成及时率</w:t>
            </w:r>
          </w:p>
        </w:tc>
        <w:tc>
          <w:tcPr>
            <w:tcW w:w="1437" w:type="dxa"/>
            <w:shd w:val="clear" w:color="auto" w:fill="auto"/>
            <w:tcMar>
              <w:top w:w="15" w:type="dxa"/>
              <w:left w:w="15" w:type="dxa"/>
              <w:right w:w="15" w:type="dxa"/>
            </w:tcMar>
            <w:vAlign w:val="center"/>
          </w:tcPr>
          <w:p w14:paraId="63C10FD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≥95%</w:t>
            </w:r>
          </w:p>
        </w:tc>
        <w:tc>
          <w:tcPr>
            <w:tcW w:w="558" w:type="dxa"/>
            <w:shd w:val="clear" w:color="auto" w:fill="auto"/>
            <w:tcMar>
              <w:top w:w="15" w:type="dxa"/>
              <w:left w:w="15" w:type="dxa"/>
              <w:right w:w="15" w:type="dxa"/>
            </w:tcMar>
            <w:vAlign w:val="center"/>
          </w:tcPr>
          <w:p w14:paraId="6B0308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14:paraId="6779B3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14:paraId="0444A7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56CC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634" w:type="dxa"/>
            <w:vMerge w:val="continue"/>
            <w:shd w:val="clear" w:color="auto" w:fill="auto"/>
            <w:tcMar>
              <w:top w:w="15" w:type="dxa"/>
              <w:left w:w="15" w:type="dxa"/>
              <w:right w:w="15" w:type="dxa"/>
            </w:tcMar>
            <w:vAlign w:val="center"/>
          </w:tcPr>
          <w:p w14:paraId="784C38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14:paraId="0584E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987" w:type="dxa"/>
            <w:shd w:val="clear" w:color="auto" w:fill="auto"/>
            <w:tcMar>
              <w:top w:w="15" w:type="dxa"/>
              <w:left w:w="15" w:type="dxa"/>
              <w:right w:w="15" w:type="dxa"/>
            </w:tcMar>
            <w:vAlign w:val="center"/>
          </w:tcPr>
          <w:p w14:paraId="532F76C8">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免费开放活动支出</w:t>
            </w:r>
          </w:p>
        </w:tc>
        <w:tc>
          <w:tcPr>
            <w:tcW w:w="1437" w:type="dxa"/>
            <w:shd w:val="clear" w:color="auto" w:fill="auto"/>
            <w:tcMar>
              <w:top w:w="15" w:type="dxa"/>
              <w:left w:w="15" w:type="dxa"/>
              <w:right w:w="15" w:type="dxa"/>
            </w:tcMar>
            <w:vAlign w:val="center"/>
          </w:tcPr>
          <w:p w14:paraId="54C6995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w:t>
            </w:r>
            <w:r>
              <w:rPr>
                <w:rFonts w:hint="eastAsia" w:ascii="宋体" w:hAnsi="宋体" w:eastAsia="宋体" w:cs="宋体"/>
                <w:color w:val="auto"/>
                <w:kern w:val="0"/>
                <w:sz w:val="20"/>
                <w:szCs w:val="20"/>
                <w:highlight w:val="none"/>
                <w:shd w:val="clear" w:color="auto" w:fill="auto"/>
                <w:lang w:val="en-US" w:eastAsia="zh-CN"/>
              </w:rPr>
              <w:t>22.57万元</w:t>
            </w:r>
          </w:p>
        </w:tc>
        <w:tc>
          <w:tcPr>
            <w:tcW w:w="558" w:type="dxa"/>
            <w:shd w:val="clear" w:color="auto" w:fill="auto"/>
            <w:tcMar>
              <w:top w:w="15" w:type="dxa"/>
              <w:left w:w="15" w:type="dxa"/>
              <w:right w:w="15" w:type="dxa"/>
            </w:tcMar>
            <w:vAlign w:val="center"/>
          </w:tcPr>
          <w:p w14:paraId="6E560F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14:paraId="5B2CA9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22.57万元</w:t>
            </w:r>
          </w:p>
        </w:tc>
        <w:tc>
          <w:tcPr>
            <w:tcW w:w="631" w:type="dxa"/>
            <w:shd w:val="clear" w:color="auto" w:fill="auto"/>
            <w:tcMar>
              <w:top w:w="15" w:type="dxa"/>
              <w:left w:w="15" w:type="dxa"/>
              <w:right w:w="15" w:type="dxa"/>
            </w:tcMar>
            <w:vAlign w:val="center"/>
          </w:tcPr>
          <w:p w14:paraId="0EF20F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7EB9E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634" w:type="dxa"/>
            <w:vMerge w:val="continue"/>
            <w:shd w:val="clear" w:color="auto" w:fill="auto"/>
            <w:tcMar>
              <w:top w:w="15" w:type="dxa"/>
              <w:left w:w="15" w:type="dxa"/>
              <w:right w:w="15" w:type="dxa"/>
            </w:tcMar>
            <w:vAlign w:val="center"/>
          </w:tcPr>
          <w:p w14:paraId="37FBD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4C7DB7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2987" w:type="dxa"/>
            <w:shd w:val="clear" w:color="auto" w:fill="auto"/>
            <w:tcMar>
              <w:top w:w="15" w:type="dxa"/>
              <w:left w:w="15" w:type="dxa"/>
              <w:right w:w="15" w:type="dxa"/>
            </w:tcMar>
            <w:vAlign w:val="center"/>
          </w:tcPr>
          <w:p w14:paraId="3F212B34">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流动博物馆巡展宣传支出</w:t>
            </w:r>
          </w:p>
        </w:tc>
        <w:tc>
          <w:tcPr>
            <w:tcW w:w="1437" w:type="dxa"/>
            <w:shd w:val="clear" w:color="auto" w:fill="auto"/>
            <w:tcMar>
              <w:top w:w="15" w:type="dxa"/>
              <w:left w:w="15" w:type="dxa"/>
              <w:right w:w="15" w:type="dxa"/>
            </w:tcMar>
            <w:vAlign w:val="center"/>
          </w:tcPr>
          <w:p w14:paraId="4A80B7DD">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≤18.8万元</w:t>
            </w:r>
          </w:p>
        </w:tc>
        <w:tc>
          <w:tcPr>
            <w:tcW w:w="558" w:type="dxa"/>
            <w:shd w:val="clear" w:color="auto" w:fill="auto"/>
            <w:tcMar>
              <w:top w:w="15" w:type="dxa"/>
              <w:left w:w="15" w:type="dxa"/>
              <w:right w:w="15" w:type="dxa"/>
            </w:tcMar>
            <w:vAlign w:val="center"/>
          </w:tcPr>
          <w:p w14:paraId="528E82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14:paraId="44ADFD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18.8万元</w:t>
            </w:r>
          </w:p>
        </w:tc>
        <w:tc>
          <w:tcPr>
            <w:tcW w:w="631" w:type="dxa"/>
            <w:shd w:val="clear" w:color="auto" w:fill="auto"/>
            <w:tcMar>
              <w:top w:w="15" w:type="dxa"/>
              <w:left w:w="15" w:type="dxa"/>
              <w:right w:w="15" w:type="dxa"/>
            </w:tcMar>
            <w:vAlign w:val="center"/>
          </w:tcPr>
          <w:p w14:paraId="1895BE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0E8D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28" w:hRule="atLeast"/>
          <w:jc w:val="center"/>
        </w:trPr>
        <w:tc>
          <w:tcPr>
            <w:tcW w:w="634" w:type="dxa"/>
            <w:vMerge w:val="continue"/>
            <w:shd w:val="clear" w:color="auto" w:fill="auto"/>
            <w:tcMar>
              <w:top w:w="15" w:type="dxa"/>
              <w:left w:w="15" w:type="dxa"/>
              <w:right w:w="15" w:type="dxa"/>
            </w:tcMar>
            <w:vAlign w:val="center"/>
          </w:tcPr>
          <w:p w14:paraId="0E6826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14:paraId="2D3D9C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yellow"/>
                <w:shd w:val="clear" w:color="auto" w:fill="auto"/>
                <w:lang w:val="en-US" w:eastAsia="zh-CN"/>
              </w:rPr>
            </w:pPr>
          </w:p>
        </w:tc>
        <w:tc>
          <w:tcPr>
            <w:tcW w:w="2987" w:type="dxa"/>
            <w:shd w:val="clear" w:color="auto" w:fill="auto"/>
            <w:tcMar>
              <w:top w:w="15" w:type="dxa"/>
              <w:left w:w="15" w:type="dxa"/>
              <w:right w:w="15" w:type="dxa"/>
            </w:tcMar>
            <w:vAlign w:val="center"/>
          </w:tcPr>
          <w:p w14:paraId="18D547A0">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博物馆免费开放专项资金到位率</w:t>
            </w:r>
          </w:p>
        </w:tc>
        <w:tc>
          <w:tcPr>
            <w:tcW w:w="1437" w:type="dxa"/>
            <w:shd w:val="clear" w:color="auto" w:fill="auto"/>
            <w:tcMar>
              <w:top w:w="15" w:type="dxa"/>
              <w:left w:w="15" w:type="dxa"/>
              <w:right w:w="15" w:type="dxa"/>
            </w:tcMar>
            <w:vAlign w:val="center"/>
          </w:tcPr>
          <w:p w14:paraId="59DC3673">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558" w:type="dxa"/>
            <w:shd w:val="clear" w:color="auto" w:fill="auto"/>
            <w:tcMar>
              <w:top w:w="15" w:type="dxa"/>
              <w:left w:w="15" w:type="dxa"/>
              <w:right w:w="15" w:type="dxa"/>
            </w:tcMar>
            <w:vAlign w:val="center"/>
          </w:tcPr>
          <w:p w14:paraId="73AC08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624" w:type="dxa"/>
            <w:shd w:val="clear" w:color="auto" w:fill="auto"/>
            <w:tcMar>
              <w:top w:w="15" w:type="dxa"/>
              <w:left w:w="15" w:type="dxa"/>
              <w:right w:w="15" w:type="dxa"/>
            </w:tcMar>
            <w:vAlign w:val="center"/>
          </w:tcPr>
          <w:p w14:paraId="0C40EC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100%</w:t>
            </w:r>
          </w:p>
        </w:tc>
        <w:tc>
          <w:tcPr>
            <w:tcW w:w="631" w:type="dxa"/>
            <w:shd w:val="clear" w:color="auto" w:fill="auto"/>
            <w:tcMar>
              <w:top w:w="15" w:type="dxa"/>
              <w:left w:w="15" w:type="dxa"/>
              <w:right w:w="15" w:type="dxa"/>
            </w:tcMar>
            <w:vAlign w:val="center"/>
          </w:tcPr>
          <w:p w14:paraId="3FDADC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41CC4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03" w:hRule="atLeast"/>
          <w:jc w:val="center"/>
        </w:trPr>
        <w:tc>
          <w:tcPr>
            <w:tcW w:w="5986" w:type="dxa"/>
            <w:gridSpan w:val="4"/>
            <w:shd w:val="clear" w:color="auto" w:fill="auto"/>
            <w:tcMar>
              <w:top w:w="15" w:type="dxa"/>
              <w:left w:w="15" w:type="dxa"/>
              <w:right w:w="15" w:type="dxa"/>
            </w:tcMar>
            <w:vAlign w:val="center"/>
          </w:tcPr>
          <w:p w14:paraId="6DD268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14:paraId="539241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624" w:type="dxa"/>
            <w:shd w:val="clear" w:color="auto" w:fill="auto"/>
            <w:tcMar>
              <w:top w:w="15" w:type="dxa"/>
              <w:left w:w="15" w:type="dxa"/>
              <w:right w:w="15" w:type="dxa"/>
            </w:tcMar>
            <w:vAlign w:val="center"/>
          </w:tcPr>
          <w:p w14:paraId="596046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14:paraId="47FC28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23C83EB2">
      <w:pPr>
        <w:bidi w:val="0"/>
        <w:outlineLvl w:val="2"/>
        <w:rPr>
          <w:rFonts w:hint="eastAsia"/>
          <w:b/>
          <w:bCs/>
          <w:lang w:val="en-US" w:eastAsia="zh-CN"/>
        </w:rPr>
      </w:pPr>
      <w:bookmarkStart w:id="70" w:name="_Toc11067"/>
      <w:r>
        <w:rPr>
          <w:rFonts w:hint="eastAsia"/>
          <w:b/>
          <w:bCs/>
          <w:lang w:val="en-US" w:eastAsia="zh-CN"/>
        </w:rPr>
        <w:t>1.项目完成数量</w:t>
      </w:r>
      <w:bookmarkEnd w:id="70"/>
    </w:p>
    <w:p w14:paraId="611FBDFF">
      <w:pPr>
        <w:bidi w:val="0"/>
        <w:rPr>
          <w:rFonts w:hint="eastAsia"/>
          <w:color w:val="auto"/>
          <w:lang w:val="en-US" w:eastAsia="zh-CN"/>
        </w:rPr>
      </w:pPr>
      <w:r>
        <w:rPr>
          <w:rFonts w:hint="eastAsia"/>
          <w:color w:val="auto"/>
          <w:lang w:eastAsia="zh-CN"/>
        </w:rPr>
        <w:t>“</w:t>
      </w:r>
      <w:r>
        <w:rPr>
          <w:rFonts w:hint="eastAsia"/>
          <w:color w:val="auto"/>
          <w:lang w:val="en-US" w:eastAsia="zh-CN"/>
        </w:rPr>
        <w:t>举办免费开放活动场次</w:t>
      </w:r>
      <w:r>
        <w:rPr>
          <w:rFonts w:hint="eastAsia"/>
          <w:color w:val="auto"/>
          <w:lang w:eastAsia="zh-CN"/>
        </w:rPr>
        <w:t>”</w:t>
      </w:r>
      <w:r>
        <w:rPr>
          <w:rFonts w:hint="eastAsia"/>
          <w:color w:val="auto"/>
          <w:lang w:val="en-US" w:eastAsia="zh-CN"/>
        </w:rPr>
        <w:t>指标，预期目标值为=36场，实际完成为36场。实际完成率=（36场/36场）×100%=100%；</w:t>
      </w:r>
    </w:p>
    <w:p w14:paraId="5595BE14">
      <w:pPr>
        <w:bidi w:val="0"/>
        <w:rPr>
          <w:rFonts w:hint="eastAsia"/>
          <w:color w:val="auto"/>
          <w:lang w:val="en-US" w:eastAsia="zh-CN"/>
        </w:rPr>
      </w:pPr>
      <w:r>
        <w:rPr>
          <w:rFonts w:hint="eastAsia"/>
          <w:color w:val="auto"/>
          <w:lang w:eastAsia="zh-CN"/>
        </w:rPr>
        <w:t>“</w:t>
      </w:r>
      <w:r>
        <w:rPr>
          <w:rFonts w:hint="eastAsia"/>
          <w:color w:val="auto"/>
          <w:lang w:val="en-US" w:eastAsia="zh-CN"/>
        </w:rPr>
        <w:t>举办流动博物馆巡展宣传场次</w:t>
      </w:r>
      <w:r>
        <w:rPr>
          <w:rFonts w:hint="eastAsia"/>
          <w:color w:val="auto"/>
          <w:lang w:eastAsia="zh-CN"/>
        </w:rPr>
        <w:t>”</w:t>
      </w:r>
      <w:r>
        <w:rPr>
          <w:rFonts w:hint="eastAsia"/>
          <w:color w:val="auto"/>
          <w:lang w:val="en-US" w:eastAsia="zh-CN"/>
        </w:rPr>
        <w:t>指标，预期目标值为=30场，实际完成为30场。实际完成率=（30场/30场）×100%=100%；</w:t>
      </w:r>
    </w:p>
    <w:p w14:paraId="1EFE046A">
      <w:pPr>
        <w:bidi w:val="0"/>
        <w:rPr>
          <w:rFonts w:hint="eastAsia"/>
          <w:color w:val="auto"/>
          <w:lang w:val="en-US" w:eastAsia="zh-CN"/>
        </w:rPr>
      </w:pPr>
      <w:r>
        <w:rPr>
          <w:rFonts w:hint="eastAsia"/>
          <w:color w:val="auto"/>
          <w:lang w:eastAsia="zh-CN"/>
        </w:rPr>
        <w:t>“</w:t>
      </w:r>
      <w:r>
        <w:rPr>
          <w:rFonts w:hint="eastAsia"/>
          <w:color w:val="auto"/>
          <w:lang w:val="en-US" w:eastAsia="zh-CN"/>
        </w:rPr>
        <w:t>免费开放及流动博物馆活动天数</w:t>
      </w:r>
      <w:r>
        <w:rPr>
          <w:rFonts w:hint="eastAsia"/>
          <w:color w:val="auto"/>
          <w:lang w:eastAsia="zh-CN"/>
        </w:rPr>
        <w:t>”</w:t>
      </w:r>
      <w:r>
        <w:rPr>
          <w:rFonts w:hint="eastAsia"/>
          <w:color w:val="auto"/>
          <w:lang w:val="en-US" w:eastAsia="zh-CN"/>
        </w:rPr>
        <w:t>指标，预期目标值为=66天，实际完成为66天。实际完成率=（66天/66天）×100%=100%；</w:t>
      </w:r>
    </w:p>
    <w:p w14:paraId="3DB0F5B9">
      <w:pPr>
        <w:bidi w:val="0"/>
        <w:rPr>
          <w:rFonts w:hint="eastAsia"/>
          <w:color w:val="auto"/>
          <w:lang w:val="en-US" w:eastAsia="zh-CN"/>
        </w:rPr>
      </w:pPr>
      <w:r>
        <w:rPr>
          <w:rFonts w:hint="eastAsia"/>
          <w:color w:val="auto"/>
          <w:lang w:eastAsia="zh-CN"/>
        </w:rPr>
        <w:t>“</w:t>
      </w:r>
      <w:r>
        <w:rPr>
          <w:rFonts w:hint="eastAsia"/>
          <w:color w:val="auto"/>
          <w:lang w:val="en-US" w:eastAsia="zh-CN"/>
        </w:rPr>
        <w:t>参加人数</w:t>
      </w:r>
      <w:r>
        <w:rPr>
          <w:rFonts w:hint="eastAsia"/>
          <w:color w:val="auto"/>
          <w:lang w:eastAsia="zh-CN"/>
        </w:rPr>
        <w:t>”</w:t>
      </w:r>
      <w:r>
        <w:rPr>
          <w:rFonts w:hint="eastAsia"/>
          <w:color w:val="auto"/>
          <w:lang w:val="en-US" w:eastAsia="zh-CN"/>
        </w:rPr>
        <w:t>指标，预期目标值为≥27800人，实际完成为28411人。实际完成率=（28411/27800）×100%=102%。</w:t>
      </w:r>
    </w:p>
    <w:p w14:paraId="33A7A7F9">
      <w:pPr>
        <w:bidi w:val="0"/>
        <w:rPr>
          <w:rFonts w:hint="eastAsia"/>
          <w:color w:val="auto"/>
          <w:lang w:eastAsia="zh-CN"/>
        </w:rPr>
      </w:pPr>
      <w:r>
        <w:rPr>
          <w:rFonts w:hint="eastAsia"/>
          <w:b/>
          <w:bCs/>
          <w:color w:val="auto"/>
          <w:lang w:val="en-US" w:eastAsia="zh-CN"/>
        </w:rPr>
        <w:t>综上，该项指标满分8分，得分8分。</w:t>
      </w:r>
    </w:p>
    <w:p w14:paraId="21D8022A">
      <w:pPr>
        <w:bidi w:val="0"/>
        <w:outlineLvl w:val="2"/>
        <w:rPr>
          <w:rFonts w:hint="default"/>
          <w:b/>
          <w:bCs/>
          <w:lang w:val="en-US" w:eastAsia="zh-CN"/>
        </w:rPr>
      </w:pPr>
      <w:bookmarkStart w:id="71" w:name="_Toc31739"/>
      <w:r>
        <w:rPr>
          <w:rFonts w:hint="eastAsia"/>
          <w:b/>
          <w:bCs/>
          <w:lang w:val="en-US" w:eastAsia="zh-CN"/>
        </w:rPr>
        <w:t>2.项目完成质量</w:t>
      </w:r>
      <w:bookmarkEnd w:id="71"/>
    </w:p>
    <w:p w14:paraId="512279B4">
      <w:pPr>
        <w:bidi w:val="0"/>
        <w:rPr>
          <w:rFonts w:hint="eastAsia"/>
          <w:color w:val="auto"/>
          <w:lang w:val="en-US" w:eastAsia="zh-CN"/>
        </w:rPr>
      </w:pPr>
      <w:r>
        <w:rPr>
          <w:rFonts w:hint="eastAsia"/>
          <w:color w:val="auto"/>
          <w:lang w:eastAsia="zh-CN"/>
        </w:rPr>
        <w:t>“</w:t>
      </w:r>
      <w:r>
        <w:rPr>
          <w:rFonts w:hint="eastAsia"/>
          <w:color w:val="auto"/>
          <w:lang w:val="en-US" w:eastAsia="zh-CN"/>
        </w:rPr>
        <w:t>免费开放绩效考评率</w:t>
      </w:r>
      <w:r>
        <w:rPr>
          <w:rFonts w:hint="eastAsia"/>
          <w:color w:val="auto"/>
          <w:lang w:eastAsia="zh-CN"/>
        </w:rPr>
        <w:t>”</w:t>
      </w:r>
      <w:r>
        <w:rPr>
          <w:rFonts w:hint="eastAsia"/>
          <w:color w:val="auto"/>
          <w:lang w:val="en-US" w:eastAsia="zh-CN"/>
        </w:rPr>
        <w:t>指标，预期目标值为≥95%，实际完成为95%；</w:t>
      </w:r>
    </w:p>
    <w:p w14:paraId="46B70897">
      <w:pPr>
        <w:bidi w:val="0"/>
        <w:rPr>
          <w:rFonts w:hint="eastAsia"/>
          <w:color w:val="auto"/>
          <w:lang w:val="en-US" w:eastAsia="zh-CN"/>
        </w:rPr>
      </w:pPr>
      <w:r>
        <w:rPr>
          <w:rFonts w:hint="eastAsia"/>
          <w:color w:val="auto"/>
          <w:lang w:eastAsia="zh-CN"/>
        </w:rPr>
        <w:t>“</w:t>
      </w:r>
      <w:r>
        <w:rPr>
          <w:rFonts w:hint="eastAsia"/>
          <w:color w:val="auto"/>
          <w:lang w:val="en-US" w:eastAsia="zh-CN"/>
        </w:rPr>
        <w:t>陈列展示水平</w:t>
      </w:r>
      <w:r>
        <w:rPr>
          <w:rFonts w:hint="eastAsia"/>
          <w:color w:val="auto"/>
          <w:lang w:eastAsia="zh-CN"/>
        </w:rPr>
        <w:t>”</w:t>
      </w:r>
      <w:r>
        <w:rPr>
          <w:rFonts w:hint="eastAsia"/>
          <w:color w:val="auto"/>
          <w:lang w:val="en-US" w:eastAsia="zh-CN"/>
        </w:rPr>
        <w:t>指标，预期目标值为≥95%，实际完成为95%；</w:t>
      </w:r>
    </w:p>
    <w:p w14:paraId="47F3AE6A">
      <w:pPr>
        <w:bidi w:val="0"/>
        <w:rPr>
          <w:rFonts w:hint="eastAsia"/>
          <w:color w:val="auto"/>
          <w:lang w:eastAsia="zh-CN"/>
        </w:rPr>
      </w:pPr>
      <w:r>
        <w:rPr>
          <w:rFonts w:hint="eastAsia"/>
          <w:color w:val="auto"/>
          <w:lang w:eastAsia="zh-CN"/>
        </w:rPr>
        <w:t>“</w:t>
      </w:r>
      <w:r>
        <w:rPr>
          <w:rFonts w:hint="eastAsia"/>
          <w:color w:val="auto"/>
          <w:lang w:val="en-US" w:eastAsia="zh-CN"/>
        </w:rPr>
        <w:t>社会教育服务水平</w:t>
      </w:r>
      <w:r>
        <w:rPr>
          <w:rFonts w:hint="eastAsia"/>
          <w:color w:val="auto"/>
          <w:lang w:eastAsia="zh-CN"/>
        </w:rPr>
        <w:t>”</w:t>
      </w:r>
      <w:r>
        <w:rPr>
          <w:rFonts w:hint="eastAsia"/>
          <w:color w:val="auto"/>
          <w:lang w:val="en-US" w:eastAsia="zh-CN"/>
        </w:rPr>
        <w:t>指标，预期目标值为≥95%，实际完成为95%。</w:t>
      </w:r>
    </w:p>
    <w:p w14:paraId="602F3AB9">
      <w:pPr>
        <w:bidi w:val="0"/>
        <w:rPr>
          <w:rFonts w:hint="eastAsia"/>
          <w:color w:val="auto"/>
          <w:lang w:eastAsia="zh-CN"/>
        </w:rPr>
      </w:pPr>
      <w:r>
        <w:rPr>
          <w:rFonts w:hint="eastAsia"/>
          <w:b/>
          <w:bCs/>
          <w:color w:val="auto"/>
          <w:lang w:val="en-US" w:eastAsia="zh-CN"/>
        </w:rPr>
        <w:t>综上，该项指标满分6分，得分6分。</w:t>
      </w:r>
    </w:p>
    <w:p w14:paraId="50DCA4EE">
      <w:pPr>
        <w:bidi w:val="0"/>
        <w:outlineLvl w:val="2"/>
        <w:rPr>
          <w:rFonts w:hint="default"/>
          <w:b/>
          <w:bCs/>
          <w:color w:val="auto"/>
          <w:lang w:val="en-US" w:eastAsia="zh-CN"/>
        </w:rPr>
      </w:pPr>
      <w:bookmarkStart w:id="72" w:name="_Toc18307"/>
      <w:r>
        <w:rPr>
          <w:rFonts w:hint="eastAsia"/>
          <w:b/>
          <w:bCs/>
          <w:color w:val="auto"/>
          <w:lang w:val="en-US" w:eastAsia="zh-CN"/>
        </w:rPr>
        <w:t>3.项目完成时效</w:t>
      </w:r>
      <w:bookmarkEnd w:id="72"/>
    </w:p>
    <w:p w14:paraId="1F6F0C29">
      <w:pPr>
        <w:bidi w:val="0"/>
        <w:jc w:val="both"/>
        <w:rPr>
          <w:rFonts w:hint="eastAsia"/>
          <w:color w:val="auto"/>
          <w:lang w:val="en-US" w:eastAsia="zh-CN"/>
        </w:rPr>
      </w:pPr>
      <w:r>
        <w:rPr>
          <w:rFonts w:hint="eastAsia"/>
          <w:color w:val="auto"/>
          <w:lang w:eastAsia="zh-CN"/>
        </w:rPr>
        <w:t>“</w:t>
      </w:r>
      <w:r>
        <w:rPr>
          <w:rFonts w:hint="eastAsia"/>
          <w:color w:val="auto"/>
          <w:lang w:val="en-US" w:eastAsia="zh-CN"/>
        </w:rPr>
        <w:t>举办免费开放活动完成时间</w:t>
      </w:r>
      <w:r>
        <w:rPr>
          <w:rFonts w:hint="eastAsia"/>
          <w:color w:val="auto"/>
          <w:lang w:eastAsia="zh-CN"/>
        </w:rPr>
        <w:t>”</w:t>
      </w:r>
      <w:r>
        <w:rPr>
          <w:rFonts w:hint="eastAsia"/>
          <w:color w:val="auto"/>
          <w:lang w:val="en-US" w:eastAsia="zh-CN"/>
        </w:rPr>
        <w:t>指标，预期目标值为≤2023-12-31，实际完成为2023年12月31日；</w:t>
      </w:r>
    </w:p>
    <w:p w14:paraId="0D36AC54">
      <w:pPr>
        <w:bidi w:val="0"/>
        <w:rPr>
          <w:rFonts w:hint="eastAsia"/>
          <w:color w:val="auto"/>
          <w:lang w:val="en-US" w:eastAsia="zh-CN"/>
        </w:rPr>
      </w:pPr>
      <w:r>
        <w:rPr>
          <w:rFonts w:hint="eastAsia"/>
          <w:color w:val="auto"/>
          <w:lang w:eastAsia="zh-CN"/>
        </w:rPr>
        <w:t>“</w:t>
      </w:r>
      <w:r>
        <w:rPr>
          <w:rFonts w:hint="eastAsia"/>
          <w:color w:val="auto"/>
          <w:lang w:val="en-US" w:eastAsia="zh-CN"/>
        </w:rPr>
        <w:t>举办流动博物馆宣传完成时间</w:t>
      </w:r>
      <w:r>
        <w:rPr>
          <w:rFonts w:hint="eastAsia"/>
          <w:color w:val="auto"/>
          <w:lang w:eastAsia="zh-CN"/>
        </w:rPr>
        <w:t>”</w:t>
      </w:r>
      <w:r>
        <w:rPr>
          <w:rFonts w:hint="eastAsia"/>
          <w:color w:val="auto"/>
          <w:lang w:val="en-US" w:eastAsia="zh-CN"/>
        </w:rPr>
        <w:t>指标，预期目标值为≤2023-12-31，实际完成为2023年12月31日；</w:t>
      </w:r>
    </w:p>
    <w:p w14:paraId="1BEACAEC">
      <w:pPr>
        <w:bidi w:val="0"/>
        <w:rPr>
          <w:rFonts w:hint="eastAsia"/>
          <w:color w:val="auto"/>
          <w:lang w:eastAsia="zh-CN"/>
        </w:rPr>
      </w:pPr>
      <w:r>
        <w:rPr>
          <w:rFonts w:hint="eastAsia"/>
          <w:color w:val="auto"/>
          <w:lang w:eastAsia="zh-CN"/>
        </w:rPr>
        <w:t>“</w:t>
      </w:r>
      <w:r>
        <w:rPr>
          <w:rFonts w:hint="eastAsia"/>
          <w:color w:val="auto"/>
          <w:lang w:val="en-US" w:eastAsia="zh-CN"/>
        </w:rPr>
        <w:t>博物馆免费开放专项资金完成及时率</w:t>
      </w:r>
      <w:r>
        <w:rPr>
          <w:rFonts w:hint="eastAsia"/>
          <w:color w:val="auto"/>
          <w:lang w:eastAsia="zh-CN"/>
        </w:rPr>
        <w:t>”</w:t>
      </w:r>
      <w:r>
        <w:rPr>
          <w:rFonts w:hint="eastAsia"/>
          <w:color w:val="auto"/>
          <w:lang w:val="en-US" w:eastAsia="zh-CN"/>
        </w:rPr>
        <w:t>指标，预期目标值为≥95%，实际完成为100%。</w:t>
      </w:r>
    </w:p>
    <w:p w14:paraId="5F6AB4FB">
      <w:pPr>
        <w:bidi w:val="0"/>
        <w:rPr>
          <w:rFonts w:hint="eastAsia"/>
          <w:color w:val="auto"/>
          <w:lang w:eastAsia="zh-CN"/>
        </w:rPr>
      </w:pPr>
      <w:r>
        <w:rPr>
          <w:rFonts w:hint="eastAsia"/>
          <w:b/>
          <w:bCs/>
          <w:color w:val="auto"/>
          <w:lang w:val="en-US" w:eastAsia="zh-CN"/>
        </w:rPr>
        <w:t>综上，该项指标满分7分，得分7分。</w:t>
      </w:r>
    </w:p>
    <w:p w14:paraId="759E5B83">
      <w:pPr>
        <w:bidi w:val="0"/>
        <w:outlineLvl w:val="2"/>
        <w:rPr>
          <w:rFonts w:hint="default"/>
          <w:b/>
          <w:bCs/>
          <w:lang w:val="en-US" w:eastAsia="zh-CN"/>
        </w:rPr>
      </w:pPr>
      <w:bookmarkStart w:id="73" w:name="_Toc32765"/>
      <w:r>
        <w:rPr>
          <w:rFonts w:hint="eastAsia"/>
          <w:b/>
          <w:bCs/>
          <w:lang w:val="en-US" w:eastAsia="zh-CN"/>
        </w:rPr>
        <w:t>4.项目完成成本</w:t>
      </w:r>
      <w:bookmarkEnd w:id="73"/>
    </w:p>
    <w:p w14:paraId="3890E4C7">
      <w:pPr>
        <w:bidi w:val="0"/>
        <w:rPr>
          <w:rFonts w:hint="eastAsia"/>
          <w:color w:val="auto"/>
          <w:lang w:val="en-US" w:eastAsia="zh-CN"/>
        </w:rPr>
      </w:pPr>
      <w:r>
        <w:rPr>
          <w:rFonts w:hint="eastAsia"/>
          <w:color w:val="auto"/>
          <w:lang w:eastAsia="zh-CN"/>
        </w:rPr>
        <w:t>“</w:t>
      </w:r>
      <w:r>
        <w:rPr>
          <w:rFonts w:hint="eastAsia"/>
          <w:color w:val="auto"/>
          <w:lang w:val="en-US" w:eastAsia="zh-CN"/>
        </w:rPr>
        <w:t>免费开放活动支出</w:t>
      </w:r>
      <w:r>
        <w:rPr>
          <w:rFonts w:hint="eastAsia"/>
          <w:color w:val="auto"/>
          <w:lang w:eastAsia="zh-CN"/>
        </w:rPr>
        <w:t>”</w:t>
      </w:r>
      <w:r>
        <w:rPr>
          <w:rFonts w:hint="eastAsia"/>
          <w:color w:val="auto"/>
          <w:lang w:val="en-US" w:eastAsia="zh-CN"/>
        </w:rPr>
        <w:t>指标，预期目标值为≤22.57万元，实际完成为22.57万元。实际完成率=（22.57万元/22.57万元）×100%=100%；</w:t>
      </w:r>
    </w:p>
    <w:p w14:paraId="1E352ED4">
      <w:pPr>
        <w:bidi w:val="0"/>
        <w:rPr>
          <w:rFonts w:hint="eastAsia"/>
          <w:color w:val="auto"/>
          <w:lang w:val="en-US" w:eastAsia="zh-CN"/>
        </w:rPr>
      </w:pPr>
      <w:r>
        <w:rPr>
          <w:rFonts w:hint="eastAsia"/>
          <w:color w:val="auto"/>
          <w:lang w:eastAsia="zh-CN"/>
        </w:rPr>
        <w:t>“</w:t>
      </w:r>
      <w:r>
        <w:rPr>
          <w:rFonts w:hint="eastAsia"/>
          <w:color w:val="auto"/>
          <w:lang w:val="en-US" w:eastAsia="zh-CN"/>
        </w:rPr>
        <w:t>流动博物馆巡展宣传支出</w:t>
      </w:r>
      <w:r>
        <w:rPr>
          <w:rFonts w:hint="eastAsia"/>
          <w:color w:val="auto"/>
          <w:lang w:eastAsia="zh-CN"/>
        </w:rPr>
        <w:t>”</w:t>
      </w:r>
      <w:r>
        <w:rPr>
          <w:rFonts w:hint="eastAsia"/>
          <w:color w:val="auto"/>
          <w:lang w:val="en-US" w:eastAsia="zh-CN"/>
        </w:rPr>
        <w:t>指标，预期目标值为≤18.8万元，实际完成为18.8万元。实际完成率=（18.8万元/18.8万元）×100%=100%；</w:t>
      </w:r>
    </w:p>
    <w:p w14:paraId="73596788">
      <w:pPr>
        <w:bidi w:val="0"/>
        <w:rPr>
          <w:rFonts w:hint="eastAsia"/>
          <w:color w:val="auto"/>
          <w:lang w:eastAsia="zh-CN"/>
        </w:rPr>
      </w:pPr>
      <w:r>
        <w:rPr>
          <w:rFonts w:hint="eastAsia"/>
          <w:color w:val="auto"/>
          <w:lang w:eastAsia="zh-CN"/>
        </w:rPr>
        <w:t>“</w:t>
      </w:r>
      <w:r>
        <w:rPr>
          <w:rFonts w:hint="eastAsia"/>
          <w:color w:val="auto"/>
          <w:lang w:val="en-US" w:eastAsia="zh-CN"/>
        </w:rPr>
        <w:t>博物馆免费开放专项资金到位率</w:t>
      </w:r>
      <w:r>
        <w:rPr>
          <w:rFonts w:hint="eastAsia"/>
          <w:color w:val="auto"/>
          <w:lang w:eastAsia="zh-CN"/>
        </w:rPr>
        <w:t>”</w:t>
      </w:r>
      <w:r>
        <w:rPr>
          <w:rFonts w:hint="eastAsia"/>
          <w:color w:val="auto"/>
          <w:lang w:val="en-US" w:eastAsia="zh-CN"/>
        </w:rPr>
        <w:t>指标，预期目标值为100%，实际完成为100%。实际完成率=（100%/100%）×100%=100%。</w:t>
      </w:r>
    </w:p>
    <w:p w14:paraId="13AA8920">
      <w:pPr>
        <w:bidi w:val="0"/>
        <w:rPr>
          <w:rFonts w:hint="eastAsia"/>
          <w:color w:val="auto"/>
          <w:lang w:eastAsia="zh-CN"/>
        </w:rPr>
      </w:pPr>
      <w:r>
        <w:rPr>
          <w:rFonts w:hint="eastAsia"/>
          <w:b/>
          <w:bCs/>
          <w:color w:val="auto"/>
          <w:lang w:val="en-US" w:eastAsia="zh-CN"/>
        </w:rPr>
        <w:t>综上，该项指标满分9分，得分9分。</w:t>
      </w:r>
    </w:p>
    <w:p w14:paraId="61F74D26">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EA64F66">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31BE21E">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36E6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816" w:hRule="atLeast"/>
          <w:jc w:val="center"/>
        </w:trPr>
        <w:tc>
          <w:tcPr>
            <w:tcW w:w="685" w:type="dxa"/>
            <w:shd w:val="clear" w:color="auto" w:fill="FFFFFF"/>
            <w:tcMar>
              <w:top w:w="15" w:type="dxa"/>
              <w:left w:w="15" w:type="dxa"/>
              <w:right w:w="15" w:type="dxa"/>
            </w:tcMar>
            <w:vAlign w:val="center"/>
          </w:tcPr>
          <w:p w14:paraId="04B593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6581C6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shd w:val="clear" w:color="auto" w:fill="FFFFFF"/>
            <w:tcMar>
              <w:top w:w="15" w:type="dxa"/>
              <w:left w:w="15" w:type="dxa"/>
              <w:right w:w="15" w:type="dxa"/>
            </w:tcMar>
            <w:vAlign w:val="center"/>
          </w:tcPr>
          <w:p w14:paraId="478AAD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shd w:val="clear" w:color="auto" w:fill="FFFFFF"/>
            <w:tcMar>
              <w:top w:w="15" w:type="dxa"/>
              <w:left w:w="15" w:type="dxa"/>
              <w:right w:w="15" w:type="dxa"/>
            </w:tcMar>
            <w:vAlign w:val="center"/>
          </w:tcPr>
          <w:p w14:paraId="080ED7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shd w:val="clear" w:color="auto" w:fill="FFFFFF"/>
            <w:tcMar>
              <w:top w:w="15" w:type="dxa"/>
              <w:left w:w="15" w:type="dxa"/>
              <w:right w:w="15" w:type="dxa"/>
            </w:tcMar>
            <w:vAlign w:val="center"/>
          </w:tcPr>
          <w:p w14:paraId="40330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7F155E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shd w:val="clear" w:color="auto" w:fill="FFFFFF"/>
            <w:tcMar>
              <w:top w:w="15" w:type="dxa"/>
              <w:left w:w="15" w:type="dxa"/>
              <w:right w:w="15" w:type="dxa"/>
            </w:tcMar>
            <w:vAlign w:val="center"/>
          </w:tcPr>
          <w:p w14:paraId="50362F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4C6F1F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shd w:val="clear" w:color="auto" w:fill="FFFFFF"/>
            <w:tcMar>
              <w:top w:w="15" w:type="dxa"/>
              <w:left w:w="15" w:type="dxa"/>
              <w:right w:w="15" w:type="dxa"/>
            </w:tcMar>
            <w:vAlign w:val="center"/>
          </w:tcPr>
          <w:p w14:paraId="135267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265CE5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shd w:val="clear" w:color="auto" w:fill="FFFFFF"/>
            <w:tcMar>
              <w:top w:w="15" w:type="dxa"/>
              <w:left w:w="15" w:type="dxa"/>
              <w:right w:w="15" w:type="dxa"/>
            </w:tcMar>
            <w:vAlign w:val="center"/>
          </w:tcPr>
          <w:p w14:paraId="49783C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596DAE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15A75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restart"/>
            <w:shd w:val="clear" w:color="auto" w:fill="auto"/>
            <w:tcMar>
              <w:top w:w="15" w:type="dxa"/>
              <w:left w:w="15" w:type="dxa"/>
              <w:right w:w="15" w:type="dxa"/>
            </w:tcMar>
            <w:vAlign w:val="center"/>
          </w:tcPr>
          <w:p w14:paraId="1BE170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vMerge w:val="restart"/>
            <w:shd w:val="clear" w:color="auto" w:fill="auto"/>
            <w:tcMar>
              <w:top w:w="15" w:type="dxa"/>
              <w:left w:w="15" w:type="dxa"/>
              <w:right w:w="15" w:type="dxa"/>
            </w:tcMar>
            <w:vAlign w:val="center"/>
          </w:tcPr>
          <w:p w14:paraId="295F44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shd w:val="clear" w:color="auto" w:fill="auto"/>
            <w:tcMar>
              <w:top w:w="15" w:type="dxa"/>
              <w:left w:w="15" w:type="dxa"/>
              <w:right w:w="15" w:type="dxa"/>
            </w:tcMar>
            <w:vAlign w:val="center"/>
          </w:tcPr>
          <w:p w14:paraId="04A497AC">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充分发挥博物馆宣传教育和社会服务阵地作用</w:t>
            </w:r>
          </w:p>
        </w:tc>
        <w:tc>
          <w:tcPr>
            <w:tcW w:w="870" w:type="dxa"/>
            <w:shd w:val="clear" w:color="auto" w:fill="auto"/>
            <w:tcMar>
              <w:top w:w="15" w:type="dxa"/>
              <w:left w:w="15" w:type="dxa"/>
              <w:right w:w="15" w:type="dxa"/>
            </w:tcMar>
            <w:vAlign w:val="center"/>
          </w:tcPr>
          <w:p w14:paraId="7AAFFAD8">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有效提升</w:t>
            </w:r>
          </w:p>
        </w:tc>
        <w:tc>
          <w:tcPr>
            <w:tcW w:w="645" w:type="dxa"/>
            <w:shd w:val="clear" w:color="auto" w:fill="auto"/>
            <w:tcMar>
              <w:top w:w="15" w:type="dxa"/>
              <w:left w:w="15" w:type="dxa"/>
              <w:right w:w="15" w:type="dxa"/>
            </w:tcMar>
            <w:vAlign w:val="center"/>
          </w:tcPr>
          <w:p w14:paraId="5C1A70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51A43A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shd w:val="clear" w:color="auto" w:fill="auto"/>
            <w:tcMar>
              <w:top w:w="15" w:type="dxa"/>
              <w:left w:w="15" w:type="dxa"/>
              <w:right w:w="15" w:type="dxa"/>
            </w:tcMar>
            <w:vAlign w:val="center"/>
          </w:tcPr>
          <w:p w14:paraId="2D8650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25F12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209838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vMerge w:val="continue"/>
            <w:shd w:val="clear" w:color="auto" w:fill="auto"/>
            <w:tcMar>
              <w:top w:w="15" w:type="dxa"/>
              <w:left w:w="15" w:type="dxa"/>
              <w:right w:w="15" w:type="dxa"/>
            </w:tcMar>
            <w:vAlign w:val="center"/>
          </w:tcPr>
          <w:p w14:paraId="72EFCF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p>
        </w:tc>
        <w:tc>
          <w:tcPr>
            <w:tcW w:w="2744" w:type="dxa"/>
            <w:shd w:val="clear" w:color="auto" w:fill="auto"/>
            <w:tcMar>
              <w:top w:w="15" w:type="dxa"/>
              <w:left w:w="15" w:type="dxa"/>
              <w:right w:w="15" w:type="dxa"/>
            </w:tcMar>
            <w:vAlign w:val="center"/>
          </w:tcPr>
          <w:p w14:paraId="123A2402">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不断强化文物的实证史证作用和宣传教育功能，不断弘扬传承优秀传统文化，大力培育社会主义核心价值观</w:t>
            </w:r>
          </w:p>
        </w:tc>
        <w:tc>
          <w:tcPr>
            <w:tcW w:w="870" w:type="dxa"/>
            <w:shd w:val="clear" w:color="auto" w:fill="auto"/>
            <w:tcMar>
              <w:top w:w="15" w:type="dxa"/>
              <w:left w:w="15" w:type="dxa"/>
              <w:right w:w="15" w:type="dxa"/>
            </w:tcMar>
            <w:vAlign w:val="center"/>
          </w:tcPr>
          <w:p w14:paraId="115B1698">
            <w:pPr>
              <w:keepNext w:val="0"/>
              <w:keepLines w:val="0"/>
              <w:pageBreakBefore w:val="0"/>
              <w:widowControl/>
              <w:suppressLineNumbers w:val="0"/>
              <w:kinsoku/>
              <w:wordWrap/>
              <w:overflowPunct/>
              <w:topLinePunct w:val="0"/>
              <w:autoSpaceDE/>
              <w:autoSpaceDN/>
              <w:bidi w:val="0"/>
              <w:adjustRightInd/>
              <w:snapToGrid/>
              <w:spacing w:line="280" w:lineRule="exact"/>
              <w:ind w:left="0" w:leftChars="0"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u w:val="none"/>
                <w:lang w:val="en-US" w:eastAsia="zh-CN" w:bidi="ar"/>
              </w:rPr>
              <w:t>有效提升</w:t>
            </w:r>
          </w:p>
        </w:tc>
        <w:tc>
          <w:tcPr>
            <w:tcW w:w="645" w:type="dxa"/>
            <w:shd w:val="clear" w:color="auto" w:fill="auto"/>
            <w:tcMar>
              <w:top w:w="15" w:type="dxa"/>
              <w:left w:w="15" w:type="dxa"/>
              <w:right w:w="15" w:type="dxa"/>
            </w:tcMar>
            <w:vAlign w:val="center"/>
          </w:tcPr>
          <w:p w14:paraId="3231F1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66487C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shd w:val="clear" w:color="auto" w:fill="auto"/>
            <w:tcMar>
              <w:top w:w="15" w:type="dxa"/>
              <w:left w:w="15" w:type="dxa"/>
              <w:right w:w="15" w:type="dxa"/>
            </w:tcMar>
            <w:vAlign w:val="center"/>
          </w:tcPr>
          <w:p w14:paraId="527869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15B5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6" w:hRule="atLeast"/>
          <w:jc w:val="center"/>
        </w:trPr>
        <w:tc>
          <w:tcPr>
            <w:tcW w:w="685" w:type="dxa"/>
            <w:vMerge w:val="continue"/>
            <w:shd w:val="clear" w:color="auto" w:fill="auto"/>
            <w:tcMar>
              <w:top w:w="15" w:type="dxa"/>
              <w:left w:w="15" w:type="dxa"/>
              <w:right w:w="15" w:type="dxa"/>
            </w:tcMar>
            <w:vAlign w:val="center"/>
          </w:tcPr>
          <w:p w14:paraId="2486DB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shd w:val="clear" w:color="auto" w:fill="auto"/>
            <w:tcMar>
              <w:top w:w="15" w:type="dxa"/>
              <w:left w:w="15" w:type="dxa"/>
              <w:right w:w="15" w:type="dxa"/>
            </w:tcMar>
            <w:vAlign w:val="center"/>
          </w:tcPr>
          <w:p w14:paraId="607A16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shd w:val="clear" w:color="auto" w:fill="auto"/>
            <w:tcMar>
              <w:top w:w="15" w:type="dxa"/>
              <w:left w:w="15" w:type="dxa"/>
              <w:right w:w="15" w:type="dxa"/>
            </w:tcMar>
            <w:vAlign w:val="center"/>
          </w:tcPr>
          <w:p w14:paraId="37F762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社会公众对博物馆服务满意度</w:t>
            </w:r>
          </w:p>
        </w:tc>
        <w:tc>
          <w:tcPr>
            <w:tcW w:w="870" w:type="dxa"/>
            <w:shd w:val="clear" w:color="auto" w:fill="auto"/>
            <w:tcMar>
              <w:top w:w="15" w:type="dxa"/>
              <w:left w:w="15" w:type="dxa"/>
              <w:right w:w="15" w:type="dxa"/>
            </w:tcMar>
            <w:vAlign w:val="center"/>
          </w:tcPr>
          <w:p w14:paraId="7F7CBA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shd w:val="clear" w:color="auto" w:fill="auto"/>
            <w:tcMar>
              <w:top w:w="15" w:type="dxa"/>
              <w:left w:w="15" w:type="dxa"/>
              <w:right w:w="15" w:type="dxa"/>
            </w:tcMar>
            <w:vAlign w:val="center"/>
          </w:tcPr>
          <w:p w14:paraId="48ED46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shd w:val="clear" w:color="auto" w:fill="auto"/>
            <w:tcMar>
              <w:top w:w="15" w:type="dxa"/>
              <w:left w:w="15" w:type="dxa"/>
              <w:right w:w="15" w:type="dxa"/>
            </w:tcMar>
            <w:vAlign w:val="center"/>
          </w:tcPr>
          <w:p w14:paraId="3061DC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shd w:val="clear" w:color="auto" w:fill="auto"/>
            <w:tcMar>
              <w:top w:w="15" w:type="dxa"/>
              <w:left w:w="15" w:type="dxa"/>
              <w:right w:w="15" w:type="dxa"/>
            </w:tcMar>
            <w:vAlign w:val="center"/>
          </w:tcPr>
          <w:p w14:paraId="04EF63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D048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469" w:hRule="atLeast"/>
          <w:jc w:val="center"/>
        </w:trPr>
        <w:tc>
          <w:tcPr>
            <w:tcW w:w="6024" w:type="dxa"/>
            <w:gridSpan w:val="4"/>
            <w:shd w:val="clear" w:color="auto" w:fill="auto"/>
            <w:tcMar>
              <w:top w:w="15" w:type="dxa"/>
              <w:left w:w="15" w:type="dxa"/>
              <w:right w:w="15" w:type="dxa"/>
            </w:tcMar>
            <w:vAlign w:val="center"/>
          </w:tcPr>
          <w:p w14:paraId="30301F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shd w:val="clear" w:color="auto" w:fill="auto"/>
            <w:tcMar>
              <w:top w:w="15" w:type="dxa"/>
              <w:left w:w="15" w:type="dxa"/>
              <w:right w:w="15" w:type="dxa"/>
            </w:tcMar>
            <w:vAlign w:val="center"/>
          </w:tcPr>
          <w:p w14:paraId="38E280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shd w:val="clear" w:color="auto" w:fill="auto"/>
            <w:tcMar>
              <w:top w:w="15" w:type="dxa"/>
              <w:left w:w="15" w:type="dxa"/>
              <w:right w:w="15" w:type="dxa"/>
            </w:tcMar>
            <w:vAlign w:val="center"/>
          </w:tcPr>
          <w:p w14:paraId="139429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shd w:val="clear" w:color="auto" w:fill="auto"/>
            <w:tcMar>
              <w:top w:w="15" w:type="dxa"/>
              <w:left w:w="15" w:type="dxa"/>
              <w:right w:w="15" w:type="dxa"/>
            </w:tcMar>
            <w:vAlign w:val="center"/>
          </w:tcPr>
          <w:p w14:paraId="7CCBA6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r>
    </w:tbl>
    <w:p w14:paraId="6A3507A6">
      <w:pPr>
        <w:bidi w:val="0"/>
        <w:outlineLvl w:val="2"/>
        <w:rPr>
          <w:rFonts w:hint="default"/>
          <w:b/>
          <w:bCs/>
          <w:lang w:val="en-US" w:eastAsia="zh-CN"/>
        </w:rPr>
      </w:pPr>
      <w:bookmarkStart w:id="75" w:name="_Toc8010"/>
      <w:r>
        <w:rPr>
          <w:rFonts w:hint="eastAsia"/>
          <w:b/>
          <w:bCs/>
          <w:lang w:val="en-US" w:eastAsia="zh-CN"/>
        </w:rPr>
        <w:t>1.经济效益指标</w:t>
      </w:r>
      <w:bookmarkEnd w:id="75"/>
    </w:p>
    <w:p w14:paraId="53ADC6CC">
      <w:pPr>
        <w:bidi w:val="0"/>
        <w:rPr>
          <w:rFonts w:hint="eastAsia"/>
          <w:b/>
          <w:bCs/>
          <w:lang w:val="en-US" w:eastAsia="zh-CN"/>
        </w:rPr>
      </w:pPr>
      <w:r>
        <w:rPr>
          <w:rFonts w:hint="eastAsia"/>
          <w:color w:val="auto"/>
          <w:highlight w:val="none"/>
          <w:lang w:eastAsia="zh-CN"/>
        </w:rPr>
        <w:t>本项目不存在经济效益指标</w:t>
      </w:r>
      <w:r>
        <w:rPr>
          <w:rFonts w:hint="eastAsia"/>
          <w:lang w:val="en-US" w:eastAsia="zh-CN"/>
        </w:rPr>
        <w:t>。</w:t>
      </w:r>
    </w:p>
    <w:p w14:paraId="1AB6EEE7">
      <w:pPr>
        <w:bidi w:val="0"/>
        <w:outlineLvl w:val="2"/>
        <w:rPr>
          <w:rFonts w:hint="eastAsia"/>
          <w:b/>
          <w:bCs/>
          <w:lang w:val="en-US" w:eastAsia="zh-CN"/>
        </w:rPr>
      </w:pPr>
      <w:bookmarkStart w:id="76" w:name="_Toc27006"/>
      <w:r>
        <w:rPr>
          <w:rFonts w:hint="eastAsia"/>
          <w:b/>
          <w:bCs/>
          <w:lang w:val="en-US" w:eastAsia="zh-CN"/>
        </w:rPr>
        <w:t>2.社会效益指标</w:t>
      </w:r>
      <w:bookmarkEnd w:id="76"/>
    </w:p>
    <w:p w14:paraId="2F729567">
      <w:pPr>
        <w:bidi w:val="0"/>
        <w:rPr>
          <w:rFonts w:hint="eastAsia"/>
          <w:color w:val="auto"/>
          <w:lang w:val="en-US" w:eastAsia="zh-CN"/>
        </w:rPr>
      </w:pPr>
      <w:r>
        <w:rPr>
          <w:rFonts w:hint="eastAsia"/>
          <w:color w:val="auto"/>
          <w:lang w:eastAsia="zh-CN"/>
        </w:rPr>
        <w:t>“</w:t>
      </w:r>
      <w:r>
        <w:rPr>
          <w:rFonts w:hint="eastAsia"/>
          <w:color w:val="auto"/>
          <w:lang w:val="en-US" w:eastAsia="zh-CN"/>
        </w:rPr>
        <w:t>充分发挥博物馆宣传教育和社会服务阵地作用</w:t>
      </w:r>
      <w:r>
        <w:rPr>
          <w:rFonts w:hint="eastAsia"/>
          <w:color w:val="auto"/>
          <w:lang w:eastAsia="zh-CN"/>
        </w:rPr>
        <w:t>”</w:t>
      </w:r>
      <w:r>
        <w:rPr>
          <w:rFonts w:hint="eastAsia"/>
          <w:color w:val="auto"/>
          <w:lang w:val="en-US" w:eastAsia="zh-CN"/>
        </w:rPr>
        <w:t>指标，预期目标值为有效提升，实际完成为95%；</w:t>
      </w:r>
    </w:p>
    <w:p w14:paraId="2F4640B8">
      <w:pPr>
        <w:bidi w:val="0"/>
        <w:rPr>
          <w:rFonts w:hint="eastAsia"/>
          <w:b w:val="0"/>
          <w:bCs w:val="0"/>
          <w:color w:val="auto"/>
          <w:lang w:val="en-US" w:eastAsia="zh-CN"/>
        </w:rPr>
      </w:pPr>
      <w:r>
        <w:rPr>
          <w:rFonts w:hint="eastAsia"/>
          <w:color w:val="auto"/>
          <w:lang w:eastAsia="zh-CN"/>
        </w:rPr>
        <w:t>“</w:t>
      </w:r>
      <w:r>
        <w:rPr>
          <w:rFonts w:hint="eastAsia"/>
          <w:color w:val="auto"/>
          <w:lang w:val="en-US" w:eastAsia="zh-CN"/>
        </w:rPr>
        <w:t>不断强化文物的实证史证作用和宣传教育功能，不断弘扬传承优秀传统文化，大力培育社会主义核心价值观</w:t>
      </w:r>
      <w:r>
        <w:rPr>
          <w:rFonts w:hint="eastAsia"/>
          <w:color w:val="auto"/>
          <w:lang w:eastAsia="zh-CN"/>
        </w:rPr>
        <w:t>”</w:t>
      </w:r>
      <w:r>
        <w:rPr>
          <w:rFonts w:hint="eastAsia"/>
          <w:color w:val="auto"/>
          <w:lang w:val="en-US" w:eastAsia="zh-CN"/>
        </w:rPr>
        <w:t>指标，预期目标值为有效提升，实际完成为95%。</w:t>
      </w:r>
    </w:p>
    <w:p w14:paraId="76DDCE03">
      <w:pPr>
        <w:bidi w:val="0"/>
        <w:rPr>
          <w:rFonts w:hint="eastAsia"/>
          <w:color w:val="auto"/>
          <w:lang w:val="en-US" w:eastAsia="zh-CN"/>
        </w:rPr>
      </w:pPr>
      <w:r>
        <w:rPr>
          <w:rFonts w:hint="eastAsia"/>
          <w:b w:val="0"/>
          <w:bCs w:val="0"/>
          <w:color w:val="auto"/>
          <w:lang w:val="en-US" w:eastAsia="zh-CN"/>
        </w:rPr>
        <w:t>通过项目的实施，</w:t>
      </w:r>
      <w:r>
        <w:rPr>
          <w:rFonts w:hint="eastAsia"/>
          <w:color w:val="auto"/>
          <w:lang w:val="en-US" w:eastAsia="zh-CN"/>
        </w:rPr>
        <w:t>博物馆宣传教育和社会服务阵地作用有效提升，并有效提升了文物的实证史证作用和宣传教育功能。</w:t>
      </w:r>
    </w:p>
    <w:p w14:paraId="1077420E">
      <w:pPr>
        <w:bidi w:val="0"/>
        <w:rPr>
          <w:rFonts w:hint="eastAsia"/>
          <w:color w:val="auto"/>
          <w:lang w:val="en-US" w:eastAsia="zh-CN"/>
        </w:rPr>
      </w:pPr>
      <w:r>
        <w:rPr>
          <w:rFonts w:hint="eastAsia"/>
          <w:b/>
          <w:bCs/>
          <w:color w:val="auto"/>
          <w:lang w:val="en-US" w:eastAsia="zh-CN"/>
        </w:rPr>
        <w:t>综上，该项指标满分20分，得分20分。</w:t>
      </w:r>
    </w:p>
    <w:p w14:paraId="64754F8A">
      <w:pPr>
        <w:bidi w:val="0"/>
        <w:outlineLvl w:val="2"/>
        <w:rPr>
          <w:rFonts w:hint="eastAsia"/>
          <w:lang w:val="en-US" w:eastAsia="zh-CN"/>
        </w:rPr>
      </w:pPr>
      <w:bookmarkStart w:id="77" w:name="_Toc23106"/>
      <w:r>
        <w:rPr>
          <w:rFonts w:hint="eastAsia"/>
          <w:b/>
          <w:bCs/>
          <w:lang w:val="en-US" w:eastAsia="zh-CN"/>
        </w:rPr>
        <w:t>3.生态效益指标</w:t>
      </w:r>
      <w:bookmarkEnd w:id="77"/>
    </w:p>
    <w:p w14:paraId="06DFFA7E">
      <w:pPr>
        <w:bidi w:val="0"/>
        <w:rPr>
          <w:rFonts w:hint="eastAsia"/>
          <w:b w:val="0"/>
          <w:bCs w:val="0"/>
          <w:color w:val="auto"/>
          <w:highlight w:val="none"/>
          <w:lang w:val="en-US" w:eastAsia="zh-CN"/>
        </w:rPr>
      </w:pPr>
      <w:r>
        <w:rPr>
          <w:rFonts w:hint="eastAsia"/>
          <w:color w:val="auto"/>
          <w:highlight w:val="none"/>
          <w:lang w:eastAsia="zh-CN"/>
        </w:rPr>
        <w:t>本项目不存在经济效益指标</w:t>
      </w:r>
      <w:r>
        <w:rPr>
          <w:rFonts w:hint="eastAsia"/>
          <w:color w:val="auto"/>
          <w:highlight w:val="none"/>
          <w:lang w:val="en-US" w:eastAsia="zh-CN"/>
        </w:rPr>
        <w:t>。</w:t>
      </w:r>
    </w:p>
    <w:p w14:paraId="5FA96C38">
      <w:pPr>
        <w:bidi w:val="0"/>
        <w:outlineLvl w:val="2"/>
        <w:rPr>
          <w:rFonts w:hint="eastAsia"/>
          <w:b/>
          <w:bCs/>
          <w:lang w:val="en-US" w:eastAsia="zh-CN"/>
        </w:rPr>
      </w:pPr>
      <w:bookmarkStart w:id="78" w:name="_Toc3271"/>
      <w:r>
        <w:rPr>
          <w:rFonts w:hint="eastAsia"/>
          <w:b/>
          <w:bCs/>
          <w:lang w:val="en-US" w:eastAsia="zh-CN"/>
        </w:rPr>
        <w:t>4.满意度指标</w:t>
      </w:r>
      <w:bookmarkEnd w:id="78"/>
    </w:p>
    <w:p w14:paraId="34AD262F">
      <w:pPr>
        <w:bidi w:val="0"/>
        <w:rPr>
          <w:rFonts w:hint="eastAsia"/>
          <w:b/>
          <w:bCs/>
          <w:color w:val="auto"/>
          <w:lang w:val="en-US" w:eastAsia="zh-CN"/>
        </w:rPr>
      </w:pPr>
      <w:r>
        <w:rPr>
          <w:rFonts w:hint="eastAsia"/>
          <w:color w:val="auto"/>
          <w:lang w:eastAsia="zh-CN"/>
        </w:rPr>
        <w:t>“</w:t>
      </w:r>
      <w:r>
        <w:rPr>
          <w:rFonts w:hint="eastAsia"/>
          <w:color w:val="auto"/>
          <w:lang w:val="en-US" w:eastAsia="zh-CN"/>
        </w:rPr>
        <w:t>社会公众对博物馆服务满意度</w:t>
      </w:r>
      <w:r>
        <w:rPr>
          <w:rFonts w:hint="eastAsia"/>
          <w:color w:val="auto"/>
          <w:lang w:eastAsia="zh-CN"/>
        </w:rPr>
        <w:t>”</w:t>
      </w:r>
      <w:r>
        <w:rPr>
          <w:rFonts w:hint="eastAsia"/>
          <w:color w:val="auto"/>
          <w:lang w:val="en-US" w:eastAsia="zh-CN"/>
        </w:rPr>
        <w:t>指标，预期目标值为≥95%，实际完成为95%。</w:t>
      </w:r>
    </w:p>
    <w:p w14:paraId="53BA6BB3">
      <w:pPr>
        <w:bidi w:val="0"/>
        <w:rPr>
          <w:rFonts w:hint="eastAsia"/>
          <w:b/>
          <w:bCs/>
          <w:color w:val="auto"/>
          <w:lang w:val="en-US" w:eastAsia="zh-CN"/>
        </w:rPr>
      </w:pPr>
      <w:r>
        <w:rPr>
          <w:rFonts w:hint="eastAsia"/>
          <w:b/>
          <w:bCs/>
          <w:color w:val="auto"/>
          <w:lang w:val="en-US" w:eastAsia="zh-CN"/>
        </w:rPr>
        <w:t>综上，该项指标满分10分，得分10分。</w:t>
      </w:r>
    </w:p>
    <w:p w14:paraId="50B1845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9"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9"/>
    </w:p>
    <w:p w14:paraId="6162872C">
      <w:pPr>
        <w:bidi w:val="0"/>
        <w:rPr>
          <w:rFonts w:hint="eastAsia"/>
          <w:color w:val="auto"/>
          <w:lang w:val="en-US" w:eastAsia="zh-CN"/>
        </w:rPr>
      </w:pPr>
      <w:r>
        <w:rPr>
          <w:rFonts w:hint="eastAsia"/>
          <w:color w:val="auto"/>
          <w:lang w:val="en-US" w:eastAsia="zh-CN"/>
        </w:rPr>
        <w:t>该项目预算资金总额为41.37万元，全年执行数为41.37万元，预算执行率为100%，总体完成率为100</w:t>
      </w:r>
      <w:r>
        <w:rPr>
          <w:rFonts w:hint="eastAsia"/>
          <w:color w:val="auto"/>
          <w:lang w:val="zh-TW" w:eastAsia="zh-TW"/>
        </w:rPr>
        <w:t>%。</w:t>
      </w:r>
      <w:r>
        <w:rPr>
          <w:rFonts w:hint="eastAsia"/>
          <w:color w:val="auto"/>
          <w:lang w:val="en-US" w:eastAsia="zh-CN"/>
        </w:rPr>
        <w:t>预算执行率与总体完成率之间的偏差为0%，无偏差。</w:t>
      </w:r>
    </w:p>
    <w:p w14:paraId="6FE143F6">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0"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80"/>
    </w:p>
    <w:p w14:paraId="6D60C2C8">
      <w:pPr>
        <w:numPr>
          <w:ilvl w:val="0"/>
          <w:numId w:val="0"/>
        </w:numPr>
        <w:bidi w:val="0"/>
        <w:ind w:left="560" w:leftChars="0"/>
        <w:outlineLvl w:val="1"/>
        <w:rPr>
          <w:rFonts w:hint="eastAsia"/>
          <w:b/>
          <w:bCs/>
          <w:lang w:eastAsia="zh-CN"/>
        </w:rPr>
      </w:pPr>
      <w:bookmarkStart w:id="81" w:name="_Toc13160"/>
      <w:bookmarkStart w:id="82" w:name="_Toc28290"/>
      <w:bookmarkStart w:id="83" w:name="_Toc1921"/>
      <w:r>
        <w:rPr>
          <w:rFonts w:hint="eastAsia"/>
          <w:b/>
          <w:bCs/>
          <w:lang w:eastAsia="zh-CN"/>
        </w:rPr>
        <w:t>（</w:t>
      </w:r>
      <w:r>
        <w:rPr>
          <w:rFonts w:hint="eastAsia"/>
          <w:b/>
          <w:bCs/>
          <w:lang w:val="en-US" w:eastAsia="zh-CN"/>
        </w:rPr>
        <w:t>一</w:t>
      </w:r>
      <w:r>
        <w:rPr>
          <w:rFonts w:hint="eastAsia"/>
          <w:b/>
          <w:bCs/>
          <w:lang w:eastAsia="zh-CN"/>
        </w:rPr>
        <w:t>）</w:t>
      </w:r>
      <w:r>
        <w:rPr>
          <w:rFonts w:hint="eastAsia"/>
          <w:b/>
          <w:bCs/>
        </w:rPr>
        <w:t>主要经验及做法</w:t>
      </w:r>
      <w:bookmarkEnd w:id="81"/>
    </w:p>
    <w:p w14:paraId="24FCA60C">
      <w:pPr>
        <w:bidi w:val="0"/>
        <w:rPr>
          <w:rFonts w:hint="eastAsia"/>
          <w:color w:val="auto"/>
          <w:lang w:eastAsia="zh-CN"/>
        </w:rPr>
      </w:pPr>
      <w:r>
        <w:rPr>
          <w:rFonts w:hint="eastAsia"/>
          <w:color w:val="auto"/>
          <w:lang w:val="en-US" w:eastAsia="zh-CN"/>
        </w:rPr>
        <w:t>博物馆纪念馆免费开放运行经费项目</w:t>
      </w:r>
      <w:r>
        <w:rPr>
          <w:rFonts w:hint="eastAsia"/>
          <w:color w:val="auto"/>
          <w:lang w:eastAsia="zh-CN"/>
        </w:rPr>
        <w:t>20</w:t>
      </w:r>
      <w:r>
        <w:rPr>
          <w:rFonts w:hint="eastAsia"/>
          <w:color w:val="auto"/>
          <w:lang w:val="en-US" w:eastAsia="zh-CN"/>
        </w:rPr>
        <w:t>23</w:t>
      </w:r>
      <w:r>
        <w:rPr>
          <w:rFonts w:hint="eastAsia"/>
          <w:color w:val="auto"/>
          <w:lang w:eastAsia="zh-CN"/>
        </w:rPr>
        <w:t>年预算</w:t>
      </w:r>
      <w:r>
        <w:rPr>
          <w:rFonts w:hint="eastAsia"/>
          <w:color w:val="auto"/>
          <w:lang w:val="en-US" w:eastAsia="zh-CN"/>
        </w:rPr>
        <w:t>数</w:t>
      </w:r>
      <w:r>
        <w:rPr>
          <w:rFonts w:hint="eastAsia"/>
          <w:color w:val="auto"/>
          <w:lang w:eastAsia="zh-CN"/>
        </w:rPr>
        <w:t>为</w:t>
      </w:r>
      <w:r>
        <w:rPr>
          <w:rFonts w:hint="eastAsia"/>
          <w:color w:val="auto"/>
          <w:lang w:val="en-US" w:eastAsia="zh-CN"/>
        </w:rPr>
        <w:t>41.37</w:t>
      </w:r>
      <w:r>
        <w:rPr>
          <w:rFonts w:hint="eastAsia"/>
          <w:color w:val="auto"/>
          <w:lang w:eastAsia="zh-CN"/>
        </w:rPr>
        <w:t>万元，</w:t>
      </w:r>
      <w:r>
        <w:rPr>
          <w:rFonts w:hint="eastAsia"/>
          <w:color w:val="auto"/>
          <w:lang w:val="en-US" w:eastAsia="zh-CN"/>
        </w:rPr>
        <w:t>截至2023年12月31日共</w:t>
      </w:r>
      <w:r>
        <w:rPr>
          <w:rFonts w:hint="eastAsia"/>
          <w:color w:val="auto"/>
          <w:lang w:eastAsia="zh-CN"/>
        </w:rPr>
        <w:t>支出</w:t>
      </w:r>
      <w:r>
        <w:rPr>
          <w:rFonts w:hint="eastAsia"/>
          <w:color w:val="auto"/>
          <w:lang w:val="en-US" w:eastAsia="zh-CN"/>
        </w:rPr>
        <w:t>41.37</w:t>
      </w:r>
      <w:r>
        <w:rPr>
          <w:rFonts w:hint="eastAsia"/>
          <w:color w:val="auto"/>
          <w:lang w:eastAsia="zh-CN"/>
        </w:rPr>
        <w:t>万元，预算</w:t>
      </w:r>
      <w:r>
        <w:rPr>
          <w:rFonts w:hint="eastAsia"/>
          <w:color w:val="auto"/>
          <w:lang w:val="en-US" w:eastAsia="zh-CN"/>
        </w:rPr>
        <w:t>执行</w:t>
      </w:r>
      <w:r>
        <w:rPr>
          <w:rFonts w:hint="eastAsia"/>
          <w:color w:val="auto"/>
          <w:lang w:eastAsia="zh-CN"/>
        </w:rPr>
        <w:t>率为</w:t>
      </w:r>
      <w:r>
        <w:rPr>
          <w:rFonts w:hint="eastAsia"/>
          <w:color w:val="auto"/>
          <w:lang w:val="en-US" w:eastAsia="zh-CN"/>
        </w:rPr>
        <w:t>100</w:t>
      </w:r>
      <w:r>
        <w:rPr>
          <w:rFonts w:hint="eastAsia"/>
          <w:color w:val="auto"/>
          <w:lang w:eastAsia="zh-CN"/>
        </w:rPr>
        <w:t>%。</w:t>
      </w:r>
    </w:p>
    <w:p w14:paraId="075733DA">
      <w:pPr>
        <w:bidi w:val="0"/>
        <w:rPr>
          <w:rFonts w:hint="eastAsia"/>
          <w:color w:val="auto"/>
          <w:lang w:eastAsia="zh-CN"/>
        </w:rPr>
      </w:pPr>
      <w:r>
        <w:rPr>
          <w:rFonts w:hint="eastAsia"/>
          <w:color w:val="auto"/>
          <w:lang w:val="en-US" w:eastAsia="zh-CN"/>
        </w:rPr>
        <w:t>阜康市博物馆</w:t>
      </w:r>
      <w:r>
        <w:rPr>
          <w:rFonts w:hint="eastAsia"/>
          <w:color w:val="auto"/>
          <w:lang w:eastAsia="zh-CN"/>
        </w:rPr>
        <w:t>建立健全了预算管理规章制度，各部门严格按照预算编制的原则和要求做好当年预算编制工作，在预算绩效管理工作中，做到合理安排各项资金，重点保障基本支出，按轻重缓急顺序原则，优先安排</w:t>
      </w:r>
      <w:r>
        <w:rPr>
          <w:rFonts w:hint="eastAsia"/>
          <w:color w:val="auto"/>
          <w:lang w:val="en-US" w:eastAsia="zh-CN"/>
        </w:rPr>
        <w:t>阜康市博物馆</w:t>
      </w:r>
      <w:r>
        <w:rPr>
          <w:rFonts w:hint="eastAsia"/>
          <w:color w:val="auto"/>
          <w:lang w:eastAsia="zh-CN"/>
        </w:rPr>
        <w:t>事业发展中关系民生与稳定的项目，切实优化资源配置，提高了资金使用的效率和效果。</w:t>
      </w:r>
    </w:p>
    <w:bookmarkEnd w:id="82"/>
    <w:bookmarkEnd w:id="83"/>
    <w:p w14:paraId="11DDE7FA">
      <w:pPr>
        <w:numPr>
          <w:ilvl w:val="0"/>
          <w:numId w:val="0"/>
        </w:numPr>
        <w:bidi w:val="0"/>
        <w:ind w:left="560" w:leftChars="0"/>
        <w:outlineLvl w:val="1"/>
        <w:rPr>
          <w:rFonts w:hint="eastAsia"/>
          <w:b/>
          <w:bCs/>
          <w:lang w:eastAsia="zh-CN"/>
        </w:rPr>
      </w:pPr>
      <w:bookmarkStart w:id="84" w:name="_Toc9582"/>
      <w:r>
        <w:rPr>
          <w:rFonts w:hint="eastAsia"/>
          <w:b/>
          <w:bCs/>
          <w:lang w:eastAsia="zh-CN"/>
        </w:rPr>
        <w:t>（</w:t>
      </w:r>
      <w:r>
        <w:rPr>
          <w:rFonts w:hint="eastAsia"/>
          <w:b/>
          <w:bCs/>
          <w:lang w:val="en-US" w:eastAsia="zh-CN"/>
        </w:rPr>
        <w:t>二</w:t>
      </w:r>
      <w:r>
        <w:rPr>
          <w:rFonts w:hint="eastAsia"/>
          <w:b/>
          <w:bCs/>
          <w:lang w:eastAsia="zh-CN"/>
        </w:rPr>
        <w:t>）存在的问题及原因分析</w:t>
      </w:r>
      <w:bookmarkEnd w:id="84"/>
    </w:p>
    <w:p w14:paraId="3F69DCC0">
      <w:pPr>
        <w:bidi w:val="0"/>
        <w:rPr>
          <w:rFonts w:hint="eastAsia"/>
          <w:color w:val="auto"/>
          <w:lang w:val="en-US" w:eastAsia="zh-CN"/>
        </w:rPr>
      </w:pPr>
      <w:bookmarkStart w:id="85" w:name="_Toc5230"/>
      <w:r>
        <w:rPr>
          <w:rFonts w:hint="eastAsia"/>
          <w:color w:val="auto"/>
          <w:lang w:val="en-US" w:eastAsia="zh-CN"/>
        </w:rPr>
        <w:t>1、预算绩效管理方面,绩效管理水平有待提升，任务分配不够合理，导致个别成员负责的工作量过大，工作进行得十分艰难。</w:t>
      </w:r>
    </w:p>
    <w:p w14:paraId="67E592E9">
      <w:pPr>
        <w:bidi w:val="0"/>
        <w:rPr>
          <w:rFonts w:hint="default"/>
          <w:color w:val="auto"/>
          <w:lang w:val="en-US" w:eastAsia="zh-CN"/>
        </w:rPr>
      </w:pPr>
      <w:r>
        <w:rPr>
          <w:rFonts w:hint="eastAsia"/>
          <w:color w:val="auto"/>
          <w:lang w:val="en-US" w:eastAsia="zh-CN"/>
        </w:rPr>
        <w:t>2、资金管理方面，对预算的监督管理不够重视，资金审批程序及执行过程监控力度不够。</w:t>
      </w:r>
    </w:p>
    <w:p w14:paraId="70FBC9C5">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5"/>
    </w:p>
    <w:p w14:paraId="54A5C65A">
      <w:pPr>
        <w:numPr>
          <w:ilvl w:val="0"/>
          <w:numId w:val="0"/>
        </w:numPr>
        <w:ind w:firstLine="560" w:firstLineChars="200"/>
        <w:rPr>
          <w:rFonts w:hint="eastAsia" w:ascii="宋体" w:hAnsi="宋体" w:eastAsia="宋体" w:cs="宋体"/>
          <w:b w:val="0"/>
          <w:bCs w:val="0"/>
          <w:color w:val="auto"/>
          <w:kern w:val="2"/>
          <w:sz w:val="28"/>
          <w:szCs w:val="28"/>
          <w:highlight w:val="none"/>
          <w:lang w:val="en-US" w:eastAsia="zh-CN" w:bidi="ar-SA"/>
        </w:rPr>
      </w:pPr>
      <w:bookmarkStart w:id="86" w:name="_Toc15618"/>
      <w:r>
        <w:rPr>
          <w:rFonts w:hint="eastAsia" w:cs="宋体"/>
          <w:b w:val="0"/>
          <w:bCs w:val="0"/>
          <w:color w:val="auto"/>
          <w:highlight w:val="none"/>
          <w:lang w:val="en-US" w:eastAsia="zh-CN"/>
        </w:rPr>
        <w:t>1、</w:t>
      </w:r>
      <w:r>
        <w:rPr>
          <w:rFonts w:hint="eastAsia" w:cs="宋体"/>
          <w:b w:val="0"/>
          <w:bCs w:val="0"/>
          <w:color w:val="auto"/>
          <w:highlight w:val="none"/>
          <w:lang w:eastAsia="zh-CN"/>
        </w:rPr>
        <w:t>提高绩效管理水平，加强内部绩效管理培训，合理评估每个成</w:t>
      </w:r>
      <w:r>
        <w:rPr>
          <w:rFonts w:hint="eastAsia" w:ascii="宋体" w:hAnsi="宋体" w:eastAsia="宋体" w:cs="宋体"/>
          <w:b w:val="0"/>
          <w:bCs w:val="0"/>
          <w:color w:val="auto"/>
          <w:kern w:val="2"/>
          <w:sz w:val="28"/>
          <w:szCs w:val="28"/>
          <w:highlight w:val="none"/>
          <w:lang w:val="en-US" w:eastAsia="zh-CN" w:bidi="ar-SA"/>
        </w:rPr>
        <w:t>员的能力和可利用资源，并根据实际情况进行任务分配，确保每个成员相互合作共同完成目标。</w:t>
      </w:r>
    </w:p>
    <w:p w14:paraId="68D6B4BB">
      <w:pPr>
        <w:numPr>
          <w:ilvl w:val="0"/>
          <w:numId w:val="0"/>
        </w:numPr>
        <w:ind w:firstLine="560" w:firstLineChars="200"/>
        <w:rPr>
          <w:rFonts w:hint="default" w:ascii="宋体" w:hAnsi="宋体" w:eastAsia="宋体" w:cs="宋体"/>
          <w:b w:val="0"/>
          <w:bCs w:val="0"/>
          <w:color w:val="auto"/>
          <w:kern w:val="2"/>
          <w:sz w:val="28"/>
          <w:szCs w:val="28"/>
          <w:highlight w:val="none"/>
          <w:lang w:val="en-US" w:eastAsia="zh-CN" w:bidi="ar-SA"/>
        </w:rPr>
      </w:pPr>
      <w:r>
        <w:rPr>
          <w:rFonts w:hint="eastAsia" w:ascii="宋体" w:hAnsi="宋体" w:eastAsia="宋体" w:cs="宋体"/>
          <w:b w:val="0"/>
          <w:bCs w:val="0"/>
          <w:color w:val="auto"/>
          <w:kern w:val="2"/>
          <w:sz w:val="28"/>
          <w:szCs w:val="28"/>
          <w:highlight w:val="none"/>
          <w:lang w:val="en-US" w:eastAsia="zh-CN" w:bidi="ar-SA"/>
        </w:rPr>
        <w:t>2、加强财务日常管理，按预算执行进度的相关要求，督促资金使用科室加快项目实施进度，切实提高资金使用效率，预算项目执行过程中严格按照各项制度监督监管。</w:t>
      </w:r>
    </w:p>
    <w:p w14:paraId="2E34F8E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6"/>
    </w:p>
    <w:p w14:paraId="049126A5">
      <w:pPr>
        <w:bidi w:val="0"/>
        <w:rPr>
          <w:rFonts w:hint="default" w:ascii="宋体" w:hAnsi="宋体" w:eastAsia="宋体" w:cs="宋体"/>
          <w:lang w:val="en-US" w:eastAsia="zh-CN"/>
        </w:rPr>
      </w:pPr>
      <w:r>
        <w:rPr>
          <w:rFonts w:hint="eastAsia" w:ascii="宋体" w:hAnsi="宋体" w:eastAsia="宋体" w:cs="宋体"/>
          <w:lang w:val="en-US" w:eastAsia="zh-CN"/>
        </w:rPr>
        <w:t>无其他需要说明的问题。</w:t>
      </w:r>
    </w:p>
    <w:p w14:paraId="6653B313">
      <w:pPr>
        <w:pageBreakBefore w:val="0"/>
        <w:kinsoku/>
        <w:wordWrap/>
        <w:overflowPunct/>
        <w:topLinePunct w:val="0"/>
        <w:autoSpaceDE/>
        <w:autoSpaceDN/>
        <w:bidi w:val="0"/>
        <w:adjustRightInd/>
        <w:spacing w:line="360" w:lineRule="auto"/>
        <w:textAlignment w:val="auto"/>
        <w:rPr>
          <w:rFonts w:hint="eastAsia" w:cs="宋体"/>
          <w:color w:val="000000" w:themeColor="text1"/>
          <w:highlight w:val="none"/>
          <w:shd w:val="clear" w:color="auto" w:fill="auto"/>
          <w:lang w:val="en-US" w:eastAsia="zh-CN"/>
          <w14:textFill>
            <w14:solidFill>
              <w14:schemeClr w14:val="tx1"/>
            </w14:solidFill>
          </w14:textFill>
        </w:rPr>
      </w:pPr>
    </w:p>
    <w:p w14:paraId="21932DFB">
      <w:pP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000000"/>
          <w:kern w:val="2"/>
          <w:sz w:val="36"/>
          <w:szCs w:val="28"/>
          <w:lang w:val="en-US" w:eastAsia="zh-CN" w:bidi="ar-SA"/>
        </w:rPr>
        <w:br w:type="page"/>
      </w:r>
      <w:bookmarkStart w:id="87" w:name="_Toc11349"/>
    </w:p>
    <w:p w14:paraId="4F3A3926">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87"/>
    </w:p>
    <w:tbl>
      <w:tblPr>
        <w:tblStyle w:val="11"/>
        <w:tblW w:w="139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15"/>
        <w:gridCol w:w="815"/>
        <w:gridCol w:w="1059"/>
        <w:gridCol w:w="1517"/>
        <w:gridCol w:w="1053"/>
        <w:gridCol w:w="1072"/>
        <w:gridCol w:w="660"/>
        <w:gridCol w:w="757"/>
        <w:gridCol w:w="1163"/>
        <w:gridCol w:w="1031"/>
        <w:gridCol w:w="1308"/>
        <w:gridCol w:w="702"/>
        <w:gridCol w:w="857"/>
        <w:gridCol w:w="1176"/>
      </w:tblGrid>
      <w:tr w14:paraId="2E0B9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00" w:hRule="atLeast"/>
        </w:trPr>
        <w:tc>
          <w:tcPr>
            <w:tcW w:w="13985" w:type="dxa"/>
            <w:gridSpan w:val="14"/>
            <w:tcBorders>
              <w:top w:val="nil"/>
              <w:left w:val="nil"/>
              <w:bottom w:val="nil"/>
              <w:right w:val="nil"/>
            </w:tcBorders>
            <w:shd w:val="clear" w:color="auto" w:fill="auto"/>
            <w:tcMar>
              <w:top w:w="15" w:type="dxa"/>
              <w:left w:w="15" w:type="dxa"/>
              <w:right w:w="15" w:type="dxa"/>
            </w:tcMar>
            <w:vAlign w:val="center"/>
          </w:tcPr>
          <w:p w14:paraId="7421ED1D">
            <w:pPr>
              <w:keepNext w:val="0"/>
              <w:keepLines w:val="0"/>
              <w:widowControl/>
              <w:suppressLineNumbers w:val="0"/>
              <w:ind w:firstLine="803" w:firstLineChars="200"/>
              <w:jc w:val="center"/>
              <w:textAlignment w:val="center"/>
              <w:rPr>
                <w:rFonts w:ascii="华文中宋" w:hAnsi="华文中宋" w:eastAsia="华文中宋" w:cs="华文中宋"/>
                <w:b/>
                <w:i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6C20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13985" w:type="dxa"/>
            <w:gridSpan w:val="14"/>
            <w:tcBorders>
              <w:top w:val="nil"/>
              <w:left w:val="nil"/>
              <w:bottom w:val="single" w:color="auto" w:sz="4" w:space="0"/>
              <w:right w:val="nil"/>
            </w:tcBorders>
            <w:shd w:val="clear" w:color="auto" w:fill="auto"/>
            <w:tcMar>
              <w:top w:w="15" w:type="dxa"/>
              <w:left w:w="15" w:type="dxa"/>
              <w:right w:w="15" w:type="dxa"/>
            </w:tcMar>
            <w:vAlign w:val="center"/>
          </w:tcPr>
          <w:p w14:paraId="4FD68AC6">
            <w:pPr>
              <w:keepNext w:val="0"/>
              <w:keepLines w:val="0"/>
              <w:widowControl/>
              <w:suppressLineNumbers w:val="0"/>
              <w:ind w:firstLine="442" w:firstLineChars="20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07E34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6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093DC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355" w:type="dxa"/>
            <w:gridSpan w:val="1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A1B46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博物馆纪念馆免费开放运行经费</w:t>
            </w:r>
          </w:p>
        </w:tc>
      </w:tr>
      <w:tr w14:paraId="11B61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63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F1A4C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361"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3A3D4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阜康市文化体育广播电视和旅游局</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7DC4C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74"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0A9B2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阜康市博物馆</w:t>
            </w:r>
          </w:p>
        </w:tc>
      </w:tr>
      <w:tr w14:paraId="1AD65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630"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1586A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B32EF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996BC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A6F92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2B7D6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97564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C0071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389C9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77B1B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63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B54150">
            <w:pPr>
              <w:jc w:val="center"/>
              <w:rPr>
                <w:rFonts w:hint="eastAsia" w:ascii="宋体" w:hAnsi="宋体" w:eastAsia="宋体" w:cs="宋体"/>
                <w:i w:val="0"/>
                <w:color w:val="000000"/>
                <w:sz w:val="20"/>
                <w:szCs w:val="20"/>
                <w:u w:val="none"/>
              </w:rPr>
            </w:pP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22D5F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A7676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35.64 </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00035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8472B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F73F4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0A779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B9797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4CC2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163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E096CE">
            <w:pPr>
              <w:jc w:val="center"/>
              <w:rPr>
                <w:rFonts w:hint="eastAsia" w:ascii="宋体" w:hAnsi="宋体" w:eastAsia="宋体" w:cs="宋体"/>
                <w:i w:val="0"/>
                <w:color w:val="000000"/>
                <w:sz w:val="20"/>
                <w:szCs w:val="20"/>
                <w:u w:val="none"/>
              </w:rPr>
            </w:pP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1449F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9479D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35.64 </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9D9F2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C1FCE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41.37 </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0BA8A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13D48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AC924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393C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1630" w:type="dxa"/>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AD2BB3">
            <w:pPr>
              <w:jc w:val="center"/>
              <w:rPr>
                <w:rFonts w:hint="eastAsia" w:ascii="宋体" w:hAnsi="宋体" w:eastAsia="宋体" w:cs="宋体"/>
                <w:i w:val="0"/>
                <w:color w:val="000000"/>
                <w:sz w:val="20"/>
                <w:szCs w:val="20"/>
                <w:u w:val="none"/>
              </w:rPr>
            </w:pPr>
          </w:p>
        </w:tc>
        <w:tc>
          <w:tcPr>
            <w:tcW w:w="2576"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4BDE63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A5D62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732"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043510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0"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AC070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33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E1205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59"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826C7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0BBA9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CBA0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20" w:hRule="atLeast"/>
        </w:trPr>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B370D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96"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79872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074"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60628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B1E2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A5C789">
            <w:pPr>
              <w:jc w:val="center"/>
              <w:rPr>
                <w:rFonts w:hint="eastAsia" w:ascii="宋体" w:hAnsi="宋体" w:eastAsia="宋体" w:cs="宋体"/>
                <w:i w:val="0"/>
                <w:color w:val="000000"/>
                <w:sz w:val="20"/>
                <w:szCs w:val="20"/>
                <w:u w:val="none"/>
              </w:rPr>
            </w:pPr>
          </w:p>
        </w:tc>
        <w:tc>
          <w:tcPr>
            <w:tcW w:w="8096" w:type="dxa"/>
            <w:gridSpan w:val="8"/>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EC39E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博物馆的主要职能为宣传弘扬传承传统文化，提高公众的历史和科学文化知识，2023年预计完成免费开放活动36场，举办流动博物馆宣传30场，活动共计66天，参加人数27800人；通过举办免费开放活动和流动博物馆宣传活动，来传播历史和科学文化知识，对人民群众进行爱国主义教育。博物馆宣传教育和社会服务阵地作用得到有效提升，并且有效提升文物的实证史证作用和宣传教育功能，弘扬传承优秀传统文化，大力培育社会主义核心价值观。</w:t>
            </w:r>
          </w:p>
        </w:tc>
        <w:tc>
          <w:tcPr>
            <w:tcW w:w="5074" w:type="dxa"/>
            <w:gridSpan w:val="5"/>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3F39A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完成免费开放活动36场，流动博物馆宣传30场，活动共计66天，参加人数27800人；通过举办免费开放活动和流动博物馆宣传活动，达到传播历史和科学文化知识，对人民群众进行爱国主义教育作用，达到了提升博物馆宣传教育和社会服务阵地作用、提升文物的实证史证作用和宣传教育功能，弘扬传承优秀传统文化的社会效益，满意度达95%。</w:t>
            </w:r>
          </w:p>
        </w:tc>
      </w:tr>
      <w:tr w14:paraId="36927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8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F79B8A">
            <w:pPr>
              <w:jc w:val="center"/>
              <w:rPr>
                <w:rFonts w:hint="eastAsia" w:ascii="宋体" w:hAnsi="宋体" w:eastAsia="宋体" w:cs="宋体"/>
                <w:i w:val="0"/>
                <w:color w:val="000000"/>
                <w:sz w:val="20"/>
                <w:szCs w:val="20"/>
                <w:u w:val="none"/>
              </w:rPr>
            </w:pPr>
          </w:p>
        </w:tc>
        <w:tc>
          <w:tcPr>
            <w:tcW w:w="8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F364D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20294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AC32E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1837B4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A5795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011E3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AEAFB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8CEB0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C49EAB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C129A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E9E09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E03925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BA027E">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1D57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41972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E73C5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F8347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15E09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举办免费开放活动场次</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C7E35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=36场</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5EC5B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7777B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D158A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85A24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32594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24D05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36场</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6D7AF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45AF3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25F55C4">
            <w:pPr>
              <w:jc w:val="center"/>
            </w:pPr>
          </w:p>
        </w:tc>
      </w:tr>
      <w:tr w14:paraId="029BB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363004">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ABF818">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240BA9">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81CBB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举办流动博物馆巡展宣传场次</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4B1EA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=30场</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CE0DA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FE9EE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D8F43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F411C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8AA37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BD7A0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30场</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1FB70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818BA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414813">
            <w:pPr>
              <w:jc w:val="center"/>
            </w:pPr>
          </w:p>
        </w:tc>
      </w:tr>
      <w:tr w14:paraId="26727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DA8F9F">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AAD8B2">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A53357">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77B96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免费开放及流动博物馆活动天数</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4B46D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=66天</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789DC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12912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D7085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C1214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C31D6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F5413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66天</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FF36B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45878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70E328">
            <w:pPr>
              <w:jc w:val="center"/>
            </w:pPr>
          </w:p>
        </w:tc>
      </w:tr>
      <w:tr w14:paraId="41636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E57093">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BAF574F">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ECB51E">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4CE2D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参加人数</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95A8E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≥27800人</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54DE1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59649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9ADC4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C6EC4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D180C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DC11D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28411人</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B2E7D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B70FF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DFB46D">
            <w:pPr>
              <w:jc w:val="center"/>
            </w:pPr>
          </w:p>
        </w:tc>
      </w:tr>
      <w:tr w14:paraId="46EA8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6F6061">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E54127">
            <w:pPr>
              <w:jc w:val="center"/>
              <w:rPr>
                <w:rFonts w:hint="eastAsia" w:ascii="宋体" w:hAnsi="宋体" w:eastAsia="宋体" w:cs="宋体"/>
                <w:i w:val="0"/>
                <w:color w:val="000000"/>
                <w:sz w:val="20"/>
                <w:szCs w:val="20"/>
                <w:u w:val="none"/>
              </w:rPr>
            </w:pP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C44AE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3FD58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免费开放绩效考评率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F6B32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C8A32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90BFE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D51B8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06D37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E1C61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DDD33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22AAB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DB00F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923A42">
            <w:pPr>
              <w:jc w:val="center"/>
            </w:pPr>
          </w:p>
        </w:tc>
      </w:tr>
      <w:tr w14:paraId="466BB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8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B91795">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5A350A">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03BF81">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E85CD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陈列展示水平</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38C9F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8612D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583CA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58D87A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2972C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2B21E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6660C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E185E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0175D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6E5D2A">
            <w:pPr>
              <w:jc w:val="center"/>
            </w:pPr>
          </w:p>
        </w:tc>
      </w:tr>
      <w:tr w14:paraId="7F0E0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71"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8A804F">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8790CA">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F60DE3">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3DDDC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社会教育服务水平</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D5FA07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6B4F81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BD297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30CFE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05505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85FC3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2BB508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299B1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BD2EA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CC654C">
            <w:pPr>
              <w:jc w:val="center"/>
            </w:pPr>
          </w:p>
        </w:tc>
      </w:tr>
      <w:tr w14:paraId="71561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5"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13E4CF">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BC6DCCC">
            <w:pPr>
              <w:jc w:val="center"/>
              <w:rPr>
                <w:rFonts w:hint="eastAsia" w:ascii="宋体" w:hAnsi="宋体" w:eastAsia="宋体" w:cs="宋体"/>
                <w:i w:val="0"/>
                <w:color w:val="000000"/>
                <w:sz w:val="20"/>
                <w:szCs w:val="20"/>
                <w:u w:val="none"/>
              </w:rPr>
            </w:pP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EB5E2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5C394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举办免费开放活动完成时间</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F5CCD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10CA8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4A59E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EF1850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5F204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73482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433DC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C0F027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363BCAD">
            <w:pPr>
              <w:keepNext w:val="0"/>
              <w:keepLines w:val="0"/>
              <w:widowControl/>
              <w:suppressLineNumbers w:val="0"/>
              <w:ind w:firstLine="400" w:firstLineChars="20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67055D">
            <w:pPr>
              <w:jc w:val="center"/>
            </w:pPr>
          </w:p>
        </w:tc>
      </w:tr>
      <w:tr w14:paraId="449D9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DC1671">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589CD4">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35931F">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17ACB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举办流动博物馆宣传完成时间</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C99B93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≤2023-12-31</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D2B14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6EAB8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D308B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AD594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5759C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0FA09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2023年12月31日</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584DE9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9F2B9D">
            <w:pPr>
              <w:keepNext w:val="0"/>
              <w:keepLines w:val="0"/>
              <w:widowControl/>
              <w:suppressLineNumbers w:val="0"/>
              <w:ind w:firstLine="400" w:firstLineChars="20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80B5DA">
            <w:pPr>
              <w:jc w:val="center"/>
            </w:pPr>
          </w:p>
        </w:tc>
      </w:tr>
      <w:tr w14:paraId="31460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944DB69">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BC5543">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080FB8">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5326C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博物馆免费开放专项资金完成及时率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2C9EF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766F6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5453E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881F3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779B7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FE31FF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183408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A021C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A91F41">
            <w:pPr>
              <w:keepNext w:val="0"/>
              <w:keepLines w:val="0"/>
              <w:widowControl/>
              <w:suppressLineNumbers w:val="0"/>
              <w:ind w:firstLine="400" w:firstLineChars="20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26FA26">
            <w:pPr>
              <w:jc w:val="center"/>
            </w:pPr>
          </w:p>
        </w:tc>
      </w:tr>
      <w:tr w14:paraId="32DE0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8"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E240BA">
            <w:pPr>
              <w:jc w:val="center"/>
              <w:rPr>
                <w:rFonts w:hint="eastAsia" w:ascii="宋体" w:hAnsi="宋体" w:eastAsia="宋体" w:cs="宋体"/>
                <w:i w:val="0"/>
                <w:color w:val="000000"/>
                <w:sz w:val="20"/>
                <w:szCs w:val="20"/>
                <w:u w:val="none"/>
              </w:rPr>
            </w:pP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B8B95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08396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A5659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免费开放活动支出</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1C154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≤18万元</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BC53E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D8F0A6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68A050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FBE02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332AC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9BCC1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22.57万元</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79C03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FEA4B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AF0EEE0">
            <w:pPr>
              <w:jc w:val="center"/>
            </w:pPr>
          </w:p>
        </w:tc>
      </w:tr>
      <w:tr w14:paraId="6407E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5"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92236ED">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395B09A">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1CBF39">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474E3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流动博物馆巡展宣传支出</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E8CB2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≤17.64万元</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A0C061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2AE1A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B5BF74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66731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3A5724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B9FCE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18.8万元</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5391B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F055F1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1620BB5">
            <w:pPr>
              <w:jc w:val="center"/>
            </w:pPr>
          </w:p>
        </w:tc>
      </w:tr>
      <w:tr w14:paraId="04491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2"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E53749">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2A74A6">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FBA53CB">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C4AC2D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博物馆免费开放专项资金到位率</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BA7E1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4B79A2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FEFA0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D1E58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C8BA5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8E363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正式资料、工作资料、原始凭证</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4FC9F3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62D8F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12AEF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A518C1">
            <w:pPr>
              <w:jc w:val="center"/>
            </w:pPr>
          </w:p>
        </w:tc>
      </w:tr>
      <w:tr w14:paraId="3069E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8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101F02">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D87821">
            <w:pPr>
              <w:jc w:val="center"/>
              <w:rPr>
                <w:rFonts w:hint="eastAsia" w:ascii="宋体" w:hAnsi="宋体" w:eastAsia="宋体" w:cs="宋体"/>
                <w:i w:val="0"/>
                <w:color w:val="000000"/>
                <w:sz w:val="20"/>
                <w:szCs w:val="20"/>
                <w:u w:val="none"/>
              </w:rPr>
            </w:pP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A41865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A1771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E9D96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56EBEC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95FD8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778394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AB28D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798F61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B64EA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51BD1A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CF5A51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CB6F9C">
            <w:pPr>
              <w:jc w:val="center"/>
            </w:pPr>
          </w:p>
        </w:tc>
      </w:tr>
      <w:tr w14:paraId="055909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46A6F7">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50F956">
            <w:pPr>
              <w:jc w:val="center"/>
              <w:rPr>
                <w:rFonts w:hint="eastAsia" w:ascii="宋体" w:hAnsi="宋体" w:eastAsia="宋体" w:cs="宋体"/>
                <w:i w:val="0"/>
                <w:color w:val="000000"/>
                <w:sz w:val="20"/>
                <w:szCs w:val="20"/>
                <w:u w:val="none"/>
              </w:rPr>
            </w:pP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4728A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99EF8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450CE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1A262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4E0F96">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9ECCE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B9F395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0D6DB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8D87F0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48FA5C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2C93C3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982B9E">
            <w:pPr>
              <w:jc w:val="center"/>
            </w:pPr>
          </w:p>
        </w:tc>
      </w:tr>
      <w:tr w14:paraId="7913E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4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C59B2AB">
            <w:pPr>
              <w:jc w:val="center"/>
              <w:rPr>
                <w:rFonts w:hint="eastAsia" w:ascii="宋体" w:hAnsi="宋体" w:eastAsia="宋体" w:cs="宋体"/>
                <w:i w:val="0"/>
                <w:color w:val="000000"/>
                <w:sz w:val="20"/>
                <w:szCs w:val="20"/>
                <w:u w:val="none"/>
              </w:rPr>
            </w:pP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0BD991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6C6FBD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BEE58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1ADEC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012DA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B1445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8A461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6366E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206E6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9471AF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365C5E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E915BA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EBADCA4">
            <w:pPr>
              <w:jc w:val="center"/>
            </w:pPr>
          </w:p>
        </w:tc>
      </w:tr>
      <w:tr w14:paraId="53F17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BF8FF56">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DFD071B">
            <w:pPr>
              <w:jc w:val="center"/>
              <w:rPr>
                <w:rFonts w:hint="eastAsia" w:ascii="宋体" w:hAnsi="宋体" w:eastAsia="宋体" w:cs="宋体"/>
                <w:i w:val="0"/>
                <w:color w:val="000000"/>
                <w:sz w:val="20"/>
                <w:szCs w:val="20"/>
                <w:u w:val="none"/>
              </w:rPr>
            </w:pPr>
          </w:p>
        </w:tc>
        <w:tc>
          <w:tcPr>
            <w:tcW w:w="1059"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21412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68D9C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充分发挥博物馆宣传教育和社会服务阵地作用</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D470E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49C15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78ECFA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EB3E4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0E1B1A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2B9E40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CD2E8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BA3DC2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48EDF3F">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C883C68">
            <w:pPr>
              <w:jc w:val="center"/>
            </w:pPr>
          </w:p>
        </w:tc>
      </w:tr>
      <w:tr w14:paraId="55978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B0A549">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964F50">
            <w:pPr>
              <w:jc w:val="center"/>
              <w:rPr>
                <w:rFonts w:hint="eastAsia" w:ascii="宋体" w:hAnsi="宋体" w:eastAsia="宋体" w:cs="宋体"/>
                <w:i w:val="0"/>
                <w:color w:val="000000"/>
                <w:sz w:val="20"/>
                <w:szCs w:val="20"/>
                <w:u w:val="none"/>
              </w:rPr>
            </w:pPr>
          </w:p>
        </w:tc>
        <w:tc>
          <w:tcPr>
            <w:tcW w:w="1059"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D24C9B">
            <w:pPr>
              <w:jc w:val="center"/>
              <w:rPr>
                <w:rFonts w:hint="eastAsia" w:ascii="宋体" w:hAnsi="宋体" w:eastAsia="宋体" w:cs="宋体"/>
                <w:i w:val="0"/>
                <w:color w:val="000000"/>
                <w:sz w:val="20"/>
                <w:szCs w:val="20"/>
                <w:u w:val="none"/>
              </w:rPr>
            </w:pP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26D3450">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不断强化文物的实证史证作用和宣传教育功能，不断弘扬传承优秀传统文化，大力培育社会主义核心价值观</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FA89EC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4DADD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3C84E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6580CD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D4AA5A">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3107BD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F80836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E2AEE2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8CFEA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8BEC6B6">
            <w:pPr>
              <w:jc w:val="center"/>
            </w:pPr>
          </w:p>
        </w:tc>
      </w:tr>
      <w:tr w14:paraId="50328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F308B6">
            <w:pPr>
              <w:jc w:val="center"/>
              <w:rPr>
                <w:rFonts w:hint="eastAsia" w:ascii="宋体" w:hAnsi="宋体" w:eastAsia="宋体" w:cs="宋体"/>
                <w:i w:val="0"/>
                <w:color w:val="000000"/>
                <w:sz w:val="20"/>
                <w:szCs w:val="20"/>
                <w:u w:val="none"/>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883547A">
            <w:pPr>
              <w:jc w:val="center"/>
              <w:rPr>
                <w:rFonts w:hint="eastAsia" w:ascii="宋体" w:hAnsi="宋体" w:eastAsia="宋体" w:cs="宋体"/>
                <w:i w:val="0"/>
                <w:color w:val="000000"/>
                <w:sz w:val="20"/>
                <w:szCs w:val="20"/>
                <w:u w:val="none"/>
              </w:rPr>
            </w:pP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7EBBAD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5ED574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18587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AB7D3A4">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7E3086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4321E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35BDE6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AA2C8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F3A7CC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ED26BB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021BE0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10497F6">
            <w:pPr>
              <w:jc w:val="center"/>
            </w:pPr>
          </w:p>
        </w:tc>
      </w:tr>
      <w:tr w14:paraId="3461C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0" w:hRule="atLeast"/>
        </w:trPr>
        <w:tc>
          <w:tcPr>
            <w:tcW w:w="81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E83CAD7">
            <w:pPr>
              <w:jc w:val="center"/>
              <w:rPr>
                <w:rFonts w:hint="eastAsia" w:ascii="宋体" w:hAnsi="宋体" w:eastAsia="宋体" w:cs="宋体"/>
                <w:i w:val="0"/>
                <w:color w:val="000000"/>
                <w:sz w:val="20"/>
                <w:szCs w:val="20"/>
                <w:u w:val="none"/>
              </w:rPr>
            </w:pPr>
          </w:p>
        </w:tc>
        <w:tc>
          <w:tcPr>
            <w:tcW w:w="81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8CAF4F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059"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8D50BEE">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8F2C4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社会公众对博物馆服务满意度</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447FACC">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A22229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EED34A2">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0.95</w:t>
            </w: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08FCC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8F1C5B8">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D17C281">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FEFF39D">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596B5B">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highlight w:val="yellow"/>
                <w:u w:val="none"/>
              </w:rPr>
            </w:pPr>
            <w:r>
              <w:rPr>
                <w:rFonts w:hint="eastAsia" w:ascii="宋体" w:hAnsi="宋体" w:eastAsia="宋体" w:cs="宋体"/>
                <w:i w:val="0"/>
                <w:iCs w:val="0"/>
                <w:color w:val="000000"/>
                <w:kern w:val="0"/>
                <w:sz w:val="20"/>
                <w:szCs w:val="20"/>
                <w:u w:val="none"/>
                <w:lang w:val="en-US" w:eastAsia="zh-CN" w:bidi="ar"/>
              </w:rPr>
              <w:t>100%</w:t>
            </w: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CABE785">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177913">
            <w:pPr>
              <w:jc w:val="center"/>
            </w:pPr>
          </w:p>
        </w:tc>
      </w:tr>
      <w:tr w14:paraId="0D877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4206" w:type="dxa"/>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5CFC317">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5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D8AE10">
            <w:pPr>
              <w:jc w:val="center"/>
              <w:rPr>
                <w:rFonts w:hint="eastAsia" w:ascii="宋体" w:hAnsi="宋体" w:eastAsia="宋体" w:cs="宋体"/>
                <w:i w:val="0"/>
                <w:color w:val="000000"/>
                <w:sz w:val="20"/>
                <w:szCs w:val="20"/>
                <w:u w:val="none"/>
              </w:rPr>
            </w:pPr>
          </w:p>
        </w:tc>
        <w:tc>
          <w:tcPr>
            <w:tcW w:w="107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1C81FBB">
            <w:pPr>
              <w:rPr>
                <w:rFonts w:hint="eastAsia" w:ascii="宋体" w:hAnsi="宋体" w:eastAsia="宋体" w:cs="宋体"/>
                <w:i w:val="0"/>
                <w:color w:val="000000"/>
                <w:sz w:val="20"/>
                <w:szCs w:val="20"/>
                <w:u w:val="none"/>
              </w:rPr>
            </w:pPr>
          </w:p>
        </w:tc>
        <w:tc>
          <w:tcPr>
            <w:tcW w:w="6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D0D7B1C">
            <w:pPr>
              <w:jc w:val="center"/>
              <w:rPr>
                <w:rFonts w:hint="eastAsia" w:ascii="宋体" w:hAnsi="宋体" w:eastAsia="宋体" w:cs="宋体"/>
                <w:i w:val="0"/>
                <w:color w:val="000000"/>
                <w:sz w:val="20"/>
                <w:szCs w:val="20"/>
                <w:u w:val="none"/>
              </w:rPr>
            </w:pPr>
          </w:p>
        </w:tc>
        <w:tc>
          <w:tcPr>
            <w:tcW w:w="7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00E5D63">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16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8E6820">
            <w:pPr>
              <w:jc w:val="center"/>
              <w:rPr>
                <w:rFonts w:hint="eastAsia" w:ascii="宋体" w:hAnsi="宋体" w:eastAsia="宋体" w:cs="宋体"/>
                <w:i w:val="0"/>
                <w:color w:val="000000"/>
                <w:sz w:val="20"/>
                <w:szCs w:val="20"/>
                <w:u w:val="none"/>
              </w:rPr>
            </w:pPr>
          </w:p>
        </w:tc>
        <w:tc>
          <w:tcPr>
            <w:tcW w:w="1031"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08660BC">
            <w:pPr>
              <w:rPr>
                <w:rFonts w:hint="eastAsia" w:ascii="宋体" w:hAnsi="宋体" w:eastAsia="宋体" w:cs="宋体"/>
                <w:i w:val="0"/>
                <w:color w:val="000000"/>
                <w:sz w:val="20"/>
                <w:szCs w:val="20"/>
                <w:u w:val="none"/>
              </w:rPr>
            </w:pPr>
          </w:p>
        </w:tc>
        <w:tc>
          <w:tcPr>
            <w:tcW w:w="130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565159D">
            <w:pPr>
              <w:rPr>
                <w:rFonts w:hint="eastAsia" w:ascii="宋体" w:hAnsi="宋体" w:eastAsia="宋体" w:cs="宋体"/>
                <w:i w:val="0"/>
                <w:color w:val="000000"/>
                <w:sz w:val="20"/>
                <w:szCs w:val="20"/>
                <w:u w:val="none"/>
              </w:rPr>
            </w:pPr>
          </w:p>
        </w:tc>
        <w:tc>
          <w:tcPr>
            <w:tcW w:w="702"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DD6CA34">
            <w:pPr>
              <w:rPr>
                <w:rFonts w:hint="eastAsia" w:ascii="宋体" w:hAnsi="宋体" w:eastAsia="宋体" w:cs="宋体"/>
                <w:i w:val="0"/>
                <w:color w:val="000000"/>
                <w:sz w:val="20"/>
                <w:szCs w:val="20"/>
                <w:highlight w:val="yellow"/>
                <w:u w:val="none"/>
              </w:rPr>
            </w:pPr>
          </w:p>
        </w:tc>
        <w:tc>
          <w:tcPr>
            <w:tcW w:w="85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1931FE9">
            <w:pPr>
              <w:keepNext w:val="0"/>
              <w:keepLines w:val="0"/>
              <w:widowControl/>
              <w:suppressLineNumbers w:val="0"/>
              <w:ind w:firstLine="400" w:firstLineChars="20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76"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732C437"/>
        </w:tc>
      </w:tr>
    </w:tbl>
    <w:p w14:paraId="0640A481">
      <w:pPr>
        <w:rPr>
          <w:rFonts w:hint="default"/>
          <w:lang w:val="en-US" w:eastAsia="zh-CN"/>
        </w:rPr>
        <w:sectPr>
          <w:pgSz w:w="16838" w:h="11906" w:orient="landscape"/>
          <w:pgMar w:top="1803" w:right="1440" w:bottom="1803" w:left="1440" w:header="737" w:footer="850" w:gutter="0"/>
          <w:pgNumType w:fmt="decimal" w:start="1"/>
          <w:cols w:space="0" w:num="1"/>
          <w:rtlGutter w:val="0"/>
          <w:docGrid w:type="lines" w:linePitch="415" w:charSpace="0"/>
        </w:sectPr>
      </w:pPr>
    </w:p>
    <w:p w14:paraId="269D07E0">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8"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8"/>
    </w:p>
    <w:tbl>
      <w:tblPr>
        <w:tblStyle w:val="11"/>
        <w:tblW w:w="14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727"/>
        <w:gridCol w:w="2109"/>
        <w:gridCol w:w="3135"/>
        <w:gridCol w:w="5777"/>
        <w:gridCol w:w="785"/>
        <w:gridCol w:w="769"/>
      </w:tblGrid>
      <w:tr w14:paraId="3E8BA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14:paraId="023682E0">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FFFFFF"/>
            <w:noWrap w:val="0"/>
            <w:vAlign w:val="center"/>
          </w:tcPr>
          <w:p w14:paraId="2643FF75">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2109" w:type="dxa"/>
            <w:shd w:val="clear" w:color="auto" w:fill="FFFFFF"/>
            <w:noWrap w:val="0"/>
            <w:vAlign w:val="center"/>
          </w:tcPr>
          <w:p w14:paraId="219F2E93">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3135" w:type="dxa"/>
            <w:shd w:val="clear" w:color="auto" w:fill="FFFFFF"/>
            <w:noWrap w:val="0"/>
            <w:vAlign w:val="center"/>
          </w:tcPr>
          <w:p w14:paraId="07C5BC24">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5777" w:type="dxa"/>
            <w:shd w:val="clear" w:color="auto" w:fill="FFFFFF"/>
            <w:noWrap w:val="0"/>
            <w:vAlign w:val="center"/>
          </w:tcPr>
          <w:p w14:paraId="3D1C16E7">
            <w:pPr>
              <w:widowControl/>
              <w:spacing w:line="0" w:lineRule="atLeast"/>
              <w:ind w:firstLine="0" w:firstLineChars="0"/>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FFFFFF"/>
            <w:noWrap w:val="0"/>
            <w:vAlign w:val="center"/>
          </w:tcPr>
          <w:p w14:paraId="6714108B">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FFFFFF"/>
            <w:noWrap w:val="0"/>
            <w:vAlign w:val="center"/>
          </w:tcPr>
          <w:p w14:paraId="6DA159A1">
            <w:pPr>
              <w:widowControl/>
              <w:spacing w:line="0" w:lineRule="atLeast"/>
              <w:ind w:firstLine="0" w:firstLineChars="0"/>
              <w:jc w:val="center"/>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14:paraId="11D44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14:paraId="0FC66FD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14:paraId="46BD0548">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392E1D5">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FFFFFF"/>
            <w:noWrap w:val="0"/>
            <w:vAlign w:val="center"/>
          </w:tcPr>
          <w:p w14:paraId="3B99947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2109" w:type="dxa"/>
            <w:shd w:val="clear" w:color="auto" w:fill="FFFFFF"/>
            <w:noWrap w:val="0"/>
            <w:vAlign w:val="center"/>
          </w:tcPr>
          <w:p w14:paraId="0664F4D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14:paraId="75E96BA5">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3135" w:type="dxa"/>
            <w:shd w:val="clear" w:color="auto" w:fill="FFFFFF"/>
            <w:noWrap w:val="0"/>
            <w:vAlign w:val="center"/>
          </w:tcPr>
          <w:p w14:paraId="4CA65712">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5777" w:type="dxa"/>
            <w:shd w:val="clear" w:color="auto" w:fill="FFFFFF"/>
            <w:noWrap w:val="0"/>
            <w:vAlign w:val="center"/>
          </w:tcPr>
          <w:p w14:paraId="257E17DC">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62E81D8B">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14:paraId="11433B6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14:paraId="12AF52E8">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14:paraId="4D932FE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14:paraId="28034357">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FFFFFF"/>
            <w:noWrap w:val="0"/>
            <w:vAlign w:val="center"/>
          </w:tcPr>
          <w:p w14:paraId="06EBF4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14:paraId="34F1BE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14:paraId="249E1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14:paraId="24826AD8">
            <w:pPr>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14:paraId="69D45D9A">
            <w:pPr>
              <w:widowControl/>
              <w:spacing w:line="0" w:lineRule="atLeast"/>
              <w:ind w:firstLine="0" w:firstLineChars="0"/>
              <w:jc w:val="center"/>
              <w:rPr>
                <w:rFonts w:ascii="宋体" w:hAnsi="宋体" w:eastAsia="宋体" w:cs="宋体"/>
                <w:color w:val="000000"/>
                <w:kern w:val="0"/>
                <w:sz w:val="22"/>
                <w:szCs w:val="22"/>
              </w:rPr>
            </w:pPr>
          </w:p>
        </w:tc>
        <w:tc>
          <w:tcPr>
            <w:tcW w:w="2109" w:type="dxa"/>
            <w:shd w:val="clear" w:color="auto" w:fill="FFFFFF"/>
            <w:noWrap w:val="0"/>
            <w:vAlign w:val="center"/>
          </w:tcPr>
          <w:p w14:paraId="1E7C3000">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14:paraId="0DF36D7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3135" w:type="dxa"/>
            <w:shd w:val="clear" w:color="auto" w:fill="FFFFFF"/>
            <w:noWrap w:val="0"/>
            <w:vAlign w:val="center"/>
          </w:tcPr>
          <w:p w14:paraId="2DE3234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5777" w:type="dxa"/>
            <w:shd w:val="clear" w:color="auto" w:fill="FFFFFF"/>
            <w:noWrap w:val="0"/>
            <w:vAlign w:val="center"/>
          </w:tcPr>
          <w:p w14:paraId="377255A4">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1CC8478F">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14:paraId="65F8D3F3">
            <w:pPr>
              <w:widowControl/>
              <w:spacing w:line="0" w:lineRule="atLeast"/>
              <w:ind w:firstLine="0" w:firstLineChars="0"/>
              <w:jc w:val="left"/>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14:paraId="792B547D">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5" w:type="dxa"/>
            <w:shd w:val="clear" w:color="auto" w:fill="FFFFFF"/>
            <w:noWrap w:val="0"/>
            <w:vAlign w:val="center"/>
          </w:tcPr>
          <w:p w14:paraId="6D21F6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14:paraId="2F12B5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cs="宋体"/>
                <w:color w:val="auto"/>
                <w:kern w:val="0"/>
                <w:sz w:val="20"/>
                <w:szCs w:val="20"/>
                <w:highlight w:val="none"/>
                <w:shd w:val="clear" w:color="auto" w:fill="auto"/>
                <w:lang w:val="en-US" w:eastAsia="zh-CN"/>
              </w:rPr>
              <w:t>1</w:t>
            </w:r>
          </w:p>
        </w:tc>
      </w:tr>
      <w:tr w14:paraId="14953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14:paraId="250787BE">
            <w:pPr>
              <w:spacing w:line="0" w:lineRule="atLeast"/>
              <w:ind w:firstLine="0" w:firstLineChars="0"/>
              <w:jc w:val="center"/>
              <w:rPr>
                <w:rFonts w:ascii="宋体" w:hAnsi="宋体" w:eastAsia="宋体" w:cs="宋体"/>
                <w:color w:val="000000"/>
                <w:kern w:val="0"/>
                <w:sz w:val="22"/>
                <w:szCs w:val="22"/>
              </w:rPr>
            </w:pPr>
          </w:p>
        </w:tc>
        <w:tc>
          <w:tcPr>
            <w:tcW w:w="727" w:type="dxa"/>
            <w:shd w:val="clear" w:color="auto" w:fill="FFFFFF"/>
            <w:noWrap w:val="0"/>
            <w:vAlign w:val="center"/>
          </w:tcPr>
          <w:p w14:paraId="61CE375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2109" w:type="dxa"/>
            <w:shd w:val="clear" w:color="auto" w:fill="FFFFFF"/>
            <w:noWrap w:val="0"/>
            <w:vAlign w:val="center"/>
          </w:tcPr>
          <w:p w14:paraId="1E74C5AB">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14:paraId="0E17DFD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3135" w:type="dxa"/>
            <w:shd w:val="clear" w:color="000000" w:fill="FFFFFF"/>
            <w:noWrap w:val="0"/>
            <w:vAlign w:val="center"/>
          </w:tcPr>
          <w:p w14:paraId="1DFF29A5">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5777" w:type="dxa"/>
            <w:shd w:val="clear" w:color="000000" w:fill="FFFFFF"/>
            <w:noWrap w:val="0"/>
            <w:vAlign w:val="center"/>
          </w:tcPr>
          <w:p w14:paraId="12302332">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E185A91">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14:paraId="65C4C734">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14:paraId="2AAB8199">
            <w:pPr>
              <w:widowControl/>
              <w:spacing w:line="0" w:lineRule="atLeast"/>
              <w:ind w:firstLine="0" w:firstLineChars="0"/>
              <w:jc w:val="left"/>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14:paraId="532423DA">
            <w:pPr>
              <w:widowControl/>
              <w:spacing w:line="0" w:lineRule="atLeast"/>
              <w:ind w:firstLine="0" w:firstLineChars="0"/>
              <w:jc w:val="left"/>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14:paraId="2E51F46B">
            <w:pPr>
              <w:widowControl/>
              <w:spacing w:line="0" w:lineRule="atLeast"/>
              <w:ind w:firstLine="0" w:firstLineChars="0"/>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000000" w:fill="FFFFFF"/>
            <w:noWrap w:val="0"/>
            <w:vAlign w:val="center"/>
          </w:tcPr>
          <w:p w14:paraId="797BBA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14:paraId="6BA3E8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5E3F4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14:paraId="28CC86BF">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FFFFFF"/>
            <w:noWrap w:val="0"/>
            <w:vAlign w:val="center"/>
          </w:tcPr>
          <w:p w14:paraId="2579EABC">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2109" w:type="dxa"/>
            <w:shd w:val="clear" w:color="auto" w:fill="FFFFFF"/>
            <w:noWrap w:val="0"/>
            <w:vAlign w:val="center"/>
          </w:tcPr>
          <w:p w14:paraId="4D59C5CD">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14:paraId="1275DF8A">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3135" w:type="dxa"/>
            <w:shd w:val="clear" w:color="000000" w:fill="FFFFFF"/>
            <w:noWrap w:val="0"/>
            <w:vAlign w:val="center"/>
          </w:tcPr>
          <w:p w14:paraId="357CDC5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5777" w:type="dxa"/>
            <w:shd w:val="clear" w:color="000000" w:fill="FFFFFF"/>
            <w:noWrap w:val="0"/>
            <w:vAlign w:val="center"/>
          </w:tcPr>
          <w:p w14:paraId="4C1583C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3755CDC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14:paraId="6700EA6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14:paraId="7FD99B6C">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14:paraId="7671F8DE">
            <w:pPr>
              <w:widowControl/>
              <w:spacing w:line="0" w:lineRule="atLeast"/>
              <w:ind w:firstLine="0" w:firstLineChars="0"/>
              <w:rPr>
                <w:rFonts w:hint="eastAsia" w:ascii="宋体" w:hAnsi="宋体" w:eastAsia="宋体" w:cs="宋体"/>
                <w:color w:val="000000"/>
                <w:kern w:val="0"/>
                <w:sz w:val="22"/>
                <w:szCs w:val="22"/>
                <w:lang w:eastAsia="zh-CN"/>
              </w:rPr>
            </w:pPr>
          </w:p>
        </w:tc>
        <w:tc>
          <w:tcPr>
            <w:tcW w:w="785" w:type="dxa"/>
            <w:shd w:val="clear" w:color="000000" w:fill="FFFFFF"/>
            <w:noWrap w:val="0"/>
            <w:vAlign w:val="center"/>
          </w:tcPr>
          <w:p w14:paraId="65D287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000000" w:fill="FFFFFF"/>
            <w:noWrap w:val="0"/>
            <w:vAlign w:val="center"/>
          </w:tcPr>
          <w:p w14:paraId="1FF0D5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5</w:t>
            </w:r>
          </w:p>
        </w:tc>
      </w:tr>
      <w:tr w14:paraId="43E71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14:paraId="32E1E9AA">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FFFFFF"/>
            <w:noWrap w:val="0"/>
            <w:vAlign w:val="center"/>
          </w:tcPr>
          <w:p w14:paraId="0DD8FE2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14:paraId="0C190A5A">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2109" w:type="dxa"/>
            <w:shd w:val="clear" w:color="auto" w:fill="FFFFFF"/>
            <w:noWrap w:val="0"/>
            <w:vAlign w:val="center"/>
          </w:tcPr>
          <w:p w14:paraId="1A57C4E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14:paraId="0DC1B36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3135" w:type="dxa"/>
            <w:shd w:val="clear" w:color="auto" w:fill="FFFFFF"/>
            <w:noWrap w:val="0"/>
            <w:vAlign w:val="center"/>
          </w:tcPr>
          <w:p w14:paraId="6F01A1E0">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5777" w:type="dxa"/>
            <w:shd w:val="clear" w:color="auto" w:fill="FFFFFF"/>
            <w:noWrap w:val="0"/>
            <w:vAlign w:val="center"/>
          </w:tcPr>
          <w:p w14:paraId="164DA9C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5E4756DF">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14:paraId="401E432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14:paraId="41D97BB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14:paraId="5CD9ED2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FFFFFF"/>
            <w:noWrap w:val="0"/>
            <w:vAlign w:val="center"/>
          </w:tcPr>
          <w:p w14:paraId="30DFDC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FFFFFF"/>
            <w:noWrap w:val="0"/>
            <w:vAlign w:val="center"/>
          </w:tcPr>
          <w:p w14:paraId="5BA554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2</w:t>
            </w:r>
          </w:p>
        </w:tc>
      </w:tr>
      <w:tr w14:paraId="5586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14:paraId="6623CD85">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14:paraId="06F20E19">
            <w:pPr>
              <w:widowControl/>
              <w:spacing w:line="0" w:lineRule="atLeast"/>
              <w:ind w:firstLine="0" w:firstLineChars="0"/>
              <w:jc w:val="center"/>
              <w:rPr>
                <w:rFonts w:ascii="宋体" w:hAnsi="宋体" w:eastAsia="宋体" w:cs="宋体"/>
                <w:color w:val="000000"/>
                <w:kern w:val="0"/>
                <w:sz w:val="22"/>
                <w:szCs w:val="22"/>
              </w:rPr>
            </w:pPr>
          </w:p>
        </w:tc>
        <w:tc>
          <w:tcPr>
            <w:tcW w:w="2109" w:type="dxa"/>
            <w:shd w:val="clear" w:color="auto" w:fill="FFFFFF"/>
            <w:noWrap w:val="0"/>
            <w:vAlign w:val="center"/>
          </w:tcPr>
          <w:p w14:paraId="41AB04FC">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14:paraId="149AF3ED">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3135" w:type="dxa"/>
            <w:shd w:val="clear" w:color="auto" w:fill="FFFFFF"/>
            <w:noWrap w:val="0"/>
            <w:vAlign w:val="center"/>
          </w:tcPr>
          <w:p w14:paraId="6FEB86C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5777" w:type="dxa"/>
            <w:shd w:val="clear" w:color="auto" w:fill="FFFFFF"/>
            <w:noWrap w:val="0"/>
            <w:vAlign w:val="center"/>
          </w:tcPr>
          <w:p w14:paraId="6EFE2A96">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14338993">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14:paraId="721DD2A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FFFFFF"/>
            <w:noWrap w:val="0"/>
            <w:vAlign w:val="center"/>
          </w:tcPr>
          <w:p w14:paraId="1F7267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FFFFFF"/>
            <w:noWrap w:val="0"/>
            <w:vAlign w:val="center"/>
          </w:tcPr>
          <w:p w14:paraId="631B06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3</w:t>
            </w:r>
          </w:p>
        </w:tc>
      </w:tr>
      <w:tr w14:paraId="4EB25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14:paraId="326EBE0D">
            <w:pPr>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FFFFFF"/>
            <w:noWrap w:val="0"/>
            <w:vAlign w:val="center"/>
          </w:tcPr>
          <w:p w14:paraId="1B9FF37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2109" w:type="dxa"/>
            <w:shd w:val="clear" w:color="auto" w:fill="FFFFFF"/>
            <w:noWrap w:val="0"/>
            <w:vAlign w:val="center"/>
          </w:tcPr>
          <w:p w14:paraId="10A97A54">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3135" w:type="dxa"/>
            <w:shd w:val="clear" w:color="000000" w:fill="FFFFFF"/>
            <w:noWrap w:val="0"/>
            <w:vAlign w:val="center"/>
          </w:tcPr>
          <w:p w14:paraId="3B6C5B4C">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5777" w:type="dxa"/>
            <w:shd w:val="clear" w:color="000000" w:fill="FFFFFF"/>
            <w:noWrap w:val="0"/>
            <w:vAlign w:val="center"/>
          </w:tcPr>
          <w:p w14:paraId="2F55EBCE">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资金到位率=（实际到位资金/预算资金）×100%。</w:t>
            </w:r>
          </w:p>
          <w:p w14:paraId="172D3B20">
            <w:pPr>
              <w:widowControl/>
              <w:spacing w:line="0" w:lineRule="atLeast"/>
              <w:ind w:firstLine="0" w:firstLineChars="0"/>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14:paraId="0104CAFF">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000000" w:fill="FFFFFF"/>
            <w:noWrap w:val="0"/>
            <w:vAlign w:val="center"/>
          </w:tcPr>
          <w:p w14:paraId="003A02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47583C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5CA35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14:paraId="0D0F1982">
            <w:pPr>
              <w:spacing w:line="0" w:lineRule="atLeast"/>
              <w:ind w:firstLine="0" w:firstLineChars="0"/>
              <w:jc w:val="center"/>
              <w:rPr>
                <w:rFonts w:hint="eastAsia" w:ascii="宋体" w:hAnsi="宋体" w:eastAsia="宋体" w:cs="宋体"/>
                <w:color w:val="000000"/>
                <w:kern w:val="0"/>
                <w:sz w:val="22"/>
                <w:szCs w:val="22"/>
              </w:rPr>
            </w:pPr>
          </w:p>
        </w:tc>
        <w:tc>
          <w:tcPr>
            <w:tcW w:w="727" w:type="dxa"/>
            <w:vMerge w:val="continue"/>
            <w:shd w:val="clear" w:color="auto" w:fill="FFFFFF"/>
            <w:noWrap w:val="0"/>
            <w:vAlign w:val="center"/>
          </w:tcPr>
          <w:p w14:paraId="3223B5D8">
            <w:pPr>
              <w:spacing w:line="0" w:lineRule="atLeast"/>
              <w:ind w:firstLine="0" w:firstLineChars="0"/>
              <w:jc w:val="center"/>
              <w:rPr>
                <w:rFonts w:hint="eastAsia" w:ascii="宋体" w:hAnsi="宋体" w:eastAsia="宋体" w:cs="宋体"/>
                <w:color w:val="000000"/>
                <w:kern w:val="0"/>
                <w:sz w:val="22"/>
                <w:szCs w:val="22"/>
              </w:rPr>
            </w:pPr>
          </w:p>
        </w:tc>
        <w:tc>
          <w:tcPr>
            <w:tcW w:w="2109" w:type="dxa"/>
            <w:shd w:val="clear" w:color="auto" w:fill="FFFFFF"/>
            <w:noWrap w:val="0"/>
            <w:vAlign w:val="center"/>
          </w:tcPr>
          <w:p w14:paraId="36A13D4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3135" w:type="dxa"/>
            <w:shd w:val="clear" w:color="auto" w:fill="FFFFFF"/>
            <w:noWrap w:val="0"/>
            <w:vAlign w:val="center"/>
          </w:tcPr>
          <w:p w14:paraId="1D3CF22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5777" w:type="dxa"/>
            <w:shd w:val="clear" w:color="auto" w:fill="FFFFFF"/>
            <w:noWrap w:val="0"/>
            <w:vAlign w:val="center"/>
          </w:tcPr>
          <w:p w14:paraId="1373EC7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14:paraId="7B7DAA74">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FFFFFF"/>
            <w:noWrap w:val="0"/>
            <w:vAlign w:val="center"/>
          </w:tcPr>
          <w:p w14:paraId="41461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FFFFFF"/>
            <w:noWrap w:val="0"/>
            <w:vAlign w:val="center"/>
          </w:tcPr>
          <w:p w14:paraId="11D1A6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6F0F7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14:paraId="71CE6EF9">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14:paraId="41323106">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FFFFFF"/>
            <w:noWrap w:val="0"/>
            <w:vAlign w:val="center"/>
          </w:tcPr>
          <w:p w14:paraId="6E998D4B">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2109" w:type="dxa"/>
            <w:shd w:val="clear" w:color="auto" w:fill="FFFFFF"/>
            <w:noWrap w:val="0"/>
            <w:vAlign w:val="center"/>
          </w:tcPr>
          <w:p w14:paraId="06C180EF">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14:paraId="60E34E2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3135" w:type="dxa"/>
            <w:shd w:val="clear" w:color="000000" w:fill="FFFFFF"/>
            <w:noWrap w:val="0"/>
            <w:vAlign w:val="center"/>
          </w:tcPr>
          <w:p w14:paraId="3BB0165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5777" w:type="dxa"/>
            <w:shd w:val="clear" w:color="000000" w:fill="FFFFFF"/>
            <w:noWrap w:val="0"/>
            <w:vAlign w:val="center"/>
          </w:tcPr>
          <w:p w14:paraId="0C44A6E4">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79B3D24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14:paraId="51116639">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14:paraId="2356088E">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14:paraId="226E5DFE">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000000" w:fill="FFFFFF"/>
            <w:noWrap w:val="0"/>
            <w:vAlign w:val="center"/>
          </w:tcPr>
          <w:p w14:paraId="5C0F41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3B187C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62CA6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14:paraId="0B0E85E2">
            <w:pPr>
              <w:spacing w:line="0" w:lineRule="atLeast"/>
              <w:ind w:firstLine="0" w:firstLineChars="0"/>
              <w:jc w:val="center"/>
              <w:rPr>
                <w:rFonts w:ascii="宋体" w:hAnsi="宋体" w:eastAsia="宋体" w:cs="宋体"/>
                <w:color w:val="000000"/>
                <w:kern w:val="0"/>
                <w:sz w:val="22"/>
                <w:szCs w:val="22"/>
              </w:rPr>
            </w:pPr>
          </w:p>
        </w:tc>
        <w:tc>
          <w:tcPr>
            <w:tcW w:w="727" w:type="dxa"/>
            <w:vMerge w:val="restart"/>
            <w:shd w:val="clear" w:color="auto" w:fill="FFFFFF"/>
            <w:noWrap w:val="0"/>
            <w:vAlign w:val="center"/>
          </w:tcPr>
          <w:p w14:paraId="43A71C10">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14:paraId="76B9598C">
            <w:pPr>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2109" w:type="dxa"/>
            <w:shd w:val="clear" w:color="auto" w:fill="FFFFFF"/>
            <w:noWrap w:val="0"/>
            <w:vAlign w:val="center"/>
          </w:tcPr>
          <w:p w14:paraId="1FC7772E">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14:paraId="44A06F17">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3135" w:type="dxa"/>
            <w:shd w:val="clear" w:color="000000" w:fill="FFFFFF"/>
            <w:noWrap w:val="0"/>
            <w:vAlign w:val="center"/>
          </w:tcPr>
          <w:p w14:paraId="37B4576D">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5777" w:type="dxa"/>
            <w:shd w:val="clear" w:color="000000" w:fill="FFFFFF"/>
            <w:noWrap w:val="0"/>
            <w:vAlign w:val="center"/>
          </w:tcPr>
          <w:p w14:paraId="1D715131">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455C1465">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14:paraId="2FB672A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000000" w:fill="FFFFFF"/>
            <w:noWrap w:val="0"/>
            <w:vAlign w:val="center"/>
          </w:tcPr>
          <w:p w14:paraId="680749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2F6A56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auto"/>
                <w:kern w:val="0"/>
                <w:sz w:val="20"/>
                <w:szCs w:val="20"/>
                <w:highlight w:val="none"/>
                <w:shd w:val="clear" w:color="auto" w:fill="auto"/>
                <w:lang w:val="en-US" w:eastAsia="zh-CN"/>
              </w:rPr>
              <w:t>4</w:t>
            </w:r>
          </w:p>
        </w:tc>
      </w:tr>
      <w:tr w14:paraId="09625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14:paraId="53E26395">
            <w:pPr>
              <w:widowControl/>
              <w:spacing w:line="0" w:lineRule="atLeast"/>
              <w:ind w:firstLine="0" w:firstLineChars="0"/>
              <w:jc w:val="center"/>
              <w:rPr>
                <w:rFonts w:ascii="宋体" w:hAnsi="宋体" w:eastAsia="宋体" w:cs="宋体"/>
                <w:color w:val="000000"/>
                <w:kern w:val="0"/>
                <w:sz w:val="22"/>
                <w:szCs w:val="22"/>
              </w:rPr>
            </w:pPr>
          </w:p>
        </w:tc>
        <w:tc>
          <w:tcPr>
            <w:tcW w:w="727" w:type="dxa"/>
            <w:vMerge w:val="continue"/>
            <w:shd w:val="clear" w:color="auto" w:fill="FFFFFF"/>
            <w:noWrap w:val="0"/>
            <w:vAlign w:val="center"/>
          </w:tcPr>
          <w:p w14:paraId="483F5349">
            <w:pPr>
              <w:widowControl/>
              <w:spacing w:line="0" w:lineRule="atLeast"/>
              <w:ind w:firstLine="0" w:firstLineChars="0"/>
              <w:jc w:val="center"/>
              <w:rPr>
                <w:rFonts w:ascii="宋体" w:hAnsi="宋体" w:eastAsia="宋体" w:cs="宋体"/>
                <w:color w:val="000000"/>
                <w:kern w:val="0"/>
                <w:sz w:val="22"/>
                <w:szCs w:val="22"/>
              </w:rPr>
            </w:pPr>
          </w:p>
        </w:tc>
        <w:tc>
          <w:tcPr>
            <w:tcW w:w="2109" w:type="dxa"/>
            <w:shd w:val="clear" w:color="auto" w:fill="FFFFFF"/>
            <w:noWrap w:val="0"/>
            <w:vAlign w:val="center"/>
          </w:tcPr>
          <w:p w14:paraId="02C03EE7">
            <w:pPr>
              <w:widowControl/>
              <w:spacing w:line="0" w:lineRule="atLeast"/>
              <w:ind w:firstLine="0" w:firstLineChars="0"/>
              <w:jc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14:paraId="465DBA03">
            <w:pPr>
              <w:widowControl/>
              <w:spacing w:line="0" w:lineRule="atLeast"/>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3135" w:type="dxa"/>
            <w:shd w:val="clear" w:color="000000" w:fill="FFFFFF"/>
            <w:noWrap w:val="0"/>
            <w:vAlign w:val="center"/>
          </w:tcPr>
          <w:p w14:paraId="17622FC8">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5777" w:type="dxa"/>
            <w:shd w:val="clear" w:color="000000" w:fill="FFFFFF"/>
            <w:noWrap w:val="0"/>
            <w:vAlign w:val="center"/>
          </w:tcPr>
          <w:p w14:paraId="651213EA">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14:paraId="250D7D6D">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14:paraId="68933457">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14:paraId="3D5A03B0">
            <w:pPr>
              <w:widowControl/>
              <w:spacing w:line="0" w:lineRule="atLeast"/>
              <w:ind w:firstLine="0" w:firstLineChars="0"/>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14:paraId="3F08E156">
            <w:pPr>
              <w:widowControl/>
              <w:spacing w:line="0" w:lineRule="atLeast"/>
              <w:ind w:firstLine="0" w:firstLineChars="0"/>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000000" w:fill="FFFFFF"/>
            <w:noWrap w:val="0"/>
            <w:vAlign w:val="center"/>
          </w:tcPr>
          <w:p w14:paraId="1171A3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000000" w:fill="FFFFFF"/>
            <w:noWrap w:val="0"/>
            <w:vAlign w:val="center"/>
          </w:tcPr>
          <w:p w14:paraId="1D8A5CDF">
            <w:pPr>
              <w:widowControl/>
              <w:spacing w:line="0" w:lineRule="atLeast"/>
              <w:ind w:firstLine="0" w:firstLineChars="0"/>
              <w:jc w:val="center"/>
              <w:rPr>
                <w:rFonts w:hint="eastAsia" w:ascii="宋体" w:hAnsi="宋体" w:eastAsia="宋体" w:cs="宋体"/>
                <w:color w:val="000000"/>
                <w:kern w:val="0"/>
                <w:sz w:val="22"/>
                <w:szCs w:val="22"/>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14:paraId="17A7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861" w:type="dxa"/>
            <w:vMerge w:val="restart"/>
            <w:shd w:val="clear" w:color="auto" w:fill="FFFFFF"/>
            <w:noWrap w:val="0"/>
            <w:vAlign w:val="center"/>
          </w:tcPr>
          <w:p w14:paraId="4DC89132">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FFFFFF"/>
            <w:noWrap w:val="0"/>
            <w:vAlign w:val="center"/>
          </w:tcPr>
          <w:p w14:paraId="3DC0AEE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2109" w:type="dxa"/>
            <w:shd w:val="clear" w:color="auto" w:fill="FFFFFF"/>
            <w:noWrap w:val="0"/>
            <w:vAlign w:val="center"/>
          </w:tcPr>
          <w:p w14:paraId="54F2176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举办免费开放活动场次</w:t>
            </w:r>
          </w:p>
        </w:tc>
        <w:tc>
          <w:tcPr>
            <w:tcW w:w="3135" w:type="dxa"/>
            <w:shd w:val="clear" w:color="000000" w:fill="FFFFFF"/>
            <w:noWrap w:val="0"/>
            <w:vAlign w:val="center"/>
          </w:tcPr>
          <w:p w14:paraId="5A53353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14:paraId="5E03E6F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3CBCC0F4">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4C4ED658">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14:paraId="6A9964EA">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4EDC3FF6">
            <w:pPr>
              <w:widowControl/>
              <w:spacing w:line="0" w:lineRule="atLeast"/>
              <w:ind w:firstLine="0" w:firstLineChars="0"/>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2C301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FFFFFF"/>
            <w:noWrap w:val="0"/>
            <w:vAlign w:val="center"/>
          </w:tcPr>
          <w:p w14:paraId="7037D946">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36412D8E">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299F0756">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举办流动博物馆巡展宣传场次</w:t>
            </w:r>
          </w:p>
        </w:tc>
        <w:tc>
          <w:tcPr>
            <w:tcW w:w="3135" w:type="dxa"/>
            <w:shd w:val="clear" w:color="000000" w:fill="FFFFFF"/>
            <w:noWrap w:val="0"/>
            <w:vAlign w:val="center"/>
          </w:tcPr>
          <w:p w14:paraId="4DB49E4B">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14:paraId="13D6E39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042C21D8">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724A6593">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14:paraId="5CB6E6F5">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406AD849">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2950C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FFFFFF"/>
            <w:noWrap w:val="0"/>
            <w:vAlign w:val="center"/>
          </w:tcPr>
          <w:p w14:paraId="7988955A">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24DD60BE">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5BE3A48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免费开放及流动博物馆活动天数</w:t>
            </w:r>
          </w:p>
        </w:tc>
        <w:tc>
          <w:tcPr>
            <w:tcW w:w="3135" w:type="dxa"/>
            <w:shd w:val="clear" w:color="000000" w:fill="FFFFFF"/>
            <w:noWrap w:val="0"/>
            <w:vAlign w:val="center"/>
          </w:tcPr>
          <w:p w14:paraId="3D4650FB">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14:paraId="69273E0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41986E5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60EB861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14:paraId="394A57FC">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1BD5443C">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10210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vMerge w:val="continue"/>
            <w:shd w:val="clear" w:color="auto" w:fill="FFFFFF"/>
            <w:noWrap w:val="0"/>
            <w:vAlign w:val="center"/>
          </w:tcPr>
          <w:p w14:paraId="044AC18F">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3AC7AB22">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719DD99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参加人数</w:t>
            </w:r>
          </w:p>
        </w:tc>
        <w:tc>
          <w:tcPr>
            <w:tcW w:w="3135" w:type="dxa"/>
            <w:shd w:val="clear" w:color="000000" w:fill="FFFFFF"/>
            <w:noWrap w:val="0"/>
            <w:vAlign w:val="center"/>
          </w:tcPr>
          <w:p w14:paraId="4BEED5D1">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5777" w:type="dxa"/>
            <w:shd w:val="clear" w:color="000000" w:fill="FFFFFF"/>
            <w:noWrap w:val="0"/>
            <w:vAlign w:val="center"/>
          </w:tcPr>
          <w:p w14:paraId="00B4800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1DACF45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0E935763">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000000" w:fill="FFFFFF"/>
            <w:noWrap w:val="0"/>
            <w:vAlign w:val="center"/>
          </w:tcPr>
          <w:p w14:paraId="41E4DDE1">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0C260E5E">
            <w:pPr>
              <w:widowControl/>
              <w:spacing w:line="0" w:lineRule="atLeast"/>
              <w:ind w:firstLine="0" w:firstLineChars="0"/>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55A5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14:paraId="7A7A6F5B">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FFFFFF"/>
            <w:noWrap w:val="0"/>
            <w:vAlign w:val="center"/>
          </w:tcPr>
          <w:p w14:paraId="29BDD05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2109" w:type="dxa"/>
            <w:shd w:val="clear" w:color="auto" w:fill="FFFFFF"/>
            <w:noWrap w:val="0"/>
            <w:vAlign w:val="center"/>
          </w:tcPr>
          <w:p w14:paraId="56818DF5">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免费开放绩效考评率</w:t>
            </w:r>
          </w:p>
        </w:tc>
        <w:tc>
          <w:tcPr>
            <w:tcW w:w="3135" w:type="dxa"/>
            <w:shd w:val="clear" w:color="000000" w:fill="FFFFFF"/>
            <w:noWrap w:val="0"/>
            <w:vAlign w:val="center"/>
          </w:tcPr>
          <w:p w14:paraId="5BC83F78">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5777" w:type="dxa"/>
            <w:shd w:val="clear" w:color="000000" w:fill="FFFFFF"/>
            <w:noWrap w:val="0"/>
            <w:vAlign w:val="center"/>
          </w:tcPr>
          <w:p w14:paraId="508D2D66">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7D698482">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14:paraId="40BC3CF2">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3C1450BF">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1E0C6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continue"/>
            <w:shd w:val="clear" w:color="auto" w:fill="FFFFFF"/>
            <w:noWrap w:val="0"/>
            <w:vAlign w:val="center"/>
          </w:tcPr>
          <w:p w14:paraId="1FCFB739">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49180C3B">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35510149">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陈列展示水平</w:t>
            </w:r>
          </w:p>
        </w:tc>
        <w:tc>
          <w:tcPr>
            <w:tcW w:w="3135" w:type="dxa"/>
            <w:shd w:val="clear" w:color="000000" w:fill="FFFFFF"/>
            <w:noWrap w:val="0"/>
            <w:vAlign w:val="center"/>
          </w:tcPr>
          <w:p w14:paraId="5B8396A1">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5777" w:type="dxa"/>
            <w:shd w:val="clear" w:color="000000" w:fill="FFFFFF"/>
            <w:noWrap w:val="0"/>
            <w:vAlign w:val="center"/>
          </w:tcPr>
          <w:p w14:paraId="787AB63B">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5E811A0A">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14:paraId="26D98401">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17EBA547">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57ADE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continue"/>
            <w:shd w:val="clear" w:color="auto" w:fill="FFFFFF"/>
            <w:noWrap w:val="0"/>
            <w:vAlign w:val="center"/>
          </w:tcPr>
          <w:p w14:paraId="37F529DD">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0380F74A">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62F8FD2C">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社会教育服务水平</w:t>
            </w:r>
          </w:p>
        </w:tc>
        <w:tc>
          <w:tcPr>
            <w:tcW w:w="3135" w:type="dxa"/>
            <w:shd w:val="clear" w:color="000000" w:fill="FFFFFF"/>
            <w:noWrap w:val="0"/>
            <w:vAlign w:val="center"/>
          </w:tcPr>
          <w:p w14:paraId="3A24443F">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5777" w:type="dxa"/>
            <w:shd w:val="clear" w:color="000000" w:fill="FFFFFF"/>
            <w:noWrap w:val="0"/>
            <w:vAlign w:val="center"/>
          </w:tcPr>
          <w:p w14:paraId="6AE93842">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092D25F4">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000000" w:fill="FFFFFF"/>
            <w:noWrap w:val="0"/>
            <w:vAlign w:val="center"/>
          </w:tcPr>
          <w:p w14:paraId="5CB3510D">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420A69B9">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13B93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14:paraId="412247FE">
            <w:pPr>
              <w:spacing w:line="0" w:lineRule="atLeast"/>
              <w:ind w:firstLine="0" w:firstLineChars="0"/>
              <w:jc w:val="center"/>
              <w:rPr>
                <w:rFonts w:ascii="宋体" w:hAnsi="宋体" w:eastAsia="宋体" w:cs="宋体"/>
                <w:color w:val="000000"/>
                <w:kern w:val="0"/>
                <w:sz w:val="22"/>
                <w:szCs w:val="22"/>
                <w:highlight w:val="none"/>
              </w:rPr>
            </w:pPr>
          </w:p>
        </w:tc>
        <w:tc>
          <w:tcPr>
            <w:tcW w:w="727" w:type="dxa"/>
            <w:shd w:val="clear" w:color="auto" w:fill="FFFFFF"/>
            <w:noWrap w:val="0"/>
            <w:vAlign w:val="center"/>
          </w:tcPr>
          <w:p w14:paraId="10E8D03F">
            <w:pPr>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2109" w:type="dxa"/>
            <w:shd w:val="clear" w:color="auto" w:fill="FFFFFF"/>
            <w:noWrap w:val="0"/>
            <w:vAlign w:val="center"/>
          </w:tcPr>
          <w:p w14:paraId="01821951">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举办免费开放活动完成时间</w:t>
            </w:r>
          </w:p>
        </w:tc>
        <w:tc>
          <w:tcPr>
            <w:tcW w:w="3135" w:type="dxa"/>
            <w:shd w:val="clear" w:color="000000" w:fill="FFFFFF"/>
            <w:noWrap w:val="0"/>
            <w:vAlign w:val="center"/>
          </w:tcPr>
          <w:p w14:paraId="0A050E54">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5777" w:type="dxa"/>
            <w:shd w:val="clear" w:color="000000" w:fill="FFFFFF"/>
            <w:noWrap w:val="0"/>
            <w:vAlign w:val="center"/>
          </w:tcPr>
          <w:p w14:paraId="10279E4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61C068C9">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000000" w:fill="FFFFFF"/>
            <w:noWrap w:val="0"/>
            <w:vAlign w:val="center"/>
          </w:tcPr>
          <w:p w14:paraId="1F37ECD8">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0D3E0242">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0D35A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6" w:hRule="atLeast"/>
          <w:jc w:val="center"/>
        </w:trPr>
        <w:tc>
          <w:tcPr>
            <w:tcW w:w="861" w:type="dxa"/>
            <w:vMerge w:val="continue"/>
            <w:shd w:val="clear" w:color="auto" w:fill="FFFFFF"/>
            <w:noWrap w:val="0"/>
            <w:vAlign w:val="center"/>
          </w:tcPr>
          <w:p w14:paraId="09FB4FBE">
            <w:pPr>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FFFFFF"/>
            <w:noWrap w:val="0"/>
            <w:vAlign w:val="center"/>
          </w:tcPr>
          <w:p w14:paraId="409765FA">
            <w:pPr>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2109" w:type="dxa"/>
            <w:shd w:val="clear" w:color="auto" w:fill="FFFFFF"/>
            <w:noWrap w:val="0"/>
            <w:vAlign w:val="center"/>
          </w:tcPr>
          <w:p w14:paraId="73DAECFB">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举办流动博物馆宣传完成时间</w:t>
            </w:r>
          </w:p>
        </w:tc>
        <w:tc>
          <w:tcPr>
            <w:tcW w:w="3135" w:type="dxa"/>
            <w:shd w:val="clear" w:color="000000" w:fill="FFFFFF"/>
            <w:noWrap w:val="0"/>
            <w:vAlign w:val="center"/>
          </w:tcPr>
          <w:p w14:paraId="385CE2DF">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5777" w:type="dxa"/>
            <w:shd w:val="clear" w:color="000000" w:fill="FFFFFF"/>
            <w:noWrap w:val="0"/>
            <w:vAlign w:val="center"/>
          </w:tcPr>
          <w:p w14:paraId="46C65950">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26004769">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000000" w:fill="FFFFFF"/>
            <w:noWrap w:val="0"/>
            <w:vAlign w:val="center"/>
          </w:tcPr>
          <w:p w14:paraId="3C84B64F">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c>
          <w:tcPr>
            <w:tcW w:w="769" w:type="dxa"/>
            <w:shd w:val="clear" w:color="000000" w:fill="FFFFFF"/>
            <w:noWrap w:val="0"/>
            <w:vAlign w:val="center"/>
          </w:tcPr>
          <w:p w14:paraId="5B82AC30">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576A2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861" w:type="dxa"/>
            <w:vMerge w:val="continue"/>
            <w:shd w:val="clear" w:color="auto" w:fill="FFFFFF"/>
            <w:noWrap w:val="0"/>
            <w:vAlign w:val="center"/>
          </w:tcPr>
          <w:p w14:paraId="013EA267">
            <w:pPr>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56CD4C28">
            <w:pPr>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2F9F16E4">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博物馆免费开放专项资金完成及时率</w:t>
            </w:r>
          </w:p>
        </w:tc>
        <w:tc>
          <w:tcPr>
            <w:tcW w:w="3135" w:type="dxa"/>
            <w:shd w:val="clear" w:color="000000" w:fill="FFFFFF"/>
            <w:noWrap w:val="0"/>
            <w:vAlign w:val="center"/>
          </w:tcPr>
          <w:p w14:paraId="75468B91">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5777" w:type="dxa"/>
            <w:shd w:val="clear" w:color="000000" w:fill="FFFFFF"/>
            <w:noWrap w:val="0"/>
            <w:vAlign w:val="center"/>
          </w:tcPr>
          <w:p w14:paraId="79FE647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09C4B1D3">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000000" w:fill="FFFFFF"/>
            <w:noWrap w:val="0"/>
            <w:vAlign w:val="center"/>
          </w:tcPr>
          <w:p w14:paraId="3AABFE26">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14:paraId="1A05F4EA">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7AB57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861" w:type="dxa"/>
            <w:vMerge w:val="continue"/>
            <w:shd w:val="clear" w:color="auto" w:fill="FFFFFF"/>
            <w:noWrap w:val="0"/>
            <w:vAlign w:val="center"/>
          </w:tcPr>
          <w:p w14:paraId="3D4DA94F">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restart"/>
            <w:shd w:val="clear" w:color="auto" w:fill="FFFFFF"/>
            <w:noWrap w:val="0"/>
            <w:vAlign w:val="center"/>
          </w:tcPr>
          <w:p w14:paraId="1A3CB74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2109" w:type="dxa"/>
            <w:shd w:val="clear" w:color="auto" w:fill="FFFFFF"/>
            <w:noWrap w:val="0"/>
            <w:vAlign w:val="center"/>
          </w:tcPr>
          <w:p w14:paraId="66FBF0C0">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免费开放活动支出</w:t>
            </w:r>
          </w:p>
        </w:tc>
        <w:tc>
          <w:tcPr>
            <w:tcW w:w="3135" w:type="dxa"/>
            <w:shd w:val="clear" w:color="000000" w:fill="FFFFFF"/>
            <w:noWrap w:val="0"/>
            <w:vAlign w:val="center"/>
          </w:tcPr>
          <w:p w14:paraId="6F8A4BB9">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5777" w:type="dxa"/>
            <w:shd w:val="clear" w:color="000000" w:fill="FFFFFF"/>
            <w:noWrap w:val="0"/>
            <w:vAlign w:val="center"/>
          </w:tcPr>
          <w:p w14:paraId="645267E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167C5EC5">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0312A57B">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14:paraId="31B6E7A9">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14:paraId="56EEB8BB">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1672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61" w:type="dxa"/>
            <w:vMerge w:val="restart"/>
            <w:shd w:val="clear" w:color="auto" w:fill="FFFFFF"/>
            <w:noWrap w:val="0"/>
            <w:vAlign w:val="center"/>
          </w:tcPr>
          <w:p w14:paraId="15FCE932">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continue"/>
            <w:shd w:val="clear" w:color="auto" w:fill="FFFFFF"/>
            <w:noWrap w:val="0"/>
            <w:vAlign w:val="center"/>
          </w:tcPr>
          <w:p w14:paraId="5B7ADD99">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3CCD453D">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流动博物馆巡展宣传支出</w:t>
            </w:r>
          </w:p>
        </w:tc>
        <w:tc>
          <w:tcPr>
            <w:tcW w:w="3135" w:type="dxa"/>
            <w:shd w:val="clear" w:color="000000" w:fill="FFFFFF"/>
            <w:noWrap w:val="0"/>
            <w:vAlign w:val="center"/>
          </w:tcPr>
          <w:p w14:paraId="45683CE8">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5777" w:type="dxa"/>
            <w:shd w:val="clear" w:color="000000" w:fill="FFFFFF"/>
            <w:noWrap w:val="0"/>
            <w:vAlign w:val="center"/>
          </w:tcPr>
          <w:p w14:paraId="50FD5907">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62FE104F">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50143CBD">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14:paraId="080699B7">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14:paraId="49BA6D15">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5A8D6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861" w:type="dxa"/>
            <w:vMerge w:val="continue"/>
            <w:shd w:val="clear" w:color="auto" w:fill="FFFFFF"/>
            <w:noWrap w:val="0"/>
            <w:vAlign w:val="center"/>
          </w:tcPr>
          <w:p w14:paraId="280DFA25">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1B32E1C1">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23A67B56">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博物馆免费开放专项资金到位率</w:t>
            </w:r>
          </w:p>
        </w:tc>
        <w:tc>
          <w:tcPr>
            <w:tcW w:w="3135" w:type="dxa"/>
            <w:shd w:val="clear" w:color="000000" w:fill="FFFFFF"/>
            <w:noWrap w:val="0"/>
            <w:vAlign w:val="center"/>
          </w:tcPr>
          <w:p w14:paraId="20B94B0A">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5777" w:type="dxa"/>
            <w:shd w:val="clear" w:color="000000" w:fill="FFFFFF"/>
            <w:noWrap w:val="0"/>
            <w:vAlign w:val="center"/>
          </w:tcPr>
          <w:p w14:paraId="7C34B21C">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1CC322F6">
            <w:pPr>
              <w:widowControl/>
              <w:spacing w:line="0" w:lineRule="atLeast"/>
              <w:ind w:firstLine="0" w:firstLineChars="0"/>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58E5E7E0">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000000" w:fill="FFFFFF"/>
            <w:noWrap w:val="0"/>
            <w:vAlign w:val="center"/>
          </w:tcPr>
          <w:p w14:paraId="52268ABA">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c>
          <w:tcPr>
            <w:tcW w:w="769" w:type="dxa"/>
            <w:shd w:val="clear" w:color="000000" w:fill="FFFFFF"/>
            <w:noWrap w:val="0"/>
            <w:vAlign w:val="center"/>
          </w:tcPr>
          <w:p w14:paraId="12CEEDAD">
            <w:pPr>
              <w:widowControl/>
              <w:spacing w:line="0" w:lineRule="atLeast"/>
              <w:ind w:firstLine="0" w:firstLineChars="0"/>
              <w:jc w:val="center"/>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49C1A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14:paraId="145BB67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FFFFFF"/>
            <w:noWrap w:val="0"/>
            <w:vAlign w:val="center"/>
          </w:tcPr>
          <w:p w14:paraId="384C62FC">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2109" w:type="dxa"/>
            <w:shd w:val="clear" w:color="auto" w:fill="FFFFFF"/>
            <w:noWrap w:val="0"/>
            <w:vAlign w:val="center"/>
          </w:tcPr>
          <w:p w14:paraId="70710DAF">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充分发挥博物馆宣传教育和社会服务阵地作用</w:t>
            </w:r>
          </w:p>
        </w:tc>
        <w:tc>
          <w:tcPr>
            <w:tcW w:w="3135" w:type="dxa"/>
            <w:shd w:val="clear" w:color="auto" w:fill="FFFFFF"/>
            <w:noWrap w:val="0"/>
            <w:vAlign w:val="center"/>
          </w:tcPr>
          <w:p w14:paraId="211E155E">
            <w:pPr>
              <w:widowControl/>
              <w:spacing w:line="0" w:lineRule="atLeast"/>
              <w:ind w:firstLine="0" w:firstLineChars="0"/>
              <w:jc w:val="left"/>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5777" w:type="dxa"/>
            <w:shd w:val="clear" w:color="auto" w:fill="FFFFFF"/>
            <w:noWrap w:val="0"/>
            <w:vAlign w:val="center"/>
          </w:tcPr>
          <w:p w14:paraId="3E29E6DA">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14:paraId="2ED444F5">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FFFFFF"/>
            <w:noWrap w:val="0"/>
            <w:vAlign w:val="center"/>
          </w:tcPr>
          <w:p w14:paraId="486C5732">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3B454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vMerge w:val="continue"/>
            <w:shd w:val="clear" w:color="auto" w:fill="FFFFFF"/>
            <w:noWrap w:val="0"/>
            <w:vAlign w:val="center"/>
          </w:tcPr>
          <w:p w14:paraId="6678FE4E">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01378482">
            <w:pPr>
              <w:widowControl/>
              <w:spacing w:line="0" w:lineRule="atLeast"/>
              <w:ind w:firstLine="0" w:firstLineChars="0"/>
              <w:jc w:val="center"/>
              <w:rPr>
                <w:rFonts w:hint="eastAsia" w:ascii="宋体" w:hAnsi="宋体" w:eastAsia="宋体" w:cs="宋体"/>
                <w:color w:val="000000"/>
                <w:kern w:val="0"/>
                <w:sz w:val="22"/>
                <w:szCs w:val="22"/>
                <w:highlight w:val="none"/>
              </w:rPr>
            </w:pPr>
          </w:p>
        </w:tc>
        <w:tc>
          <w:tcPr>
            <w:tcW w:w="2109" w:type="dxa"/>
            <w:shd w:val="clear" w:color="auto" w:fill="FFFFFF"/>
            <w:noWrap w:val="0"/>
            <w:vAlign w:val="center"/>
          </w:tcPr>
          <w:p w14:paraId="78FAC400">
            <w:pPr>
              <w:widowControl/>
              <w:spacing w:line="0" w:lineRule="atLeast"/>
              <w:ind w:firstLine="0" w:firstLineChars="0"/>
              <w:jc w:val="center"/>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不断强化文物的实证史证作用和宣传教育功能，不断弘扬传承优秀传统文化，大力培育社会主义核心价值观</w:t>
            </w:r>
          </w:p>
        </w:tc>
        <w:tc>
          <w:tcPr>
            <w:tcW w:w="3135" w:type="dxa"/>
            <w:shd w:val="clear" w:color="auto" w:fill="FFFFFF"/>
            <w:noWrap w:val="0"/>
            <w:vAlign w:val="center"/>
          </w:tcPr>
          <w:p w14:paraId="7EDBC1D3">
            <w:pPr>
              <w:widowControl/>
              <w:spacing w:line="0" w:lineRule="atLeast"/>
              <w:ind w:firstLine="0" w:firstLineChars="0"/>
              <w:jc w:val="left"/>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5777" w:type="dxa"/>
            <w:shd w:val="clear" w:color="auto" w:fill="FFFFFF"/>
            <w:noWrap w:val="0"/>
            <w:vAlign w:val="center"/>
          </w:tcPr>
          <w:p w14:paraId="2AADC51D">
            <w:pPr>
              <w:widowControl/>
              <w:spacing w:line="0" w:lineRule="atLeast"/>
              <w:ind w:firstLine="0" w:firstLineChars="0"/>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FFFFFF"/>
            <w:noWrap w:val="0"/>
            <w:vAlign w:val="center"/>
          </w:tcPr>
          <w:p w14:paraId="7F41D312">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FFFFFF"/>
            <w:noWrap w:val="0"/>
            <w:vAlign w:val="center"/>
          </w:tcPr>
          <w:p w14:paraId="764B8FF9">
            <w:pPr>
              <w:widowControl/>
              <w:spacing w:line="0" w:lineRule="atLeast"/>
              <w:ind w:firstLine="0" w:firstLineChars="0"/>
              <w:rPr>
                <w:rFonts w:hint="default"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6045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14:paraId="5AECB08B">
            <w:pPr>
              <w:widowControl/>
              <w:spacing w:line="0" w:lineRule="atLeast"/>
              <w:ind w:firstLine="0" w:firstLineChars="0"/>
              <w:jc w:val="center"/>
              <w:rPr>
                <w:rFonts w:ascii="宋体" w:hAnsi="宋体" w:eastAsia="宋体" w:cs="宋体"/>
                <w:color w:val="000000"/>
                <w:kern w:val="0"/>
                <w:sz w:val="22"/>
                <w:szCs w:val="22"/>
                <w:highlight w:val="none"/>
              </w:rPr>
            </w:pPr>
          </w:p>
        </w:tc>
        <w:tc>
          <w:tcPr>
            <w:tcW w:w="727" w:type="dxa"/>
            <w:vMerge w:val="continue"/>
            <w:shd w:val="clear" w:color="auto" w:fill="FFFFFF"/>
            <w:noWrap w:val="0"/>
            <w:vAlign w:val="center"/>
          </w:tcPr>
          <w:p w14:paraId="70480D17">
            <w:pPr>
              <w:widowControl/>
              <w:spacing w:line="0" w:lineRule="atLeast"/>
              <w:ind w:firstLine="0" w:firstLineChars="0"/>
              <w:jc w:val="center"/>
              <w:rPr>
                <w:rFonts w:ascii="宋体" w:hAnsi="宋体" w:eastAsia="宋体" w:cs="宋体"/>
                <w:color w:val="000000"/>
                <w:kern w:val="0"/>
                <w:sz w:val="22"/>
                <w:szCs w:val="22"/>
                <w:highlight w:val="none"/>
              </w:rPr>
            </w:pPr>
          </w:p>
        </w:tc>
        <w:tc>
          <w:tcPr>
            <w:tcW w:w="2109" w:type="dxa"/>
            <w:shd w:val="clear" w:color="auto" w:fill="FFFFFF"/>
            <w:noWrap w:val="0"/>
            <w:vAlign w:val="center"/>
          </w:tcPr>
          <w:p w14:paraId="3E41B46A">
            <w:pPr>
              <w:widowControl/>
              <w:spacing w:line="0" w:lineRule="atLeast"/>
              <w:ind w:firstLine="0" w:firstLineChars="0"/>
              <w:jc w:val="center"/>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社会公众对博物馆服务满意度</w:t>
            </w:r>
          </w:p>
        </w:tc>
        <w:tc>
          <w:tcPr>
            <w:tcW w:w="3135" w:type="dxa"/>
            <w:shd w:val="clear" w:color="000000" w:fill="FFFFFF"/>
            <w:noWrap w:val="0"/>
            <w:vAlign w:val="center"/>
          </w:tcPr>
          <w:p w14:paraId="68ECDE80">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5777" w:type="dxa"/>
            <w:shd w:val="clear" w:color="000000" w:fill="FFFFFF"/>
            <w:noWrap w:val="0"/>
            <w:vAlign w:val="center"/>
          </w:tcPr>
          <w:p w14:paraId="67D3EA79">
            <w:pPr>
              <w:widowControl/>
              <w:spacing w:line="0" w:lineRule="atLeast"/>
              <w:ind w:firstLine="0" w:firstLineChars="0"/>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000000" w:fill="FFFFFF"/>
            <w:noWrap w:val="0"/>
            <w:vAlign w:val="center"/>
          </w:tcPr>
          <w:p w14:paraId="50D7D3E0">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000000" w:fill="FFFFFF"/>
            <w:noWrap w:val="0"/>
            <w:vAlign w:val="center"/>
          </w:tcPr>
          <w:p w14:paraId="7B4CDD48">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14:paraId="4363A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832" w:type="dxa"/>
            <w:gridSpan w:val="4"/>
            <w:shd w:val="clear" w:color="auto" w:fill="FFFFFF"/>
            <w:noWrap w:val="0"/>
            <w:vAlign w:val="center"/>
          </w:tcPr>
          <w:p w14:paraId="06AC0E6E">
            <w:pPr>
              <w:widowControl/>
              <w:spacing w:line="0" w:lineRule="atLeast"/>
              <w:ind w:firstLine="0" w:firstLineChars="0"/>
              <w:jc w:val="center"/>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合计</w:t>
            </w:r>
          </w:p>
        </w:tc>
        <w:tc>
          <w:tcPr>
            <w:tcW w:w="5777" w:type="dxa"/>
            <w:shd w:val="clear" w:color="000000" w:fill="FFFFFF"/>
            <w:noWrap w:val="0"/>
            <w:vAlign w:val="center"/>
          </w:tcPr>
          <w:p w14:paraId="338DF65C">
            <w:pPr>
              <w:widowControl/>
              <w:spacing w:line="0" w:lineRule="atLeast"/>
              <w:ind w:firstLine="0" w:firstLineChars="0"/>
              <w:rPr>
                <w:rFonts w:hint="eastAsia" w:ascii="宋体" w:hAnsi="宋体" w:eastAsia="宋体" w:cs="宋体"/>
                <w:color w:val="000000"/>
                <w:kern w:val="0"/>
                <w:sz w:val="22"/>
                <w:szCs w:val="22"/>
                <w:highlight w:val="none"/>
              </w:rPr>
            </w:pPr>
          </w:p>
        </w:tc>
        <w:tc>
          <w:tcPr>
            <w:tcW w:w="785" w:type="dxa"/>
            <w:shd w:val="clear" w:color="000000" w:fill="FFFFFF"/>
            <w:noWrap w:val="0"/>
            <w:vAlign w:val="center"/>
          </w:tcPr>
          <w:p w14:paraId="680CBE93">
            <w:pPr>
              <w:widowControl/>
              <w:spacing w:line="0" w:lineRule="atLeast"/>
              <w:ind w:firstLine="0" w:firstLineChars="0"/>
              <w:jc w:val="center"/>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000000" w:fill="FFFFFF"/>
            <w:noWrap w:val="0"/>
            <w:vAlign w:val="center"/>
          </w:tcPr>
          <w:p w14:paraId="2780F732">
            <w:pPr>
              <w:widowControl/>
              <w:spacing w:line="0" w:lineRule="atLeast"/>
              <w:ind w:firstLine="0" w:firstLineChars="0"/>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98</w:t>
            </w:r>
          </w:p>
        </w:tc>
      </w:tr>
    </w:tbl>
    <w:p w14:paraId="71038F8A">
      <w:pPr>
        <w:spacing w:line="240" w:lineRule="auto"/>
        <w:ind w:firstLine="0" w:firstLineChars="0"/>
        <w:rPr>
          <w:rFonts w:ascii="Times New Roman" w:hAnsi="Times New Roman" w:eastAsia="仿宋_GB2312" w:cs="Times New Roman"/>
          <w:sz w:val="30"/>
          <w:szCs w:val="24"/>
          <w:highlight w:val="none"/>
        </w:rPr>
      </w:pPr>
    </w:p>
    <w:p w14:paraId="12FE0D94">
      <w:pPr>
        <w:rPr>
          <w:rFonts w:hint="default"/>
          <w:highlight w:val="none"/>
          <w:lang w:val="en-US" w:eastAsia="zh-CN"/>
        </w:rPr>
      </w:pPr>
    </w:p>
    <w:sectPr>
      <w:pgSz w:w="16838" w:h="11906" w:orient="landscape"/>
      <w:pgMar w:top="1803" w:right="1440" w:bottom="1803" w:left="1440" w:header="737" w:footer="850" w:gutter="0"/>
      <w:pgNumType w:fmt="decimal"/>
      <w:cols w:space="0" w:num="1"/>
      <w:rtlGutter w:val="0"/>
      <w:docGrid w:type="lines" w:linePitch="4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8831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784E4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784E4E">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208"/>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00172A27"/>
    <w:rsid w:val="007D6A04"/>
    <w:rsid w:val="00E113E3"/>
    <w:rsid w:val="00E23C81"/>
    <w:rsid w:val="01253350"/>
    <w:rsid w:val="01282E62"/>
    <w:rsid w:val="014029CF"/>
    <w:rsid w:val="01470C4C"/>
    <w:rsid w:val="02200440"/>
    <w:rsid w:val="02284B43"/>
    <w:rsid w:val="029908E6"/>
    <w:rsid w:val="02B015E2"/>
    <w:rsid w:val="02DC08FA"/>
    <w:rsid w:val="033B569D"/>
    <w:rsid w:val="039C3BA0"/>
    <w:rsid w:val="03A845BB"/>
    <w:rsid w:val="03B45AD1"/>
    <w:rsid w:val="03B7473B"/>
    <w:rsid w:val="04AE3C15"/>
    <w:rsid w:val="04D12EE4"/>
    <w:rsid w:val="04D63993"/>
    <w:rsid w:val="07890F4F"/>
    <w:rsid w:val="08892439"/>
    <w:rsid w:val="08EB30F3"/>
    <w:rsid w:val="09237408"/>
    <w:rsid w:val="09277214"/>
    <w:rsid w:val="09781BD6"/>
    <w:rsid w:val="09F359DF"/>
    <w:rsid w:val="0A575E65"/>
    <w:rsid w:val="0ACA0AB6"/>
    <w:rsid w:val="0C032502"/>
    <w:rsid w:val="0C27698C"/>
    <w:rsid w:val="0D4452F3"/>
    <w:rsid w:val="0F0B65BD"/>
    <w:rsid w:val="0F5E5042"/>
    <w:rsid w:val="0FE95707"/>
    <w:rsid w:val="10510571"/>
    <w:rsid w:val="10787A20"/>
    <w:rsid w:val="108672DE"/>
    <w:rsid w:val="10EC685A"/>
    <w:rsid w:val="11FA6155"/>
    <w:rsid w:val="12CF0947"/>
    <w:rsid w:val="12F1313F"/>
    <w:rsid w:val="136C678E"/>
    <w:rsid w:val="13EB2FF5"/>
    <w:rsid w:val="15A46B04"/>
    <w:rsid w:val="15AA417C"/>
    <w:rsid w:val="16212B86"/>
    <w:rsid w:val="165825BC"/>
    <w:rsid w:val="16BC5D73"/>
    <w:rsid w:val="17661D30"/>
    <w:rsid w:val="176F36D7"/>
    <w:rsid w:val="1795226D"/>
    <w:rsid w:val="17BB2F0F"/>
    <w:rsid w:val="18456B1E"/>
    <w:rsid w:val="1C1171C5"/>
    <w:rsid w:val="1D265138"/>
    <w:rsid w:val="1D7B6BCA"/>
    <w:rsid w:val="1DA41A79"/>
    <w:rsid w:val="1DF53469"/>
    <w:rsid w:val="1E2F24F2"/>
    <w:rsid w:val="1E5155FA"/>
    <w:rsid w:val="1E58492F"/>
    <w:rsid w:val="1E5B6757"/>
    <w:rsid w:val="1ED10AC6"/>
    <w:rsid w:val="1F89225F"/>
    <w:rsid w:val="1F900A1F"/>
    <w:rsid w:val="1FC0575D"/>
    <w:rsid w:val="206132C7"/>
    <w:rsid w:val="2100360B"/>
    <w:rsid w:val="21B00C1D"/>
    <w:rsid w:val="22E5646E"/>
    <w:rsid w:val="23031BEB"/>
    <w:rsid w:val="23917691"/>
    <w:rsid w:val="244D65B8"/>
    <w:rsid w:val="245E1E24"/>
    <w:rsid w:val="245F0F84"/>
    <w:rsid w:val="249057F1"/>
    <w:rsid w:val="25AD5E5D"/>
    <w:rsid w:val="2732478D"/>
    <w:rsid w:val="27661469"/>
    <w:rsid w:val="27900EAD"/>
    <w:rsid w:val="279B538A"/>
    <w:rsid w:val="286F545C"/>
    <w:rsid w:val="28DC6227"/>
    <w:rsid w:val="29314FBC"/>
    <w:rsid w:val="2A5103CF"/>
    <w:rsid w:val="2AEF0028"/>
    <w:rsid w:val="2C024B86"/>
    <w:rsid w:val="2C927671"/>
    <w:rsid w:val="2D7C5CD6"/>
    <w:rsid w:val="2E483E7E"/>
    <w:rsid w:val="2E690493"/>
    <w:rsid w:val="2E9854BD"/>
    <w:rsid w:val="2F0D407F"/>
    <w:rsid w:val="2F454B19"/>
    <w:rsid w:val="310224D9"/>
    <w:rsid w:val="31B4621C"/>
    <w:rsid w:val="31B6075F"/>
    <w:rsid w:val="31E3230A"/>
    <w:rsid w:val="326C2C62"/>
    <w:rsid w:val="330957E0"/>
    <w:rsid w:val="33356F64"/>
    <w:rsid w:val="33944516"/>
    <w:rsid w:val="33D10DFC"/>
    <w:rsid w:val="33E66301"/>
    <w:rsid w:val="34B62907"/>
    <w:rsid w:val="362E0D43"/>
    <w:rsid w:val="36A61331"/>
    <w:rsid w:val="36BD137C"/>
    <w:rsid w:val="370608C4"/>
    <w:rsid w:val="385D37E7"/>
    <w:rsid w:val="38782EDD"/>
    <w:rsid w:val="387F5119"/>
    <w:rsid w:val="396B7831"/>
    <w:rsid w:val="3B42664A"/>
    <w:rsid w:val="3D836A4E"/>
    <w:rsid w:val="3EA37E97"/>
    <w:rsid w:val="3FBE0BC5"/>
    <w:rsid w:val="4048103A"/>
    <w:rsid w:val="40736643"/>
    <w:rsid w:val="40D24A7A"/>
    <w:rsid w:val="42621029"/>
    <w:rsid w:val="435241E2"/>
    <w:rsid w:val="43581B7D"/>
    <w:rsid w:val="43975C51"/>
    <w:rsid w:val="439E3FA7"/>
    <w:rsid w:val="448D35A2"/>
    <w:rsid w:val="44B32266"/>
    <w:rsid w:val="44FC64F4"/>
    <w:rsid w:val="467F4585"/>
    <w:rsid w:val="468F6EED"/>
    <w:rsid w:val="470628CB"/>
    <w:rsid w:val="47555BD4"/>
    <w:rsid w:val="477E242F"/>
    <w:rsid w:val="47E96399"/>
    <w:rsid w:val="48E12B50"/>
    <w:rsid w:val="48E662BF"/>
    <w:rsid w:val="499441BE"/>
    <w:rsid w:val="499A6C1C"/>
    <w:rsid w:val="4A0C6B0E"/>
    <w:rsid w:val="4A2138F0"/>
    <w:rsid w:val="4A583887"/>
    <w:rsid w:val="4AA47834"/>
    <w:rsid w:val="4B9F6E02"/>
    <w:rsid w:val="4BF45D1A"/>
    <w:rsid w:val="4C1A164F"/>
    <w:rsid w:val="4C89637B"/>
    <w:rsid w:val="4DF50016"/>
    <w:rsid w:val="4E6E48A8"/>
    <w:rsid w:val="4EB20D98"/>
    <w:rsid w:val="4EEC036B"/>
    <w:rsid w:val="501D2673"/>
    <w:rsid w:val="50C80BF1"/>
    <w:rsid w:val="51617D75"/>
    <w:rsid w:val="51852833"/>
    <w:rsid w:val="521A1F4A"/>
    <w:rsid w:val="52B15838"/>
    <w:rsid w:val="52F11AC8"/>
    <w:rsid w:val="534F49D9"/>
    <w:rsid w:val="53555F0F"/>
    <w:rsid w:val="535D23D5"/>
    <w:rsid w:val="55E66766"/>
    <w:rsid w:val="563A5BE5"/>
    <w:rsid w:val="56F4341A"/>
    <w:rsid w:val="575A7321"/>
    <w:rsid w:val="580C3AB9"/>
    <w:rsid w:val="583C7AE0"/>
    <w:rsid w:val="586C1E9A"/>
    <w:rsid w:val="586E0800"/>
    <w:rsid w:val="59216F96"/>
    <w:rsid w:val="598C4145"/>
    <w:rsid w:val="59957D1B"/>
    <w:rsid w:val="59D4294E"/>
    <w:rsid w:val="5B634312"/>
    <w:rsid w:val="5B9D2CCD"/>
    <w:rsid w:val="5B9E71EA"/>
    <w:rsid w:val="5E226FBC"/>
    <w:rsid w:val="5E501A90"/>
    <w:rsid w:val="5E792E55"/>
    <w:rsid w:val="5FE72BD2"/>
    <w:rsid w:val="60120613"/>
    <w:rsid w:val="60EB6ABE"/>
    <w:rsid w:val="61045016"/>
    <w:rsid w:val="618C02B9"/>
    <w:rsid w:val="618D5292"/>
    <w:rsid w:val="622E78FA"/>
    <w:rsid w:val="628A4B68"/>
    <w:rsid w:val="63343F70"/>
    <w:rsid w:val="63462885"/>
    <w:rsid w:val="64296E1C"/>
    <w:rsid w:val="649E64A2"/>
    <w:rsid w:val="64E35BA2"/>
    <w:rsid w:val="65E5270A"/>
    <w:rsid w:val="663D3C54"/>
    <w:rsid w:val="66862C89"/>
    <w:rsid w:val="66BB486D"/>
    <w:rsid w:val="673070D9"/>
    <w:rsid w:val="67394C7D"/>
    <w:rsid w:val="68126B38"/>
    <w:rsid w:val="68291A1A"/>
    <w:rsid w:val="68352BB8"/>
    <w:rsid w:val="691B1594"/>
    <w:rsid w:val="693A016B"/>
    <w:rsid w:val="6A17429C"/>
    <w:rsid w:val="6A567EA3"/>
    <w:rsid w:val="6B4B4368"/>
    <w:rsid w:val="6B79100E"/>
    <w:rsid w:val="6C4B30FC"/>
    <w:rsid w:val="6C844C00"/>
    <w:rsid w:val="6CD63750"/>
    <w:rsid w:val="6E10212C"/>
    <w:rsid w:val="6E15019F"/>
    <w:rsid w:val="6E43561A"/>
    <w:rsid w:val="6E557973"/>
    <w:rsid w:val="6E9568DB"/>
    <w:rsid w:val="6EC82D5C"/>
    <w:rsid w:val="6F0D6C22"/>
    <w:rsid w:val="6F47657F"/>
    <w:rsid w:val="6FAF23D9"/>
    <w:rsid w:val="70635CF6"/>
    <w:rsid w:val="70670707"/>
    <w:rsid w:val="720E3691"/>
    <w:rsid w:val="724E244C"/>
    <w:rsid w:val="72DA6946"/>
    <w:rsid w:val="732764B3"/>
    <w:rsid w:val="737D5B58"/>
    <w:rsid w:val="74026044"/>
    <w:rsid w:val="74746410"/>
    <w:rsid w:val="75E3560F"/>
    <w:rsid w:val="75E5007C"/>
    <w:rsid w:val="77813724"/>
    <w:rsid w:val="77861774"/>
    <w:rsid w:val="78175C84"/>
    <w:rsid w:val="78F31435"/>
    <w:rsid w:val="79300B45"/>
    <w:rsid w:val="794D3E18"/>
    <w:rsid w:val="79F3729A"/>
    <w:rsid w:val="7A2E5B1E"/>
    <w:rsid w:val="7A880722"/>
    <w:rsid w:val="7ACB0498"/>
    <w:rsid w:val="7AED0B4D"/>
    <w:rsid w:val="7BCE3A03"/>
    <w:rsid w:val="7C1E4487"/>
    <w:rsid w:val="7C215E02"/>
    <w:rsid w:val="7CB22AB1"/>
    <w:rsid w:val="7CF23764"/>
    <w:rsid w:val="7E797F74"/>
    <w:rsid w:val="7E841491"/>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10929</Words>
  <Characters>11681</Characters>
  <Lines>0</Lines>
  <Paragraphs>0</Paragraphs>
  <TotalTime>3</TotalTime>
  <ScaleCrop>false</ScaleCrop>
  <LinksUpToDate>false</LinksUpToDate>
  <CharactersWithSpaces>11747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2025-05-24T15:45:01Z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