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Pr>
        <w:rPr>
          <w:rFonts w:hint="eastAsia" w:eastAsia="宋体"/>
          <w:lang w:val="en-US" w:eastAsia="zh-CN"/>
        </w:rPr>
      </w:pPr>
      <w:r>
        <w:rPr>
          <w:rFonts w:hint="eastAsia"/>
          <w:lang w:val="en-US" w:eastAsia="zh-CN"/>
        </w:rPr>
        <w:t xml:space="preserve"> </w:t>
      </w:r>
      <w:bookmarkStart w:id="0" w:name="_GoBack"/>
      <w:bookmarkEnd w:id="0"/>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阜康市滋泥泉子学校</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阜康市滋泥泉子学校概况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一、关于阜康市滋泥泉子学校2020年收支预算情况的总体说明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二、关于阜康市滋泥泉子学校2020年收入预算情况说明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三、关于阜康市滋泥泉子学校2020年支出预算情况说明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四、关于阜康市滋泥泉子学校</w:t>
      </w:r>
      <w:r>
        <w:rPr>
          <w:rFonts w:hint="eastAsia"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五、关于阜康市滋泥泉子学校2020年一般公共预算当年拨款情况说明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六、关于阜康市滋泥泉子学校2020年一般公共预算基本支出情况说明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七、关于阜康市滋泥泉子学校2020年项目支出情况说明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八、关于阜康市滋泥泉子学校2020年一般公共预算“三公”经费预算情况说明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九、关于阜康市滋泥泉子学校2020年政府性基金预算拨款情况说明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阜康市滋泥泉子学校概况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bCs/>
          <w:kern w:val="0"/>
          <w:sz w:val="32"/>
          <w:szCs w:val="32"/>
        </w:rPr>
      </w:pPr>
      <w:r>
        <w:rPr>
          <w:rFonts w:hint="eastAsia" w:ascii="仿宋_GB2312" w:hAnsi="黑体" w:eastAsia="仿宋_GB2312" w:cs="宋体"/>
          <w:bCs/>
          <w:kern w:val="0"/>
          <w:sz w:val="32"/>
          <w:szCs w:val="32"/>
        </w:rPr>
        <w:t>根据党的方针、政策和教育章程，实施中小学义务教育，促进基础教育发展、保障辖区内适龄儿童入学及相关社会服务。</w:t>
      </w:r>
    </w:p>
    <w:p>
      <w:pPr>
        <w:widowControl/>
        <w:spacing w:line="560" w:lineRule="exact"/>
        <w:ind w:firstLine="640" w:firstLineChars="200"/>
        <w:jc w:val="left"/>
        <w:rPr>
          <w:rFonts w:ascii="仿宋_GB2312" w:hAnsi="黑体" w:eastAsia="仿宋_GB2312" w:cs="宋体"/>
          <w:b/>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阜康市滋泥泉子学校无下属预算单位，下设5个科室，分别是：教务处、德育处、总务处、安全办、财务室。</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阜康市滋泥泉子学校</w:t>
      </w:r>
      <w:r>
        <w:rPr>
          <w:rFonts w:hint="eastAsia" w:ascii="仿宋_GB2312" w:hAnsi="宋体" w:eastAsia="仿宋_GB2312" w:cs="宋体"/>
          <w:kern w:val="0"/>
          <w:sz w:val="32"/>
          <w:szCs w:val="32"/>
        </w:rPr>
        <w:t>编制数67人，实有人数192人，其中：在职88人，比上年减少2人；退休104人，增加2人；离休0人，减少0人。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编制部门：阜康市滋泥泉子学校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bottom"/>
          </w:tcPr>
          <w:p>
            <w:pPr>
              <w:widowControl/>
              <w:jc w:val="right"/>
              <w:textAlignment w:val="bottom"/>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ind w:firstLine="900" w:firstLineChars="500"/>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填报部门：阜康市滋泥泉子学校                                    单位：万元</w:t>
      </w:r>
    </w:p>
    <w:tbl>
      <w:tblPr>
        <w:tblStyle w:val="8"/>
        <w:tblW w:w="9654" w:type="dxa"/>
        <w:tblInd w:w="-450" w:type="dxa"/>
        <w:tblLayout w:type="fixed"/>
        <w:tblCellMar>
          <w:top w:w="0" w:type="dxa"/>
          <w:left w:w="108" w:type="dxa"/>
          <w:bottom w:w="0" w:type="dxa"/>
          <w:right w:w="108" w:type="dxa"/>
        </w:tblCellMar>
      </w:tblPr>
      <w:tblGrid>
        <w:gridCol w:w="573"/>
        <w:gridCol w:w="420"/>
        <w:gridCol w:w="480"/>
        <w:gridCol w:w="1785"/>
        <w:gridCol w:w="1035"/>
        <w:gridCol w:w="900"/>
        <w:gridCol w:w="495"/>
        <w:gridCol w:w="630"/>
        <w:gridCol w:w="618"/>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47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78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03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0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9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1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78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3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0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9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1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78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03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178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初中教育</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78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0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90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编制部门：阜康市滋泥泉子学校 </w:t>
      </w:r>
      <w:r>
        <w:rPr>
          <w:rFonts w:hint="eastAsia" w:ascii="仿宋_GB2312" w:hAnsi="宋体" w:eastAsia="仿宋_GB2312"/>
          <w:b/>
          <w:kern w:val="0"/>
          <w:sz w:val="24"/>
        </w:rPr>
        <w:t xml:space="preserve"> </w:t>
      </w:r>
      <w:r>
        <w:rPr>
          <w:rFonts w:hint="eastAsia" w:ascii="仿宋_GB2312" w:hAnsi="宋体" w:eastAsia="仿宋_GB2312"/>
          <w:kern w:val="0"/>
          <w:sz w:val="24"/>
        </w:rPr>
        <w:t xml:space="preserve">                                 单位：万元</w:t>
      </w:r>
    </w:p>
    <w:tbl>
      <w:tblPr>
        <w:tblStyle w:val="8"/>
        <w:tblW w:w="9420" w:type="dxa"/>
        <w:tblInd w:w="-240" w:type="dxa"/>
        <w:tblLayout w:type="fixed"/>
        <w:tblCellMar>
          <w:top w:w="0" w:type="dxa"/>
          <w:left w:w="108" w:type="dxa"/>
          <w:bottom w:w="0" w:type="dxa"/>
          <w:right w:w="108" w:type="dxa"/>
        </w:tblCellMar>
      </w:tblPr>
      <w:tblGrid>
        <w:gridCol w:w="573"/>
        <w:gridCol w:w="465"/>
        <w:gridCol w:w="450"/>
        <w:gridCol w:w="2317"/>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48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1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1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23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03　</w:t>
            </w:r>
          </w:p>
        </w:tc>
        <w:tc>
          <w:tcPr>
            <w:tcW w:w="23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初中教育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6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73"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6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5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w:t>
      </w:r>
      <w:r>
        <w:rPr>
          <w:rFonts w:hint="eastAsia" w:ascii="仿宋_GB2312" w:hAnsi="宋体" w:eastAsia="仿宋_GB2312"/>
          <w:kern w:val="0"/>
          <w:sz w:val="24"/>
        </w:rPr>
        <w:t xml:space="preserve">阜康市滋泥泉子学校 </w:t>
      </w:r>
      <w:r>
        <w:rPr>
          <w:rFonts w:hint="eastAsia" w:ascii="仿宋_GB2312" w:hAnsi="宋体" w:eastAsia="仿宋_GB2312"/>
          <w:kern w:val="0"/>
          <w:sz w:val="28"/>
          <w:szCs w:val="28"/>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bottom"/>
          </w:tcPr>
          <w:p>
            <w:pPr>
              <w:widowControl/>
              <w:jc w:val="right"/>
              <w:textAlignment w:val="bottom"/>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textAlignment w:val="bottom"/>
              <w:rPr>
                <w:rFonts w:ascii="仿宋_GB2312" w:hAnsi="宋体" w:eastAsia="仿宋_GB2312" w:cs="宋体"/>
                <w:kern w:val="0"/>
                <w:sz w:val="18"/>
                <w:szCs w:val="18"/>
              </w:rPr>
            </w:pP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宋体" w:hAnsi="宋体" w:cs="宋体"/>
                <w:color w:val="000000"/>
                <w:kern w:val="0"/>
                <w:sz w:val="18"/>
                <w:szCs w:val="18"/>
                <w:lang w:bidi="ar"/>
              </w:rPr>
              <w:t>1282.98</w:t>
            </w:r>
            <w:r>
              <w:rPr>
                <w:rFonts w:hint="eastAsia" w:ascii="仿宋_GB2312" w:eastAsia="仿宋_GB2312"/>
                <w:color w:val="000000"/>
                <w:sz w:val="20"/>
                <w:szCs w:val="20"/>
              </w:rPr>
              <w:t>　　</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阜康市滋泥泉子学校 </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633.28</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初中教育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649.70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宋体" w:hAnsi="宋体" w:cs="宋体"/>
                <w:color w:val="000000"/>
                <w:kern w:val="0"/>
                <w:sz w:val="18"/>
                <w:szCs w:val="18"/>
                <w:lang w:bidi="ar"/>
              </w:rPr>
              <w:t>1282.98</w:t>
            </w:r>
            <w:r>
              <w:rPr>
                <w:rFonts w:hint="eastAsia" w:ascii="仿宋_GB2312" w:hAnsi="宋体" w:eastAsia="仿宋_GB2312" w:cs="宋体"/>
                <w:kern w:val="0"/>
                <w:sz w:val="18"/>
                <w:szCs w:val="18"/>
              </w:rPr>
              <w:t>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宋体" w:hAnsi="宋体" w:cs="宋体"/>
                <w:color w:val="000000"/>
                <w:kern w:val="0"/>
                <w:sz w:val="18"/>
                <w:szCs w:val="18"/>
                <w:lang w:bidi="ar"/>
              </w:rPr>
              <w:t>1282.98</w:t>
            </w: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3067"/>
        <w:gridCol w:w="819"/>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401"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阜康市滋泥泉子学校 </w:t>
            </w:r>
          </w:p>
        </w:tc>
        <w:tc>
          <w:tcPr>
            <w:tcW w:w="819"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40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6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25"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6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25"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01</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基本工资</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686.04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686.04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110.37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110.37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124.80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124.80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公务员医疗补助缴费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26.71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26.71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99.16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99.16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129.12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129.12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13.54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13.54</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5.68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其他交通费用</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70.40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70.40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3.31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3.31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2.07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其他对个人和家庭的补助支出</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3.12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25"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1282.98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1190.36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92.62</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 xml:space="preserve">阜康市滋泥泉子学校 </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备注：阜康市滋泥泉子学校2020年未安排项目资金预算，因此没有此项资金支出，项目支出情况表为空表。</w:t>
      </w:r>
    </w:p>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编制单位：阜康市滋泥泉子学校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备注：阜康市滋泥泉子学校2020年未安排“三公”经费资金预算，故一般公共预算“三公”经费支出情况表为空表。</w:t>
      </w:r>
    </w:p>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编制单位：阜康市滋泥泉子学校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备注：我单位本年未作政府性基金预算安排，故政府性基金预算支出情况表为空表。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关于阜康市滋泥泉子学校2020年收支预算情况的总体说明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按照全口径预算的原则，阜康市滋泥泉子学校2020年所有收入和支出均纳入部门预算管理。收支总预算1282.98万元。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收入预算包括：一般公共预算1282.98万元、政府性基金预算0万元。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支出预算包括：教育支出1282.98万元。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二、关于阜康市滋泥泉子学校2020年收入预算情况说明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阜康市滋泥泉子学校收入预算1282.98万元，其中：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一般公共预算1282.98万元，占100%，比上年增加1.57万元，主要原因是：本年教师人数减少2人，但人员基本工资、社保缴费及公积金等人员经费稍有增加；学生人数减少13人，公用经费减少属正常增加。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三、关于阜康市滋泥泉子学校单位2020年支出预算情况说明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阜康市滋泥泉子学校单位2020年支出预算1282.98万元，其中：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基本支出1282.98万元，占100%，比上年增加1.57万元，正常变动。</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项目支出0万元，占0%，比上年增加0万元，主要原因是我单位本年未作项目支出预算安排。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四、关于阜康市滋泥泉子学校2020年财政拨款收支预算情况的总体说明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2020年财政拨款收支总预算1282.98万元。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支出预算包括：教育支出1282.98万元，主要用于保障机关正常运行的人员经费、公用经费。</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五、关于阜康市滋泥泉子学校2020年一般公共预算当年拨款情况说明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阜康市滋泥泉子学校2020年一般公共预算拨款基本支出1282.98万元，比上年执行数减少297.3万元，下降18.81%。主要原因是：本年教师人数减少2人，人员工资预算减少；学生人数减少13人，公用经费减少。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hAnsi="宋体" w:eastAsia="仿宋_GB2312" w:cs="宋体"/>
          <w:kern w:val="0"/>
          <w:sz w:val="32"/>
          <w:szCs w:val="32"/>
        </w:rPr>
        <w:t>教育支出</w:t>
      </w:r>
      <w:r>
        <w:rPr>
          <w:rFonts w:hint="eastAsia" w:ascii="仿宋_GB2312" w:eastAsia="仿宋_GB2312"/>
          <w:sz w:val="32"/>
          <w:szCs w:val="32"/>
        </w:rPr>
        <w:t>（205类）</w:t>
      </w:r>
      <w:r>
        <w:rPr>
          <w:rFonts w:hint="eastAsia" w:ascii="仿宋_GB2312" w:hAnsi="宋体" w:eastAsia="仿宋_GB2312" w:cs="宋体"/>
          <w:kern w:val="0"/>
          <w:sz w:val="32"/>
          <w:szCs w:val="32"/>
        </w:rPr>
        <w:t>1282.98</w:t>
      </w:r>
      <w:r>
        <w:rPr>
          <w:rFonts w:hint="eastAsia" w:ascii="仿宋_GB2312" w:eastAsia="仿宋_GB2312"/>
          <w:sz w:val="32"/>
          <w:szCs w:val="32"/>
        </w:rPr>
        <w:t>万元，占100%。</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hint="eastAsia" w:ascii="仿宋_GB2312" w:eastAsia="仿宋_GB2312"/>
          <w:sz w:val="32"/>
          <w:szCs w:val="32"/>
        </w:rPr>
        <w:t>（205类）</w:t>
      </w:r>
      <w:r>
        <w:rPr>
          <w:rFonts w:hint="eastAsia" w:ascii="仿宋_GB2312" w:hAnsi="宋体" w:eastAsia="仿宋_GB2312" w:cs="宋体"/>
          <w:kern w:val="0"/>
          <w:sz w:val="32"/>
          <w:szCs w:val="32"/>
        </w:rPr>
        <w:t>普通教育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小学教育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633.28</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比上年执行数减少59.38万元，下降8.57%。主要原因是：本年教师人数减少，学生人数减少，人员经费、办公经费预算减少；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2.教育支出</w:t>
      </w:r>
      <w:r>
        <w:rPr>
          <w:rFonts w:hint="eastAsia" w:ascii="仿宋_GB2312" w:eastAsia="仿宋_GB2312"/>
          <w:sz w:val="32"/>
          <w:szCs w:val="32"/>
        </w:rPr>
        <w:t>（205类）</w:t>
      </w:r>
      <w:r>
        <w:rPr>
          <w:rFonts w:hint="eastAsia" w:ascii="仿宋_GB2312" w:hAnsi="宋体" w:eastAsia="仿宋_GB2312" w:cs="宋体"/>
          <w:kern w:val="0"/>
          <w:sz w:val="32"/>
          <w:szCs w:val="32"/>
        </w:rPr>
        <w:t>普通教育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初中教育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649.70</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，比上年执行数减少196.84万元，下降23.25%。主要原因是：本年教师人数减少，学生人数减少，人员经费、办公经费预算减少。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六、关于阜康市滋泥泉子学校2020年一般公共预算基本支出情况说明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阜康市滋泥泉子学校2020年一般公共预算基本支出1282.98万元，其中：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w:t>
      </w:r>
      <w:r>
        <w:rPr>
          <w:rFonts w:ascii="仿宋_GB2312" w:hAnsi="宋体" w:eastAsia="仿宋_GB2312" w:cs="宋体"/>
          <w:kern w:val="0"/>
          <w:sz w:val="32"/>
          <w:szCs w:val="32"/>
        </w:rPr>
        <w:t>1190.36</w:t>
      </w:r>
      <w:r>
        <w:rPr>
          <w:rFonts w:hint="eastAsia" w:ascii="仿宋_GB2312" w:hAnsi="宋体" w:eastAsia="仿宋_GB2312" w:cs="宋体"/>
          <w:kern w:val="0"/>
          <w:sz w:val="32"/>
          <w:szCs w:val="32"/>
        </w:rPr>
        <w:t>万元，主要包括：基本工资686.04万元、机关事业单位基本养老保险缴费110.37万元、职工基本医疗保险缴费124.80万元、公务员医疗补助缴费26.71万元、其他社会保障缴费5.66万元、住房公积金99.16万元、其他工资福利支出129.12万元、奖励金3</w:t>
      </w:r>
      <w:r>
        <w:rPr>
          <w:rFonts w:ascii="仿宋_GB2312" w:hAnsi="宋体" w:eastAsia="仿宋_GB2312" w:cs="宋体"/>
          <w:kern w:val="0"/>
          <w:sz w:val="32"/>
          <w:szCs w:val="32"/>
        </w:rPr>
        <w:t>.31</w:t>
      </w:r>
      <w:r>
        <w:rPr>
          <w:rFonts w:hint="eastAsia" w:ascii="仿宋_GB2312" w:hAnsi="宋体" w:eastAsia="仿宋_GB2312" w:cs="宋体"/>
          <w:kern w:val="0"/>
          <w:sz w:val="32"/>
          <w:szCs w:val="32"/>
        </w:rPr>
        <w:t>万元、生活补助2</w:t>
      </w:r>
      <w:r>
        <w:rPr>
          <w:rFonts w:ascii="仿宋_GB2312" w:hAnsi="宋体" w:eastAsia="仿宋_GB2312" w:cs="宋体"/>
          <w:kern w:val="0"/>
          <w:sz w:val="32"/>
          <w:szCs w:val="32"/>
        </w:rPr>
        <w:t>.07</w:t>
      </w:r>
      <w:r>
        <w:rPr>
          <w:rFonts w:hint="eastAsia" w:ascii="仿宋_GB2312" w:hAnsi="宋体" w:eastAsia="仿宋_GB2312" w:cs="宋体"/>
          <w:kern w:val="0"/>
          <w:sz w:val="32"/>
          <w:szCs w:val="32"/>
        </w:rPr>
        <w:t>万元、其他对个人和家庭的补助3.12万元。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公用经费92.62万元，主要包括：工会经费5.68万元、取暖费13.54万元、其他交通费3万元、其他商品和服务支出70.40万元。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七、关于阜康市滋泥泉子学校2020年项目支出情况说明：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八、关于阜康市滋泥泉子学校2020年一般公共预算“三公”经费预算情况说明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阜康市滋泥泉子学校2020年“三公”经费财政拨款预算数为0万元，其中：因公出国（境）费0万元，公务用车购置0万元，公务用车运行费 0万元，公务接待费0万元。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无此项预算安排；公务用车购置费增加0万元，主要原因是我单位无此项预算安排；公务用车运行费增加0万元，主要原因是我单位无此项预算安排；公务接待费增加0万元，主要原因是我单位无此项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九、关于阜康市滋泥泉子学校2020年政府性基金预算拨款情况说明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滋泥泉子学校本级及下属0家行政单位1家事业单位的公用经费财政拨款预算92.62万元，比上年预算增加18.72万元，增长25.33%。主要原因是我单位为全额拨款事业单位，无机关运行经费预算，该金额为日常公用经费预算，较上年增加的原因为工会经费、办公用品购置、取暖费等预算增加。</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2020年，阜康市滋泥泉子学校及下属单位政府采购预算0万元，其中：政府采购货物预算0万元，政府采购工程预算0万元，政府采购服务预算0万元。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截至2019年底，阜康市滋泥泉子学校及下属各预算单位占用使用国有资产总体情况为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1.房屋18573.49平方米，价值</w:t>
      </w:r>
      <w:r>
        <w:rPr>
          <w:rFonts w:ascii="仿宋_GB2312" w:hAnsi="宋体" w:eastAsia="仿宋_GB2312" w:cs="宋体"/>
          <w:kern w:val="0"/>
          <w:sz w:val="32"/>
          <w:szCs w:val="32"/>
        </w:rPr>
        <w:t>931.65</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3.办公家具价值43.57万元。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4.其他资产价值279.26万元。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 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阜康市滋泥泉子学校</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阜康市滋泥泉子学校</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B8B"/>
    <w:rsid w:val="00014150"/>
    <w:rsid w:val="0003663A"/>
    <w:rsid w:val="00046D89"/>
    <w:rsid w:val="00055826"/>
    <w:rsid w:val="00093228"/>
    <w:rsid w:val="000A7039"/>
    <w:rsid w:val="000B479F"/>
    <w:rsid w:val="000C7EBA"/>
    <w:rsid w:val="000E518A"/>
    <w:rsid w:val="001329D9"/>
    <w:rsid w:val="0015259B"/>
    <w:rsid w:val="00154985"/>
    <w:rsid w:val="001708A3"/>
    <w:rsid w:val="00172A27"/>
    <w:rsid w:val="001A6ACB"/>
    <w:rsid w:val="001B0782"/>
    <w:rsid w:val="00234493"/>
    <w:rsid w:val="00261DC0"/>
    <w:rsid w:val="002822ED"/>
    <w:rsid w:val="002C33B6"/>
    <w:rsid w:val="002D655F"/>
    <w:rsid w:val="002F654A"/>
    <w:rsid w:val="002F7841"/>
    <w:rsid w:val="00327BBC"/>
    <w:rsid w:val="00333C66"/>
    <w:rsid w:val="00335855"/>
    <w:rsid w:val="00336595"/>
    <w:rsid w:val="00351FAA"/>
    <w:rsid w:val="00373E81"/>
    <w:rsid w:val="00377F4C"/>
    <w:rsid w:val="003B6047"/>
    <w:rsid w:val="003D5B37"/>
    <w:rsid w:val="0041557F"/>
    <w:rsid w:val="00446F41"/>
    <w:rsid w:val="00493CDF"/>
    <w:rsid w:val="004B31EE"/>
    <w:rsid w:val="004C5A0F"/>
    <w:rsid w:val="004D2CF0"/>
    <w:rsid w:val="004D41C8"/>
    <w:rsid w:val="004F7E44"/>
    <w:rsid w:val="00532E32"/>
    <w:rsid w:val="00535F76"/>
    <w:rsid w:val="00537124"/>
    <w:rsid w:val="005558B7"/>
    <w:rsid w:val="00570F05"/>
    <w:rsid w:val="0057562E"/>
    <w:rsid w:val="00581F45"/>
    <w:rsid w:val="005B30B6"/>
    <w:rsid w:val="005F2A75"/>
    <w:rsid w:val="005F2EEE"/>
    <w:rsid w:val="005F754F"/>
    <w:rsid w:val="0060579C"/>
    <w:rsid w:val="00616E36"/>
    <w:rsid w:val="0062518F"/>
    <w:rsid w:val="00631F3D"/>
    <w:rsid w:val="00652756"/>
    <w:rsid w:val="00667801"/>
    <w:rsid w:val="00691F68"/>
    <w:rsid w:val="00697A06"/>
    <w:rsid w:val="006A7B0E"/>
    <w:rsid w:val="006B3447"/>
    <w:rsid w:val="006C1337"/>
    <w:rsid w:val="006E6780"/>
    <w:rsid w:val="006F530C"/>
    <w:rsid w:val="00717B3D"/>
    <w:rsid w:val="00723D59"/>
    <w:rsid w:val="007273BB"/>
    <w:rsid w:val="007663F1"/>
    <w:rsid w:val="00773BBC"/>
    <w:rsid w:val="00782245"/>
    <w:rsid w:val="007A06F7"/>
    <w:rsid w:val="007B523B"/>
    <w:rsid w:val="007B7A45"/>
    <w:rsid w:val="007D0FDE"/>
    <w:rsid w:val="007D6083"/>
    <w:rsid w:val="007E56CE"/>
    <w:rsid w:val="007F42A4"/>
    <w:rsid w:val="00841BD6"/>
    <w:rsid w:val="008735B9"/>
    <w:rsid w:val="0088500A"/>
    <w:rsid w:val="008879BE"/>
    <w:rsid w:val="008B1ABD"/>
    <w:rsid w:val="008B1FEB"/>
    <w:rsid w:val="008B46B5"/>
    <w:rsid w:val="008D2D67"/>
    <w:rsid w:val="008E2148"/>
    <w:rsid w:val="008E492F"/>
    <w:rsid w:val="00906960"/>
    <w:rsid w:val="00947A57"/>
    <w:rsid w:val="009A29CB"/>
    <w:rsid w:val="009A2DA4"/>
    <w:rsid w:val="009A6792"/>
    <w:rsid w:val="009C6B05"/>
    <w:rsid w:val="009E0834"/>
    <w:rsid w:val="00A17546"/>
    <w:rsid w:val="00A3409E"/>
    <w:rsid w:val="00A361C8"/>
    <w:rsid w:val="00A4568B"/>
    <w:rsid w:val="00A649D2"/>
    <w:rsid w:val="00A66F89"/>
    <w:rsid w:val="00A675D6"/>
    <w:rsid w:val="00A74DEC"/>
    <w:rsid w:val="00A92AB0"/>
    <w:rsid w:val="00A93CA8"/>
    <w:rsid w:val="00AB1C6C"/>
    <w:rsid w:val="00AF0317"/>
    <w:rsid w:val="00AF3BF5"/>
    <w:rsid w:val="00B00AA9"/>
    <w:rsid w:val="00B34A0E"/>
    <w:rsid w:val="00B66B75"/>
    <w:rsid w:val="00BA6844"/>
    <w:rsid w:val="00BD6FD8"/>
    <w:rsid w:val="00C05A6B"/>
    <w:rsid w:val="00C1778D"/>
    <w:rsid w:val="00C86845"/>
    <w:rsid w:val="00C9313A"/>
    <w:rsid w:val="00CB041F"/>
    <w:rsid w:val="00CD14BC"/>
    <w:rsid w:val="00CD364B"/>
    <w:rsid w:val="00CE76F9"/>
    <w:rsid w:val="00D55963"/>
    <w:rsid w:val="00D74C34"/>
    <w:rsid w:val="00D75F10"/>
    <w:rsid w:val="00D769AA"/>
    <w:rsid w:val="00D846ED"/>
    <w:rsid w:val="00D97B29"/>
    <w:rsid w:val="00DA0808"/>
    <w:rsid w:val="00DE1BFA"/>
    <w:rsid w:val="00E3422B"/>
    <w:rsid w:val="00E4042E"/>
    <w:rsid w:val="00E83C6E"/>
    <w:rsid w:val="00E90922"/>
    <w:rsid w:val="00E970E1"/>
    <w:rsid w:val="00EA564E"/>
    <w:rsid w:val="00EB6AD0"/>
    <w:rsid w:val="00ED761C"/>
    <w:rsid w:val="00F045BC"/>
    <w:rsid w:val="00F05640"/>
    <w:rsid w:val="00F203DB"/>
    <w:rsid w:val="00F24B97"/>
    <w:rsid w:val="00F37381"/>
    <w:rsid w:val="00F61D29"/>
    <w:rsid w:val="00F82932"/>
    <w:rsid w:val="00FA23E9"/>
    <w:rsid w:val="00FC4E99"/>
    <w:rsid w:val="00FF5F8A"/>
    <w:rsid w:val="01A2276A"/>
    <w:rsid w:val="03D77609"/>
    <w:rsid w:val="04B86EBD"/>
    <w:rsid w:val="05785604"/>
    <w:rsid w:val="061A29AF"/>
    <w:rsid w:val="065C7812"/>
    <w:rsid w:val="06AC7DC1"/>
    <w:rsid w:val="07645ED1"/>
    <w:rsid w:val="08E87B2C"/>
    <w:rsid w:val="0A5456C5"/>
    <w:rsid w:val="0B3C1542"/>
    <w:rsid w:val="0BAC0FA6"/>
    <w:rsid w:val="0D0F30B0"/>
    <w:rsid w:val="0E1D4071"/>
    <w:rsid w:val="0E664564"/>
    <w:rsid w:val="0FDB515C"/>
    <w:rsid w:val="0FED5773"/>
    <w:rsid w:val="1136068B"/>
    <w:rsid w:val="12DA28FA"/>
    <w:rsid w:val="13617D64"/>
    <w:rsid w:val="13883130"/>
    <w:rsid w:val="13A16D9A"/>
    <w:rsid w:val="14731985"/>
    <w:rsid w:val="16577ADC"/>
    <w:rsid w:val="170B1D07"/>
    <w:rsid w:val="18491F9C"/>
    <w:rsid w:val="18DA2B90"/>
    <w:rsid w:val="1A8C2E67"/>
    <w:rsid w:val="1B102263"/>
    <w:rsid w:val="1B2C54E2"/>
    <w:rsid w:val="1B483ECD"/>
    <w:rsid w:val="1B7147CE"/>
    <w:rsid w:val="1B8A27F4"/>
    <w:rsid w:val="1C787ACE"/>
    <w:rsid w:val="1DB44D8A"/>
    <w:rsid w:val="1DD5293F"/>
    <w:rsid w:val="1EAE14FD"/>
    <w:rsid w:val="1EB32A4C"/>
    <w:rsid w:val="1F755396"/>
    <w:rsid w:val="211D7164"/>
    <w:rsid w:val="214F5DAA"/>
    <w:rsid w:val="22C21F31"/>
    <w:rsid w:val="22DA26E8"/>
    <w:rsid w:val="23100D77"/>
    <w:rsid w:val="258162D2"/>
    <w:rsid w:val="2589333B"/>
    <w:rsid w:val="261E2548"/>
    <w:rsid w:val="26272D92"/>
    <w:rsid w:val="26F547C0"/>
    <w:rsid w:val="276E354E"/>
    <w:rsid w:val="287D4C5C"/>
    <w:rsid w:val="28E90C4D"/>
    <w:rsid w:val="2A100D4B"/>
    <w:rsid w:val="2A3D65C9"/>
    <w:rsid w:val="2A7A4B94"/>
    <w:rsid w:val="2B3E0ED4"/>
    <w:rsid w:val="2B4A0745"/>
    <w:rsid w:val="2B4C0BD8"/>
    <w:rsid w:val="2B5C5B1F"/>
    <w:rsid w:val="2CBB069C"/>
    <w:rsid w:val="2D626C44"/>
    <w:rsid w:val="2D6C7E5D"/>
    <w:rsid w:val="2E6505E6"/>
    <w:rsid w:val="2F0702B1"/>
    <w:rsid w:val="2F211CAE"/>
    <w:rsid w:val="2FA51CC0"/>
    <w:rsid w:val="2FB5475E"/>
    <w:rsid w:val="317C151C"/>
    <w:rsid w:val="31E60838"/>
    <w:rsid w:val="34BC4A7B"/>
    <w:rsid w:val="34CB64D5"/>
    <w:rsid w:val="37A63BE8"/>
    <w:rsid w:val="37AE347A"/>
    <w:rsid w:val="3A0C503B"/>
    <w:rsid w:val="3A2A2A18"/>
    <w:rsid w:val="3A2A6024"/>
    <w:rsid w:val="3B9F7C9F"/>
    <w:rsid w:val="3D904D47"/>
    <w:rsid w:val="3EB75820"/>
    <w:rsid w:val="3EE05911"/>
    <w:rsid w:val="3F6C34B9"/>
    <w:rsid w:val="407463F3"/>
    <w:rsid w:val="409869D8"/>
    <w:rsid w:val="409957EA"/>
    <w:rsid w:val="40AC2702"/>
    <w:rsid w:val="40CC4CFB"/>
    <w:rsid w:val="41F9637D"/>
    <w:rsid w:val="428421B8"/>
    <w:rsid w:val="4337437F"/>
    <w:rsid w:val="443F1095"/>
    <w:rsid w:val="44F8094C"/>
    <w:rsid w:val="45B828DE"/>
    <w:rsid w:val="46AF0EDF"/>
    <w:rsid w:val="470C2BB7"/>
    <w:rsid w:val="47A61E0A"/>
    <w:rsid w:val="481B3A7B"/>
    <w:rsid w:val="48AC01D2"/>
    <w:rsid w:val="48F3733C"/>
    <w:rsid w:val="49203D21"/>
    <w:rsid w:val="49EC2F40"/>
    <w:rsid w:val="4A095B3E"/>
    <w:rsid w:val="4A8070D6"/>
    <w:rsid w:val="4A9D477B"/>
    <w:rsid w:val="4B305E8E"/>
    <w:rsid w:val="4C344B48"/>
    <w:rsid w:val="4C561AC9"/>
    <w:rsid w:val="4CE12E97"/>
    <w:rsid w:val="4D220D71"/>
    <w:rsid w:val="4DC76966"/>
    <w:rsid w:val="4DDB7CF0"/>
    <w:rsid w:val="4DE07EA6"/>
    <w:rsid w:val="51240059"/>
    <w:rsid w:val="51312A8B"/>
    <w:rsid w:val="51426552"/>
    <w:rsid w:val="52EC03CF"/>
    <w:rsid w:val="54314FC5"/>
    <w:rsid w:val="54444939"/>
    <w:rsid w:val="548204CD"/>
    <w:rsid w:val="54CA07B6"/>
    <w:rsid w:val="561062DD"/>
    <w:rsid w:val="56575B0D"/>
    <w:rsid w:val="565D0FD2"/>
    <w:rsid w:val="568962D1"/>
    <w:rsid w:val="57517319"/>
    <w:rsid w:val="57812184"/>
    <w:rsid w:val="57832A5C"/>
    <w:rsid w:val="58A42A2F"/>
    <w:rsid w:val="5AD14475"/>
    <w:rsid w:val="5CEC2D6B"/>
    <w:rsid w:val="5D94561A"/>
    <w:rsid w:val="5E0741D3"/>
    <w:rsid w:val="5E4203EC"/>
    <w:rsid w:val="5EB55AFF"/>
    <w:rsid w:val="5ECE7BC9"/>
    <w:rsid w:val="60EC04C9"/>
    <w:rsid w:val="632F6415"/>
    <w:rsid w:val="64056EF8"/>
    <w:rsid w:val="64A16150"/>
    <w:rsid w:val="663673EA"/>
    <w:rsid w:val="663C26BC"/>
    <w:rsid w:val="679A3E0A"/>
    <w:rsid w:val="68B00B48"/>
    <w:rsid w:val="6A70736B"/>
    <w:rsid w:val="6AF750FD"/>
    <w:rsid w:val="6B356458"/>
    <w:rsid w:val="6D217A44"/>
    <w:rsid w:val="6DB86613"/>
    <w:rsid w:val="6DE55730"/>
    <w:rsid w:val="6DFB036F"/>
    <w:rsid w:val="6F5400B1"/>
    <w:rsid w:val="6F96445E"/>
    <w:rsid w:val="707E7231"/>
    <w:rsid w:val="71373F06"/>
    <w:rsid w:val="722A4F85"/>
    <w:rsid w:val="72680EE1"/>
    <w:rsid w:val="72700D80"/>
    <w:rsid w:val="728D5BED"/>
    <w:rsid w:val="72AE14C5"/>
    <w:rsid w:val="72F73CE6"/>
    <w:rsid w:val="73330321"/>
    <w:rsid w:val="73847296"/>
    <w:rsid w:val="744F01AD"/>
    <w:rsid w:val="74E40501"/>
    <w:rsid w:val="755A39C9"/>
    <w:rsid w:val="7811533E"/>
    <w:rsid w:val="79702599"/>
    <w:rsid w:val="79A0270C"/>
    <w:rsid w:val="79AC19D9"/>
    <w:rsid w:val="7B1727BB"/>
    <w:rsid w:val="7B5E2B4F"/>
    <w:rsid w:val="7BEB4B7F"/>
    <w:rsid w:val="7C1043DE"/>
    <w:rsid w:val="7C4957E9"/>
    <w:rsid w:val="7C575EFF"/>
    <w:rsid w:val="7C981269"/>
    <w:rsid w:val="7E1E173E"/>
    <w:rsid w:val="7EC360FD"/>
    <w:rsid w:val="7EEC220E"/>
    <w:rsid w:val="7F5C4960"/>
    <w:rsid w:val="7FAB7848"/>
    <w:rsid w:val="7FFE34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qFormat="1"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22"/>
    <w:semiHidden/>
    <w:qFormat/>
    <w:uiPriority w:val="0"/>
    <w:rPr>
      <w:sz w:val="18"/>
      <w:szCs w:val="18"/>
    </w:rPr>
  </w:style>
  <w:style w:type="paragraph" w:styleId="4">
    <w:name w:val="footer"/>
    <w:basedOn w:val="1"/>
    <w:link w:val="21"/>
    <w:qFormat/>
    <w:uiPriority w:val="99"/>
    <w:pPr>
      <w:tabs>
        <w:tab w:val="center" w:pos="4153"/>
        <w:tab w:val="right" w:pos="8306"/>
      </w:tabs>
      <w:snapToGrid w:val="0"/>
      <w:jc w:val="left"/>
    </w:pPr>
    <w:rPr>
      <w:sz w:val="18"/>
      <w:szCs w:val="18"/>
    </w:rPr>
  </w:style>
  <w:style w:type="paragraph" w:styleId="5">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20"/>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character" w:styleId="13">
    <w:name w:val="FollowedHyperlink"/>
    <w:basedOn w:val="10"/>
    <w:semiHidden/>
    <w:unhideWhenUsed/>
    <w:qFormat/>
    <w:uiPriority w:val="0"/>
    <w:rPr>
      <w:color w:val="333333"/>
      <w:u w:val="none"/>
    </w:rPr>
  </w:style>
  <w:style w:type="character" w:styleId="14">
    <w:name w:val="Emphasis"/>
    <w:basedOn w:val="10"/>
    <w:qFormat/>
    <w:uiPriority w:val="0"/>
  </w:style>
  <w:style w:type="character" w:styleId="15">
    <w:name w:val="Hyperlink"/>
    <w:basedOn w:val="10"/>
    <w:semiHidden/>
    <w:unhideWhenUsed/>
    <w:qFormat/>
    <w:uiPriority w:val="0"/>
    <w:rPr>
      <w:color w:val="333333"/>
      <w:u w:val="none"/>
    </w:rPr>
  </w:style>
  <w:style w:type="character" w:styleId="16">
    <w:name w:val="HTML Cite"/>
    <w:basedOn w:val="10"/>
    <w:semiHidden/>
    <w:unhideWhenUsed/>
    <w:qFormat/>
    <w:uiPriority w:val="0"/>
  </w:style>
  <w:style w:type="paragraph" w:customStyle="1" w:styleId="17">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8">
    <w:name w:val="列出段落1"/>
    <w:basedOn w:val="1"/>
    <w:qFormat/>
    <w:uiPriority w:val="34"/>
    <w:pPr>
      <w:ind w:firstLine="420" w:firstLineChars="200"/>
    </w:pPr>
  </w:style>
  <w:style w:type="paragraph" w:customStyle="1" w:styleId="19">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20">
    <w:name w:val="正文文本缩进 3 Char"/>
    <w:basedOn w:val="10"/>
    <w:link w:val="6"/>
    <w:qFormat/>
    <w:uiPriority w:val="0"/>
    <w:rPr>
      <w:rFonts w:eastAsia="仿宋_GB2312"/>
      <w:kern w:val="2"/>
      <w:sz w:val="32"/>
      <w:szCs w:val="24"/>
    </w:rPr>
  </w:style>
  <w:style w:type="character" w:customStyle="1" w:styleId="21">
    <w:name w:val="页脚 Char"/>
    <w:link w:val="4"/>
    <w:qFormat/>
    <w:uiPriority w:val="99"/>
    <w:rPr>
      <w:kern w:val="2"/>
      <w:sz w:val="18"/>
      <w:szCs w:val="18"/>
    </w:rPr>
  </w:style>
  <w:style w:type="character" w:customStyle="1" w:styleId="22">
    <w:name w:val="批注框文本 Char"/>
    <w:link w:val="3"/>
    <w:semiHidden/>
    <w:qFormat/>
    <w:uiPriority w:val="0"/>
    <w:rPr>
      <w:kern w:val="2"/>
      <w:sz w:val="18"/>
      <w:szCs w:val="18"/>
    </w:rPr>
  </w:style>
  <w:style w:type="character" w:customStyle="1" w:styleId="23">
    <w:name w:val="页眉 Char"/>
    <w:link w:val="5"/>
    <w:qFormat/>
    <w:uiPriority w:val="99"/>
    <w:rPr>
      <w:kern w:val="2"/>
      <w:sz w:val="18"/>
      <w:szCs w:val="18"/>
    </w:rPr>
  </w:style>
  <w:style w:type="paragraph" w:styleId="24">
    <w:name w:val="List Paragraph"/>
    <w:basedOn w:val="1"/>
    <w:qFormat/>
    <w:uiPriority w:val="34"/>
    <w:pPr>
      <w:ind w:firstLine="420" w:firstLineChars="200"/>
    </w:pPr>
    <w:rPr>
      <w:rFonts w:ascii="Calibri" w:hAnsi="Calibri"/>
      <w:szCs w:val="22"/>
    </w:rPr>
  </w:style>
  <w:style w:type="paragraph" w:customStyle="1" w:styleId="25">
    <w:name w:val="普通(网站)1"/>
    <w:basedOn w:val="1"/>
    <w:qFormat/>
    <w:uiPriority w:val="0"/>
    <w:rPr>
      <w:rFonts w:ascii="Calibri" w:hAnsi="Calibri" w:cs="黑体"/>
      <w:sz w:val="24"/>
    </w:rPr>
  </w:style>
  <w:style w:type="paragraph" w:customStyle="1" w:styleId="26">
    <w:name w:val="普通(网站)2"/>
    <w:basedOn w:val="1"/>
    <w:qFormat/>
    <w:uiPriority w:val="0"/>
    <w:rPr>
      <w:rFonts w:ascii="Calibri" w:hAnsi="Calibri" w:cs="黑体"/>
      <w:sz w:val="24"/>
    </w:rPr>
  </w:style>
  <w:style w:type="paragraph" w:customStyle="1" w:styleId="27">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1386</Words>
  <Characters>7901</Characters>
  <Lines>65</Lines>
  <Paragraphs>18</Paragraphs>
  <TotalTime>35</TotalTime>
  <ScaleCrop>false</ScaleCrop>
  <LinksUpToDate>false</LinksUpToDate>
  <CharactersWithSpaces>9269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Administrator</cp:lastModifiedBy>
  <cp:lastPrinted>2020-03-30T02:49:00Z</cp:lastPrinted>
  <dcterms:modified xsi:type="dcterms:W3CDTF">2020-02-10T04:12:37Z</dcterms:modified>
  <dc:title>哈密地区财政局           发文稿纸</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