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bookmarkStart w:id="89" w:name="_GoBack"/>
      <w:bookmarkEnd w:id="89"/>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pPr>
      <w:bookmarkStart w:id="0" w:name="_Toc15679"/>
      <w:r>
        <w:rPr>
          <w:rFonts w:hint="eastAsia" w:cs="宋体"/>
          <w:b/>
          <w:bCs/>
          <w:color w:val="auto"/>
          <w:sz w:val="40"/>
          <w:szCs w:val="40"/>
          <w:highlight w:val="none"/>
          <w:shd w:val="clear" w:color="auto" w:fill="auto"/>
          <w:lang w:val="en-US" w:eastAsia="zh-CN"/>
        </w:rPr>
        <w:t>2023年清洁能源发展专项资金科林思德</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t>支出绩效评价报告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2023年清洁能源发展专项资金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实施单位：阜康市发展和改革委员会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阜康市发展和改革委员会</w:t>
      </w:r>
    </w:p>
    <w:p>
      <w:pPr>
        <w:pStyle w:val="10"/>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pPr>
        <w:rPr>
          <w:rFonts w:hint="eastAsia"/>
          <w:lang w:val="en-US" w:eastAsia="zh-CN"/>
        </w:rPr>
      </w:pPr>
      <w:r>
        <w:rPr>
          <w:rFonts w:hint="eastAsia"/>
          <w:lang w:val="en-US" w:eastAsia="zh-CN"/>
        </w:rPr>
        <w:br w:type="page"/>
      </w:r>
    </w:p>
    <w:p>
      <w:pPr>
        <w:rPr>
          <w:rFonts w:hint="eastAsia"/>
          <w:lang w:val="en-US" w:eastAsia="zh-CN"/>
        </w:rPr>
      </w:pPr>
    </w:p>
    <w:sdt>
      <w:sdtPr>
        <w:rPr>
          <w:rFonts w:ascii="宋体" w:hAnsi="宋体" w:eastAsia="宋体" w:cs="宋体"/>
          <w:b/>
          <w:bCs/>
          <w:kern w:val="2"/>
          <w:sz w:val="28"/>
          <w:szCs w:val="40"/>
          <w:lang w:val="en-US" w:eastAsia="zh-CN" w:bidi="ar-SA"/>
        </w:rPr>
        <w:id w:val="147474046"/>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目录</w:t>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3</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5</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10</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17</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19</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21</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21</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21</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21</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21</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pgBorders>
                <w:top w:val="none" w:sz="0" w:space="0"/>
                <w:left w:val="none" w:sz="0" w:space="0"/>
                <w:bottom w:val="none" w:sz="0" w:space="0"/>
                <w:right w:val="none" w:sz="0" w:space="0"/>
              </w:pgBorders>
              <w:cols w:space="720" w:num="1"/>
              <w:docGrid w:type="lines" w:linePitch="408" w:charSpace="0"/>
            </w:sectPr>
          </w:pPr>
          <w:r>
            <w:rPr>
              <w:rFonts w:hint="eastAsia"/>
              <w:sz w:val="28"/>
              <w:szCs w:val="28"/>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1" w:name="_Toc1194"/>
      <w:r>
        <w:rPr>
          <w:rFonts w:hint="eastAsia" w:cs="宋体"/>
          <w:b/>
          <w:bCs/>
          <w:color w:val="auto"/>
          <w:sz w:val="36"/>
          <w:szCs w:val="36"/>
          <w:highlight w:val="none"/>
          <w:shd w:val="clear" w:color="auto" w:fill="auto"/>
          <w:lang w:val="en-US" w:eastAsia="zh-CN"/>
        </w:rPr>
        <w:t>2023年清洁能源发展专项资金科林思德</w:t>
      </w:r>
      <w:r>
        <w:rPr>
          <w:rFonts w:hint="eastAsia" w:ascii="宋体" w:hAnsi="宋体" w:eastAsia="宋体" w:cs="宋体"/>
          <w:b/>
          <w:bCs/>
          <w:color w:val="auto"/>
          <w:sz w:val="36"/>
          <w:szCs w:val="36"/>
          <w:highlight w:val="none"/>
          <w:shd w:val="clear" w:color="auto" w:fill="auto"/>
          <w:lang w:val="en-US" w:eastAsia="zh-CN"/>
        </w:rPr>
        <w:t>项目</w:t>
      </w:r>
      <w:r>
        <w:rPr>
          <w:rFonts w:hint="eastAsia" w:ascii="宋体" w:hAnsi="宋体" w:eastAsia="宋体" w:cs="宋体"/>
          <w:b/>
          <w:bCs/>
          <w:color w:val="auto"/>
          <w:sz w:val="36"/>
          <w:szCs w:val="36"/>
          <w:highlight w:val="none"/>
          <w:shd w:val="clear" w:color="auto" w:fill="auto"/>
        </w:rPr>
        <w:t>支出</w:t>
      </w:r>
      <w:r>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t>绩效评价报告</w:t>
      </w:r>
      <w:bookmarkEnd w:id="1"/>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2" w:name="_Toc17540"/>
      <w:r>
        <w:rPr>
          <w:rFonts w:hint="eastAsia" w:ascii="宋体" w:hAnsi="宋体" w:eastAsia="宋体" w:cs="宋体"/>
          <w:b/>
          <w:bCs/>
          <w:color w:val="000000" w:themeColor="text1"/>
          <w:highlight w:val="none"/>
          <w:shd w:val="clear" w:color="auto" w:fill="auto"/>
          <w14:textFill>
            <w14:solidFill>
              <w14:schemeClr w14:val="tx1"/>
            </w14:solidFill>
          </w14:textFill>
        </w:rPr>
        <w:t>一、基本情况</w:t>
      </w:r>
      <w:bookmarkEnd w:id="2"/>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3" w:name="_Toc18966"/>
      <w:r>
        <w:rPr>
          <w:rFonts w:hint="eastAsia" w:ascii="宋体" w:hAnsi="宋体" w:eastAsia="宋体" w:cs="宋体"/>
          <w:color w:val="000000" w:themeColor="text1"/>
          <w:highlight w:val="none"/>
          <w:shd w:val="clear" w:color="auto" w:fill="auto"/>
          <w14:textFill>
            <w14:solidFill>
              <w14:schemeClr w14:val="tx1"/>
            </w14:solidFill>
          </w14:textFill>
        </w:rPr>
        <w:t>（一）项目概况</w:t>
      </w:r>
      <w:bookmarkEnd w:id="3"/>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4" w:name="_Toc5043"/>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项目背景</w:t>
      </w:r>
      <w:bookmarkEnd w:id="4"/>
    </w:p>
    <w:p>
      <w:pPr>
        <w:bidi w:val="0"/>
        <w:rPr>
          <w:rFonts w:hint="eastAsia"/>
        </w:rPr>
      </w:pPr>
      <w:r>
        <w:rPr>
          <w:rFonts w:hint="eastAsia"/>
        </w:rPr>
        <w:t>新疆科林斯德能源有限责任公司通过开采利用非常规天然气，依据《财政部关于煤层气（瓦斯）开发利用补贴的实施意见》财建[2007]114号申请</w:t>
      </w:r>
      <w:r>
        <w:rPr>
          <w:rFonts w:hint="eastAsia"/>
          <w:lang w:eastAsia="zh-CN"/>
        </w:rPr>
        <w:t>2023年清洁能源发展专项资金科林思德</w:t>
      </w:r>
      <w:r>
        <w:rPr>
          <w:rFonts w:hint="eastAsia"/>
        </w:rPr>
        <w:t>，项目预算资金</w:t>
      </w:r>
      <w:r>
        <w:rPr>
          <w:rFonts w:hint="eastAsia"/>
          <w:lang w:val="en-US" w:eastAsia="zh-CN"/>
        </w:rPr>
        <w:t>615</w:t>
      </w:r>
      <w:r>
        <w:rPr>
          <w:rFonts w:hint="eastAsia"/>
        </w:rPr>
        <w:t>万元，202</w:t>
      </w:r>
      <w:r>
        <w:rPr>
          <w:rFonts w:hint="eastAsia"/>
          <w:lang w:val="en-US" w:eastAsia="zh-CN"/>
        </w:rPr>
        <w:t>3</w:t>
      </w:r>
      <w:r>
        <w:rPr>
          <w:rFonts w:hint="eastAsia"/>
        </w:rPr>
        <w:t>年用于开采利用非常规天然气，非常规天然气开采利用量</w:t>
      </w:r>
      <w:r>
        <w:rPr>
          <w:rFonts w:hint="eastAsia"/>
          <w:lang w:val="en-US" w:eastAsia="zh-CN"/>
        </w:rPr>
        <w:t>4942</w:t>
      </w:r>
      <w:r>
        <w:rPr>
          <w:rFonts w:hint="eastAsia"/>
        </w:rPr>
        <w:t>万</w:t>
      </w:r>
      <w:r>
        <w:rPr>
          <w:rFonts w:hint="eastAsia"/>
          <w:lang w:eastAsia="zh-CN"/>
        </w:rPr>
        <w:t>立</w:t>
      </w:r>
      <w:r>
        <w:rPr>
          <w:rFonts w:hint="eastAsia"/>
        </w:rPr>
        <w:t>方米，采暖季非常规天然气利用量占全年</w:t>
      </w:r>
      <w:r>
        <w:rPr>
          <w:rFonts w:hint="eastAsia"/>
          <w:lang w:eastAsia="zh-CN"/>
        </w:rPr>
        <w:t>比例</w:t>
      </w:r>
      <w:r>
        <w:rPr>
          <w:rFonts w:hint="eastAsia"/>
        </w:rPr>
        <w:t>大于30%，非常规天然气抽采量</w:t>
      </w:r>
      <w:r>
        <w:rPr>
          <w:rFonts w:hint="eastAsia"/>
          <w:lang w:val="en-US" w:eastAsia="zh-CN"/>
        </w:rPr>
        <w:t>5103</w:t>
      </w:r>
      <w:r>
        <w:rPr>
          <w:rFonts w:hint="eastAsia"/>
        </w:rPr>
        <w:t>万</w:t>
      </w:r>
      <w:r>
        <w:rPr>
          <w:rFonts w:hint="eastAsia"/>
          <w:lang w:eastAsia="zh-CN"/>
        </w:rPr>
        <w:t>立</w:t>
      </w:r>
      <w:r>
        <w:rPr>
          <w:rFonts w:hint="eastAsia"/>
        </w:rPr>
        <w:t>方米，非常规天然气开采利用率大于88%。通过《关于下达 202</w:t>
      </w:r>
      <w:r>
        <w:rPr>
          <w:rFonts w:hint="eastAsia"/>
          <w:lang w:val="en-US" w:eastAsia="zh-CN"/>
        </w:rPr>
        <w:t>3</w:t>
      </w:r>
      <w:r>
        <w:rPr>
          <w:rFonts w:hint="eastAsia"/>
        </w:rPr>
        <w:t xml:space="preserve"> 年</w:t>
      </w:r>
      <w:r>
        <w:rPr>
          <w:rFonts w:hint="eastAsia"/>
          <w:lang w:eastAsia="zh-CN"/>
        </w:rPr>
        <w:t>2023年清洁能源发展专项资金科林思德</w:t>
      </w:r>
      <w:r>
        <w:rPr>
          <w:rFonts w:hint="eastAsia"/>
        </w:rPr>
        <w:t>的通知》昌州财建[2023]</w:t>
      </w:r>
      <w:r>
        <w:rPr>
          <w:rFonts w:hint="eastAsia"/>
          <w:lang w:val="en-US" w:eastAsia="zh-CN"/>
        </w:rPr>
        <w:t>77</w:t>
      </w:r>
      <w:r>
        <w:rPr>
          <w:rFonts w:hint="eastAsia"/>
        </w:rPr>
        <w:t>号拨付资金，从根本上减少煤矿生产安全事故、减少温室气体排放、增加能源供应。</w:t>
      </w:r>
      <w:bookmarkStart w:id="5" w:name="_Toc27343"/>
    </w:p>
    <w:p>
      <w:pPr>
        <w:bidi w:val="0"/>
        <w:rPr>
          <w:rFonts w:hint="eastAsia"/>
          <w:b/>
          <w:bCs/>
        </w:rPr>
      </w:pPr>
      <w:r>
        <w:rPr>
          <w:rFonts w:hint="eastAsia"/>
          <w:b/>
          <w:bCs/>
          <w:lang w:val="en-US" w:eastAsia="zh-CN"/>
        </w:rPr>
        <w:t>2.</w:t>
      </w:r>
      <w:r>
        <w:rPr>
          <w:rFonts w:hint="eastAsia"/>
          <w:b/>
          <w:bCs/>
        </w:rPr>
        <w:t>主要内容及实施情况</w:t>
      </w:r>
      <w:bookmarkEnd w:id="5"/>
    </w:p>
    <w:p>
      <w:pPr>
        <w:bidi w:val="0"/>
        <w:rPr>
          <w:rFonts w:hint="eastAsia"/>
          <w:lang w:eastAsia="zh-CN"/>
        </w:rPr>
      </w:pPr>
      <w:bookmarkStart w:id="6" w:name="_Toc16592"/>
      <w:r>
        <w:rPr>
          <w:rFonts w:hint="eastAsia"/>
          <w:b/>
          <w:bCs/>
          <w:lang w:val="en-US" w:eastAsia="zh-CN"/>
        </w:rPr>
        <w:t>主要内容：</w:t>
      </w:r>
      <w:r>
        <w:rPr>
          <w:rFonts w:hint="eastAsia"/>
          <w:lang w:val="en-US" w:eastAsia="zh-CN"/>
        </w:rPr>
        <w:t>阜康市发展和改革委员会负责研究提出能源发展战略、规划，贯彻发展能源工业的方针政策，负责能源安全监督管理及行业管理和安全生产检查监督管理工作。要求新疆科林思德新能源有限责任公司单位2023年预计完成非常规天然气开采利用量4942万立方米,采暖季非常规天然气利用量占全年比例大于30%，非常规天然气开采利用率大于88%，非常规天然气抽采量5103万立方米，项目的实施预计达到减少温室气体排放。</w:t>
      </w:r>
      <w:bookmarkEnd w:id="6"/>
    </w:p>
    <w:p>
      <w:pPr>
        <w:bidi w:val="0"/>
        <w:rPr>
          <w:rFonts w:hint="eastAsia" w:ascii="宋体" w:hAnsi="宋体" w:eastAsia="宋体" w:cs="宋体"/>
          <w:color w:val="auto"/>
          <w:highlight w:val="none"/>
          <w:shd w:val="clear" w:color="auto" w:fill="auto"/>
          <w:lang w:val="en-US" w:eastAsia="zh-CN"/>
        </w:rPr>
      </w:pPr>
      <w:r>
        <w:rPr>
          <w:rFonts w:hint="eastAsia"/>
          <w:b/>
          <w:bCs/>
          <w:lang w:val="en-US" w:eastAsia="zh-CN"/>
        </w:rPr>
        <w:t>组织实施：</w:t>
      </w:r>
      <w:r>
        <w:rPr>
          <w:rFonts w:hint="eastAsia"/>
          <w:lang w:val="en-US" w:eastAsia="zh-CN"/>
        </w:rPr>
        <w:t>本项目自2023年1月1日经《</w:t>
      </w:r>
      <w:r>
        <w:rPr>
          <w:rFonts w:hint="eastAsia" w:ascii="宋体" w:hAnsi="宋体" w:eastAsia="宋体" w:cs="宋体"/>
          <w:b w:val="0"/>
          <w:bCs w:val="0"/>
          <w:color w:val="auto"/>
          <w:kern w:val="2"/>
          <w:sz w:val="28"/>
          <w:szCs w:val="28"/>
          <w:lang w:val="en-US" w:eastAsia="zh-CN" w:bidi="ar-SA"/>
        </w:rPr>
        <w:t>关于下达 2023 年</w:t>
      </w:r>
      <w:r>
        <w:rPr>
          <w:rFonts w:hint="eastAsia" w:cs="宋体"/>
          <w:b w:val="0"/>
          <w:bCs w:val="0"/>
          <w:color w:val="auto"/>
          <w:kern w:val="2"/>
          <w:sz w:val="28"/>
          <w:szCs w:val="28"/>
          <w:lang w:val="en-US" w:eastAsia="zh-CN" w:bidi="ar-SA"/>
        </w:rPr>
        <w:t>2023年清洁能源发展专项资金科林思德</w:t>
      </w:r>
      <w:r>
        <w:rPr>
          <w:rFonts w:hint="eastAsia" w:ascii="宋体" w:hAnsi="宋体" w:eastAsia="宋体" w:cs="宋体"/>
          <w:b w:val="0"/>
          <w:bCs w:val="0"/>
          <w:color w:val="auto"/>
          <w:kern w:val="2"/>
          <w:sz w:val="28"/>
          <w:szCs w:val="28"/>
          <w:lang w:val="en-US" w:eastAsia="zh-CN" w:bidi="ar-SA"/>
        </w:rPr>
        <w:t>的通知》昌州财建[2023]77号</w:t>
      </w:r>
      <w:r>
        <w:rPr>
          <w:rFonts w:hint="eastAsia" w:ascii="宋体" w:hAnsi="宋体" w:eastAsia="宋体" w:cs="宋体"/>
          <w:color w:val="auto"/>
          <w:highlight w:val="none"/>
          <w:shd w:val="clear" w:color="auto" w:fill="auto"/>
          <w:lang w:val="en-US" w:eastAsia="zh-CN"/>
        </w:rPr>
        <w:t>文件批复，经</w:t>
      </w:r>
      <w:r>
        <w:rPr>
          <w:rFonts w:hint="eastAsia" w:cs="宋体"/>
          <w:color w:val="auto"/>
          <w:highlight w:val="none"/>
          <w:shd w:val="clear" w:color="auto" w:fill="auto"/>
          <w:lang w:val="en-US" w:eastAsia="zh-CN"/>
        </w:rPr>
        <w:t>阜康市发改委党组</w:t>
      </w:r>
      <w:r>
        <w:rPr>
          <w:rFonts w:hint="eastAsia" w:ascii="宋体" w:hAnsi="宋体" w:eastAsia="宋体" w:cs="宋体"/>
          <w:color w:val="auto"/>
          <w:highlight w:val="none"/>
          <w:shd w:val="clear" w:color="auto" w:fill="auto"/>
          <w:lang w:val="en-US" w:eastAsia="zh-CN"/>
        </w:rPr>
        <w:t>会议，确定了项目领导小组，明确了责任分工：组长为</w:t>
      </w:r>
      <w:r>
        <w:rPr>
          <w:rFonts w:hint="eastAsia" w:cs="宋体"/>
          <w:color w:val="auto"/>
          <w:highlight w:val="none"/>
          <w:shd w:val="clear" w:color="auto" w:fill="auto"/>
          <w:lang w:val="en-US" w:eastAsia="zh-CN"/>
        </w:rPr>
        <w:t>朱明磊</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任伟杰</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项目负责人为马旭东,</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候宛利</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范冬梅</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任伟杰</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马旭东</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候宛利</w:t>
      </w:r>
      <w:r>
        <w:rPr>
          <w:rFonts w:hint="eastAsia" w:ascii="宋体" w:hAnsi="宋体" w:eastAsia="宋体" w:cs="宋体"/>
          <w:color w:val="auto"/>
          <w:highlight w:val="none"/>
          <w:shd w:val="clear" w:color="auto" w:fill="auto"/>
          <w:lang w:val="en-US" w:eastAsia="zh-CN"/>
        </w:rPr>
        <w:t>负责资金拨付工作。</w:t>
      </w:r>
    </w:p>
    <w:p>
      <w:pPr>
        <w:pStyle w:val="5"/>
        <w:rPr>
          <w:rFonts w:hint="default" w:eastAsia="宋体"/>
          <w:color w:val="FF0000"/>
          <w:lang w:val="en-US" w:eastAsia="zh-CN"/>
        </w:rPr>
      </w:pPr>
      <w:r>
        <w:rPr>
          <w:rFonts w:hint="eastAsia"/>
        </w:rPr>
        <w:t>截至2023年12月31日本项目完成非常规天然气开采利用量4374.92万m³,采暖季非常规天然气利用量占全年比例34.27%，非常规天然气开采利用率99.02%，非常规天然气抽采量4418.22万m³，项目的实施达到减少温室气体排放</w:t>
      </w:r>
      <w:r>
        <w:rPr>
          <w:rFonts w:hint="eastAsia"/>
          <w:lang w:eastAsia="zh-CN"/>
        </w:rPr>
        <w:t>效果</w:t>
      </w:r>
      <w:r>
        <w:rPr>
          <w:rFonts w:hint="eastAsia"/>
        </w:rPr>
        <w:t>。</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 w:name="_Toc185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2023年清洁能源发展专项资金科林思德</w:t>
      </w:r>
      <w:r>
        <w:rPr>
          <w:rFonts w:hint="eastAsia" w:ascii="宋体" w:hAnsi="宋体" w:eastAsia="宋体" w:cs="宋体"/>
          <w:color w:val="auto"/>
          <w:highlight w:val="none"/>
          <w:shd w:val="clear" w:color="auto" w:fill="auto"/>
          <w:lang w:val="en-US" w:eastAsia="zh-CN"/>
        </w:rPr>
        <w:t>项目预算安排总额为</w:t>
      </w:r>
      <w:r>
        <w:rPr>
          <w:rFonts w:hint="eastAsia" w:cs="宋体"/>
          <w:color w:val="auto"/>
          <w:highlight w:val="none"/>
          <w:shd w:val="clear" w:color="auto" w:fill="auto"/>
          <w:lang w:val="en-US" w:eastAsia="zh-CN"/>
        </w:rPr>
        <w:t>615</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金615</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615</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000000" w:themeColor="text1"/>
          <w:spacing w:val="-4"/>
          <w:highlight w:val="none"/>
          <w:shd w:val="clear" w:color="auto" w:fill="auto"/>
          <w14:textFill>
            <w14:solidFill>
              <w14:schemeClr w14:val="tx1"/>
            </w14:solidFill>
          </w14:textFill>
        </w:rPr>
      </w:pPr>
      <w:r>
        <w:rPr>
          <w:rFonts w:hint="eastAsia" w:ascii="宋体" w:hAnsi="宋体" w:eastAsia="宋体" w:cs="宋体"/>
          <w:bCs/>
          <w:color w:val="000000" w:themeColor="text1"/>
          <w:spacing w:val="-4"/>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pacing w:val="-4"/>
          <w:highlight w:val="none"/>
          <w:shd w:val="clear" w:color="auto" w:fill="auto"/>
          <w:lang w:val="en-US" w:eastAsia="zh-CN"/>
          <w14:textFill>
            <w14:solidFill>
              <w14:schemeClr w14:val="tx1"/>
            </w14:solidFill>
          </w14:textFill>
        </w:rPr>
        <w:t>2</w:t>
      </w:r>
      <w:r>
        <w:rPr>
          <w:rFonts w:hint="eastAsia" w:ascii="宋体" w:hAnsi="宋体" w:eastAsia="宋体" w:cs="宋体"/>
          <w:bCs/>
          <w:color w:val="000000" w:themeColor="text1"/>
          <w:spacing w:val="-4"/>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pacing w:val="-4"/>
          <w:highlight w:val="none"/>
          <w:shd w:val="clear" w:color="auto" w:fill="auto"/>
          <w14:textFill>
            <w14:solidFill>
              <w14:schemeClr w14:val="tx1"/>
            </w14:solidFill>
          </w14:textFill>
        </w:rPr>
        <w:t>项目资金实际使用情况分析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截至2023年12月31日，2023年清洁能源发展专项资金科林思德</w:t>
      </w:r>
      <w:r>
        <w:rPr>
          <w:rFonts w:hint="eastAsia" w:ascii="宋体" w:hAnsi="宋体" w:eastAsia="宋体" w:cs="宋体"/>
          <w:color w:val="auto"/>
          <w:highlight w:val="none"/>
          <w:shd w:val="clear" w:color="auto" w:fill="auto"/>
        </w:rPr>
        <w:t>项目实际支付资金</w:t>
      </w:r>
      <w:r>
        <w:rPr>
          <w:rFonts w:hint="eastAsia" w:cs="宋体"/>
          <w:color w:val="auto"/>
          <w:highlight w:val="none"/>
          <w:shd w:val="clear" w:color="auto" w:fill="auto"/>
          <w:lang w:val="en-US" w:eastAsia="zh-CN"/>
        </w:rPr>
        <w:t>615</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ascii="宋体" w:hAnsi="宋体" w:eastAsia="宋体" w:cs="宋体"/>
          <w:color w:val="auto"/>
          <w:highlight w:val="none"/>
          <w:shd w:val="clear" w:color="auto" w:fill="auto"/>
        </w:rPr>
        <w:t>项目资金主要用于</w:t>
      </w:r>
      <w:r>
        <w:rPr>
          <w:rFonts w:hint="eastAsia" w:ascii="宋体" w:hAnsi="宋体" w:eastAsia="宋体" w:cs="宋体"/>
          <w:color w:val="auto"/>
          <w:highlight w:val="none"/>
          <w:shd w:val="clear" w:color="auto" w:fill="auto"/>
          <w:lang w:val="en-US" w:eastAsia="zh-CN"/>
        </w:rPr>
        <w:t>非常规天然气开采</w:t>
      </w:r>
      <w:r>
        <w:rPr>
          <w:rFonts w:hint="eastAsia" w:cs="宋体"/>
          <w:color w:val="auto"/>
          <w:highlight w:val="none"/>
          <w:shd w:val="clear" w:color="auto" w:fill="auto"/>
          <w:lang w:val="en-US" w:eastAsia="zh-CN"/>
        </w:rPr>
        <w:t>，，增加</w:t>
      </w:r>
      <w:r>
        <w:rPr>
          <w:rFonts w:hint="eastAsia" w:ascii="宋体" w:hAnsi="宋体" w:eastAsia="宋体" w:cs="宋体"/>
          <w:color w:val="auto"/>
          <w:highlight w:val="none"/>
          <w:shd w:val="clear" w:color="auto" w:fill="auto"/>
          <w:lang w:val="en-US" w:eastAsia="zh-CN"/>
        </w:rPr>
        <w:t>非常规天然气开采利用率</w:t>
      </w:r>
      <w:r>
        <w:rPr>
          <w:rFonts w:hint="eastAsia" w:cs="宋体"/>
          <w:color w:val="auto"/>
          <w:highlight w:val="none"/>
          <w:shd w:val="clear" w:color="auto" w:fill="auto"/>
          <w:lang w:val="en-US" w:eastAsia="zh-CN"/>
        </w:rPr>
        <w:t>，增加</w:t>
      </w:r>
      <w:r>
        <w:rPr>
          <w:rFonts w:hint="eastAsia" w:ascii="宋体" w:hAnsi="宋体" w:eastAsia="宋体" w:cs="宋体"/>
          <w:color w:val="auto"/>
          <w:highlight w:val="none"/>
          <w:shd w:val="clear" w:color="auto" w:fill="auto"/>
          <w:lang w:val="en-US" w:eastAsia="zh-CN"/>
        </w:rPr>
        <w:t>非常规天然气抽采量，预计达到减少温室气体排放</w:t>
      </w:r>
      <w:r>
        <w:rPr>
          <w:rFonts w:hint="eastAsia" w:cs="宋体"/>
          <w:color w:val="auto"/>
          <w:highlight w:val="none"/>
          <w:shd w:val="clear" w:color="auto" w:fill="auto"/>
          <w:lang w:val="en-US" w:eastAsia="zh-CN"/>
        </w:rPr>
        <w:t>效果等方面。</w:t>
      </w:r>
    </w:p>
    <w:p>
      <w:pPr>
        <w:pStyle w:val="4"/>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highlight w:val="none"/>
          <w:shd w:val="clear" w:color="auto" w:fill="auto"/>
          <w14:textFill>
            <w14:solidFill>
              <w14:schemeClr w14:val="tx1"/>
            </w14:solidFill>
          </w14:textFill>
        </w:rPr>
        <w:t>项目绩效目标</w:t>
      </w:r>
      <w:bookmarkEnd w:id="8"/>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9" w:name="_Toc1004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1.总体目标</w:t>
      </w:r>
      <w:bookmarkEnd w:id="9"/>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highlight w:val="none"/>
          <w:shd w:val="clear" w:color="auto" w:fill="auto"/>
          <w:lang w:val="en-US" w:eastAsia="zh-CN"/>
        </w:rPr>
      </w:pPr>
      <w:r>
        <w:rPr>
          <w:rFonts w:hint="eastAsia" w:cs="宋体"/>
          <w:color w:val="auto"/>
          <w:highlight w:val="none"/>
          <w:shd w:val="clear" w:color="auto" w:fill="auto"/>
          <w:lang w:val="en-US" w:eastAsia="zh-CN"/>
        </w:rPr>
        <w:t>2023年清洁能源发展专项资金科林思德</w:t>
      </w:r>
      <w:r>
        <w:rPr>
          <w:rFonts w:hint="eastAsia" w:ascii="宋体" w:hAnsi="宋体" w:eastAsia="宋体" w:cs="宋体"/>
          <w:color w:val="auto"/>
          <w:highlight w:val="none"/>
          <w:shd w:val="clear" w:color="auto" w:fill="auto"/>
        </w:rPr>
        <w:t>项目</w:t>
      </w:r>
      <w:r>
        <w:rPr>
          <w:rFonts w:hint="eastAsia" w:cs="宋体"/>
          <w:color w:val="auto"/>
          <w:highlight w:val="none"/>
          <w:shd w:val="clear" w:color="auto" w:fill="auto"/>
          <w:lang w:val="en-US" w:eastAsia="zh-CN"/>
        </w:rPr>
        <w:t>绩效总体目标为：阜康市发展和改革委员会负责研究提出能源发展战略、规划，贯彻发展能源工业的方针政策，负责能源安全监督管理及行业管理和安全生产检查监督管理工作。要求新疆科林思德新能源有限责任公司单位2023年预计完成非常规天然气开采利用量4942万m³,采暖季非常规天然气利用量占全年比例大于30%，非常规天然气开采利用率大于88%，非常规天然气抽采量5103万m³，项目的实施预计达到减少温室气体排放。</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10" w:name="_Toc448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2.阶段性目标</w:t>
      </w:r>
      <w:bookmarkEnd w:id="10"/>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根据《预算法</w:t>
      </w:r>
      <w:r>
        <w:rPr>
          <w:rFonts w:hint="eastAsia"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号）、《自治区党委自治区人民政府关于全面实施预算绩效管理的实施意见》（新党发〔2018〕30号）、</w:t>
      </w:r>
      <w:r>
        <w:rPr>
          <w:rFonts w:hint="eastAsia" w:ascii="宋体" w:hAnsi="宋体" w:eastAsia="宋体" w:cs="宋体"/>
          <w:color w:val="000000" w:themeColor="text1"/>
          <w:highlight w:val="none"/>
          <w:shd w:val="clear" w:color="auto" w:fill="auto"/>
          <w14:textFill>
            <w14:solidFill>
              <w14:schemeClr w14:val="tx1"/>
            </w14:solidFill>
          </w14:textFill>
        </w:rPr>
        <w:t>《自治区财政支出绩效评价管理暂行办法》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新财预〔2018〕189号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等文件</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的规定，结合项目实施单位的规章制度以及财务相关资料，评价小组对项目绩效目标进行了进一步的完善，完善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非常规天然气开采利用量</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为≥4942万立方米；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采暖季非常规天然气利用量占全年比例</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非常规天然气开采利用率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为≥88%；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非常规天然气抽采量</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为≥5103万立方米；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非常规天然气检测合格率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非常规天然气月度盘点及时率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非常规天然气设备维护保养率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成本指标</w:t>
      </w:r>
    </w:p>
    <w:p>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eastAsia="zh-CN"/>
        </w:rPr>
      </w:pPr>
      <w:r>
        <w:rPr>
          <w:rFonts w:hint="eastAsia" w:cs="宋体"/>
          <w:color w:val="auto"/>
          <w:highlight w:val="none"/>
          <w:shd w:val="clear" w:color="auto" w:fill="auto"/>
          <w:lang w:eastAsia="zh-CN"/>
        </w:rPr>
        <w:t>本项目不涉及成本指标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）项目效益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eastAsia="zh-CN"/>
        </w:rPr>
      </w:pPr>
      <w:r>
        <w:rPr>
          <w:rFonts w:hint="eastAsia" w:cs="宋体"/>
          <w:color w:val="auto"/>
          <w:highlight w:val="none"/>
          <w:shd w:val="clear" w:color="auto" w:fill="auto"/>
          <w:lang w:eastAsia="zh-CN"/>
        </w:rPr>
        <w:t>本项目不涉及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经济效益</w:t>
      </w:r>
      <w:r>
        <w:rPr>
          <w:rFonts w:hint="eastAsia" w:cs="宋体"/>
          <w:color w:val="auto"/>
          <w:highlight w:val="none"/>
          <w:shd w:val="clear" w:color="auto" w:fill="auto"/>
          <w:lang w:eastAsia="zh-CN"/>
        </w:rPr>
        <w:t>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eastAsia="zh-CN"/>
        </w:rPr>
        <w:t>本项目不涉及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社会效益</w:t>
      </w:r>
      <w:r>
        <w:rPr>
          <w:rFonts w:hint="eastAsia" w:cs="宋体"/>
          <w:color w:val="auto"/>
          <w:highlight w:val="none"/>
          <w:shd w:val="clear" w:color="auto" w:fill="auto"/>
          <w:lang w:eastAsia="zh-CN"/>
        </w:rPr>
        <w:t>指标</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减少温室气体排放</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为减少；</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eastAsia="zh-CN"/>
        </w:rPr>
        <w:t>本项目不涉及</w:t>
      </w:r>
      <w:r>
        <w:rPr>
          <w:rFonts w:hint="eastAsia" w:ascii="宋体" w:hAnsi="宋体" w:eastAsia="宋体" w:cs="宋体"/>
          <w:color w:val="auto"/>
          <w:highlight w:val="none"/>
          <w:shd w:val="clear" w:color="auto" w:fill="auto"/>
          <w:lang w:val="en-US" w:eastAsia="zh-CN"/>
        </w:rPr>
        <w:t>可持续影响指标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项目实施地周边群众满意度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11" w:name="_Toc2549"/>
      <w:r>
        <w:rPr>
          <w:rFonts w:hint="eastAsia" w:ascii="宋体" w:hAnsi="宋体" w:eastAsia="宋体" w:cs="宋体"/>
          <w:b/>
          <w:bCs/>
          <w:color w:val="000000" w:themeColor="text1"/>
          <w:highlight w:val="none"/>
          <w:shd w:val="clear" w:color="auto" w:fill="auto"/>
          <w14:textFill>
            <w14:solidFill>
              <w14:schemeClr w14:val="tx1"/>
            </w14:solidFill>
          </w14:textFill>
        </w:rPr>
        <w:t>二、绩效评价工作开展情况</w:t>
      </w:r>
      <w:bookmarkEnd w:id="11"/>
    </w:p>
    <w:p>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12" w:name="_Toc26632"/>
      <w:bookmarkStart w:id="13" w:name="_Toc5258"/>
      <w:bookmarkStart w:id="14" w:name="_Toc12868"/>
      <w:bookmarkStart w:id="15" w:name="_Toc5462343"/>
      <w:bookmarkStart w:id="16" w:name="_Toc22922"/>
      <w:bookmarkStart w:id="17" w:name="_Toc21664"/>
      <w:bookmarkStart w:id="18" w:name="_Toc22169_WPSOffice_Level2"/>
      <w:bookmarkStart w:id="19" w:name="_Toc480473081"/>
      <w:bookmarkStart w:id="20" w:name="_Toc2177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bookmarkEnd w:id="20"/>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1" w:name="_Toc1573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2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bookmarkEnd w:id="2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年度我单位实</w:t>
      </w:r>
      <w:r>
        <w:rPr>
          <w:rFonts w:hint="eastAsia" w:ascii="宋体" w:hAnsi="宋体" w:eastAsia="宋体" w:cs="宋体"/>
          <w:color w:val="auto"/>
          <w:highlight w:val="none"/>
          <w:shd w:val="clear" w:color="auto" w:fill="auto"/>
          <w:lang w:val="en-US" w:eastAsia="zh-CN"/>
        </w:rPr>
        <w:t>施的</w:t>
      </w:r>
      <w:r>
        <w:rPr>
          <w:rFonts w:hint="eastAsia" w:cs="宋体"/>
          <w:color w:val="auto"/>
          <w:highlight w:val="none"/>
          <w:shd w:val="clear" w:color="auto" w:fill="auto"/>
          <w:lang w:val="en-US" w:eastAsia="zh-CN"/>
        </w:rPr>
        <w:t>2023年清洁能源发展专项资金科林思德</w:t>
      </w:r>
      <w:r>
        <w:rPr>
          <w:rFonts w:hint="eastAsia" w:ascii="宋体" w:hAnsi="宋体" w:eastAsia="宋体" w:cs="宋体"/>
          <w:color w:val="auto"/>
          <w:highlight w:val="none"/>
          <w:shd w:val="clear" w:color="auto" w:fill="auto"/>
          <w:lang w:val="en-US" w:eastAsia="zh-CN"/>
        </w:rPr>
        <w:t>项目开展部门绩效评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bookmarkEnd w:id="23"/>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bookmarkEnd w:id="2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w:t>
      </w:r>
      <w:r>
        <w:rPr>
          <w:rFonts w:hint="eastAsia" w:ascii="宋体" w:hAnsi="宋体" w:eastAsia="宋体" w:cs="宋体"/>
          <w:bCs/>
          <w:color w:val="auto"/>
          <w:highlight w:val="none"/>
          <w:shd w:val="clear" w:color="auto" w:fill="auto"/>
          <w:lang w:eastAsia="zh-CN"/>
        </w:rPr>
        <w:t>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cs="宋体"/>
          <w:color w:val="auto"/>
          <w:highlight w:val="none"/>
          <w:shd w:val="clear" w:color="auto" w:fill="auto"/>
          <w:lang w:val="en-US" w:eastAsia="zh-CN"/>
        </w:rPr>
        <w:t>2023年清洁能源发展专项资金科林思德</w:t>
      </w:r>
      <w:r>
        <w:rPr>
          <w:rFonts w:hint="eastAsia" w:ascii="宋体" w:hAnsi="宋体" w:eastAsia="宋体" w:cs="宋体"/>
          <w:color w:val="auto"/>
          <w:highlight w:val="none"/>
          <w:shd w:val="clear" w:color="auto" w:fill="auto"/>
          <w:lang w:eastAsia="zh-CN"/>
        </w:rPr>
        <w:t>项目实际开展情况，运用定量和定性分析相结合的方法，总结经验做法，反思</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25" w:name="_Toc419984722"/>
      <w:bookmarkStart w:id="26" w:name="_Toc26131"/>
      <w:bookmarkStart w:id="27" w:name="_Toc428278230"/>
      <w:bookmarkStart w:id="28" w:name="_Toc1913"/>
      <w:bookmarkStart w:id="29" w:name="_Toc2439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bookmarkEnd w:id="2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tbl>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bookmarkEnd w:id="3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14:textFill>
            <w14:solidFill>
              <w14:schemeClr w14:val="tx1"/>
            </w14:solidFill>
          </w14:textFill>
        </w:rPr>
        <w:t>本次绩效评价采用的方法</w:t>
      </w:r>
      <w:r>
        <w:rPr>
          <w:rFonts w:hint="eastAsia" w:cs="宋体"/>
          <w:color w:val="000000" w:themeColor="text1"/>
          <w:highlight w:val="none"/>
          <w:shd w:val="clear" w:color="auto" w:fill="auto"/>
          <w:lang w:val="en-US" w:eastAsia="zh-CN"/>
          <w14:textFill>
            <w14:solidFill>
              <w14:schemeClr w14:val="tx1"/>
            </w14:solidFill>
          </w14:textFill>
        </w:rPr>
        <w:t>为</w:t>
      </w:r>
      <w:r>
        <w:rPr>
          <w:rFonts w:hint="eastAsia" w:ascii="宋体" w:hAnsi="宋体" w:eastAsia="宋体" w:cs="宋体"/>
          <w:color w:val="000000" w:themeColor="text1"/>
          <w:highlight w:val="none"/>
          <w:shd w:val="clear" w:color="auto" w:fill="auto"/>
          <w14:textFill>
            <w14:solidFill>
              <w14:schemeClr w14:val="tx1"/>
            </w14:solidFill>
          </w14:textFill>
        </w:rPr>
        <w:t>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对项目绩效目标</w:t>
      </w:r>
      <w:r>
        <w:rPr>
          <w:rFonts w:hint="eastAsia" w:cs="宋体"/>
          <w:color w:val="000000" w:themeColor="text1"/>
          <w:highlight w:val="none"/>
          <w:shd w:val="clear" w:color="auto" w:fill="auto"/>
          <w:lang w:val="en-US" w:eastAsia="zh-CN"/>
          <w14:textFill>
            <w14:solidFill>
              <w14:schemeClr w14:val="tx1"/>
            </w14:solidFill>
          </w14:textFill>
        </w:rPr>
        <w:t>预期目标值</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与实施情况进行比较，以及采取公众问卷及抽样调查等方式进行评判的方法对</w:t>
      </w:r>
      <w:r>
        <w:rPr>
          <w:rFonts w:hint="eastAsia" w:cs="宋体"/>
          <w:color w:val="auto"/>
          <w:highlight w:val="none"/>
          <w:shd w:val="clear" w:color="auto" w:fill="auto"/>
          <w:lang w:val="en-US" w:eastAsia="zh-CN"/>
        </w:rPr>
        <w:t>2023年清洁能源发展专项资金科林思德</w:t>
      </w:r>
      <w:r>
        <w:rPr>
          <w:rFonts w:hint="eastAsia" w:ascii="宋体" w:hAnsi="宋体" w:eastAsia="宋体" w:cs="宋体"/>
          <w:color w:val="auto"/>
          <w:highlight w:val="none"/>
          <w:shd w:val="clear" w:color="auto" w:fill="auto"/>
          <w:lang w:val="en-US" w:eastAsia="zh-CN"/>
        </w:rPr>
        <w:t>项目进行评价。</w:t>
      </w:r>
    </w:p>
    <w:p>
      <w:pPr>
        <w:pStyle w:val="2"/>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1" w:name="_Toc2539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bookmarkEnd w:id="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pPr>
        <w:pStyle w:val="2"/>
        <w:outlineLvl w:val="1"/>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bookmarkEnd w:id="32"/>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bookmarkEnd w:id="33"/>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bookmarkEnd w:id="34"/>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5" w:name="_Toc21240"/>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绩效评价项目小组依据此次绩效评价受委托内容，对拟评价的项目实施前期调研。通过调研对</w:t>
      </w:r>
      <w:r>
        <w:rPr>
          <w:rFonts w:hint="eastAsia" w:ascii="宋体" w:hAnsi="宋体" w:cs="宋体"/>
          <w:b w:val="0"/>
          <w:bCs w:val="0"/>
          <w:color w:val="auto"/>
          <w:kern w:val="2"/>
          <w:sz w:val="28"/>
          <w:szCs w:val="24"/>
          <w:highlight w:val="none"/>
          <w:shd w:val="clear" w:color="auto" w:fill="auto"/>
          <w:lang w:val="en-US" w:eastAsia="zh-CN" w:bidi="ar-SA"/>
        </w:rPr>
        <w:t>2023年清洁能源发展专项资金科林思德</w:t>
      </w:r>
      <w:r>
        <w:rPr>
          <w:rFonts w:hint="eastAsia" w:ascii="宋体" w:hAnsi="宋体" w:eastAsia="宋体" w:cs="宋体"/>
          <w:b w:val="0"/>
          <w:bCs w:val="0"/>
          <w:color w:val="auto"/>
          <w:kern w:val="2"/>
          <w:sz w:val="28"/>
          <w:szCs w:val="24"/>
          <w:highlight w:val="none"/>
          <w:shd w:val="clear" w:color="auto" w:fill="auto"/>
          <w:lang w:val="en-US" w:eastAsia="zh-CN" w:bidi="ar-SA"/>
        </w:rPr>
        <w:t>项目实施内容、目标信息、预</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算信息以及其他的一些项目基本信息，有了初步了解，为制定绩效评价工作方案做好准备。</w:t>
      </w:r>
      <w:bookmarkEnd w:id="35"/>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bookmarkEnd w:id="36"/>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bookmarkEnd w:id="37"/>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bookmarkEnd w:id="38"/>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bookmarkEnd w:id="39"/>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bookmarkEnd w:id="42"/>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bookmarkEnd w:id="43"/>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bookmarkEnd w:id="45"/>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bookmarkEnd w:id="46"/>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bookmarkEnd w:id="47"/>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bookmarkEnd w:id="49"/>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bookmarkEnd w:id="53"/>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bookmarkEnd w:id="54"/>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bookmarkEnd w:id="5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此次绩效评价</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通过组论证的</w:t>
      </w:r>
      <w:r>
        <w:rPr>
          <w:rFonts w:hint="eastAsia" w:ascii="宋体" w:hAnsi="宋体" w:eastAsia="宋体" w:cs="宋体"/>
          <w:color w:val="auto"/>
          <w:highlight w:val="none"/>
          <w:shd w:val="clear" w:color="auto" w:fill="auto"/>
          <w:lang w:val="zh-TW" w:eastAsia="zh-TW"/>
        </w:rPr>
        <w:t>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cs="宋体"/>
          <w:color w:val="auto"/>
          <w:highlight w:val="none"/>
          <w:shd w:val="clear" w:color="auto" w:fill="auto"/>
          <w:lang w:val="en-US" w:eastAsia="zh-CN"/>
        </w:rPr>
        <w:t>2023年清洁能源发展专项资金科林思德</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99.2</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w:t>
            </w:r>
            <w:r>
              <w:rPr>
                <w:rFonts w:hint="eastAsia" w:ascii="宋体" w:hAnsi="宋体" w:eastAsia="宋体" w:cs="宋体"/>
                <w:b/>
                <w:bCs/>
                <w:color w:val="auto"/>
                <w:kern w:val="0"/>
                <w:sz w:val="28"/>
                <w:szCs w:val="28"/>
                <w:highlight w:val="none"/>
                <w:shd w:val="clear" w:color="auto" w:fill="auto"/>
                <w:lang w:val="en-US" w:eastAsia="zh-CN"/>
              </w:rPr>
              <w:t>：</w:t>
            </w:r>
            <w:r>
              <w:rPr>
                <w:rFonts w:hint="eastAsia" w:cs="宋体"/>
                <w:b/>
                <w:bCs/>
                <w:color w:val="auto"/>
                <w:kern w:val="0"/>
                <w:sz w:val="28"/>
                <w:szCs w:val="28"/>
                <w:highlight w:val="none"/>
                <w:shd w:val="clear" w:color="auto" w:fill="auto"/>
                <w:lang w:val="en-US" w:eastAsia="zh-CN"/>
              </w:rPr>
              <w:t>2023年清洁能源发展专项资金科林思德</w:t>
            </w:r>
            <w:r>
              <w:rPr>
                <w:rFonts w:hint="eastAsia" w:ascii="宋体" w:hAnsi="宋体" w:eastAsia="宋体" w:cs="宋体"/>
                <w:b/>
                <w:bCs/>
                <w:color w:val="auto"/>
                <w:kern w:val="0"/>
                <w:sz w:val="28"/>
                <w:szCs w:val="28"/>
                <w:highlight w:val="none"/>
                <w:shd w:val="clear" w:color="auto" w:fill="auto"/>
                <w:lang w:val="en-US" w:eastAsia="zh-CN"/>
              </w:rPr>
              <w:t>项目得</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分表</w:t>
            </w:r>
          </w:p>
        </w:tc>
      </w:tr>
      <w:tr>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19.8</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FF0000"/>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29.4</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99.2</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FF0000"/>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98</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99.2</w:t>
            </w:r>
            <w:r>
              <w:rPr>
                <w:rFonts w:hint="eastAsia" w:ascii="宋体" w:hAnsi="宋体" w:eastAsia="宋体" w:cs="宋体"/>
                <w:color w:val="auto"/>
                <w:kern w:val="0"/>
                <w:sz w:val="21"/>
                <w:szCs w:val="21"/>
                <w:highlight w:val="none"/>
                <w:shd w:val="clear" w:color="auto" w:fill="auto"/>
                <w:lang w:val="en-US" w:eastAsia="zh-CN"/>
              </w:rPr>
              <w:t>%</w:t>
            </w:r>
          </w:p>
        </w:tc>
      </w:tr>
    </w:tbl>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56" w:name="_Toc9421"/>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四、绩效评价指标分析</w:t>
      </w:r>
      <w:bookmarkEnd w:id="56"/>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bookmarkEnd w:id="57"/>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19.8</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522" w:hRule="atLeast"/>
          <w:tblHeader/>
          <w:jc w:val="center"/>
        </w:trPr>
        <w:tc>
          <w:tcPr>
            <w:tcW w:w="1077" w:type="dxa"/>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jc w:val="center"/>
        </w:trPr>
        <w:tc>
          <w:tcPr>
            <w:tcW w:w="3285" w:type="dxa"/>
            <w:gridSpan w:val="3"/>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19.8</w:t>
            </w:r>
          </w:p>
        </w:tc>
      </w:tr>
    </w:tbl>
    <w:p>
      <w:pPr>
        <w:bidi w:val="0"/>
        <w:outlineLvl w:val="2"/>
        <w:rPr>
          <w:rFonts w:hint="default"/>
          <w:b/>
          <w:bCs/>
          <w:lang w:val="en-US" w:eastAsia="zh-CN"/>
        </w:rPr>
      </w:pPr>
      <w:bookmarkStart w:id="58" w:name="_Toc13522"/>
      <w:r>
        <w:rPr>
          <w:rFonts w:hint="eastAsia"/>
          <w:b/>
          <w:bCs/>
          <w:lang w:val="en-US" w:eastAsia="zh-CN"/>
        </w:rPr>
        <w:t>1.立项依据充分性</w:t>
      </w:r>
      <w:bookmarkEnd w:id="58"/>
    </w:p>
    <w:p>
      <w:pPr>
        <w:bidi w:val="0"/>
        <w:rPr>
          <w:rFonts w:hint="eastAsia"/>
          <w:color w:val="auto"/>
          <w:lang w:eastAsia="zh-CN"/>
        </w:rPr>
      </w:pPr>
      <w:r>
        <w:rPr>
          <w:rFonts w:hint="eastAsia"/>
          <w:lang w:eastAsia="zh-CN"/>
        </w:rPr>
        <w:t>①项</w:t>
      </w:r>
      <w:r>
        <w:rPr>
          <w:rFonts w:hint="eastAsia"/>
          <w:color w:val="auto"/>
          <w:lang w:eastAsia="zh-CN"/>
        </w:rPr>
        <w:t>目立项符合《财政部关于煤层气（瓦斯）开发利用补贴的实施意见》财建[2007]114号；</w:t>
      </w:r>
    </w:p>
    <w:p>
      <w:pPr>
        <w:bidi w:val="0"/>
        <w:rPr>
          <w:rFonts w:hint="eastAsia"/>
          <w:color w:val="auto"/>
          <w:lang w:eastAsia="zh-CN"/>
        </w:rPr>
      </w:pPr>
      <w:r>
        <w:rPr>
          <w:rFonts w:hint="eastAsia"/>
          <w:color w:val="auto"/>
          <w:lang w:eastAsia="zh-CN"/>
        </w:rPr>
        <w:t>②项目立项符合增加煤气层开采利用，非常规天然气开采利用量加大天然气开采利用率等行业发展规划和能源发展战略、规划，贯彻发展能源工业的方针政策要求；</w:t>
      </w:r>
    </w:p>
    <w:p>
      <w:pPr>
        <w:bidi w:val="0"/>
        <w:rPr>
          <w:rFonts w:hint="eastAsia"/>
          <w:lang w:eastAsia="zh-CN"/>
        </w:rPr>
      </w:pPr>
      <w:r>
        <w:rPr>
          <w:rFonts w:hint="eastAsia"/>
          <w:color w:val="auto"/>
          <w:lang w:eastAsia="zh-CN"/>
        </w:rPr>
        <w:t>③项目立项与阜康市发展和改革委员会负责研究提出能源发展战略、规划，贯彻发展能源工业的方针政策，负责能源安全监督管理及行业管理和安全生产检查监督管理工作相符，属于部</w:t>
      </w:r>
      <w:r>
        <w:rPr>
          <w:rFonts w:hint="eastAsia"/>
          <w:lang w:eastAsia="zh-CN"/>
        </w:rPr>
        <w:t>门履职所需；</w:t>
      </w:r>
    </w:p>
    <w:p>
      <w:pPr>
        <w:bidi w:val="0"/>
        <w:rPr>
          <w:rFonts w:hint="eastAsia"/>
          <w:lang w:eastAsia="zh-CN"/>
        </w:rPr>
      </w:pPr>
      <w:r>
        <w:rPr>
          <w:rFonts w:hint="eastAsia"/>
          <w:lang w:eastAsia="zh-CN"/>
        </w:rPr>
        <w:t>④项目属于公共财政支持范围，符合中央、地方事权支出责任划分原则；</w:t>
      </w:r>
    </w:p>
    <w:p>
      <w:pPr>
        <w:bidi w:val="0"/>
        <w:rPr>
          <w:rFonts w:hint="eastAsia"/>
          <w:color w:val="auto"/>
          <w:lang w:eastAsia="zh-CN"/>
        </w:rPr>
      </w:pPr>
      <w:r>
        <w:rPr>
          <w:rFonts w:hint="eastAsia"/>
          <w:lang w:eastAsia="zh-CN"/>
        </w:rPr>
        <w:t>⑤项目与相关</w:t>
      </w:r>
      <w:r>
        <w:rPr>
          <w:rFonts w:hint="eastAsia"/>
          <w:color w:val="auto"/>
          <w:lang w:eastAsia="zh-CN"/>
        </w:rPr>
        <w:t>部门同类项目或部门内部相关项目</w:t>
      </w:r>
      <w:r>
        <w:rPr>
          <w:rFonts w:hint="eastAsia"/>
          <w:color w:val="auto"/>
          <w:lang w:val="en-US" w:eastAsia="zh-CN"/>
        </w:rPr>
        <w:t>不</w:t>
      </w:r>
      <w:r>
        <w:rPr>
          <w:rFonts w:hint="eastAsia"/>
          <w:color w:val="auto"/>
          <w:lang w:eastAsia="zh-CN"/>
        </w:rPr>
        <w:t>重复。</w:t>
      </w:r>
    </w:p>
    <w:p>
      <w:pPr>
        <w:bidi w:val="0"/>
        <w:rPr>
          <w:rFonts w:hint="default"/>
          <w:color w:val="auto"/>
          <w:lang w:val="en-US" w:eastAsia="zh-CN"/>
        </w:rPr>
      </w:pPr>
      <w:r>
        <w:rPr>
          <w:rFonts w:hint="eastAsia"/>
          <w:b/>
          <w:bCs/>
          <w:color w:val="auto"/>
          <w:lang w:val="en-US" w:eastAsia="zh-CN"/>
        </w:rPr>
        <w:t>综上，该项指标满分2分，得分2分。</w:t>
      </w:r>
    </w:p>
    <w:p>
      <w:pPr>
        <w:bidi w:val="0"/>
        <w:outlineLvl w:val="2"/>
        <w:rPr>
          <w:rFonts w:hint="default"/>
          <w:b/>
          <w:bCs/>
          <w:color w:val="auto"/>
          <w:lang w:val="en-US" w:eastAsia="zh-CN"/>
        </w:rPr>
      </w:pPr>
      <w:bookmarkStart w:id="59" w:name="_Toc21976"/>
      <w:r>
        <w:rPr>
          <w:rFonts w:hint="eastAsia"/>
          <w:b/>
          <w:bCs/>
          <w:color w:val="auto"/>
          <w:lang w:val="en-US" w:eastAsia="zh-CN"/>
        </w:rPr>
        <w:t>2.立项程序规范性</w:t>
      </w:r>
      <w:bookmarkEnd w:id="59"/>
    </w:p>
    <w:p>
      <w:pPr>
        <w:bidi w:val="0"/>
        <w:rPr>
          <w:rFonts w:hint="eastAsia"/>
          <w:lang w:eastAsia="zh-CN"/>
        </w:rPr>
      </w:pPr>
      <w:r>
        <w:rPr>
          <w:rFonts w:hint="eastAsia"/>
          <w:lang w:eastAsia="zh-CN"/>
        </w:rPr>
        <w:t>①项目按照规定的程序申请设立；</w:t>
      </w:r>
    </w:p>
    <w:p>
      <w:pPr>
        <w:bidi w:val="0"/>
        <w:rPr>
          <w:rFonts w:hint="eastAsia"/>
          <w:lang w:eastAsia="zh-CN"/>
        </w:rPr>
      </w:pPr>
      <w:r>
        <w:rPr>
          <w:rFonts w:hint="eastAsia"/>
          <w:lang w:eastAsia="zh-CN"/>
        </w:rPr>
        <w:t>②审批文件、材料符合相关要求；</w:t>
      </w:r>
    </w:p>
    <w:p>
      <w:pPr>
        <w:bidi w:val="0"/>
        <w:rPr>
          <w:rFonts w:hint="eastAsia"/>
          <w:color w:val="auto"/>
          <w:highlight w:val="none"/>
          <w:lang w:eastAsia="zh-CN"/>
        </w:rPr>
      </w:pPr>
      <w:r>
        <w:rPr>
          <w:rFonts w:hint="eastAsia"/>
          <w:highlight w:val="none"/>
          <w:lang w:eastAsia="zh-CN"/>
        </w:rPr>
        <w:t>③事前经</w:t>
      </w:r>
      <w:r>
        <w:rPr>
          <w:rFonts w:hint="eastAsia"/>
          <w:color w:val="auto"/>
          <w:highlight w:val="none"/>
          <w:lang w:eastAsia="zh-CN"/>
        </w:rPr>
        <w:t>过必要的可行性研究、专家论证、风险评估、集体决策</w:t>
      </w:r>
      <w:r>
        <w:rPr>
          <w:rFonts w:hint="eastAsia" w:cs="宋体"/>
          <w:color w:val="auto"/>
          <w:highlight w:val="none"/>
          <w:lang w:val="en-US" w:eastAsia="zh-CN"/>
        </w:rPr>
        <w:t>，未经过事前绩效评估，扣0.2分</w:t>
      </w:r>
      <w:r>
        <w:rPr>
          <w:rFonts w:hint="eastAsia"/>
          <w:color w:val="auto"/>
          <w:highlight w:val="none"/>
          <w:lang w:eastAsia="zh-CN"/>
        </w:rPr>
        <w:t>。</w:t>
      </w:r>
    </w:p>
    <w:p>
      <w:pPr>
        <w:bidi w:val="0"/>
        <w:rPr>
          <w:rFonts w:hint="eastAsia"/>
          <w:color w:val="auto"/>
          <w:lang w:eastAsia="zh-CN"/>
        </w:rPr>
      </w:pPr>
      <w:r>
        <w:rPr>
          <w:rFonts w:hint="eastAsia"/>
          <w:b/>
          <w:bCs/>
          <w:color w:val="auto"/>
          <w:lang w:val="en-US" w:eastAsia="zh-CN"/>
        </w:rPr>
        <w:t>综上，该项指标满分3分，得分2.8分。</w:t>
      </w:r>
    </w:p>
    <w:p>
      <w:pPr>
        <w:bidi w:val="0"/>
        <w:outlineLvl w:val="2"/>
        <w:rPr>
          <w:rFonts w:hint="default"/>
          <w:b/>
          <w:bCs/>
          <w:color w:val="auto"/>
          <w:lang w:val="en-US" w:eastAsia="zh-CN"/>
        </w:rPr>
      </w:pPr>
      <w:bookmarkStart w:id="60" w:name="_Toc15382"/>
      <w:r>
        <w:rPr>
          <w:rFonts w:hint="eastAsia"/>
          <w:b/>
          <w:bCs/>
          <w:color w:val="auto"/>
          <w:lang w:val="en-US" w:eastAsia="zh-CN"/>
        </w:rPr>
        <w:t>3.绩效目标合理性</w:t>
      </w:r>
      <w:bookmarkEnd w:id="60"/>
    </w:p>
    <w:p>
      <w:pPr>
        <w:bidi w:val="0"/>
        <w:rPr>
          <w:rFonts w:hint="eastAsia"/>
          <w:color w:val="auto"/>
          <w:lang w:eastAsia="zh-CN"/>
        </w:rPr>
      </w:pPr>
      <w:r>
        <w:rPr>
          <w:rFonts w:hint="eastAsia"/>
          <w:color w:val="auto"/>
          <w:lang w:eastAsia="zh-CN"/>
        </w:rPr>
        <w:t>①项目有绩效目标；</w:t>
      </w:r>
    </w:p>
    <w:p>
      <w:pPr>
        <w:bidi w:val="0"/>
        <w:rPr>
          <w:rFonts w:hint="eastAsia"/>
          <w:color w:val="auto"/>
          <w:lang w:eastAsia="zh-CN"/>
        </w:rPr>
      </w:pPr>
      <w:r>
        <w:rPr>
          <w:rFonts w:hint="eastAsia"/>
          <w:color w:val="auto"/>
          <w:lang w:eastAsia="zh-CN"/>
        </w:rPr>
        <w:t>②项目绩效目</w:t>
      </w:r>
      <w:r>
        <w:rPr>
          <w:rFonts w:hint="eastAsia"/>
          <w:color w:val="auto"/>
          <w:highlight w:val="none"/>
          <w:lang w:eastAsia="zh-CN"/>
        </w:rPr>
        <w:t>标与非常规天然气开采利用量4942万m³,采暖季非常规天然气利用量占全年比例大于30%，非常规天然气开采利用率大于88%，非常规天然气抽采量5103万m³具有相关性</w:t>
      </w:r>
      <w:r>
        <w:rPr>
          <w:rFonts w:hint="eastAsia"/>
          <w:color w:val="auto"/>
          <w:lang w:eastAsia="zh-CN"/>
        </w:rPr>
        <w:t>；</w:t>
      </w:r>
    </w:p>
    <w:p>
      <w:pPr>
        <w:bidi w:val="0"/>
        <w:rPr>
          <w:rFonts w:hint="eastAsia"/>
          <w:color w:val="auto"/>
          <w:highlight w:val="none"/>
          <w:lang w:eastAsia="zh-CN"/>
        </w:rPr>
      </w:pPr>
      <w:r>
        <w:rPr>
          <w:rFonts w:hint="eastAsia"/>
          <w:color w:val="auto"/>
          <w:lang w:eastAsia="zh-CN"/>
        </w:rPr>
        <w:t>③项目预期非常规天然气利用量占全年比例</w:t>
      </w:r>
      <w:r>
        <w:rPr>
          <w:rFonts w:hint="eastAsia"/>
          <w:color w:val="auto"/>
          <w:highlight w:val="none"/>
          <w:lang w:eastAsia="zh-CN"/>
        </w:rPr>
        <w:t>大于30%，非常规天然气开采利用率大于88%，达到减少温室气体排放效益和效果符合正常的业绩水平；</w:t>
      </w:r>
    </w:p>
    <w:p>
      <w:pPr>
        <w:bidi w:val="0"/>
        <w:rPr>
          <w:rFonts w:hint="eastAsia"/>
          <w:color w:val="auto"/>
          <w:lang w:eastAsia="zh-CN"/>
        </w:rPr>
      </w:pPr>
      <w:r>
        <w:rPr>
          <w:rFonts w:hint="eastAsia"/>
          <w:color w:val="auto"/>
          <w:lang w:eastAsia="zh-CN"/>
        </w:rPr>
        <w:t>④与预算确定的项目投资额或资金量相匹配。</w:t>
      </w:r>
    </w:p>
    <w:p>
      <w:pPr>
        <w:bidi w:val="0"/>
        <w:rPr>
          <w:rFonts w:hint="eastAsia"/>
          <w:color w:val="auto"/>
          <w:lang w:eastAsia="zh-CN"/>
        </w:rPr>
      </w:pPr>
      <w:r>
        <w:rPr>
          <w:rFonts w:hint="eastAsia"/>
          <w:b/>
          <w:bCs/>
          <w:color w:val="auto"/>
          <w:lang w:val="en-US" w:eastAsia="zh-CN"/>
        </w:rPr>
        <w:t>综上，该项指标满分5分，得分5分。</w:t>
      </w:r>
    </w:p>
    <w:p>
      <w:pPr>
        <w:bidi w:val="0"/>
        <w:outlineLvl w:val="2"/>
        <w:rPr>
          <w:rFonts w:hint="default"/>
          <w:b/>
          <w:bCs/>
          <w:lang w:val="en-US" w:eastAsia="zh-CN"/>
        </w:rPr>
      </w:pPr>
      <w:bookmarkStart w:id="61" w:name="_Toc10650"/>
      <w:r>
        <w:rPr>
          <w:rFonts w:hint="eastAsia"/>
          <w:b/>
          <w:bCs/>
          <w:lang w:val="en-US" w:eastAsia="zh-CN"/>
        </w:rPr>
        <w:t>4.绩效指标明确性</w:t>
      </w:r>
      <w:bookmarkEnd w:id="61"/>
    </w:p>
    <w:p>
      <w:pPr>
        <w:bidi w:val="0"/>
        <w:rPr>
          <w:rFonts w:hint="eastAsia"/>
          <w:highlight w:val="none"/>
          <w:lang w:eastAsia="zh-CN"/>
        </w:rPr>
      </w:pPr>
      <w:r>
        <w:rPr>
          <w:rFonts w:hint="eastAsia"/>
          <w:highlight w:val="none"/>
          <w:lang w:eastAsia="zh-CN"/>
        </w:rPr>
        <w:t>①将项目绩效目标细化分解为具体的绩效指标一级指标三个，二级指标五个，三级指标九个；</w:t>
      </w:r>
    </w:p>
    <w:p>
      <w:pPr>
        <w:bidi w:val="0"/>
        <w:rPr>
          <w:rFonts w:hint="default"/>
          <w:highlight w:val="none"/>
          <w:lang w:val="en-US" w:eastAsia="zh-CN"/>
        </w:rPr>
      </w:pPr>
      <w:r>
        <w:rPr>
          <w:rFonts w:hint="eastAsia"/>
          <w:highlight w:val="none"/>
          <w:lang w:eastAsia="zh-CN"/>
        </w:rPr>
        <w:t>②通过清晰、可衡量的指标值予以体现；三级指标九个，定量指标八个，定性指标一个，量化率</w:t>
      </w:r>
      <w:r>
        <w:rPr>
          <w:rFonts w:hint="eastAsia"/>
          <w:highlight w:val="none"/>
          <w:lang w:val="en-US" w:eastAsia="zh-CN"/>
        </w:rPr>
        <w:t>88.88%。</w:t>
      </w:r>
    </w:p>
    <w:p>
      <w:pPr>
        <w:bidi w:val="0"/>
        <w:rPr>
          <w:rFonts w:hint="eastAsia"/>
          <w:lang w:eastAsia="zh-CN"/>
        </w:rPr>
      </w:pPr>
      <w:r>
        <w:rPr>
          <w:rFonts w:hint="eastAsia"/>
          <w:lang w:eastAsia="zh-CN"/>
        </w:rPr>
        <w:t>③与项目目标任务数或计划数相对应。</w:t>
      </w:r>
    </w:p>
    <w:p>
      <w:pPr>
        <w:bidi w:val="0"/>
        <w:rPr>
          <w:rFonts w:hint="eastAsia"/>
          <w:color w:val="auto"/>
          <w:lang w:eastAsia="zh-CN"/>
        </w:rPr>
      </w:pPr>
      <w:r>
        <w:rPr>
          <w:rFonts w:hint="eastAsia"/>
          <w:b/>
          <w:bCs/>
          <w:lang w:val="en-US" w:eastAsia="zh-CN"/>
        </w:rPr>
        <w:t>综上，该项指标满</w:t>
      </w:r>
      <w:r>
        <w:rPr>
          <w:rFonts w:hint="eastAsia"/>
          <w:b/>
          <w:bCs/>
          <w:color w:val="auto"/>
          <w:lang w:val="en-US" w:eastAsia="zh-CN"/>
        </w:rPr>
        <w:t>分5分，得分5分。</w:t>
      </w:r>
    </w:p>
    <w:p>
      <w:pPr>
        <w:bidi w:val="0"/>
        <w:outlineLvl w:val="2"/>
        <w:rPr>
          <w:rFonts w:hint="default"/>
          <w:b/>
          <w:bCs/>
          <w:lang w:val="en-US" w:eastAsia="zh-CN"/>
        </w:rPr>
      </w:pPr>
      <w:bookmarkStart w:id="62" w:name="_Toc19401"/>
      <w:r>
        <w:rPr>
          <w:rFonts w:hint="eastAsia"/>
          <w:b/>
          <w:bCs/>
          <w:lang w:val="en-US" w:eastAsia="zh-CN"/>
        </w:rPr>
        <w:t>5.预算编制科学性</w:t>
      </w:r>
      <w:bookmarkEnd w:id="62"/>
    </w:p>
    <w:p>
      <w:pPr>
        <w:bidi w:val="0"/>
        <w:rPr>
          <w:rFonts w:hint="eastAsia"/>
          <w:lang w:eastAsia="zh-CN"/>
        </w:rPr>
      </w:pPr>
      <w:r>
        <w:rPr>
          <w:rFonts w:hint="eastAsia"/>
          <w:lang w:eastAsia="zh-CN"/>
        </w:rPr>
        <w:t>①预算编制经过科学论证；</w:t>
      </w:r>
    </w:p>
    <w:p>
      <w:pPr>
        <w:bidi w:val="0"/>
        <w:rPr>
          <w:rFonts w:hint="eastAsia"/>
          <w:highlight w:val="none"/>
          <w:lang w:eastAsia="zh-CN"/>
        </w:rPr>
      </w:pPr>
      <w:r>
        <w:rPr>
          <w:rFonts w:hint="eastAsia"/>
          <w:lang w:eastAsia="zh-CN"/>
        </w:rPr>
        <w:t>②预算内容</w:t>
      </w:r>
      <w:r>
        <w:rPr>
          <w:rFonts w:hint="eastAsia"/>
          <w:highlight w:val="none"/>
          <w:lang w:eastAsia="zh-CN"/>
        </w:rPr>
        <w:t>与非常规天然气开采利用量4942万m³,采暖季非常规天然气利用量占全年比例大于30%，非常规天然气开采利用率大于88%，非常规天然气抽采量5103万m³项目匹配；</w:t>
      </w:r>
    </w:p>
    <w:p>
      <w:pPr>
        <w:bidi w:val="0"/>
        <w:rPr>
          <w:rFonts w:hint="eastAsia"/>
          <w:highlight w:val="none"/>
          <w:lang w:eastAsia="zh-CN"/>
        </w:rPr>
      </w:pPr>
      <w:r>
        <w:rPr>
          <w:rFonts w:hint="eastAsia"/>
          <w:highlight w:val="none"/>
          <w:lang w:eastAsia="zh-CN"/>
        </w:rPr>
        <w:t>③预算额度测算依据充分，按照标准编制；</w:t>
      </w:r>
    </w:p>
    <w:p>
      <w:pPr>
        <w:bidi w:val="0"/>
        <w:rPr>
          <w:rFonts w:hint="eastAsia"/>
          <w:lang w:eastAsia="zh-CN"/>
        </w:rPr>
      </w:pPr>
      <w:r>
        <w:rPr>
          <w:rFonts w:hint="eastAsia"/>
          <w:lang w:eastAsia="zh-CN"/>
        </w:rPr>
        <w:t>④预算确定的项目投资额与工作任务相匹配。</w:t>
      </w:r>
    </w:p>
    <w:p>
      <w:pPr>
        <w:bidi w:val="0"/>
        <w:rPr>
          <w:rFonts w:hint="eastAsia"/>
          <w:color w:val="auto"/>
          <w:lang w:eastAsia="zh-CN"/>
        </w:rPr>
      </w:pPr>
      <w:r>
        <w:rPr>
          <w:rFonts w:hint="eastAsia"/>
          <w:b/>
          <w:bCs/>
          <w:lang w:val="en-US" w:eastAsia="zh-CN"/>
        </w:rPr>
        <w:t>综上，该项指标满</w:t>
      </w:r>
      <w:r>
        <w:rPr>
          <w:rFonts w:hint="eastAsia"/>
          <w:b/>
          <w:bCs/>
          <w:color w:val="auto"/>
          <w:lang w:val="en-US" w:eastAsia="zh-CN"/>
        </w:rPr>
        <w:t>分2分，得分2分。</w:t>
      </w:r>
    </w:p>
    <w:p>
      <w:pPr>
        <w:bidi w:val="0"/>
        <w:outlineLvl w:val="2"/>
        <w:rPr>
          <w:rFonts w:hint="default"/>
          <w:b/>
          <w:bCs/>
          <w:color w:val="auto"/>
          <w:lang w:val="en-US" w:eastAsia="zh-CN"/>
        </w:rPr>
      </w:pPr>
      <w:bookmarkStart w:id="63" w:name="_Toc697"/>
      <w:r>
        <w:rPr>
          <w:rFonts w:hint="eastAsia"/>
          <w:b/>
          <w:bCs/>
          <w:color w:val="auto"/>
          <w:lang w:val="en-US" w:eastAsia="zh-CN"/>
        </w:rPr>
        <w:t>6.资金分配合理性</w:t>
      </w:r>
      <w:bookmarkEnd w:id="63"/>
    </w:p>
    <w:p>
      <w:pPr>
        <w:bidi w:val="0"/>
        <w:rPr>
          <w:rFonts w:hint="eastAsia"/>
          <w:color w:val="auto"/>
          <w:lang w:eastAsia="zh-CN"/>
        </w:rPr>
      </w:pPr>
      <w:r>
        <w:rPr>
          <w:rFonts w:hint="eastAsia"/>
          <w:color w:val="auto"/>
          <w:lang w:eastAsia="zh-CN"/>
        </w:rPr>
        <w:t>①预算资金分配依据充分；</w:t>
      </w:r>
    </w:p>
    <w:p>
      <w:pPr>
        <w:bidi w:val="0"/>
        <w:rPr>
          <w:rFonts w:hint="eastAsia"/>
          <w:color w:val="auto"/>
          <w:lang w:eastAsia="zh-CN"/>
        </w:rPr>
      </w:pPr>
      <w:r>
        <w:rPr>
          <w:rFonts w:hint="eastAsia"/>
          <w:color w:val="auto"/>
          <w:lang w:eastAsia="zh-CN"/>
        </w:rPr>
        <w:t>②资金分配额度合理，与项目单位或地方实际相适应。</w:t>
      </w:r>
    </w:p>
    <w:p>
      <w:pPr>
        <w:bidi w:val="0"/>
        <w:rPr>
          <w:rFonts w:hint="eastAsia"/>
          <w:color w:val="auto"/>
          <w:lang w:eastAsia="zh-CN"/>
        </w:rPr>
      </w:pPr>
      <w:r>
        <w:rPr>
          <w:rFonts w:hint="eastAsia"/>
          <w:b/>
          <w:bCs/>
          <w:color w:val="auto"/>
          <w:lang w:val="en-US" w:eastAsia="zh-CN"/>
        </w:rPr>
        <w:t>综上，该项指标满分3分，得分3分。</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bookmarkEnd w:id="64"/>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shd w:val="clear" w:color="auto" w:fill="auto"/>
        <w:tblLayout w:type="fixed"/>
        <w:tblCellMar>
          <w:top w:w="0" w:type="dxa"/>
          <w:left w:w="0" w:type="dxa"/>
          <w:bottom w:w="0" w:type="dxa"/>
          <w:right w:w="0" w:type="dxa"/>
        </w:tblCellMar>
      </w:tblPr>
      <w:tblGrid>
        <w:gridCol w:w="1182"/>
        <w:gridCol w:w="738"/>
        <w:gridCol w:w="1248"/>
        <w:gridCol w:w="1176"/>
        <w:gridCol w:w="1833"/>
        <w:gridCol w:w="987"/>
        <w:gridCol w:w="1153"/>
      </w:tblGrid>
      <w:tr>
        <w:tblPrEx>
          <w:shd w:val="clear" w:color="auto" w:fill="auto"/>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shd w:val="clear" w:color="auto" w:fill="auto"/>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shd w:val="clear" w:color="auto" w:fill="auto"/>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shd w:val="clear" w:color="auto" w:fill="auto"/>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shd w:val="clear" w:color="auto" w:fill="auto"/>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shd w:val="clear" w:color="auto" w:fill="auto"/>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tblPrEx>
          <w:shd w:val="clear" w:color="auto" w:fill="auto"/>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r>
    </w:tbl>
    <w:p>
      <w:pPr>
        <w:bidi w:val="0"/>
        <w:outlineLvl w:val="2"/>
        <w:rPr>
          <w:rFonts w:hint="default"/>
          <w:b/>
          <w:bCs/>
          <w:color w:val="auto"/>
          <w:lang w:val="en-US" w:eastAsia="zh-CN"/>
        </w:rPr>
      </w:pPr>
      <w:bookmarkStart w:id="65" w:name="_Toc3886"/>
      <w:r>
        <w:rPr>
          <w:rFonts w:hint="eastAsia"/>
          <w:b/>
          <w:bCs/>
          <w:lang w:val="en-US" w:eastAsia="zh-CN"/>
        </w:rPr>
        <w:t>1.资金到位</w:t>
      </w:r>
      <w:r>
        <w:rPr>
          <w:rFonts w:hint="eastAsia"/>
          <w:b/>
          <w:bCs/>
          <w:color w:val="auto"/>
          <w:lang w:val="en-US" w:eastAsia="zh-CN"/>
        </w:rPr>
        <w:t>率</w:t>
      </w:r>
      <w:bookmarkEnd w:id="65"/>
    </w:p>
    <w:p>
      <w:pPr>
        <w:bidi w:val="0"/>
        <w:rPr>
          <w:rFonts w:hint="default"/>
          <w:b/>
          <w:bCs/>
          <w:color w:val="auto"/>
          <w:lang w:val="en-US" w:eastAsia="zh-CN"/>
        </w:rPr>
      </w:pPr>
      <w:r>
        <w:rPr>
          <w:rFonts w:hint="eastAsia"/>
          <w:color w:val="auto"/>
          <w:lang w:eastAsia="zh-CN"/>
        </w:rPr>
        <w:t>资金到位率=（</w:t>
      </w:r>
      <w:r>
        <w:rPr>
          <w:rFonts w:hint="eastAsia"/>
          <w:color w:val="auto"/>
          <w:lang w:val="en-US" w:eastAsia="zh-CN"/>
        </w:rPr>
        <w:t>615万元</w:t>
      </w:r>
      <w:r>
        <w:rPr>
          <w:rFonts w:hint="eastAsia"/>
          <w:color w:val="auto"/>
          <w:lang w:eastAsia="zh-CN"/>
        </w:rPr>
        <w:t>/</w:t>
      </w:r>
      <w:r>
        <w:rPr>
          <w:rFonts w:hint="eastAsia"/>
          <w:color w:val="auto"/>
          <w:lang w:val="en-US" w:eastAsia="zh-CN"/>
        </w:rPr>
        <w:t>615万元</w:t>
      </w:r>
      <w:r>
        <w:rPr>
          <w:rFonts w:hint="eastAsia"/>
          <w:color w:val="auto"/>
          <w:lang w:eastAsia="zh-CN"/>
        </w:rPr>
        <w:t>）×100%</w:t>
      </w:r>
      <w:r>
        <w:rPr>
          <w:rFonts w:hint="eastAsia"/>
          <w:b/>
          <w:bCs/>
          <w:color w:val="auto"/>
          <w:lang w:val="en-US" w:eastAsia="zh-CN"/>
        </w:rPr>
        <w:t>=</w:t>
      </w:r>
      <w:r>
        <w:rPr>
          <w:rFonts w:hint="eastAsia"/>
          <w:color w:val="auto"/>
          <w:lang w:eastAsia="zh-CN"/>
        </w:rPr>
        <w:t>100%</w:t>
      </w:r>
    </w:p>
    <w:p>
      <w:pPr>
        <w:bidi w:val="0"/>
        <w:rPr>
          <w:rFonts w:hint="eastAsia"/>
          <w:color w:val="auto"/>
          <w:lang w:eastAsia="zh-CN"/>
        </w:rPr>
      </w:pPr>
      <w:r>
        <w:rPr>
          <w:rFonts w:hint="eastAsia"/>
          <w:b/>
          <w:bCs/>
          <w:color w:val="auto"/>
          <w:lang w:val="en-US" w:eastAsia="zh-CN"/>
        </w:rPr>
        <w:t>综上，该项指标满分4分，得分4分。</w:t>
      </w:r>
    </w:p>
    <w:p>
      <w:pPr>
        <w:bidi w:val="0"/>
        <w:outlineLvl w:val="2"/>
        <w:rPr>
          <w:rFonts w:hint="default"/>
          <w:b/>
          <w:bCs/>
          <w:color w:val="auto"/>
          <w:lang w:val="en-US" w:eastAsia="zh-CN"/>
        </w:rPr>
      </w:pPr>
      <w:bookmarkStart w:id="66" w:name="_Toc9705"/>
      <w:r>
        <w:rPr>
          <w:rFonts w:hint="eastAsia"/>
          <w:b/>
          <w:bCs/>
          <w:color w:val="auto"/>
          <w:lang w:val="en-US" w:eastAsia="zh-CN"/>
        </w:rPr>
        <w:t>2.预算执行率</w:t>
      </w:r>
      <w:bookmarkEnd w:id="66"/>
    </w:p>
    <w:p>
      <w:pPr>
        <w:bidi w:val="0"/>
        <w:rPr>
          <w:rFonts w:hint="default"/>
          <w:b/>
          <w:bCs/>
          <w:color w:val="auto"/>
          <w:lang w:val="en-US" w:eastAsia="zh-CN"/>
        </w:rPr>
      </w:pPr>
      <w:r>
        <w:rPr>
          <w:rFonts w:hint="eastAsia"/>
          <w:color w:val="auto"/>
          <w:lang w:eastAsia="zh-CN"/>
        </w:rPr>
        <w:t>预算执行率=（</w:t>
      </w:r>
      <w:r>
        <w:rPr>
          <w:rFonts w:hint="eastAsia"/>
          <w:color w:val="auto"/>
          <w:lang w:val="en-US" w:eastAsia="zh-CN"/>
        </w:rPr>
        <w:t>615万元</w:t>
      </w:r>
      <w:r>
        <w:rPr>
          <w:rFonts w:hint="eastAsia"/>
          <w:color w:val="auto"/>
          <w:lang w:eastAsia="zh-CN"/>
        </w:rPr>
        <w:t>/</w:t>
      </w:r>
      <w:r>
        <w:rPr>
          <w:rFonts w:hint="eastAsia"/>
          <w:color w:val="auto"/>
          <w:lang w:val="en-US" w:eastAsia="zh-CN"/>
        </w:rPr>
        <w:t>615万元</w:t>
      </w:r>
      <w:r>
        <w:rPr>
          <w:rFonts w:hint="eastAsia"/>
          <w:color w:val="auto"/>
          <w:lang w:eastAsia="zh-CN"/>
        </w:rPr>
        <w:t>）×100%</w:t>
      </w:r>
      <w:r>
        <w:rPr>
          <w:rFonts w:hint="eastAsia"/>
          <w:b/>
          <w:bCs/>
          <w:color w:val="auto"/>
          <w:lang w:val="en-US" w:eastAsia="zh-CN"/>
        </w:rPr>
        <w:t>=</w:t>
      </w:r>
      <w:r>
        <w:rPr>
          <w:rFonts w:hint="eastAsia"/>
          <w:color w:val="auto"/>
          <w:lang w:eastAsia="zh-CN"/>
        </w:rPr>
        <w:t>100%</w:t>
      </w:r>
    </w:p>
    <w:p>
      <w:pPr>
        <w:bidi w:val="0"/>
        <w:rPr>
          <w:rFonts w:hint="eastAsia"/>
          <w:color w:val="auto"/>
          <w:lang w:eastAsia="zh-CN"/>
        </w:rPr>
      </w:pPr>
      <w:r>
        <w:rPr>
          <w:rFonts w:hint="eastAsia"/>
          <w:b/>
          <w:bCs/>
          <w:lang w:val="en-US" w:eastAsia="zh-CN"/>
        </w:rPr>
        <w:t>综上，该项指</w:t>
      </w:r>
      <w:r>
        <w:rPr>
          <w:rFonts w:hint="eastAsia"/>
          <w:b/>
          <w:bCs/>
          <w:color w:val="auto"/>
          <w:lang w:val="en-US" w:eastAsia="zh-CN"/>
        </w:rPr>
        <w:t>标满分4分，得分4分。</w:t>
      </w:r>
    </w:p>
    <w:p>
      <w:pPr>
        <w:bidi w:val="0"/>
        <w:outlineLvl w:val="2"/>
        <w:rPr>
          <w:rFonts w:hint="default"/>
          <w:b/>
          <w:bCs/>
          <w:color w:val="auto"/>
          <w:lang w:val="en-US" w:eastAsia="zh-CN"/>
        </w:rPr>
      </w:pPr>
      <w:bookmarkStart w:id="67" w:name="_Toc18691"/>
      <w:r>
        <w:rPr>
          <w:rFonts w:hint="eastAsia"/>
          <w:b/>
          <w:bCs/>
          <w:color w:val="auto"/>
          <w:lang w:val="en-US" w:eastAsia="zh-CN"/>
        </w:rPr>
        <w:t>3.资金使用合规性</w:t>
      </w:r>
      <w:bookmarkEnd w:id="67"/>
    </w:p>
    <w:p>
      <w:pPr>
        <w:bidi w:val="0"/>
        <w:rPr>
          <w:rFonts w:hint="eastAsia"/>
          <w:color w:val="auto"/>
          <w:lang w:eastAsia="zh-CN"/>
        </w:rPr>
      </w:pPr>
      <w:r>
        <w:rPr>
          <w:rFonts w:hint="eastAsia"/>
          <w:color w:val="auto"/>
          <w:lang w:eastAsia="zh-CN"/>
        </w:rPr>
        <w:t>①符合国家《阜康市发改委财务管理制度》及有关专项资金管理办法的规定；</w:t>
      </w:r>
    </w:p>
    <w:p>
      <w:pPr>
        <w:bidi w:val="0"/>
        <w:rPr>
          <w:rFonts w:hint="eastAsia"/>
          <w:lang w:eastAsia="zh-CN"/>
        </w:rPr>
      </w:pPr>
      <w:r>
        <w:rPr>
          <w:rFonts w:hint="eastAsia"/>
          <w:color w:val="auto"/>
          <w:lang w:eastAsia="zh-CN"/>
        </w:rPr>
        <w:t>②资金的拨付有完整的审批程序和</w:t>
      </w:r>
      <w:r>
        <w:rPr>
          <w:rFonts w:hint="eastAsia"/>
          <w:lang w:eastAsia="zh-CN"/>
        </w:rPr>
        <w:t>手续；</w:t>
      </w:r>
    </w:p>
    <w:p>
      <w:pPr>
        <w:bidi w:val="0"/>
        <w:rPr>
          <w:rFonts w:hint="eastAsia"/>
          <w:highlight w:val="none"/>
          <w:lang w:eastAsia="zh-CN"/>
        </w:rPr>
      </w:pPr>
      <w:r>
        <w:rPr>
          <w:rFonts w:hint="eastAsia"/>
          <w:lang w:eastAsia="zh-CN"/>
        </w:rPr>
        <w:t>③符合项</w:t>
      </w:r>
      <w:r>
        <w:rPr>
          <w:rFonts w:hint="eastAsia"/>
          <w:highlight w:val="none"/>
          <w:lang w:eastAsia="zh-CN"/>
        </w:rPr>
        <w:t>目预算《关于下达 2023 年2023年清洁能源发展专项资金科林思德的通知》昌州财建[2023]77号文件批复规定的用途；</w:t>
      </w:r>
    </w:p>
    <w:p>
      <w:pPr>
        <w:bidi w:val="0"/>
        <w:rPr>
          <w:rFonts w:hint="eastAsia"/>
          <w:lang w:eastAsia="zh-CN"/>
        </w:rPr>
      </w:pPr>
      <w:r>
        <w:rPr>
          <w:rFonts w:hint="eastAsia"/>
          <w:highlight w:val="none"/>
          <w:lang w:eastAsia="zh-CN"/>
        </w:rPr>
        <w:t>④</w:t>
      </w:r>
      <w:r>
        <w:rPr>
          <w:rFonts w:hint="eastAsia"/>
          <w:highlight w:val="none"/>
          <w:lang w:val="en-US" w:eastAsia="zh-CN"/>
        </w:rPr>
        <w:t>不</w:t>
      </w:r>
      <w:r>
        <w:rPr>
          <w:rFonts w:hint="eastAsia"/>
          <w:highlight w:val="none"/>
          <w:lang w:eastAsia="zh-CN"/>
        </w:rPr>
        <w:t>存在截留、挤占、挪用、虚列支</w:t>
      </w:r>
      <w:r>
        <w:rPr>
          <w:rFonts w:hint="eastAsia"/>
          <w:lang w:eastAsia="zh-CN"/>
        </w:rPr>
        <w:t>出等情况。</w:t>
      </w:r>
    </w:p>
    <w:p>
      <w:pPr>
        <w:bidi w:val="0"/>
        <w:rPr>
          <w:rFonts w:hint="eastAsia"/>
          <w:color w:val="auto"/>
          <w:lang w:eastAsia="zh-CN"/>
        </w:rPr>
      </w:pPr>
      <w:r>
        <w:rPr>
          <w:rFonts w:hint="eastAsia"/>
          <w:b/>
          <w:bCs/>
          <w:lang w:val="en-US" w:eastAsia="zh-CN"/>
        </w:rPr>
        <w:t>综上，该项指标</w:t>
      </w:r>
      <w:r>
        <w:rPr>
          <w:rFonts w:hint="eastAsia"/>
          <w:b/>
          <w:bCs/>
          <w:color w:val="auto"/>
          <w:lang w:val="en-US" w:eastAsia="zh-CN"/>
        </w:rPr>
        <w:t>满分4分，得分4分。</w:t>
      </w:r>
    </w:p>
    <w:p>
      <w:pPr>
        <w:bidi w:val="0"/>
        <w:rPr>
          <w:rFonts w:hint="default"/>
          <w:b/>
          <w:bCs/>
          <w:color w:val="auto"/>
          <w:lang w:val="en-US" w:eastAsia="zh-CN"/>
        </w:rPr>
      </w:pPr>
      <w:r>
        <w:rPr>
          <w:rFonts w:hint="eastAsia"/>
          <w:b/>
          <w:bCs/>
          <w:color w:val="auto"/>
          <w:lang w:val="en-US" w:eastAsia="zh-CN"/>
        </w:rPr>
        <w:t>4.管理制度健全性</w:t>
      </w:r>
    </w:p>
    <w:p>
      <w:pPr>
        <w:bidi w:val="0"/>
        <w:rPr>
          <w:rFonts w:hint="eastAsia"/>
          <w:highlight w:val="none"/>
          <w:lang w:eastAsia="zh-CN"/>
        </w:rPr>
      </w:pPr>
      <w:r>
        <w:rPr>
          <w:rFonts w:hint="eastAsia"/>
          <w:lang w:eastAsia="zh-CN"/>
        </w:rPr>
        <w:t>①已制定或具有相应的《</w:t>
      </w:r>
      <w:r>
        <w:rPr>
          <w:rFonts w:hint="eastAsia"/>
          <w:highlight w:val="none"/>
          <w:lang w:eastAsia="zh-CN"/>
        </w:rPr>
        <w:t>阜康市发改委财务管理制度》《阜康市发改委资预算执行管理办法》《阜康市发改委收支管理办法》《阜康市发改委能源安全监测中心工作职责》等；</w:t>
      </w:r>
    </w:p>
    <w:p>
      <w:pPr>
        <w:bidi w:val="0"/>
        <w:rPr>
          <w:rFonts w:hint="eastAsia"/>
          <w:color w:val="auto"/>
          <w:lang w:eastAsia="zh-CN"/>
        </w:rPr>
      </w:pPr>
      <w:r>
        <w:rPr>
          <w:rFonts w:hint="eastAsia"/>
          <w:highlight w:val="none"/>
          <w:lang w:eastAsia="zh-CN"/>
        </w:rPr>
        <w:t>②财务和业务</w:t>
      </w:r>
      <w:r>
        <w:rPr>
          <w:rFonts w:hint="eastAsia"/>
          <w:color w:val="auto"/>
          <w:highlight w:val="none"/>
          <w:lang w:eastAsia="zh-CN"/>
        </w:rPr>
        <w:t>管理制度是合法、合规、完</w:t>
      </w:r>
      <w:r>
        <w:rPr>
          <w:rFonts w:hint="eastAsia"/>
          <w:color w:val="auto"/>
          <w:lang w:eastAsia="zh-CN"/>
        </w:rPr>
        <w:t>整。</w:t>
      </w:r>
    </w:p>
    <w:p>
      <w:pPr>
        <w:bidi w:val="0"/>
        <w:rPr>
          <w:rFonts w:hint="eastAsia"/>
          <w:color w:val="auto"/>
          <w:lang w:eastAsia="zh-CN"/>
        </w:rPr>
      </w:pPr>
      <w:r>
        <w:rPr>
          <w:rFonts w:hint="eastAsia"/>
          <w:b/>
          <w:bCs/>
          <w:color w:val="auto"/>
          <w:lang w:val="en-US" w:eastAsia="zh-CN"/>
        </w:rPr>
        <w:t>综上，该项指标满分4分，得分4分。</w:t>
      </w:r>
    </w:p>
    <w:p>
      <w:pPr>
        <w:bidi w:val="0"/>
        <w:ind w:left="1403" w:leftChars="200" w:hanging="843" w:hangingChars="300"/>
        <w:outlineLvl w:val="2"/>
        <w:rPr>
          <w:rFonts w:hint="eastAsia"/>
          <w:b/>
          <w:bCs/>
          <w:lang w:val="en-US" w:eastAsia="zh-CN"/>
        </w:rPr>
      </w:pPr>
      <w:bookmarkStart w:id="68" w:name="_Toc31684"/>
      <w:r>
        <w:rPr>
          <w:rFonts w:hint="eastAsia"/>
          <w:b/>
          <w:bCs/>
          <w:lang w:val="en-US" w:eastAsia="zh-CN"/>
        </w:rPr>
        <w:t>5.制度执行有效性</w:t>
      </w:r>
      <w:bookmarkEnd w:id="68"/>
    </w:p>
    <w:p>
      <w:pPr>
        <w:bidi w:val="0"/>
        <w:rPr>
          <w:rFonts w:hint="eastAsia"/>
          <w:lang w:eastAsia="zh-CN"/>
        </w:rPr>
      </w:pPr>
      <w:r>
        <w:rPr>
          <w:rFonts w:hint="eastAsia"/>
          <w:lang w:eastAsia="zh-CN"/>
        </w:rPr>
        <w:t>①遵守相关法律法规和相关管理规定；</w:t>
      </w:r>
    </w:p>
    <w:p>
      <w:pPr>
        <w:pStyle w:val="2"/>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根据《财政部关于煤层气（瓦斯）开发利用补贴的实施意见》财建[2007]114号申请2023年清洁能源发展专项资金科林思德，项目预算资金615万元，2023年用于开采利用非常规天然气，非常规天然气开采利用量4942万立方米，采暖季非常规天然气利用量占全年比例大于30%，非常规天然气抽采量5103万立方米，非常规天然气开采利用率大于88%。通过《关于下达 2023 年2023年清洁能源发展专项资金科林思德的通知》昌州财建[2023]77号拨付资金。</w:t>
      </w:r>
    </w:p>
    <w:p>
      <w:pPr>
        <w:bidi w:val="0"/>
        <w:rPr>
          <w:rFonts w:hint="eastAsia"/>
          <w:highlight w:val="none"/>
          <w:lang w:eastAsia="zh-CN"/>
        </w:rPr>
      </w:pPr>
      <w:r>
        <w:rPr>
          <w:rFonts w:hint="eastAsia"/>
          <w:lang w:eastAsia="zh-CN"/>
        </w:rPr>
        <w:t>②</w:t>
      </w:r>
      <w:r>
        <w:rPr>
          <w:rFonts w:hint="eastAsia" w:cs="宋体"/>
          <w:b w:val="0"/>
          <w:bCs w:val="0"/>
          <w:kern w:val="2"/>
          <w:sz w:val="28"/>
          <w:szCs w:val="28"/>
          <w:lang w:val="en-US" w:eastAsia="zh-CN" w:bidi="ar-SA"/>
        </w:rPr>
        <w:t>2023年清洁能源发展专项资金科林思德</w:t>
      </w:r>
      <w:r>
        <w:rPr>
          <w:rFonts w:hint="eastAsia"/>
          <w:lang w:eastAsia="zh-CN"/>
        </w:rPr>
        <w:t>项目</w:t>
      </w:r>
      <w:r>
        <w:rPr>
          <w:rFonts w:hint="eastAsia"/>
          <w:color w:val="auto"/>
          <w:highlight w:val="none"/>
          <w:lang w:eastAsia="zh-CN"/>
        </w:rPr>
        <w:t>无调整及支出调整；</w:t>
      </w:r>
    </w:p>
    <w:p>
      <w:pPr>
        <w:bidi w:val="0"/>
        <w:rPr>
          <w:rFonts w:hint="eastAsia"/>
          <w:lang w:eastAsia="zh-CN"/>
        </w:rPr>
      </w:pPr>
      <w:r>
        <w:rPr>
          <w:rFonts w:hint="eastAsia"/>
          <w:highlight w:val="none"/>
          <w:lang w:eastAsia="zh-CN"/>
        </w:rPr>
        <w:t>③</w:t>
      </w:r>
      <w:r>
        <w:rPr>
          <w:rFonts w:hint="eastAsia" w:cs="宋体"/>
          <w:b w:val="0"/>
          <w:bCs w:val="0"/>
          <w:kern w:val="2"/>
          <w:sz w:val="28"/>
          <w:szCs w:val="28"/>
          <w:highlight w:val="none"/>
          <w:lang w:val="en-US" w:eastAsia="zh-CN" w:bidi="ar-SA"/>
        </w:rPr>
        <w:t>2023年清洁能源发展专项资金科林思德</w:t>
      </w:r>
      <w:r>
        <w:rPr>
          <w:rFonts w:hint="eastAsia"/>
          <w:highlight w:val="none"/>
          <w:lang w:eastAsia="zh-CN"/>
        </w:rPr>
        <w:t>项目非常规天然气检测合格率、设备维护保养率、非常规天然气开采利用率</w:t>
      </w:r>
      <w:r>
        <w:rPr>
          <w:rFonts w:hint="eastAsia"/>
          <w:color w:val="auto"/>
          <w:highlight w:val="none"/>
          <w:lang w:eastAsia="zh-CN"/>
        </w:rPr>
        <w:t>技术鉴定等资</w:t>
      </w:r>
      <w:r>
        <w:rPr>
          <w:rFonts w:hint="eastAsia"/>
          <w:lang w:eastAsia="zh-CN"/>
        </w:rPr>
        <w:t>料齐全并及时归档；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lang w:eastAsia="zh-CN"/>
        </w:rPr>
        <w:t>④项目实施的人</w:t>
      </w:r>
      <w:r>
        <w:rPr>
          <w:rFonts w:hint="eastAsia"/>
          <w:color w:val="auto"/>
          <w:lang w:eastAsia="zh-CN"/>
        </w:rPr>
        <w:t>员</w:t>
      </w:r>
      <w:r>
        <w:rPr>
          <w:rFonts w:hint="eastAsia"/>
          <w:color w:val="auto"/>
          <w:highlight w:val="none"/>
          <w:lang w:eastAsia="zh-CN"/>
        </w:rPr>
        <w:t>条件</w:t>
      </w:r>
      <w:r>
        <w:rPr>
          <w:rFonts w:hint="eastAsia"/>
          <w:color w:val="auto"/>
          <w:highlight w:val="none"/>
          <w:shd w:val="clear"/>
          <w:lang w:eastAsia="zh-CN"/>
        </w:rPr>
        <w:t>、场地设备、信息</w:t>
      </w:r>
      <w:r>
        <w:rPr>
          <w:rFonts w:hint="eastAsia"/>
          <w:color w:val="auto"/>
          <w:shd w:val="clear"/>
          <w:lang w:eastAsia="zh-CN"/>
        </w:rPr>
        <w:t>支撑等落实到</w:t>
      </w:r>
      <w:r>
        <w:rPr>
          <w:rFonts w:hint="eastAsia"/>
          <w:color w:val="auto"/>
          <w:lang w:eastAsia="zh-CN"/>
        </w:rPr>
        <w:t>位。</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月由</w:t>
      </w:r>
      <w:r>
        <w:rPr>
          <w:rFonts w:hint="eastAsia" w:cs="宋体"/>
          <w:color w:val="auto"/>
          <w:highlight w:val="none"/>
          <w:shd w:val="clear" w:color="auto" w:fill="auto"/>
          <w:lang w:val="en-US" w:eastAsia="zh-CN"/>
        </w:rPr>
        <w:t>阜康市发改委监督，新疆科林思德新能源有限责任公司单位具体实施，</w:t>
      </w:r>
      <w:r>
        <w:rPr>
          <w:rFonts w:hint="eastAsia" w:ascii="宋体" w:hAnsi="宋体" w:eastAsia="宋体" w:cs="宋体"/>
          <w:color w:val="auto"/>
          <w:highlight w:val="none"/>
          <w:shd w:val="clear" w:color="auto" w:fill="auto"/>
          <w:lang w:val="en-US" w:eastAsia="zh-CN"/>
        </w:rPr>
        <w:t>明确了责任分工，发改委协助向财政申请补贴资金，根据项目实施情况，按时支付补贴资金。</w:t>
      </w:r>
    </w:p>
    <w:p>
      <w:pPr>
        <w:bidi w:val="0"/>
        <w:rPr>
          <w:rFonts w:hint="eastAsia"/>
          <w:color w:val="auto"/>
          <w:lang w:eastAsia="zh-CN"/>
        </w:rPr>
      </w:pPr>
      <w:r>
        <w:rPr>
          <w:rFonts w:hint="eastAsia"/>
          <w:b/>
          <w:bCs/>
          <w:color w:val="auto"/>
          <w:lang w:val="en-US" w:eastAsia="zh-CN"/>
        </w:rPr>
        <w:t>综上，该项指标满分4分，得分4分。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9" w:name="_Toc16268"/>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项目产出情况</w:t>
      </w:r>
      <w:bookmarkEnd w:id="69"/>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8</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29.4</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619"/>
        <w:gridCol w:w="1304"/>
        <w:gridCol w:w="631"/>
      </w:tblGrid>
      <w:tr>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tblPrEx>
          <w:shd w:val="clear" w:color="auto" w:fill="auto"/>
          <w:tblCellMar>
            <w:top w:w="0" w:type="dxa"/>
            <w:left w:w="0" w:type="dxa"/>
            <w:bottom w:w="0" w:type="dxa"/>
            <w:right w:w="0" w:type="dxa"/>
          </w:tblCellMar>
        </w:tblPrEx>
        <w:trPr>
          <w:trHeight w:val="523"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数量指标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FF0000"/>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tabs>
                <w:tab w:val="left" w:pos="355"/>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ab/>
            </w:r>
            <w:r>
              <w:rPr>
                <w:rFonts w:hint="eastAsia" w:cs="宋体"/>
                <w:color w:val="auto"/>
                <w:kern w:val="0"/>
                <w:sz w:val="20"/>
                <w:szCs w:val="20"/>
                <w:highlight w:val="none"/>
                <w:shd w:val="clear" w:color="auto" w:fill="auto"/>
                <w:lang w:val="en-US" w:eastAsia="zh-CN"/>
              </w:rPr>
              <w:t>非常规天然气开采利用量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≥4942万立方米</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4374.92万立方米</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2.2</w:t>
            </w:r>
          </w:p>
        </w:tc>
      </w:tr>
      <w:tr>
        <w:tblPrEx>
          <w:shd w:val="clear" w:color="auto" w:fill="auto"/>
          <w:tblCellMar>
            <w:top w:w="0" w:type="dxa"/>
            <w:left w:w="0" w:type="dxa"/>
            <w:bottom w:w="0" w:type="dxa"/>
            <w:right w:w="0" w:type="dxa"/>
          </w:tblCellMar>
        </w:tblPrEx>
        <w:trPr>
          <w:trHeight w:val="523"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采暖季非常规天然气利用量占全年比例</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34.27%</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10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非常规天然气开采利用率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≥88%</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99.02%</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10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非常规天然气抽采量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≥5103万立方米</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4418.22万立方米</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2.2</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非常规天然气检测合格率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非常规天然气月度盘点及时率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非常规天然气设备维护保养率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≥95%</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trHeight w:val="403"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非常规天然气开采补贴费用</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615万元</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615万元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trHeight w:val="403" w:hRule="atLeast"/>
        </w:trPr>
        <w:tc>
          <w:tcPr>
            <w:tcW w:w="4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合计</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29.4</w:t>
            </w:r>
          </w:p>
        </w:tc>
      </w:tr>
    </w:tbl>
    <w:p>
      <w:pPr>
        <w:bidi w:val="0"/>
        <w:rPr>
          <w:rFonts w:hint="default"/>
          <w:b/>
          <w:bCs/>
          <w:color w:val="FF0000"/>
          <w:lang w:val="en-US" w:eastAsia="zh-CN"/>
        </w:rPr>
      </w:pPr>
      <w:bookmarkStart w:id="70" w:name="_Toc11067"/>
      <w:r>
        <w:rPr>
          <w:rFonts w:hint="eastAsia"/>
          <w:b/>
          <w:bCs/>
          <w:lang w:val="en-US" w:eastAsia="zh-CN"/>
        </w:rPr>
        <w:t>1.项目完成数量</w:t>
      </w:r>
      <w:bookmarkEnd w:id="70"/>
    </w:p>
    <w:p>
      <w:pPr>
        <w:bidi w:val="0"/>
        <w:rPr>
          <w:rFonts w:hint="eastAsia"/>
          <w:color w:val="auto"/>
          <w:highlight w:val="none"/>
          <w:lang w:val="en-US" w:eastAsia="zh-CN"/>
        </w:rPr>
      </w:pPr>
      <w:r>
        <w:rPr>
          <w:rFonts w:hint="eastAsia"/>
          <w:lang w:eastAsia="zh-CN"/>
        </w:rPr>
        <w:t>“</w:t>
      </w:r>
      <w:r>
        <w:rPr>
          <w:rFonts w:hint="eastAsia" w:ascii="宋体" w:hAnsi="宋体" w:eastAsia="宋体" w:cs="宋体"/>
          <w:b w:val="0"/>
          <w:bCs w:val="0"/>
          <w:lang w:val="en-US" w:eastAsia="zh-CN"/>
        </w:rPr>
        <w:t>非常规天然气开采利用量</w:t>
      </w:r>
      <w:r>
        <w:rPr>
          <w:rFonts w:hint="eastAsia"/>
          <w:lang w:eastAsia="zh-CN"/>
        </w:rPr>
        <w:t>”</w:t>
      </w:r>
      <w:r>
        <w:rPr>
          <w:rFonts w:hint="eastAsia"/>
          <w:lang w:val="en-US" w:eastAsia="zh-CN"/>
        </w:rPr>
        <w:t>指标，预</w:t>
      </w:r>
      <w:r>
        <w:rPr>
          <w:rFonts w:hint="eastAsia"/>
          <w:b w:val="0"/>
          <w:bCs w:val="0"/>
          <w:lang w:val="en-US" w:eastAsia="zh-CN"/>
        </w:rPr>
        <w:t>期目</w:t>
      </w:r>
      <w:r>
        <w:rPr>
          <w:rFonts w:hint="eastAsia"/>
          <w:lang w:val="en-US" w:eastAsia="zh-CN"/>
        </w:rPr>
        <w:t>标值为</w:t>
      </w:r>
      <w:r>
        <w:rPr>
          <w:rFonts w:hint="eastAsia" w:ascii="宋体" w:hAnsi="宋体" w:eastAsia="宋体" w:cs="宋体"/>
          <w:b w:val="0"/>
          <w:bCs w:val="0"/>
          <w:lang w:val="en-US" w:eastAsia="zh-CN"/>
        </w:rPr>
        <w:t>≥4942万立方米，实际完成为4374.92万立方米。实际完成率=（4374.92万立方米/4942万立方米</w:t>
      </w:r>
      <w:r>
        <w:rPr>
          <w:rFonts w:hint="eastAsia"/>
          <w:lang w:val="en-US" w:eastAsia="zh-CN"/>
        </w:rPr>
        <w:t>）×10</w:t>
      </w:r>
      <w:r>
        <w:rPr>
          <w:rFonts w:hint="eastAsia"/>
          <w:color w:val="auto"/>
          <w:highlight w:val="none"/>
          <w:lang w:val="en-US" w:eastAsia="zh-CN"/>
        </w:rPr>
        <w:t>0%=88.53%。</w:t>
      </w:r>
    </w:p>
    <w:p>
      <w:pPr>
        <w:pStyle w:val="2"/>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偏差原因：因抽采量降低，故导致抽采利用量未完成指标值；下一步措施：加大勘探开发，利用新开发区域增加产能贡献，确保如期完成指标值。</w:t>
      </w:r>
    </w:p>
    <w:p>
      <w:pPr>
        <w:bidi w:val="0"/>
        <w:rPr>
          <w:rFonts w:hint="eastAsia"/>
          <w:color w:val="auto"/>
          <w:highlight w:val="none"/>
          <w:lang w:eastAsia="zh-CN"/>
        </w:rPr>
      </w:pPr>
      <w:r>
        <w:rPr>
          <w:rFonts w:hint="eastAsia"/>
          <w:b/>
          <w:bCs/>
          <w:color w:val="auto"/>
          <w:highlight w:val="none"/>
          <w:lang w:val="en-US" w:eastAsia="zh-CN"/>
        </w:rPr>
        <w:t>综上，该项指标满分2.5分，得分2.2分。</w:t>
      </w:r>
    </w:p>
    <w:p>
      <w:pPr>
        <w:bidi w:val="0"/>
        <w:rPr>
          <w:rFonts w:hint="eastAsia"/>
          <w:color w:val="auto"/>
          <w:lang w:eastAsia="zh-CN"/>
        </w:rPr>
      </w:pPr>
      <w:r>
        <w:rPr>
          <w:rFonts w:hint="eastAsia"/>
          <w:color w:val="auto"/>
          <w:highlight w:val="none"/>
          <w:lang w:eastAsia="zh-CN"/>
        </w:rPr>
        <w:t>“</w:t>
      </w:r>
      <w:r>
        <w:rPr>
          <w:rFonts w:hint="eastAsia"/>
          <w:color w:val="auto"/>
          <w:highlight w:val="none"/>
          <w:lang w:val="en-US" w:eastAsia="zh-CN"/>
        </w:rPr>
        <w:t>采暖季非常规天然气利用量占全年比例</w:t>
      </w:r>
      <w:r>
        <w:rPr>
          <w:rFonts w:hint="eastAsia"/>
          <w:color w:val="auto"/>
          <w:highlight w:val="none"/>
          <w:lang w:eastAsia="zh-CN"/>
        </w:rPr>
        <w:t>”</w:t>
      </w:r>
      <w:r>
        <w:rPr>
          <w:rFonts w:hint="eastAsia"/>
          <w:color w:val="auto"/>
          <w:highlight w:val="none"/>
          <w:lang w:val="en-US" w:eastAsia="zh-CN"/>
        </w:rPr>
        <w:t>指标，预期目标值</w:t>
      </w:r>
      <w:r>
        <w:rPr>
          <w:rFonts w:hint="eastAsia"/>
          <w:color w:val="auto"/>
          <w:lang w:val="en-US" w:eastAsia="zh-CN"/>
        </w:rPr>
        <w:t>为</w:t>
      </w:r>
      <w:r>
        <w:rPr>
          <w:rFonts w:hint="eastAsia" w:ascii="宋体" w:hAnsi="宋体" w:eastAsia="宋体" w:cs="宋体"/>
          <w:color w:val="auto"/>
          <w:lang w:val="en-US" w:eastAsia="zh-CN"/>
        </w:rPr>
        <w:t>≥30%，</w:t>
      </w:r>
      <w:r>
        <w:rPr>
          <w:rFonts w:hint="eastAsia"/>
          <w:color w:val="auto"/>
          <w:lang w:val="en-US" w:eastAsia="zh-CN"/>
        </w:rPr>
        <w:t>实际完成为34.27%，实际完成率100%。</w:t>
      </w:r>
    </w:p>
    <w:p>
      <w:pPr>
        <w:bidi w:val="0"/>
        <w:rPr>
          <w:rFonts w:hint="eastAsia"/>
          <w:color w:val="auto"/>
          <w:lang w:eastAsia="zh-CN"/>
        </w:rPr>
      </w:pPr>
      <w:r>
        <w:rPr>
          <w:rFonts w:hint="eastAsia"/>
          <w:b/>
          <w:bCs/>
          <w:lang w:val="en-US" w:eastAsia="zh-CN"/>
        </w:rPr>
        <w:t>综上，该项指标满分</w:t>
      </w:r>
      <w:r>
        <w:rPr>
          <w:rFonts w:hint="eastAsia"/>
          <w:b/>
          <w:bCs/>
          <w:color w:val="auto"/>
          <w:lang w:val="en-US" w:eastAsia="zh-CN"/>
        </w:rPr>
        <w:t>2.5分，得分2.5分。</w:t>
      </w:r>
    </w:p>
    <w:p>
      <w:pPr>
        <w:bidi w:val="0"/>
        <w:rPr>
          <w:rFonts w:hint="eastAsia"/>
          <w:color w:val="auto"/>
          <w:lang w:val="en-US" w:eastAsia="zh-CN"/>
        </w:rPr>
      </w:pPr>
      <w:r>
        <w:rPr>
          <w:rFonts w:hint="eastAsia"/>
          <w:color w:val="auto"/>
          <w:lang w:eastAsia="zh-CN"/>
        </w:rPr>
        <w:t>“</w:t>
      </w:r>
      <w:r>
        <w:rPr>
          <w:rFonts w:hint="eastAsia"/>
          <w:color w:val="auto"/>
          <w:lang w:val="en-US" w:eastAsia="zh-CN"/>
        </w:rPr>
        <w:t>非常规天然气开采利用率</w:t>
      </w:r>
      <w:r>
        <w:rPr>
          <w:rFonts w:hint="eastAsia"/>
          <w:color w:val="auto"/>
          <w:lang w:eastAsia="zh-CN"/>
        </w:rPr>
        <w:t>”</w:t>
      </w:r>
      <w:r>
        <w:rPr>
          <w:rFonts w:hint="eastAsia"/>
          <w:color w:val="auto"/>
          <w:lang w:val="en-US" w:eastAsia="zh-CN"/>
        </w:rPr>
        <w:t>指标，预期目标值为</w:t>
      </w:r>
      <w:r>
        <w:rPr>
          <w:rFonts w:hint="eastAsia" w:ascii="宋体" w:hAnsi="宋体" w:eastAsia="宋体" w:cs="宋体"/>
          <w:color w:val="auto"/>
          <w:lang w:val="en-US" w:eastAsia="zh-CN"/>
        </w:rPr>
        <w:t>≥88%，</w:t>
      </w:r>
      <w:r>
        <w:rPr>
          <w:rFonts w:hint="eastAsia"/>
          <w:color w:val="auto"/>
          <w:lang w:val="en-US" w:eastAsia="zh-CN"/>
        </w:rPr>
        <w:t>实际完成为99.02%，实际完成率100%。</w:t>
      </w:r>
    </w:p>
    <w:p>
      <w:pPr>
        <w:bidi w:val="0"/>
        <w:rPr>
          <w:rFonts w:hint="eastAsia"/>
          <w:color w:val="auto"/>
          <w:lang w:eastAsia="zh-CN"/>
        </w:rPr>
      </w:pPr>
      <w:r>
        <w:rPr>
          <w:rFonts w:hint="eastAsia"/>
          <w:b/>
          <w:bCs/>
          <w:color w:val="auto"/>
          <w:lang w:val="en-US" w:eastAsia="zh-CN"/>
        </w:rPr>
        <w:t>综上，该项指标满分2.5分，得分2.5分。</w:t>
      </w:r>
    </w:p>
    <w:p>
      <w:pPr>
        <w:bidi w:val="0"/>
        <w:rPr>
          <w:rFonts w:hint="eastAsia"/>
          <w:color w:val="auto"/>
          <w:lang w:val="en-US" w:eastAsia="zh-CN"/>
        </w:rPr>
      </w:pPr>
      <w:r>
        <w:rPr>
          <w:rFonts w:hint="eastAsia"/>
          <w:lang w:eastAsia="zh-CN"/>
        </w:rPr>
        <w:t>“</w:t>
      </w:r>
      <w:r>
        <w:rPr>
          <w:rFonts w:hint="eastAsia" w:ascii="宋体" w:hAnsi="宋体" w:eastAsia="宋体" w:cs="宋体"/>
          <w:lang w:val="en-US" w:eastAsia="zh-CN"/>
        </w:rPr>
        <w:t>非常规天然气抽采量</w:t>
      </w:r>
      <w:r>
        <w:rPr>
          <w:rFonts w:hint="eastAsia"/>
          <w:lang w:eastAsia="zh-CN"/>
        </w:rPr>
        <w:t>”</w:t>
      </w:r>
      <w:r>
        <w:rPr>
          <w:rFonts w:hint="eastAsia"/>
          <w:lang w:val="en-US" w:eastAsia="zh-CN"/>
        </w:rPr>
        <w:t>指标，预期</w:t>
      </w:r>
      <w:r>
        <w:rPr>
          <w:rFonts w:hint="eastAsia"/>
          <w:color w:val="auto"/>
          <w:lang w:val="en-US" w:eastAsia="zh-CN"/>
        </w:rPr>
        <w:t>目标值为</w:t>
      </w:r>
      <w:r>
        <w:rPr>
          <w:rFonts w:hint="eastAsia" w:ascii="宋体" w:hAnsi="宋体" w:eastAsia="宋体" w:cs="宋体"/>
          <w:color w:val="auto"/>
          <w:lang w:val="en-US" w:eastAsia="zh-CN"/>
        </w:rPr>
        <w:t>≥5103万立方米，</w:t>
      </w:r>
      <w:r>
        <w:rPr>
          <w:rFonts w:hint="eastAsia"/>
          <w:color w:val="auto"/>
          <w:lang w:val="en-US" w:eastAsia="zh-CN"/>
        </w:rPr>
        <w:t>实际完成为4418.22万立方米。</w:t>
      </w:r>
      <w:r>
        <w:rPr>
          <w:rFonts w:hint="eastAsia" w:ascii="宋体" w:hAnsi="宋体" w:eastAsia="宋体" w:cs="宋体"/>
          <w:b w:val="0"/>
          <w:bCs w:val="0"/>
          <w:color w:val="auto"/>
          <w:lang w:val="en-US" w:eastAsia="zh-CN"/>
        </w:rPr>
        <w:t>实际完成率=（4418.22万立方米/5103万立方米</w:t>
      </w:r>
      <w:r>
        <w:rPr>
          <w:rFonts w:hint="eastAsia"/>
          <w:color w:val="auto"/>
          <w:lang w:val="en-US" w:eastAsia="zh-CN"/>
        </w:rPr>
        <w:t>）×100%=86.58%。</w:t>
      </w:r>
    </w:p>
    <w:p>
      <w:pPr>
        <w:pStyle w:val="2"/>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偏差原因:2023年初部分生产井故障但因检修工器具及物资未如期到场，延后检泵周期，同时老井产量逐年递减，致使抽采量下降。下一步措施：增加物资库存，防范应对各类突发状况；同时加大勘探开发，利用新开发区域增加产能贡献。</w:t>
      </w:r>
    </w:p>
    <w:p>
      <w:pPr>
        <w:pStyle w:val="2"/>
        <w:ind w:left="0" w:leftChars="0" w:firstLine="0" w:firstLineChars="0"/>
        <w:rPr>
          <w:rFonts w:hint="eastAsia"/>
          <w:lang w:val="en-US" w:eastAsia="zh-CN"/>
        </w:rPr>
      </w:pPr>
      <w:r>
        <w:rPr>
          <w:rFonts w:hint="eastAsia" w:ascii="宋体" w:hAnsi="宋体" w:eastAsia="宋体" w:cs="宋体"/>
          <w:b w:val="0"/>
          <w:bCs w:val="0"/>
          <w:kern w:val="2"/>
          <w:sz w:val="28"/>
          <w:szCs w:val="28"/>
          <w:lang w:val="en-US" w:eastAsia="zh-CN" w:bidi="ar-SA"/>
        </w:rPr>
        <w:t>2023年新井施工过程影响抽采量，因阜康矿区地质复杂，煤层渗透性强，断层分布广，新井施工易与老井连通，导致老井产量突降致使抽采量下降。下一步措施：针对受新井施工影响的井，与行业专家交流合作制定可行性施工方案恢复产能。</w:t>
      </w:r>
    </w:p>
    <w:p>
      <w:pPr>
        <w:bidi w:val="0"/>
        <w:rPr>
          <w:rFonts w:hint="eastAsia"/>
          <w:color w:val="auto"/>
          <w:lang w:eastAsia="zh-CN"/>
        </w:rPr>
      </w:pPr>
      <w:r>
        <w:rPr>
          <w:rFonts w:hint="eastAsia"/>
          <w:b/>
          <w:bCs/>
          <w:lang w:val="en-US" w:eastAsia="zh-CN"/>
        </w:rPr>
        <w:t>综上，该项指标满</w:t>
      </w:r>
      <w:r>
        <w:rPr>
          <w:rFonts w:hint="eastAsia"/>
          <w:b/>
          <w:bCs/>
          <w:color w:val="auto"/>
          <w:lang w:val="en-US" w:eastAsia="zh-CN"/>
        </w:rPr>
        <w:t>分2.5分，得分2.2分。</w:t>
      </w:r>
    </w:p>
    <w:p>
      <w:pPr>
        <w:bidi w:val="0"/>
        <w:outlineLvl w:val="2"/>
        <w:rPr>
          <w:rFonts w:hint="default"/>
          <w:b/>
          <w:bCs/>
          <w:lang w:val="en-US" w:eastAsia="zh-CN"/>
        </w:rPr>
      </w:pPr>
      <w:bookmarkStart w:id="71" w:name="_Toc31739"/>
      <w:r>
        <w:rPr>
          <w:rFonts w:hint="eastAsia"/>
          <w:b/>
          <w:bCs/>
          <w:lang w:val="en-US" w:eastAsia="zh-CN"/>
        </w:rPr>
        <w:t>2.项目完成质量</w:t>
      </w:r>
      <w:bookmarkEnd w:id="71"/>
    </w:p>
    <w:p>
      <w:pPr>
        <w:bidi w:val="0"/>
        <w:rPr>
          <w:rFonts w:hint="eastAsia"/>
          <w:color w:val="auto"/>
          <w:lang w:eastAsia="zh-CN"/>
        </w:rPr>
      </w:pPr>
      <w:r>
        <w:rPr>
          <w:rFonts w:hint="eastAsia" w:ascii="宋体" w:hAnsi="宋体" w:eastAsia="宋体" w:cs="宋体"/>
          <w:color w:val="auto"/>
          <w:lang w:val="en-US" w:eastAsia="zh-CN"/>
        </w:rPr>
        <w:t>“非常规天然气检测合格率</w:t>
      </w:r>
      <w:r>
        <w:rPr>
          <w:rFonts w:hint="eastAsia"/>
          <w:color w:val="auto"/>
          <w:lang w:eastAsia="zh-CN"/>
        </w:rPr>
        <w:t>”</w:t>
      </w:r>
      <w:r>
        <w:rPr>
          <w:rFonts w:hint="eastAsia"/>
          <w:color w:val="auto"/>
          <w:lang w:val="en-US" w:eastAsia="zh-CN"/>
        </w:rPr>
        <w:t>指标，预期目标值为</w:t>
      </w:r>
      <w:r>
        <w:rPr>
          <w:rFonts w:hint="eastAsia" w:ascii="宋体" w:hAnsi="宋体" w:eastAsia="宋体" w:cs="宋体"/>
          <w:color w:val="auto"/>
          <w:lang w:val="en-US" w:eastAsia="zh-CN"/>
        </w:rPr>
        <w:t>≥100%，</w:t>
      </w:r>
      <w:r>
        <w:rPr>
          <w:rFonts w:hint="eastAsia"/>
          <w:color w:val="auto"/>
          <w:lang w:val="en-US" w:eastAsia="zh-CN"/>
        </w:rPr>
        <w:t>实际完成为100%。</w:t>
      </w:r>
    </w:p>
    <w:p>
      <w:pPr>
        <w:bidi w:val="0"/>
        <w:rPr>
          <w:rFonts w:hint="eastAsia"/>
          <w:lang w:eastAsia="zh-CN"/>
        </w:rPr>
      </w:pPr>
      <w:r>
        <w:rPr>
          <w:rFonts w:hint="eastAsia"/>
          <w:b/>
          <w:bCs/>
          <w:color w:val="auto"/>
          <w:lang w:val="en-US" w:eastAsia="zh-CN"/>
        </w:rPr>
        <w:t>综上，该项指标满分5分，得分5分。</w:t>
      </w:r>
    </w:p>
    <w:p>
      <w:pPr>
        <w:bidi w:val="0"/>
        <w:outlineLvl w:val="2"/>
        <w:rPr>
          <w:rFonts w:hint="default"/>
          <w:b/>
          <w:bCs/>
          <w:lang w:val="en-US" w:eastAsia="zh-CN"/>
        </w:rPr>
      </w:pPr>
      <w:bookmarkStart w:id="72" w:name="_Toc18307"/>
      <w:r>
        <w:rPr>
          <w:rFonts w:hint="eastAsia"/>
          <w:b/>
          <w:bCs/>
          <w:lang w:val="en-US" w:eastAsia="zh-CN"/>
        </w:rPr>
        <w:t>3.项目完成时效</w:t>
      </w:r>
      <w:bookmarkEnd w:id="72"/>
    </w:p>
    <w:p>
      <w:pPr>
        <w:bidi w:val="0"/>
        <w:rPr>
          <w:rFonts w:hint="eastAsia"/>
          <w:color w:val="auto"/>
          <w:lang w:val="en-US" w:eastAsia="zh-CN"/>
        </w:rPr>
      </w:pPr>
      <w:r>
        <w:rPr>
          <w:rFonts w:hint="eastAsia"/>
          <w:color w:val="auto"/>
          <w:lang w:eastAsia="zh-CN"/>
        </w:rPr>
        <w:t>“</w:t>
      </w:r>
      <w:r>
        <w:rPr>
          <w:rFonts w:hint="eastAsia"/>
          <w:color w:val="auto"/>
          <w:lang w:val="en-US" w:eastAsia="zh-CN"/>
        </w:rPr>
        <w:t>非常规天然气月度盘点及时率</w:t>
      </w:r>
      <w:r>
        <w:rPr>
          <w:rFonts w:hint="eastAsia"/>
          <w:color w:val="auto"/>
          <w:lang w:eastAsia="zh-CN"/>
        </w:rPr>
        <w:t>”</w:t>
      </w:r>
      <w:r>
        <w:rPr>
          <w:rFonts w:hint="eastAsia"/>
          <w:color w:val="auto"/>
          <w:lang w:val="en-US" w:eastAsia="zh-CN"/>
        </w:rPr>
        <w:t>指标，预期目标值为100%，实际完成为100%。实际完成率100%。</w:t>
      </w:r>
    </w:p>
    <w:p>
      <w:pPr>
        <w:bidi w:val="0"/>
        <w:rPr>
          <w:rFonts w:hint="eastAsia"/>
          <w:color w:val="auto"/>
          <w:lang w:val="en-US" w:eastAsia="zh-CN"/>
        </w:rPr>
      </w:pPr>
      <w:r>
        <w:rPr>
          <w:rFonts w:hint="eastAsia"/>
          <w:b/>
          <w:bCs/>
          <w:color w:val="auto"/>
          <w:lang w:val="en-US" w:eastAsia="zh-CN"/>
        </w:rPr>
        <w:t>综上，该项指标满分5分，得分5分。</w:t>
      </w:r>
    </w:p>
    <w:p>
      <w:pPr>
        <w:bidi w:val="0"/>
        <w:rPr>
          <w:rFonts w:hint="eastAsia"/>
          <w:color w:val="auto"/>
          <w:lang w:val="en-US" w:eastAsia="zh-CN"/>
        </w:rPr>
      </w:pPr>
      <w:r>
        <w:rPr>
          <w:rFonts w:hint="eastAsia"/>
          <w:color w:val="auto"/>
          <w:lang w:eastAsia="zh-CN"/>
        </w:rPr>
        <w:t>“</w:t>
      </w:r>
      <w:r>
        <w:rPr>
          <w:rFonts w:hint="eastAsia"/>
          <w:color w:val="auto"/>
          <w:lang w:val="en-US" w:eastAsia="zh-CN"/>
        </w:rPr>
        <w:t>非常规天然气设备维护保养率</w:t>
      </w:r>
      <w:r>
        <w:rPr>
          <w:rFonts w:hint="eastAsia"/>
          <w:color w:val="auto"/>
          <w:lang w:eastAsia="zh-CN"/>
        </w:rPr>
        <w:t>”</w:t>
      </w:r>
      <w:r>
        <w:rPr>
          <w:rFonts w:hint="eastAsia"/>
          <w:color w:val="auto"/>
          <w:lang w:val="en-US" w:eastAsia="zh-CN"/>
        </w:rPr>
        <w:t>指标，预期目标值为≥95%，实际完成为96.42%。实际完成率100%。</w:t>
      </w:r>
    </w:p>
    <w:p>
      <w:pPr>
        <w:bidi w:val="0"/>
        <w:rPr>
          <w:rFonts w:hint="eastAsia"/>
          <w:color w:val="auto"/>
          <w:lang w:eastAsia="zh-CN"/>
        </w:rPr>
      </w:pPr>
      <w:r>
        <w:rPr>
          <w:rFonts w:hint="eastAsia"/>
          <w:b/>
          <w:bCs/>
          <w:color w:val="auto"/>
          <w:lang w:val="en-US" w:eastAsia="zh-CN"/>
        </w:rPr>
        <w:t>综上，该项指标满分5分，得分5分。</w:t>
      </w:r>
    </w:p>
    <w:p>
      <w:pPr>
        <w:numPr>
          <w:ilvl w:val="0"/>
          <w:numId w:val="3"/>
        </w:numPr>
        <w:bidi w:val="0"/>
        <w:outlineLvl w:val="2"/>
        <w:rPr>
          <w:rFonts w:hint="eastAsia"/>
          <w:b/>
          <w:bCs/>
          <w:color w:val="auto"/>
          <w:lang w:val="en-US" w:eastAsia="zh-CN"/>
        </w:rPr>
      </w:pPr>
      <w:bookmarkStart w:id="73" w:name="_Toc32765"/>
      <w:r>
        <w:rPr>
          <w:rFonts w:hint="eastAsia"/>
          <w:b/>
          <w:bCs/>
          <w:color w:val="auto"/>
          <w:lang w:val="en-US" w:eastAsia="zh-CN"/>
        </w:rPr>
        <w:t>项目完成成本</w:t>
      </w:r>
      <w:bookmarkEnd w:id="73"/>
    </w:p>
    <w:p>
      <w:pPr>
        <w:bidi w:val="0"/>
        <w:rPr>
          <w:rFonts w:hint="eastAsia"/>
          <w:color w:val="auto"/>
          <w:lang w:val="en-US" w:eastAsia="zh-CN"/>
        </w:rPr>
      </w:pPr>
      <w:bookmarkStart w:id="74" w:name="_Toc18446"/>
      <w:r>
        <w:rPr>
          <w:rFonts w:hint="eastAsia"/>
          <w:color w:val="auto"/>
          <w:lang w:eastAsia="zh-CN"/>
        </w:rPr>
        <w:t>“</w:t>
      </w:r>
      <w:r>
        <w:rPr>
          <w:rFonts w:hint="eastAsia"/>
          <w:color w:val="auto"/>
          <w:lang w:val="en-US" w:eastAsia="zh-CN"/>
        </w:rPr>
        <w:t>非常规天然气开采补贴费用”指标，预期目标值为615万元，实际完成为615万元。实际完成率100%。</w:t>
      </w:r>
    </w:p>
    <w:p>
      <w:pPr>
        <w:bidi w:val="0"/>
        <w:rPr>
          <w:rFonts w:hint="eastAsia"/>
          <w:color w:val="auto"/>
          <w:lang w:eastAsia="zh-CN"/>
        </w:rPr>
      </w:pPr>
      <w:r>
        <w:rPr>
          <w:rFonts w:hint="eastAsia"/>
          <w:b/>
          <w:bCs/>
          <w:color w:val="auto"/>
          <w:lang w:val="en-US" w:eastAsia="zh-CN"/>
        </w:rPr>
        <w:t>综上，该项指标满分5分，得分5分。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四</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项目效益情况</w:t>
      </w:r>
      <w:bookmarkEnd w:id="74"/>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6" w:hRule="atLeast"/>
          <w:jc w:val="center"/>
        </w:trPr>
        <w:tc>
          <w:tcPr>
            <w:tcW w:w="68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tc>
        <w:tc>
          <w:tcPr>
            <w:tcW w:w="172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74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标值</w:t>
            </w:r>
          </w:p>
        </w:tc>
        <w:tc>
          <w:tcPr>
            <w:tcW w:w="64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际完成值</w:t>
            </w:r>
          </w:p>
        </w:tc>
        <w:tc>
          <w:tcPr>
            <w:tcW w:w="65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6" w:hRule="atLeast"/>
          <w:jc w:val="center"/>
        </w:trPr>
        <w:tc>
          <w:tcPr>
            <w:tcW w:w="68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效益</w:t>
            </w:r>
          </w:p>
        </w:tc>
        <w:tc>
          <w:tcPr>
            <w:tcW w:w="172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经济效益指标</w:t>
            </w:r>
          </w:p>
        </w:tc>
        <w:tc>
          <w:tcPr>
            <w:tcW w:w="274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FF0000"/>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FF0000"/>
                <w:kern w:val="0"/>
                <w:sz w:val="20"/>
                <w:szCs w:val="20"/>
                <w:highlight w:val="none"/>
                <w:shd w:val="clear" w:color="auto" w:fill="auto"/>
                <w:lang w:val="en-US" w:eastAsia="zh-CN"/>
              </w:rPr>
            </w:pPr>
          </w:p>
        </w:tc>
        <w:tc>
          <w:tcPr>
            <w:tcW w:w="64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FF0000"/>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FF0000"/>
                <w:kern w:val="0"/>
                <w:sz w:val="20"/>
                <w:szCs w:val="20"/>
                <w:highlight w:val="none"/>
                <w:shd w:val="clear" w:color="auto" w:fill="auto"/>
                <w:lang w:val="en-US" w:eastAsia="zh-CN"/>
              </w:rPr>
            </w:pPr>
          </w:p>
        </w:tc>
        <w:tc>
          <w:tcPr>
            <w:tcW w:w="65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FF0000"/>
                <w:kern w:val="0"/>
                <w:sz w:val="20"/>
                <w:szCs w:val="20"/>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6" w:hRule="atLeast"/>
          <w:jc w:val="center"/>
        </w:trPr>
        <w:tc>
          <w:tcPr>
            <w:tcW w:w="68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社会效益指标</w:t>
            </w:r>
          </w:p>
        </w:tc>
        <w:tc>
          <w:tcPr>
            <w:tcW w:w="274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FF0000"/>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FF0000"/>
                <w:kern w:val="0"/>
                <w:sz w:val="20"/>
                <w:szCs w:val="20"/>
                <w:highlight w:val="none"/>
                <w:shd w:val="clear" w:color="auto" w:fill="auto"/>
                <w:lang w:val="en-US" w:eastAsia="zh-CN"/>
              </w:rPr>
            </w:pPr>
          </w:p>
        </w:tc>
        <w:tc>
          <w:tcPr>
            <w:tcW w:w="64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FF0000"/>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FF0000"/>
                <w:kern w:val="0"/>
                <w:sz w:val="20"/>
                <w:szCs w:val="20"/>
                <w:highlight w:val="none"/>
                <w:shd w:val="clear" w:color="auto" w:fill="auto"/>
                <w:lang w:val="en-US" w:eastAsia="zh-CN"/>
              </w:rPr>
            </w:pPr>
          </w:p>
        </w:tc>
        <w:tc>
          <w:tcPr>
            <w:tcW w:w="65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FF0000"/>
                <w:kern w:val="0"/>
                <w:sz w:val="20"/>
                <w:szCs w:val="20"/>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6" w:hRule="atLeast"/>
          <w:jc w:val="center"/>
        </w:trPr>
        <w:tc>
          <w:tcPr>
            <w:tcW w:w="68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生态效益指标</w:t>
            </w:r>
          </w:p>
        </w:tc>
        <w:tc>
          <w:tcPr>
            <w:tcW w:w="274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减少温室气体排放</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减少</w:t>
            </w:r>
          </w:p>
        </w:tc>
        <w:tc>
          <w:tcPr>
            <w:tcW w:w="64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5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6" w:hRule="atLeast"/>
          <w:jc w:val="center"/>
        </w:trPr>
        <w:tc>
          <w:tcPr>
            <w:tcW w:w="68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可持续影响指标</w:t>
            </w:r>
          </w:p>
        </w:tc>
        <w:tc>
          <w:tcPr>
            <w:tcW w:w="274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4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6" w:hRule="atLeast"/>
          <w:jc w:val="center"/>
        </w:trPr>
        <w:tc>
          <w:tcPr>
            <w:tcW w:w="68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满意度指标</w:t>
            </w:r>
          </w:p>
        </w:tc>
        <w:tc>
          <w:tcPr>
            <w:tcW w:w="274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项目实施地周边群众满意度</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97.5%</w:t>
            </w:r>
          </w:p>
        </w:tc>
        <w:tc>
          <w:tcPr>
            <w:tcW w:w="65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9" w:hRule="atLeast"/>
          <w:jc w:val="center"/>
        </w:trPr>
        <w:tc>
          <w:tcPr>
            <w:tcW w:w="602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outlineLvl w:val="2"/>
        <w:rPr>
          <w:rFonts w:hint="default"/>
          <w:b/>
          <w:bCs/>
          <w:lang w:val="en-US" w:eastAsia="zh-CN"/>
        </w:rPr>
      </w:pPr>
      <w:bookmarkStart w:id="75" w:name="_Toc8010"/>
      <w:r>
        <w:rPr>
          <w:rFonts w:hint="eastAsia"/>
          <w:b/>
          <w:bCs/>
          <w:lang w:val="en-US" w:eastAsia="zh-CN"/>
        </w:rPr>
        <w:t>1.经济效益指标</w:t>
      </w:r>
      <w:bookmarkEnd w:id="75"/>
    </w:p>
    <w:p>
      <w:pPr>
        <w:bidi w:val="0"/>
        <w:outlineLvl w:val="2"/>
        <w:rPr>
          <w:rFonts w:hint="eastAsia"/>
          <w:color w:val="auto"/>
          <w:highlight w:val="none"/>
          <w:lang w:eastAsia="zh-CN"/>
        </w:rPr>
      </w:pPr>
      <w:bookmarkStart w:id="76" w:name="_Toc27006"/>
      <w:r>
        <w:rPr>
          <w:rFonts w:hint="eastAsia"/>
          <w:color w:val="auto"/>
          <w:highlight w:val="none"/>
          <w:lang w:eastAsia="zh-CN"/>
        </w:rPr>
        <w:t>本项目不涉及经济效益指标</w:t>
      </w:r>
    </w:p>
    <w:p>
      <w:pPr>
        <w:bidi w:val="0"/>
        <w:outlineLvl w:val="2"/>
        <w:rPr>
          <w:rFonts w:hint="eastAsia"/>
          <w:b/>
          <w:bCs/>
          <w:lang w:val="en-US" w:eastAsia="zh-CN"/>
        </w:rPr>
      </w:pPr>
      <w:r>
        <w:rPr>
          <w:rFonts w:hint="eastAsia"/>
          <w:b/>
          <w:bCs/>
          <w:lang w:val="en-US" w:eastAsia="zh-CN"/>
        </w:rPr>
        <w:t>2.社会效益指标</w:t>
      </w:r>
      <w:bookmarkEnd w:id="76"/>
    </w:p>
    <w:p>
      <w:pPr>
        <w:bidi w:val="0"/>
        <w:outlineLvl w:val="2"/>
        <w:rPr>
          <w:rFonts w:hint="eastAsia"/>
          <w:lang w:val="en-US" w:eastAsia="zh-CN"/>
        </w:rPr>
      </w:pPr>
      <w:r>
        <w:rPr>
          <w:rFonts w:hint="eastAsia"/>
          <w:color w:val="auto"/>
          <w:highlight w:val="none"/>
          <w:lang w:eastAsia="zh-CN"/>
        </w:rPr>
        <w:t>本项目不涉及社会效益指标</w:t>
      </w:r>
    </w:p>
    <w:p>
      <w:pPr>
        <w:bidi w:val="0"/>
        <w:outlineLvl w:val="2"/>
        <w:rPr>
          <w:rFonts w:hint="eastAsia"/>
          <w:lang w:val="en-US" w:eastAsia="zh-CN"/>
        </w:rPr>
      </w:pPr>
      <w:bookmarkStart w:id="77" w:name="_Toc23106"/>
      <w:r>
        <w:rPr>
          <w:rFonts w:hint="eastAsia"/>
          <w:b/>
          <w:bCs/>
          <w:lang w:val="en-US" w:eastAsia="zh-CN"/>
        </w:rPr>
        <w:t>3.生态效益指标</w:t>
      </w:r>
      <w:bookmarkEnd w:id="77"/>
    </w:p>
    <w:p>
      <w:pPr>
        <w:bidi w:val="0"/>
        <w:rPr>
          <w:rFonts w:hint="eastAsia"/>
          <w:b w:val="0"/>
          <w:bCs w:val="0"/>
          <w:color w:val="auto"/>
          <w:highlight w:val="none"/>
          <w:lang w:val="en-US" w:eastAsia="zh-CN"/>
        </w:rPr>
      </w:pPr>
      <w:r>
        <w:rPr>
          <w:rFonts w:hint="eastAsia"/>
          <w:color w:val="auto"/>
          <w:lang w:eastAsia="zh-CN"/>
        </w:rPr>
        <w:t>“</w:t>
      </w:r>
      <w:r>
        <w:rPr>
          <w:rFonts w:hint="eastAsia"/>
          <w:color w:val="auto"/>
          <w:lang w:val="en-US" w:eastAsia="zh-CN"/>
        </w:rPr>
        <w:t>减少温室气体排放</w:t>
      </w:r>
      <w:r>
        <w:rPr>
          <w:rFonts w:hint="eastAsia"/>
          <w:color w:val="auto"/>
          <w:lang w:eastAsia="zh-CN"/>
        </w:rPr>
        <w:t>”</w:t>
      </w:r>
      <w:r>
        <w:rPr>
          <w:rFonts w:hint="eastAsia"/>
          <w:color w:val="auto"/>
          <w:lang w:val="en-US" w:eastAsia="zh-CN"/>
        </w:rPr>
        <w:t>指标，预期目标值为减少，实际完成为100</w:t>
      </w:r>
      <w:r>
        <w:rPr>
          <w:rFonts w:hint="eastAsia"/>
          <w:color w:val="auto"/>
          <w:highlight w:val="none"/>
          <w:lang w:val="en-US" w:eastAsia="zh-CN"/>
        </w:rPr>
        <w:t>%。</w:t>
      </w:r>
    </w:p>
    <w:p>
      <w:pPr>
        <w:bidi w:val="0"/>
        <w:rPr>
          <w:rFonts w:hint="eastAsia"/>
          <w:b w:val="0"/>
          <w:bCs w:val="0"/>
          <w:color w:val="auto"/>
          <w:highlight w:val="none"/>
          <w:lang w:val="en-US" w:eastAsia="zh-CN"/>
        </w:rPr>
      </w:pPr>
      <w:r>
        <w:rPr>
          <w:rFonts w:hint="eastAsia"/>
          <w:b w:val="0"/>
          <w:bCs w:val="0"/>
          <w:color w:val="auto"/>
          <w:highlight w:val="none"/>
          <w:lang w:val="en-US" w:eastAsia="zh-CN"/>
        </w:rPr>
        <w:t>通过项目的实施，有效开采非常规天然气抽采量，提高非常规天然气利用量和非天然气利用率，有效减少温室气体排放。</w:t>
      </w:r>
    </w:p>
    <w:p>
      <w:pPr>
        <w:bidi w:val="0"/>
        <w:rPr>
          <w:rFonts w:hint="eastAsia"/>
          <w:color w:val="auto"/>
          <w:highlight w:val="none"/>
          <w:lang w:val="en-US" w:eastAsia="zh-CN"/>
        </w:rPr>
      </w:pPr>
      <w:r>
        <w:rPr>
          <w:rFonts w:hint="eastAsia"/>
          <w:b/>
          <w:bCs/>
          <w:color w:val="auto"/>
          <w:highlight w:val="none"/>
          <w:lang w:val="en-US" w:eastAsia="zh-CN"/>
        </w:rPr>
        <w:t>综上，该项指标满分15分，得分15分。</w:t>
      </w:r>
    </w:p>
    <w:p>
      <w:pPr>
        <w:bidi w:val="0"/>
        <w:outlineLvl w:val="2"/>
        <w:rPr>
          <w:rFonts w:hint="eastAsia"/>
          <w:b/>
          <w:bCs/>
          <w:color w:val="auto"/>
          <w:highlight w:val="none"/>
          <w:lang w:val="en-US" w:eastAsia="zh-CN"/>
        </w:rPr>
      </w:pPr>
      <w:bookmarkStart w:id="78" w:name="_Toc3271"/>
      <w:r>
        <w:rPr>
          <w:rFonts w:hint="eastAsia"/>
          <w:b/>
          <w:bCs/>
          <w:color w:val="auto"/>
          <w:highlight w:val="none"/>
          <w:lang w:val="en-US" w:eastAsia="zh-CN"/>
        </w:rPr>
        <w:t>4.满意度指标</w:t>
      </w:r>
      <w:bookmarkEnd w:id="78"/>
    </w:p>
    <w:p>
      <w:pPr>
        <w:bidi w:val="0"/>
        <w:rPr>
          <w:rFonts w:hint="eastAsia"/>
          <w:b/>
          <w:bCs/>
          <w:color w:val="auto"/>
          <w:highlight w:val="none"/>
          <w:lang w:val="en-US" w:eastAsia="zh-CN"/>
        </w:rPr>
      </w:pPr>
      <w:r>
        <w:rPr>
          <w:rFonts w:hint="eastAsia"/>
          <w:color w:val="auto"/>
          <w:highlight w:val="none"/>
          <w:lang w:eastAsia="zh-CN"/>
        </w:rPr>
        <w:t>“</w:t>
      </w:r>
      <w:r>
        <w:rPr>
          <w:rFonts w:hint="eastAsia"/>
          <w:color w:val="auto"/>
          <w:highlight w:val="none"/>
          <w:lang w:val="en-US" w:eastAsia="zh-CN"/>
        </w:rPr>
        <w:t>项目实施地周边群众满意度</w:t>
      </w:r>
      <w:r>
        <w:rPr>
          <w:rFonts w:hint="eastAsia"/>
          <w:color w:val="auto"/>
          <w:highlight w:val="none"/>
          <w:lang w:eastAsia="zh-CN"/>
        </w:rPr>
        <w:t>”</w:t>
      </w:r>
      <w:r>
        <w:rPr>
          <w:rFonts w:hint="eastAsia"/>
          <w:color w:val="auto"/>
          <w:highlight w:val="none"/>
          <w:lang w:val="en-US" w:eastAsia="zh-CN"/>
        </w:rPr>
        <w:t>指标，预期目标值为＞90%，实际完成为97.5%，实际完成率100%。</w:t>
      </w:r>
    </w:p>
    <w:p>
      <w:pPr>
        <w:bidi w:val="0"/>
        <w:rPr>
          <w:rFonts w:hint="eastAsia"/>
          <w:b/>
          <w:bCs/>
          <w:color w:val="auto"/>
          <w:highlight w:val="none"/>
          <w:lang w:val="en-US" w:eastAsia="zh-CN"/>
        </w:rPr>
      </w:pPr>
      <w:r>
        <w:rPr>
          <w:rFonts w:hint="eastAsia"/>
          <w:b/>
          <w:bCs/>
          <w:color w:val="auto"/>
          <w:highlight w:val="none"/>
          <w:lang w:val="en-US" w:eastAsia="zh-CN"/>
        </w:rPr>
        <w:t>综上，该项指标满分15分，得分15分。</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79" w:name="_Toc19962"/>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五、预算执行进度与指标偏差</w:t>
      </w:r>
      <w:bookmarkEnd w:id="79"/>
    </w:p>
    <w:p>
      <w:pPr>
        <w:pStyle w:val="5"/>
        <w:numPr>
          <w:ilvl w:val="0"/>
          <w:numId w:val="0"/>
        </w:numPr>
        <w:ind w:firstLine="560" w:firstLineChars="200"/>
        <w:rPr>
          <w:rFonts w:hint="eastAsia" w:ascii="宋体" w:hAnsi="宋体" w:eastAsia="宋体" w:cs="仿宋_GB2312"/>
          <w:b w:val="0"/>
          <w:bCs w:val="0"/>
          <w:color w:val="auto"/>
          <w:kern w:val="2"/>
          <w:sz w:val="28"/>
          <w:szCs w:val="28"/>
          <w:highlight w:val="none"/>
          <w:lang w:val="en-US" w:eastAsia="zh-CN" w:bidi="ar-SA"/>
        </w:rPr>
      </w:pPr>
      <w:r>
        <w:rPr>
          <w:rFonts w:hint="eastAsia" w:cs="仿宋_GB2312"/>
          <w:color w:val="000000" w:themeColor="text1"/>
          <w:sz w:val="28"/>
          <w:szCs w:val="28"/>
          <w:lang w:val="en-US" w:eastAsia="zh-CN"/>
          <w14:textFill>
            <w14:solidFill>
              <w14:schemeClr w14:val="tx1"/>
            </w14:solidFill>
          </w14:textFill>
        </w:rPr>
        <w:t>该</w:t>
      </w:r>
      <w:r>
        <w:rPr>
          <w:rFonts w:hint="eastAsia" w:cs="仿宋_GB2312"/>
          <w:color w:val="000000" w:themeColor="text1"/>
          <w:sz w:val="28"/>
          <w:szCs w:val="28"/>
          <w:lang w:eastAsia="zh-CN"/>
          <w14:textFill>
            <w14:solidFill>
              <w14:schemeClr w14:val="tx1"/>
            </w14:solidFill>
          </w14:textFill>
        </w:rPr>
        <w:t>项目预算资</w:t>
      </w:r>
      <w:r>
        <w:rPr>
          <w:rFonts w:hint="eastAsia" w:cs="仿宋_GB2312"/>
          <w:b w:val="0"/>
          <w:bCs w:val="0"/>
          <w:color w:val="auto"/>
          <w:sz w:val="28"/>
          <w:szCs w:val="28"/>
          <w:highlight w:val="none"/>
          <w:lang w:eastAsia="zh-CN"/>
        </w:rPr>
        <w:t>金总额为</w:t>
      </w:r>
      <w:r>
        <w:rPr>
          <w:rFonts w:hint="eastAsia"/>
          <w:b w:val="0"/>
          <w:bCs w:val="0"/>
          <w:color w:val="auto"/>
          <w:highlight w:val="none"/>
          <w:lang w:val="en-US" w:eastAsia="zh-CN"/>
        </w:rPr>
        <w:t>615</w:t>
      </w:r>
      <w:r>
        <w:rPr>
          <w:rFonts w:hint="eastAsia" w:cs="仿宋_GB2312"/>
          <w:b w:val="0"/>
          <w:bCs w:val="0"/>
          <w:color w:val="auto"/>
          <w:sz w:val="28"/>
          <w:szCs w:val="28"/>
          <w:highlight w:val="none"/>
          <w:lang w:val="en-US" w:eastAsia="zh-CN"/>
        </w:rPr>
        <w:t>万元，全年执行数为</w:t>
      </w:r>
      <w:r>
        <w:rPr>
          <w:rFonts w:hint="eastAsia"/>
          <w:b w:val="0"/>
          <w:bCs w:val="0"/>
          <w:color w:val="auto"/>
          <w:highlight w:val="none"/>
          <w:lang w:val="en-US" w:eastAsia="zh-CN"/>
        </w:rPr>
        <w:t>615</w:t>
      </w:r>
      <w:r>
        <w:rPr>
          <w:rFonts w:hint="eastAsia" w:cs="仿宋_GB2312"/>
          <w:b w:val="0"/>
          <w:bCs w:val="0"/>
          <w:color w:val="auto"/>
          <w:sz w:val="28"/>
          <w:szCs w:val="28"/>
          <w:highlight w:val="none"/>
          <w:lang w:val="en-US" w:eastAsia="zh-CN"/>
        </w:rPr>
        <w:t>万元，预算执行率为</w:t>
      </w:r>
      <w:r>
        <w:rPr>
          <w:rFonts w:hint="eastAsia"/>
          <w:b w:val="0"/>
          <w:bCs w:val="0"/>
          <w:color w:val="auto"/>
          <w:highlight w:val="none"/>
          <w:lang w:val="en-US" w:eastAsia="zh-CN"/>
        </w:rPr>
        <w:t>100</w:t>
      </w:r>
      <w:r>
        <w:rPr>
          <w:rFonts w:hint="eastAsia" w:cs="仿宋_GB2312"/>
          <w:b w:val="0"/>
          <w:bCs w:val="0"/>
          <w:color w:val="auto"/>
          <w:sz w:val="28"/>
          <w:szCs w:val="28"/>
          <w:highlight w:val="none"/>
          <w:lang w:val="en-US" w:eastAsia="zh-CN"/>
        </w:rPr>
        <w:t>%，</w:t>
      </w:r>
      <w:r>
        <w:rPr>
          <w:rFonts w:hint="eastAsia" w:cs="仿宋_GB2312"/>
          <w:b w:val="0"/>
          <w:bCs w:val="0"/>
          <w:color w:val="auto"/>
          <w:sz w:val="28"/>
          <w:szCs w:val="28"/>
          <w:highlight w:val="none"/>
          <w:lang w:eastAsia="zh-CN"/>
        </w:rPr>
        <w:t>总体完成率为</w:t>
      </w:r>
      <w:r>
        <w:rPr>
          <w:rFonts w:hint="eastAsia"/>
          <w:b w:val="0"/>
          <w:bCs w:val="0"/>
          <w:color w:val="auto"/>
          <w:highlight w:val="none"/>
          <w:lang w:val="en-US" w:eastAsia="zh-CN"/>
        </w:rPr>
        <w:t>97.23</w:t>
      </w:r>
      <w:r>
        <w:rPr>
          <w:rFonts w:hint="eastAsia" w:cs="仿宋_GB2312"/>
          <w:b w:val="0"/>
          <w:bCs w:val="0"/>
          <w:color w:val="auto"/>
          <w:sz w:val="28"/>
          <w:szCs w:val="28"/>
          <w:highlight w:val="none"/>
          <w:lang w:val="zh-TW" w:eastAsia="zh-TW"/>
        </w:rPr>
        <w:t>%。</w:t>
      </w:r>
      <w:r>
        <w:rPr>
          <w:rFonts w:hint="eastAsia" w:cs="仿宋_GB2312"/>
          <w:b w:val="0"/>
          <w:bCs w:val="0"/>
          <w:color w:val="auto"/>
          <w:sz w:val="28"/>
          <w:szCs w:val="28"/>
          <w:highlight w:val="none"/>
          <w:lang w:val="en-US" w:eastAsia="zh-CN"/>
        </w:rPr>
        <w:t>预算执行率与总体完成率之间的偏差为</w:t>
      </w:r>
      <w:r>
        <w:rPr>
          <w:rFonts w:hint="eastAsia"/>
          <w:b w:val="0"/>
          <w:bCs w:val="0"/>
          <w:color w:val="auto"/>
          <w:highlight w:val="none"/>
          <w:lang w:val="en-US" w:eastAsia="zh-CN"/>
        </w:rPr>
        <w:t>2.77</w:t>
      </w:r>
      <w:r>
        <w:rPr>
          <w:rFonts w:hint="eastAsia" w:cs="仿宋_GB2312"/>
          <w:b w:val="0"/>
          <w:bCs w:val="0"/>
          <w:color w:val="auto"/>
          <w:sz w:val="28"/>
          <w:szCs w:val="28"/>
          <w:highlight w:val="none"/>
          <w:lang w:val="en-US" w:eastAsia="zh-CN"/>
        </w:rPr>
        <w:t>%</w:t>
      </w:r>
      <w:r>
        <w:rPr>
          <w:rFonts w:hint="eastAsia" w:cs="仿宋_GB2312"/>
          <w:b w:val="0"/>
          <w:bCs w:val="0"/>
          <w:color w:val="auto"/>
          <w:kern w:val="2"/>
          <w:sz w:val="28"/>
          <w:szCs w:val="28"/>
          <w:highlight w:val="none"/>
          <w:lang w:val="en-US" w:eastAsia="zh-CN" w:bidi="ar-SA"/>
        </w:rPr>
        <w:t>。</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0" w:name="_Toc29934"/>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六、主要经验及做法、存在的问题及原因分析</w:t>
      </w:r>
      <w:bookmarkEnd w:id="80"/>
    </w:p>
    <w:p>
      <w:pPr>
        <w:numPr>
          <w:ilvl w:val="0"/>
          <w:numId w:val="0"/>
        </w:numPr>
        <w:bidi w:val="0"/>
        <w:ind w:left="560" w:leftChars="0"/>
        <w:outlineLvl w:val="1"/>
        <w:rPr>
          <w:rFonts w:hint="eastAsia"/>
          <w:b/>
          <w:bCs/>
          <w:lang w:eastAsia="zh-CN"/>
        </w:rPr>
      </w:pPr>
      <w:bookmarkStart w:id="81" w:name="_Toc13160"/>
      <w:bookmarkStart w:id="82" w:name="_Toc1921"/>
      <w:bookmarkStart w:id="83" w:name="_Toc28290"/>
      <w:r>
        <w:rPr>
          <w:rFonts w:hint="eastAsia"/>
          <w:b/>
          <w:bCs/>
          <w:lang w:eastAsia="zh-CN"/>
        </w:rPr>
        <w:t>（</w:t>
      </w:r>
      <w:r>
        <w:rPr>
          <w:rFonts w:hint="eastAsia"/>
          <w:b/>
          <w:bCs/>
          <w:lang w:val="en-US" w:eastAsia="zh-CN"/>
        </w:rPr>
        <w:t>一</w:t>
      </w:r>
      <w:r>
        <w:rPr>
          <w:rFonts w:hint="eastAsia"/>
          <w:b/>
          <w:bCs/>
          <w:lang w:eastAsia="zh-CN"/>
        </w:rPr>
        <w:t>）</w:t>
      </w:r>
      <w:r>
        <w:rPr>
          <w:rFonts w:hint="eastAsia"/>
          <w:b/>
          <w:bCs/>
        </w:rPr>
        <w:t>主要经验及做法</w:t>
      </w:r>
      <w:bookmarkEnd w:id="81"/>
    </w:p>
    <w:p>
      <w:pPr>
        <w:bidi w:val="0"/>
        <w:rPr>
          <w:rFonts w:hint="eastAsia"/>
          <w:color w:val="auto"/>
          <w:lang w:eastAsia="zh-CN"/>
        </w:rPr>
      </w:pPr>
      <w:r>
        <w:rPr>
          <w:rFonts w:hint="eastAsia"/>
          <w:color w:val="auto"/>
          <w:lang w:val="en-US" w:eastAsia="zh-CN"/>
        </w:rPr>
        <w:t>2023年清洁能源发展专项资金科林思德项目</w:t>
      </w:r>
      <w:r>
        <w:rPr>
          <w:rFonts w:hint="eastAsia"/>
          <w:color w:val="auto"/>
          <w:lang w:eastAsia="zh-CN"/>
        </w:rPr>
        <w:t>20</w:t>
      </w:r>
      <w:r>
        <w:rPr>
          <w:rFonts w:hint="eastAsia"/>
          <w:color w:val="auto"/>
          <w:lang w:val="en-US" w:eastAsia="zh-CN"/>
        </w:rPr>
        <w:t>23</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615</w:t>
      </w:r>
      <w:r>
        <w:rPr>
          <w:rFonts w:hint="eastAsia"/>
          <w:color w:val="auto"/>
          <w:lang w:eastAsia="zh-CN"/>
        </w:rPr>
        <w:t>万元，</w:t>
      </w:r>
      <w:r>
        <w:rPr>
          <w:rFonts w:hint="eastAsia"/>
          <w:color w:val="auto"/>
          <w:lang w:val="en-US" w:eastAsia="zh-CN"/>
        </w:rPr>
        <w:t>截至2023年12月31日共</w:t>
      </w:r>
      <w:r>
        <w:rPr>
          <w:rFonts w:hint="eastAsia"/>
          <w:color w:val="auto"/>
          <w:lang w:eastAsia="zh-CN"/>
        </w:rPr>
        <w:t>支出</w:t>
      </w:r>
      <w:r>
        <w:rPr>
          <w:rFonts w:hint="eastAsia"/>
          <w:color w:val="auto"/>
          <w:lang w:val="en-US" w:eastAsia="zh-CN"/>
        </w:rPr>
        <w:t>615</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100</w:t>
      </w:r>
      <w:r>
        <w:rPr>
          <w:rFonts w:hint="eastAsia"/>
          <w:color w:val="auto"/>
          <w:lang w:eastAsia="zh-CN"/>
        </w:rPr>
        <w:t>%。</w:t>
      </w:r>
    </w:p>
    <w:p>
      <w:pPr>
        <w:bidi w:val="0"/>
        <w:rPr>
          <w:rFonts w:hint="eastAsia"/>
          <w:lang w:eastAsia="zh-CN"/>
        </w:rPr>
      </w:pPr>
      <w:r>
        <w:rPr>
          <w:rFonts w:hint="eastAsia"/>
          <w:color w:val="auto"/>
          <w:lang w:val="en-US" w:eastAsia="zh-CN"/>
        </w:rPr>
        <w:t>阜康市发改委单位</w:t>
      </w:r>
      <w:r>
        <w:rPr>
          <w:rFonts w:hint="eastAsia"/>
          <w:color w:val="auto"/>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lang w:val="en-US" w:eastAsia="zh-CN"/>
        </w:rPr>
        <w:t>阜康市发改委单位</w:t>
      </w:r>
      <w:r>
        <w:rPr>
          <w:rFonts w:hint="eastAsia"/>
          <w:color w:val="auto"/>
          <w:lang w:eastAsia="zh-CN"/>
        </w:rPr>
        <w:t>事业发展中关</w:t>
      </w:r>
      <w:r>
        <w:rPr>
          <w:rFonts w:hint="eastAsia"/>
          <w:lang w:eastAsia="zh-CN"/>
        </w:rPr>
        <w:t>系民生与稳定的项目，切实优化资源配置，提高了资金使用的效率和效果。</w:t>
      </w:r>
    </w:p>
    <w:bookmarkEnd w:id="82"/>
    <w:bookmarkEnd w:id="83"/>
    <w:p>
      <w:pPr>
        <w:bidi w:val="0"/>
        <w:outlineLvl w:val="1"/>
        <w:rPr>
          <w:rFonts w:hint="eastAsia"/>
          <w:b/>
          <w:bCs/>
          <w:lang w:eastAsia="zh-CN"/>
        </w:rPr>
      </w:pPr>
      <w:bookmarkStart w:id="84" w:name="_Toc9582"/>
      <w:r>
        <w:rPr>
          <w:rFonts w:hint="eastAsia"/>
          <w:b/>
          <w:bCs/>
          <w:lang w:eastAsia="zh-CN"/>
        </w:rPr>
        <w:t>（</w:t>
      </w:r>
      <w:r>
        <w:rPr>
          <w:rFonts w:hint="eastAsia"/>
          <w:b/>
          <w:bCs/>
          <w:lang w:val="en-US" w:eastAsia="zh-CN"/>
        </w:rPr>
        <w:t>二</w:t>
      </w:r>
      <w:r>
        <w:rPr>
          <w:rFonts w:hint="eastAsia"/>
          <w:b/>
          <w:bCs/>
          <w:lang w:eastAsia="zh-CN"/>
        </w:rPr>
        <w:t>）</w:t>
      </w:r>
      <w:r>
        <w:rPr>
          <w:rFonts w:hint="eastAsia"/>
          <w:b/>
          <w:bCs/>
        </w:rPr>
        <w:t>存在的问题及原因分析</w:t>
      </w:r>
      <w:bookmarkEnd w:id="84"/>
    </w:p>
    <w:p>
      <w:pPr>
        <w:bidi w:val="0"/>
        <w:ind w:left="0" w:leftChars="0" w:firstLine="560" w:firstLineChars="200"/>
        <w:rPr>
          <w:rFonts w:hint="eastAsia"/>
          <w:color w:val="auto"/>
          <w:highlight w:val="none"/>
          <w:lang w:val="en-US" w:eastAsia="zh-CN"/>
        </w:rPr>
      </w:pPr>
      <w:r>
        <w:rPr>
          <w:rFonts w:hint="eastAsia"/>
          <w:color w:val="auto"/>
          <w:highlight w:val="none"/>
          <w:lang w:val="en-US" w:eastAsia="zh-CN"/>
        </w:rPr>
        <w:t>1.绩效指标值设置不够严谨，设置指标值之前未能严格做好项目实施预算，未精准预计项目实施情况。</w:t>
      </w:r>
    </w:p>
    <w:p>
      <w:pPr>
        <w:bidi w:val="0"/>
        <w:ind w:left="0" w:leftChars="0" w:firstLine="560" w:firstLineChars="200"/>
        <w:rPr>
          <w:rFonts w:hint="default"/>
          <w:highlight w:val="none"/>
          <w:lang w:val="en-US" w:eastAsia="zh-CN"/>
        </w:rPr>
      </w:pPr>
      <w:r>
        <w:rPr>
          <w:rFonts w:hint="eastAsia"/>
          <w:color w:val="auto"/>
          <w:highlight w:val="none"/>
          <w:lang w:val="en-US" w:eastAsia="zh-CN"/>
        </w:rPr>
        <w:t>2.项目组织实施保障工作不到位，2023年初部分生产井故障但因检修工器具及物资未如期到场，延后检泵周期，同时老井产量逐年递减，致使抽采量下降，抽采量低，2023年新井施工过程影响抽采量，因阜康矿区地质复杂，煤层渗透性强，断层分布广，新井施工易与老井连通，导致老井产量突降致使抽采量下降。</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5" w:name="_Toc523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七、有关建议</w:t>
      </w:r>
      <w:bookmarkEnd w:id="85"/>
    </w:p>
    <w:p>
      <w:pPr>
        <w:bidi w:val="0"/>
        <w:ind w:left="0" w:leftChars="0" w:firstLine="560" w:firstLineChars="200"/>
        <w:rPr>
          <w:rFonts w:hint="eastAsia"/>
          <w:color w:val="auto"/>
          <w:highlight w:val="none"/>
          <w:lang w:val="en-US" w:eastAsia="zh-CN"/>
        </w:rPr>
      </w:pPr>
      <w:bookmarkStart w:id="86" w:name="_Toc15618"/>
      <w:r>
        <w:rPr>
          <w:rFonts w:hint="eastAsia"/>
          <w:color w:val="auto"/>
          <w:highlight w:val="none"/>
          <w:lang w:val="en-US" w:eastAsia="zh-CN"/>
        </w:rPr>
        <w:t>（一）在项目前期应做好相关预算，能够精准预计项目实施的具体情况，根据预算做好相关绩效指标设置。</w:t>
      </w:r>
    </w:p>
    <w:p>
      <w:pPr>
        <w:bidi w:val="0"/>
        <w:ind w:left="0" w:leftChars="0" w:firstLine="560" w:firstLineChars="200"/>
        <w:rPr>
          <w:rFonts w:hint="default"/>
          <w:highlight w:val="none"/>
          <w:lang w:val="en-US" w:eastAsia="zh-CN"/>
        </w:rPr>
      </w:pPr>
      <w:r>
        <w:rPr>
          <w:rFonts w:hint="eastAsia"/>
          <w:color w:val="auto"/>
          <w:highlight w:val="none"/>
          <w:lang w:val="en-US" w:eastAsia="zh-CN"/>
        </w:rPr>
        <w:t>（二）项目组织实施保障应充分考虑各项有可能影响项目实施的因素，做好项目实施保障工作，争取在项目实施过程能够保质保量的按期完成项目进度。</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八、其他需要说明的问题</w:t>
      </w:r>
      <w:bookmarkEnd w:id="86"/>
    </w:p>
    <w:p>
      <w:pPr>
        <w:bidi w:val="0"/>
        <w:rPr>
          <w:rFonts w:hint="default" w:ascii="宋体" w:hAnsi="宋体" w:eastAsia="宋体" w:cs="宋体"/>
          <w:lang w:val="en-US" w:eastAsia="zh-CN"/>
        </w:rPr>
      </w:pPr>
      <w:r>
        <w:rPr>
          <w:rFonts w:hint="eastAsia" w:ascii="宋体" w:hAnsi="宋体" w:eastAsia="宋体" w:cs="宋体"/>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cs="宋体"/>
          <w:color w:val="000000" w:themeColor="text1"/>
          <w:highlight w:val="none"/>
          <w:shd w:val="clear" w:color="auto" w:fill="auto"/>
          <w:lang w:val="en-US" w:eastAsia="zh-CN"/>
          <w14:textFill>
            <w14:solidFill>
              <w14:schemeClr w14:val="tx1"/>
            </w14:solidFill>
          </w14:textFill>
        </w:rPr>
      </w:pPr>
    </w:p>
    <w:p>
      <w:pPr>
        <w:ind w:left="0" w:leftChars="0" w:firstLine="0" w:firstLineChars="0"/>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sectPr>
          <w:footerReference r:id="rId5" w:type="default"/>
          <w:pgSz w:w="11906" w:h="16838"/>
          <w:pgMar w:top="1440" w:right="1800" w:bottom="1440" w:left="1800"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bookmarkStart w:id="87" w:name="_Toc11349"/>
    </w:p>
    <w:p>
      <w:pPr>
        <w:ind w:left="0" w:leftChars="0" w:firstLine="0" w:firstLineChars="0"/>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bookmarkEnd w:id="87"/>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7"/>
        <w:gridCol w:w="708"/>
        <w:gridCol w:w="920"/>
        <w:gridCol w:w="1190"/>
        <w:gridCol w:w="864"/>
        <w:gridCol w:w="930"/>
        <w:gridCol w:w="931"/>
        <w:gridCol w:w="725"/>
        <w:gridCol w:w="938"/>
        <w:gridCol w:w="1127"/>
        <w:gridCol w:w="1079"/>
        <w:gridCol w:w="1027"/>
        <w:gridCol w:w="865"/>
        <w:gridCol w:w="2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l2br w:val="nil"/>
              <w:tr2bl w:val="nil"/>
            </w:tcBorders>
            <w:shd w:val="clear" w:color="auto" w:fill="auto"/>
            <w:vAlign w:val="center"/>
          </w:tcPr>
          <w:p>
            <w:pPr>
              <w:keepNext w:val="0"/>
              <w:keepLines w:val="0"/>
              <w:widowControl/>
              <w:suppressLineNumbers w:val="0"/>
              <w:ind w:firstLine="803"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l2br w:val="nil"/>
              <w:tr2bl w:val="nil"/>
            </w:tcBorders>
            <w:shd w:val="clear" w:color="auto" w:fill="auto"/>
            <w:vAlign w:val="center"/>
          </w:tcPr>
          <w:p>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15" w:type="dxa"/>
            <w:gridSpan w:val="2"/>
            <w:tcBorders>
              <w:top w:val="single" w:color="auto" w:sz="4" w:space="0"/>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759" w:type="dxa"/>
            <w:gridSpan w:val="12"/>
            <w:tcBorders>
              <w:top w:val="single" w:color="auto" w:sz="4" w:space="0"/>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2023年清洁能源发展专项资金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15"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835"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阜康市发展和改革委员会</w:t>
            </w:r>
          </w:p>
        </w:tc>
        <w:tc>
          <w:tcPr>
            <w:tcW w:w="1663"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6261"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阜康市发展和改革委员会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15" w:type="dxa"/>
            <w:gridSpan w:val="2"/>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110"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861"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663"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206"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1892"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216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15"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10"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615.00 </w:t>
            </w:r>
          </w:p>
        </w:tc>
        <w:tc>
          <w:tcPr>
            <w:tcW w:w="1861"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615.00 </w:t>
            </w:r>
          </w:p>
        </w:tc>
        <w:tc>
          <w:tcPr>
            <w:tcW w:w="1663"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615.00 </w:t>
            </w:r>
          </w:p>
        </w:tc>
        <w:tc>
          <w:tcPr>
            <w:tcW w:w="2206"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92"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6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15"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10"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615.00 </w:t>
            </w:r>
          </w:p>
        </w:tc>
        <w:tc>
          <w:tcPr>
            <w:tcW w:w="1861"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615.00 </w:t>
            </w:r>
          </w:p>
        </w:tc>
        <w:tc>
          <w:tcPr>
            <w:tcW w:w="1663"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615.00 </w:t>
            </w:r>
          </w:p>
        </w:tc>
        <w:tc>
          <w:tcPr>
            <w:tcW w:w="2206"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2"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1415"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10"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61"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663"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06"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2"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6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707"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206" w:type="dxa"/>
            <w:gridSpan w:val="8"/>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6261"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40" w:hRule="atLeast"/>
        </w:trPr>
        <w:tc>
          <w:tcPr>
            <w:tcW w:w="707"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6" w:type="dxa"/>
            <w:gridSpan w:val="8"/>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发展和改革委员会负责研究提出能源发展战略、规划，贯彻发展能源工业的方针政策，负责能源安全监督管理及行业管理和安全生产检查监督管理工作。要求新疆科林思德新能源有限责任公司单位2023年预计完成非常规天然气开采利用量4942万m³,采暖季非常规天然气利用量占全年比例大于30%，非常规天然气开采利用率大于88%，非常规天然气抽采量5103万m³，项目的实施预计达到减少温室气体排放。</w:t>
            </w:r>
          </w:p>
        </w:tc>
        <w:tc>
          <w:tcPr>
            <w:tcW w:w="6261"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完成非常规天然气开采利用量4374.92万m³,采暖季非常规天然气利用量占全年比例34.27%，非常规天然气开采利用率99.02%，非常规天然气抽采量4418.22万m³，项目的实施达到减少温室气体排放4374.92万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707"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2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216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0" w:hRule="atLeast"/>
        </w:trPr>
        <w:tc>
          <w:tcPr>
            <w:tcW w:w="707"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08"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20"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非常规天然气开采利用量</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≥4942万立方米</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4286.31万立方米</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4374.92万立方米</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88.53%</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7.13 </w:t>
            </w:r>
          </w:p>
        </w:tc>
        <w:tc>
          <w:tcPr>
            <w:tcW w:w="216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因抽采量降低，故导致抽采利用量未完成指标值；下一步措施：加大勘探开发，利用新开发区域增加产能贡献，确保如期完成指标值。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707"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采暖季非常规天然气利用量占全年比例</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34.27%</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6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707"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非常规天然气开采利用率</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历史标准</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97.90%</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99.02%</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6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60" w:hRule="atLeast"/>
        </w:trPr>
        <w:tc>
          <w:tcPr>
            <w:tcW w:w="707"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非常规天然气抽采量</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≥5103万立方米</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历史标准</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4378.32万立方米</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4418.22万立方米</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86.58%</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 </w:t>
            </w:r>
          </w:p>
        </w:tc>
        <w:tc>
          <w:tcPr>
            <w:tcW w:w="216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要原因是2023年初部分生产井故障但因检修工器具及物资未如期到场，延后检泵周期，同时老井产量逐年递减，致使抽采量下降。下一步措施：增加物资库存，防范应对各类突发状况；同时加大勘探开发，利用新开发区域增加产能贡献。2.2023年新井施工过程影响抽采量，因阜康矿区地质复杂，煤层渗透性强，断层分布广，新井施工易与老井连通，导致老井产量突降致使抽采量下降。下一步措施：针对受新井施工影响的井，与行业专家交流合作制定可行性施工方案恢复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707"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非常规天然气检测合格率</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正式资料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6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707"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非常规天然气月度盘点及时率</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6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707"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非常规天然气设备维护保养率</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95.62%</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96.42%</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63"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707"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l2br w:val="nil"/>
              <w:tr2bl w:val="nil"/>
            </w:tcBorders>
            <w:shd w:val="clear" w:color="auto" w:fill="auto"/>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2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减少温室气体排放</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其他标准</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减少排放4286.31万立方米</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6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707"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2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项目实施地周边群众满意度</w:t>
            </w:r>
          </w:p>
        </w:tc>
        <w:tc>
          <w:tcPr>
            <w:tcW w:w="8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1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02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6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3525" w:type="dxa"/>
            <w:gridSpan w:val="4"/>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8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l2br w:val="nil"/>
              <w:tr2bl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931"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3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7"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1079"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1027"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865"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95.35 </w:t>
            </w:r>
          </w:p>
        </w:tc>
        <w:tc>
          <w:tcPr>
            <w:tcW w:w="2163"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2"/>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p>
    <w:p>
      <w:pPr>
        <w:rPr>
          <w:rFonts w:hint="default"/>
          <w:lang w:val="en-US" w:eastAsia="zh-CN"/>
        </w:rPr>
        <w:sectPr>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p>
    <w:p>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8" w:name="_Toc15067"/>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8"/>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948"/>
        <w:gridCol w:w="2013"/>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948"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013"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决策　</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项目立项　</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立项依据</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充分性</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项目立项是否符合法律法规、相关政策、发展规划以及部门职责，用以反映和考核项目立项依据情况。</w:t>
            </w:r>
          </w:p>
        </w:tc>
        <w:tc>
          <w:tcPr>
            <w:tcW w:w="7821"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40"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立项程序</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规范性</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项目申请、设立过程是否符合相关要求，用以反映和考核项目立项的规范情况。</w:t>
            </w:r>
          </w:p>
        </w:tc>
        <w:tc>
          <w:tcPr>
            <w:tcW w:w="7821"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pPr>
              <w:widowControl/>
              <w:spacing w:line="0" w:lineRule="atLeast"/>
              <w:ind w:firstLine="0" w:firstLineChars="0"/>
              <w:jc w:val="left"/>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绩效目标　</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绩效目标</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合理性</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项目所设定的绩效目标是否依据充分，是否符合客观实际，用以反映和考核项目绩效目标与项目实施的相符情况。</w:t>
            </w:r>
          </w:p>
        </w:tc>
        <w:tc>
          <w:tcPr>
            <w:tcW w:w="7821"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决策　</w:t>
            </w: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绩效目标</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绩效指标</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明确性</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依据绩效目标设定的绩效指标是否清晰、细化、可衡量等，用以反映和考核项目绩效目标的明细化情况。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资金投入</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预算编制</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科学性</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6"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资金分配</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合理性</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15" w:hRule="atLeast"/>
          <w:jc w:val="center"/>
        </w:trPr>
        <w:tc>
          <w:tcPr>
            <w:tcW w:w="861" w:type="dxa"/>
            <w:vMerge w:val="restart"/>
            <w:shd w:val="clear" w:color="auto" w:fill="auto"/>
            <w:noWrap w:val="0"/>
            <w:vAlign w:val="center"/>
          </w:tcPr>
          <w:p>
            <w:pPr>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过程</w:t>
            </w:r>
          </w:p>
        </w:tc>
        <w:tc>
          <w:tcPr>
            <w:tcW w:w="727" w:type="dxa"/>
            <w:vMerge w:val="restart"/>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资金管理</w:t>
            </w:r>
          </w:p>
        </w:tc>
        <w:tc>
          <w:tcPr>
            <w:tcW w:w="948"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资金到位率</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实际到位资金与预算资金的比率，用以反映和考核资金落实情况对项目实施的总体保障程度。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20" w:hRule="atLeast"/>
          <w:jc w:val="center"/>
        </w:trPr>
        <w:tc>
          <w:tcPr>
            <w:tcW w:w="861" w:type="dxa"/>
            <w:vMerge w:val="continue"/>
            <w:shd w:val="clear" w:color="auto" w:fill="auto"/>
            <w:noWrap w:val="0"/>
            <w:vAlign w:val="center"/>
          </w:tcPr>
          <w:p>
            <w:pPr>
              <w:spacing w:line="0" w:lineRule="atLeast"/>
              <w:ind w:firstLine="0" w:firstLineChars="0"/>
              <w:jc w:val="center"/>
              <w:rPr>
                <w:rFonts w:hint="eastAsia" w:ascii="宋体" w:hAnsi="宋体" w:eastAsia="宋体" w:cs="宋体"/>
                <w:color w:val="auto"/>
                <w:kern w:val="0"/>
                <w:sz w:val="22"/>
                <w:szCs w:val="22"/>
              </w:rPr>
            </w:pPr>
          </w:p>
        </w:tc>
        <w:tc>
          <w:tcPr>
            <w:tcW w:w="727" w:type="dxa"/>
            <w:vMerge w:val="continue"/>
            <w:shd w:val="clear" w:color="auto" w:fill="auto"/>
            <w:noWrap w:val="0"/>
            <w:vAlign w:val="center"/>
          </w:tcPr>
          <w:p>
            <w:pPr>
              <w:spacing w:line="0" w:lineRule="atLeast"/>
              <w:ind w:firstLine="0" w:firstLineChars="0"/>
              <w:jc w:val="center"/>
              <w:rPr>
                <w:rFonts w:hint="eastAsia" w:ascii="宋体" w:hAnsi="宋体" w:eastAsia="宋体" w:cs="宋体"/>
                <w:color w:val="auto"/>
                <w:kern w:val="0"/>
                <w:sz w:val="22"/>
                <w:szCs w:val="22"/>
              </w:rPr>
            </w:pPr>
          </w:p>
        </w:tc>
        <w:tc>
          <w:tcPr>
            <w:tcW w:w="948"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预算执行率</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项目预算资金是否按照计划执行，用以反映或考核项目预算执行情况。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过程　</w:t>
            </w: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资金管理</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资金使用</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合规性</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项目资金使用是否符合相关的财务管理制度规定，用以反映和考核项目资金的规范运行情况。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组织实施</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管理制度</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健全性</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项目实施单位的财务和业务管理制度是否健全，用以反映和考核财务和业务管理制度对项目顺利实施的保障情况。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69"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制度执行</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有效性</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项目实施是否符合相关管理规定，用以反映和考核相关管理制度的有效执行情况。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产出数量</w:t>
            </w:r>
          </w:p>
        </w:tc>
        <w:tc>
          <w:tcPr>
            <w:tcW w:w="948"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非常规天然气开采利用量</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2.5</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w:t>
            </w: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产出数量</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采暖季非常规天然气利用量占全年比例</w:t>
            </w:r>
          </w:p>
        </w:tc>
        <w:tc>
          <w:tcPr>
            <w:tcW w:w="2013" w:type="dxa"/>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2.5</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w:t>
            </w: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产出数量</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非常规天然气开采利用率</w:t>
            </w:r>
          </w:p>
        </w:tc>
        <w:tc>
          <w:tcPr>
            <w:tcW w:w="2013" w:type="dxa"/>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2.5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w:t>
            </w: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产出数量</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非常规天然气抽采量</w:t>
            </w:r>
          </w:p>
        </w:tc>
        <w:tc>
          <w:tcPr>
            <w:tcW w:w="2013" w:type="dxa"/>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2.5</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产出质量</w:t>
            </w:r>
          </w:p>
        </w:tc>
        <w:tc>
          <w:tcPr>
            <w:tcW w:w="948"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非常规天然气检测合格率</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6"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948"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非常规天然气月度盘点及时率</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6"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yellow"/>
              </w:rPr>
            </w:pPr>
          </w:p>
        </w:tc>
        <w:tc>
          <w:tcPr>
            <w:tcW w:w="727" w:type="dxa"/>
            <w:shd w:val="clear" w:color="auto" w:fill="auto"/>
            <w:noWrap w:val="0"/>
            <w:vAlign w:val="center"/>
          </w:tcPr>
          <w:p>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非常规天然气设备维护保养率</w:t>
            </w:r>
          </w:p>
        </w:tc>
        <w:tc>
          <w:tcPr>
            <w:tcW w:w="2013" w:type="dxa"/>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yellow"/>
              </w:rPr>
            </w:pP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eastAsia="zh-CN"/>
              </w:rPr>
              <w:t>非常规天然气开采补贴费用</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yellow"/>
              </w:rPr>
            </w:pPr>
            <w:r>
              <w:rPr>
                <w:rFonts w:hint="eastAsia" w:ascii="宋体" w:hAnsi="宋体" w:eastAsia="宋体" w:cs="宋体"/>
                <w:color w:val="auto"/>
                <w:kern w:val="0"/>
                <w:sz w:val="22"/>
                <w:szCs w:val="22"/>
                <w:highlight w:val="none"/>
              </w:rPr>
              <w:t>效益　</w:t>
            </w: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项目效益　</w:t>
            </w:r>
          </w:p>
        </w:tc>
        <w:tc>
          <w:tcPr>
            <w:tcW w:w="948"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eastAsia="zh-CN"/>
              </w:rPr>
              <w:t>减少温室气体排放</w:t>
            </w:r>
          </w:p>
        </w:tc>
        <w:tc>
          <w:tcPr>
            <w:tcW w:w="2013" w:type="dxa"/>
            <w:shd w:val="clear" w:color="auto" w:fill="auto"/>
            <w:noWrap w:val="0"/>
            <w:vAlign w:val="center"/>
          </w:tcPr>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82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15</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37"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yellow"/>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948"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项目实施地周边群众满意度</w:t>
            </w:r>
          </w:p>
        </w:tc>
        <w:tc>
          <w:tcPr>
            <w:tcW w:w="2013" w:type="dxa"/>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社会公众或服务对象对项目实施效果的满意程度。</w:t>
            </w:r>
          </w:p>
        </w:tc>
        <w:tc>
          <w:tcPr>
            <w:tcW w:w="782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15</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合计</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p>
        </w:tc>
        <w:tc>
          <w:tcPr>
            <w:tcW w:w="785"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100</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99.2</w:t>
            </w:r>
          </w:p>
        </w:tc>
      </w:tr>
    </w:tbl>
    <w:p>
      <w:pPr>
        <w:spacing w:line="240" w:lineRule="auto"/>
        <w:ind w:firstLine="0" w:firstLineChars="0"/>
        <w:rPr>
          <w:rFonts w:ascii="Times New Roman" w:hAnsi="Times New Roman" w:eastAsia="仿宋_GB2312" w:cs="Times New Roman"/>
          <w:sz w:val="30"/>
          <w:szCs w:val="24"/>
        </w:rPr>
      </w:pPr>
    </w:p>
    <w:p>
      <w:pPr>
        <w:rPr>
          <w:rFonts w:hint="default"/>
          <w:lang w:val="en-US" w:eastAsia="zh-CN"/>
        </w:rPr>
      </w:pPr>
    </w:p>
    <w:sectPr>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2">
    <w:nsid w:val="6780CCB1"/>
    <w:multiLevelType w:val="singleLevel"/>
    <w:tmpl w:val="6780CCB1"/>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TY1Mjg5YTkwYTQzODE5MGVlMDdjY2YxMTFmODYifQ=="/>
  </w:docVars>
  <w:rsids>
    <w:rsidRoot w:val="68291A1A"/>
    <w:rsid w:val="000B6281"/>
    <w:rsid w:val="007D6A04"/>
    <w:rsid w:val="00E23C81"/>
    <w:rsid w:val="01253350"/>
    <w:rsid w:val="01282E62"/>
    <w:rsid w:val="014029CF"/>
    <w:rsid w:val="01470C4C"/>
    <w:rsid w:val="01E97347"/>
    <w:rsid w:val="02200440"/>
    <w:rsid w:val="02284B43"/>
    <w:rsid w:val="022A4AD2"/>
    <w:rsid w:val="02B015E2"/>
    <w:rsid w:val="02DC08FA"/>
    <w:rsid w:val="02FC0103"/>
    <w:rsid w:val="033B569D"/>
    <w:rsid w:val="03500FFB"/>
    <w:rsid w:val="035C6DF3"/>
    <w:rsid w:val="0374413D"/>
    <w:rsid w:val="039C3BA0"/>
    <w:rsid w:val="03A845BB"/>
    <w:rsid w:val="03B45AD1"/>
    <w:rsid w:val="04BD7D66"/>
    <w:rsid w:val="04D12EE4"/>
    <w:rsid w:val="04D63993"/>
    <w:rsid w:val="07575201"/>
    <w:rsid w:val="07890F4F"/>
    <w:rsid w:val="08892439"/>
    <w:rsid w:val="08EB30F3"/>
    <w:rsid w:val="09237408"/>
    <w:rsid w:val="09781BD6"/>
    <w:rsid w:val="09E85885"/>
    <w:rsid w:val="09F359DF"/>
    <w:rsid w:val="0A575E65"/>
    <w:rsid w:val="0ACA0AB6"/>
    <w:rsid w:val="0C032502"/>
    <w:rsid w:val="0C1464BD"/>
    <w:rsid w:val="0C27698C"/>
    <w:rsid w:val="0D2B7A64"/>
    <w:rsid w:val="0D4032E2"/>
    <w:rsid w:val="0D4452F3"/>
    <w:rsid w:val="0D9618A4"/>
    <w:rsid w:val="0ECF0DC1"/>
    <w:rsid w:val="0F5E5042"/>
    <w:rsid w:val="0FE95707"/>
    <w:rsid w:val="102C217E"/>
    <w:rsid w:val="10510571"/>
    <w:rsid w:val="10787A20"/>
    <w:rsid w:val="108672DE"/>
    <w:rsid w:val="10E421B1"/>
    <w:rsid w:val="10EC685A"/>
    <w:rsid w:val="11F928FC"/>
    <w:rsid w:val="11FA6155"/>
    <w:rsid w:val="12331667"/>
    <w:rsid w:val="127F665A"/>
    <w:rsid w:val="12852416"/>
    <w:rsid w:val="12CF0947"/>
    <w:rsid w:val="12F1313F"/>
    <w:rsid w:val="12F40DF6"/>
    <w:rsid w:val="136C678E"/>
    <w:rsid w:val="13EB2FF5"/>
    <w:rsid w:val="143F2545"/>
    <w:rsid w:val="15A46B04"/>
    <w:rsid w:val="165825BC"/>
    <w:rsid w:val="16BC5D73"/>
    <w:rsid w:val="16C92DBF"/>
    <w:rsid w:val="17414D1A"/>
    <w:rsid w:val="17677229"/>
    <w:rsid w:val="176F36D7"/>
    <w:rsid w:val="1795226D"/>
    <w:rsid w:val="18351C95"/>
    <w:rsid w:val="18456B1E"/>
    <w:rsid w:val="185540E5"/>
    <w:rsid w:val="18C354F3"/>
    <w:rsid w:val="19762565"/>
    <w:rsid w:val="19A17F9C"/>
    <w:rsid w:val="1A2975D8"/>
    <w:rsid w:val="1B576BD5"/>
    <w:rsid w:val="1C1171C5"/>
    <w:rsid w:val="1C3D7A9A"/>
    <w:rsid w:val="1C493F61"/>
    <w:rsid w:val="1C986C96"/>
    <w:rsid w:val="1D265138"/>
    <w:rsid w:val="1D5D5B3E"/>
    <w:rsid w:val="1D7B6BCA"/>
    <w:rsid w:val="1DA41A79"/>
    <w:rsid w:val="1DF53469"/>
    <w:rsid w:val="1E2F24F2"/>
    <w:rsid w:val="1E58492F"/>
    <w:rsid w:val="1E5B6757"/>
    <w:rsid w:val="1ED10AC6"/>
    <w:rsid w:val="1F89225F"/>
    <w:rsid w:val="1F900A1F"/>
    <w:rsid w:val="1FC0575D"/>
    <w:rsid w:val="202F346E"/>
    <w:rsid w:val="206132C7"/>
    <w:rsid w:val="21A11A6D"/>
    <w:rsid w:val="21B00C1D"/>
    <w:rsid w:val="21CC1034"/>
    <w:rsid w:val="23031BEB"/>
    <w:rsid w:val="23917691"/>
    <w:rsid w:val="244D65B8"/>
    <w:rsid w:val="24554986"/>
    <w:rsid w:val="245E1E24"/>
    <w:rsid w:val="25AD5E5D"/>
    <w:rsid w:val="264D50FA"/>
    <w:rsid w:val="27165388"/>
    <w:rsid w:val="2732478D"/>
    <w:rsid w:val="27661469"/>
    <w:rsid w:val="27900EAD"/>
    <w:rsid w:val="279B538A"/>
    <w:rsid w:val="286F545C"/>
    <w:rsid w:val="29314FBC"/>
    <w:rsid w:val="2AA902C1"/>
    <w:rsid w:val="2C024B86"/>
    <w:rsid w:val="2C927671"/>
    <w:rsid w:val="2CB055CD"/>
    <w:rsid w:val="2D513BA7"/>
    <w:rsid w:val="2D7C5CD6"/>
    <w:rsid w:val="2DA84860"/>
    <w:rsid w:val="2E483E7E"/>
    <w:rsid w:val="2E690493"/>
    <w:rsid w:val="2E9853FD"/>
    <w:rsid w:val="2E9854BD"/>
    <w:rsid w:val="2F0D407F"/>
    <w:rsid w:val="2F454B19"/>
    <w:rsid w:val="2F884949"/>
    <w:rsid w:val="304B7492"/>
    <w:rsid w:val="30B8300C"/>
    <w:rsid w:val="30BD6874"/>
    <w:rsid w:val="310224D9"/>
    <w:rsid w:val="31140231"/>
    <w:rsid w:val="31B4621C"/>
    <w:rsid w:val="31E3230A"/>
    <w:rsid w:val="32EB3B6C"/>
    <w:rsid w:val="330957E0"/>
    <w:rsid w:val="331F7372"/>
    <w:rsid w:val="33356F64"/>
    <w:rsid w:val="33944516"/>
    <w:rsid w:val="34931DC5"/>
    <w:rsid w:val="34B62907"/>
    <w:rsid w:val="35042CC3"/>
    <w:rsid w:val="35A468B3"/>
    <w:rsid w:val="362F7310"/>
    <w:rsid w:val="369E3689"/>
    <w:rsid w:val="36BD137C"/>
    <w:rsid w:val="378620B5"/>
    <w:rsid w:val="38151804"/>
    <w:rsid w:val="384B3D8A"/>
    <w:rsid w:val="385D37E7"/>
    <w:rsid w:val="38782EDD"/>
    <w:rsid w:val="38EE746A"/>
    <w:rsid w:val="39EB6200"/>
    <w:rsid w:val="3A26548A"/>
    <w:rsid w:val="3AB900AC"/>
    <w:rsid w:val="3B42664A"/>
    <w:rsid w:val="3BC907C3"/>
    <w:rsid w:val="3D7F55DD"/>
    <w:rsid w:val="3D836A4E"/>
    <w:rsid w:val="3EA37E97"/>
    <w:rsid w:val="3F297138"/>
    <w:rsid w:val="3F8A2017"/>
    <w:rsid w:val="3FBE0BC5"/>
    <w:rsid w:val="402204A1"/>
    <w:rsid w:val="4048103A"/>
    <w:rsid w:val="40736643"/>
    <w:rsid w:val="40B82BB4"/>
    <w:rsid w:val="40D24A7A"/>
    <w:rsid w:val="41261F96"/>
    <w:rsid w:val="41A85062"/>
    <w:rsid w:val="42621029"/>
    <w:rsid w:val="434846C3"/>
    <w:rsid w:val="435241E2"/>
    <w:rsid w:val="4379487C"/>
    <w:rsid w:val="43975C51"/>
    <w:rsid w:val="439E3FA7"/>
    <w:rsid w:val="44B32266"/>
    <w:rsid w:val="44C24001"/>
    <w:rsid w:val="44FC64F4"/>
    <w:rsid w:val="451C1963"/>
    <w:rsid w:val="45F20916"/>
    <w:rsid w:val="467F4585"/>
    <w:rsid w:val="470628CB"/>
    <w:rsid w:val="47555BD4"/>
    <w:rsid w:val="47E96399"/>
    <w:rsid w:val="48E12B50"/>
    <w:rsid w:val="499441BE"/>
    <w:rsid w:val="499A6C1C"/>
    <w:rsid w:val="4A020490"/>
    <w:rsid w:val="4A2138F0"/>
    <w:rsid w:val="4A58343D"/>
    <w:rsid w:val="4A583887"/>
    <w:rsid w:val="4B9F6E02"/>
    <w:rsid w:val="4BB9615E"/>
    <w:rsid w:val="4BC65CEE"/>
    <w:rsid w:val="4C08271A"/>
    <w:rsid w:val="4C7327B1"/>
    <w:rsid w:val="4C89637B"/>
    <w:rsid w:val="4E6E48A8"/>
    <w:rsid w:val="4EEC036B"/>
    <w:rsid w:val="4F764366"/>
    <w:rsid w:val="4FEE5BCE"/>
    <w:rsid w:val="501D2673"/>
    <w:rsid w:val="50C80BF1"/>
    <w:rsid w:val="50D756CE"/>
    <w:rsid w:val="51852833"/>
    <w:rsid w:val="52020133"/>
    <w:rsid w:val="524C338E"/>
    <w:rsid w:val="52F11AC8"/>
    <w:rsid w:val="531E6A68"/>
    <w:rsid w:val="534F49D9"/>
    <w:rsid w:val="53555F0F"/>
    <w:rsid w:val="535D23D5"/>
    <w:rsid w:val="548E6294"/>
    <w:rsid w:val="55085A60"/>
    <w:rsid w:val="558C043F"/>
    <w:rsid w:val="55C43C82"/>
    <w:rsid w:val="567156BF"/>
    <w:rsid w:val="56F4341A"/>
    <w:rsid w:val="575A7321"/>
    <w:rsid w:val="57D61E5F"/>
    <w:rsid w:val="580C3AB9"/>
    <w:rsid w:val="583C7AE0"/>
    <w:rsid w:val="585C32C4"/>
    <w:rsid w:val="586C1E9A"/>
    <w:rsid w:val="586E0800"/>
    <w:rsid w:val="59216F96"/>
    <w:rsid w:val="598C4145"/>
    <w:rsid w:val="59957D1B"/>
    <w:rsid w:val="59D4294E"/>
    <w:rsid w:val="5B634312"/>
    <w:rsid w:val="5B991007"/>
    <w:rsid w:val="5B9D2CCD"/>
    <w:rsid w:val="5B9E71EA"/>
    <w:rsid w:val="5BB26726"/>
    <w:rsid w:val="5CF35F8D"/>
    <w:rsid w:val="5E226FBC"/>
    <w:rsid w:val="5FE72BD2"/>
    <w:rsid w:val="60120613"/>
    <w:rsid w:val="615213AC"/>
    <w:rsid w:val="618D5292"/>
    <w:rsid w:val="61FB1DF1"/>
    <w:rsid w:val="622E78FA"/>
    <w:rsid w:val="627D65F0"/>
    <w:rsid w:val="62946B85"/>
    <w:rsid w:val="63343F70"/>
    <w:rsid w:val="63507678"/>
    <w:rsid w:val="64296E1C"/>
    <w:rsid w:val="649E64A2"/>
    <w:rsid w:val="64F658D5"/>
    <w:rsid w:val="65E5270A"/>
    <w:rsid w:val="663D3C54"/>
    <w:rsid w:val="66862C89"/>
    <w:rsid w:val="66BB486D"/>
    <w:rsid w:val="67394C7D"/>
    <w:rsid w:val="67E1762E"/>
    <w:rsid w:val="68126B38"/>
    <w:rsid w:val="68291A1A"/>
    <w:rsid w:val="68352BB8"/>
    <w:rsid w:val="685017A0"/>
    <w:rsid w:val="68FD36D6"/>
    <w:rsid w:val="691B1594"/>
    <w:rsid w:val="693A016B"/>
    <w:rsid w:val="69860EC5"/>
    <w:rsid w:val="6A17429C"/>
    <w:rsid w:val="6A567EA3"/>
    <w:rsid w:val="6B4B4368"/>
    <w:rsid w:val="6B79100E"/>
    <w:rsid w:val="6C34291A"/>
    <w:rsid w:val="6C844C00"/>
    <w:rsid w:val="6D0B213A"/>
    <w:rsid w:val="6E10212C"/>
    <w:rsid w:val="6E25722B"/>
    <w:rsid w:val="6E43561A"/>
    <w:rsid w:val="6E5428BB"/>
    <w:rsid w:val="6E557973"/>
    <w:rsid w:val="6E9568DB"/>
    <w:rsid w:val="6F0D6C22"/>
    <w:rsid w:val="6F47657F"/>
    <w:rsid w:val="6F6110D1"/>
    <w:rsid w:val="6FAF23D9"/>
    <w:rsid w:val="70635CF6"/>
    <w:rsid w:val="70670707"/>
    <w:rsid w:val="70D96B6F"/>
    <w:rsid w:val="720E3691"/>
    <w:rsid w:val="724E244C"/>
    <w:rsid w:val="72DA6946"/>
    <w:rsid w:val="732764B3"/>
    <w:rsid w:val="7394090C"/>
    <w:rsid w:val="73E813EA"/>
    <w:rsid w:val="74026044"/>
    <w:rsid w:val="74746410"/>
    <w:rsid w:val="74C0380A"/>
    <w:rsid w:val="75E5007C"/>
    <w:rsid w:val="76037E52"/>
    <w:rsid w:val="77813724"/>
    <w:rsid w:val="77861774"/>
    <w:rsid w:val="77A411C1"/>
    <w:rsid w:val="77D53A20"/>
    <w:rsid w:val="78B6564F"/>
    <w:rsid w:val="78F31435"/>
    <w:rsid w:val="79013463"/>
    <w:rsid w:val="79300B45"/>
    <w:rsid w:val="794D3E18"/>
    <w:rsid w:val="796B4C07"/>
    <w:rsid w:val="79F3729A"/>
    <w:rsid w:val="7A880722"/>
    <w:rsid w:val="7ACB0498"/>
    <w:rsid w:val="7AED0B4D"/>
    <w:rsid w:val="7BAF535C"/>
    <w:rsid w:val="7BBC57F7"/>
    <w:rsid w:val="7BF85F7F"/>
    <w:rsid w:val="7C1923C4"/>
    <w:rsid w:val="7C1E4487"/>
    <w:rsid w:val="7C215E02"/>
    <w:rsid w:val="7CA35EEB"/>
    <w:rsid w:val="7CC540B3"/>
    <w:rsid w:val="7CC55E61"/>
    <w:rsid w:val="7CF23764"/>
    <w:rsid w:val="7D106A78"/>
    <w:rsid w:val="7E1539DA"/>
    <w:rsid w:val="7E797F74"/>
    <w:rsid w:val="7E89169A"/>
    <w:rsid w:val="7F3B065C"/>
    <w:rsid w:val="7F924011"/>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2">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before="240" w:after="240" w:line="360" w:lineRule="auto"/>
      <w:jc w:val="center"/>
    </w:pPr>
    <w:rPr>
      <w:b/>
      <w:sz w:val="44"/>
    </w:rPr>
  </w:style>
  <w:style w:type="paragraph" w:styleId="7">
    <w:name w:val="Body Text 2"/>
    <w:basedOn w:val="1"/>
    <w:qFormat/>
    <w:uiPriority w:val="0"/>
    <w:pPr>
      <w:spacing w:after="120" w:line="480" w:lineRule="auto"/>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customStyle="1" w:styleId="13">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qFormat/>
    <w:uiPriority w:val="0"/>
    <w:rPr>
      <w:rFonts w:ascii="Arial" w:hAnsi="Arial" w:eastAsia="楷体"/>
      <w:b/>
      <w:sz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14661</Words>
  <Characters>15771</Characters>
  <Lines>0</Lines>
  <Paragraphs>0</Paragraphs>
  <TotalTime>1</TotalTime>
  <ScaleCrop>false</ScaleCrop>
  <LinksUpToDate>false</LinksUpToDate>
  <CharactersWithSpaces>15861</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cp:lastModifiedBy>
  <dcterms:modified xsi:type="dcterms:W3CDTF">2025-02-17T09:08:27Z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1D17C581B7B649E79D2BCA767FA9A472_13</vt:lpwstr>
  </property>
</Properties>
</file>