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4"/>
          <w:szCs w:val="44"/>
        </w:rPr>
      </w:pPr>
    </w:p>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2018年度新疆昌吉州阜康市军粮供应站部门决算公开说明</w:t>
      </w:r>
    </w:p>
    <w:p>
      <w:pPr>
        <w:rPr>
          <w:rFonts w:ascii="华文中宋" w:hAnsi="华文中宋" w:eastAsia="华文中宋" w:cs="华文中宋"/>
          <w:b/>
          <w:bCs/>
          <w:sz w:val="44"/>
          <w:szCs w:val="44"/>
        </w:rPr>
      </w:pPr>
    </w:p>
    <w:p>
      <w:pPr>
        <w:spacing w:line="480" w:lineRule="auto"/>
        <w:jc w:val="center"/>
        <w:rPr>
          <w:rFonts w:ascii="仿宋_GB2312" w:eastAsia="仿宋_GB2312"/>
          <w:b/>
          <w:sz w:val="32"/>
          <w:szCs w:val="32"/>
        </w:rPr>
      </w:pPr>
      <w:r>
        <w:rPr>
          <w:rFonts w:hint="eastAsia" w:ascii="仿宋_GB2312" w:eastAsia="仿宋_GB2312"/>
          <w:b/>
          <w:sz w:val="32"/>
          <w:szCs w:val="32"/>
        </w:rPr>
        <w:t>目  录</w:t>
      </w:r>
    </w:p>
    <w:p>
      <w:pPr>
        <w:spacing w:line="480" w:lineRule="auto"/>
        <w:rPr>
          <w:rFonts w:ascii="仿宋_GB2312" w:eastAsia="仿宋_GB2312"/>
          <w:sz w:val="32"/>
          <w:szCs w:val="32"/>
        </w:rPr>
      </w:pPr>
      <w:r>
        <w:rPr>
          <w:rFonts w:hint="eastAsia" w:ascii="仿宋_GB2312" w:eastAsia="仿宋_GB2312"/>
          <w:sz w:val="32"/>
          <w:szCs w:val="32"/>
        </w:rPr>
        <w:t xml:space="preserve"> </w:t>
      </w:r>
    </w:p>
    <w:p>
      <w:pPr>
        <w:spacing w:line="480" w:lineRule="auto"/>
        <w:rPr>
          <w:rFonts w:ascii="仿宋_GB2312" w:eastAsia="仿宋_GB2312"/>
          <w:b/>
          <w:sz w:val="32"/>
          <w:szCs w:val="32"/>
        </w:rPr>
      </w:pPr>
      <w:r>
        <w:rPr>
          <w:rFonts w:hint="eastAsia" w:ascii="仿宋_GB2312" w:eastAsia="仿宋_GB2312"/>
          <w:b/>
          <w:sz w:val="32"/>
          <w:szCs w:val="32"/>
        </w:rPr>
        <w:t xml:space="preserve">第一部分 部门单位概况 </w:t>
      </w:r>
    </w:p>
    <w:p>
      <w:pPr>
        <w:spacing w:line="480" w:lineRule="auto"/>
        <w:rPr>
          <w:rFonts w:ascii="仿宋_GB2312" w:eastAsia="仿宋_GB2312"/>
          <w:sz w:val="32"/>
          <w:szCs w:val="32"/>
        </w:rPr>
      </w:pPr>
      <w:r>
        <w:rPr>
          <w:rFonts w:hint="eastAsia" w:ascii="仿宋_GB2312" w:eastAsia="仿宋_GB2312"/>
          <w:sz w:val="32"/>
          <w:szCs w:val="32"/>
        </w:rPr>
        <w:t xml:space="preserve">一、主要职能 </w:t>
      </w:r>
    </w:p>
    <w:p>
      <w:pPr>
        <w:spacing w:line="480" w:lineRule="auto"/>
        <w:rPr>
          <w:rFonts w:ascii="仿宋_GB2312" w:eastAsia="仿宋_GB2312"/>
          <w:sz w:val="32"/>
          <w:szCs w:val="32"/>
        </w:rPr>
      </w:pPr>
      <w:r>
        <w:rPr>
          <w:rFonts w:hint="eastAsia" w:ascii="仿宋_GB2312" w:eastAsia="仿宋_GB2312"/>
          <w:sz w:val="32"/>
          <w:szCs w:val="32"/>
        </w:rPr>
        <w:t xml:space="preserve">二、机构设置情况 </w:t>
      </w:r>
    </w:p>
    <w:p>
      <w:pPr>
        <w:spacing w:line="480" w:lineRule="auto"/>
        <w:rPr>
          <w:rFonts w:ascii="仿宋_GB2312" w:eastAsia="仿宋_GB2312"/>
          <w:b/>
          <w:sz w:val="32"/>
          <w:szCs w:val="32"/>
        </w:rPr>
      </w:pPr>
      <w:r>
        <w:rPr>
          <w:rFonts w:hint="eastAsia" w:ascii="仿宋_GB2312" w:eastAsia="仿宋_GB2312"/>
          <w:b/>
          <w:sz w:val="32"/>
          <w:szCs w:val="32"/>
        </w:rPr>
        <w:t xml:space="preserve">第二部分 部门决算情况说明 </w:t>
      </w:r>
    </w:p>
    <w:p>
      <w:pPr>
        <w:spacing w:line="480" w:lineRule="auto"/>
        <w:rPr>
          <w:rFonts w:ascii="仿宋_GB2312" w:eastAsia="仿宋_GB2312"/>
          <w:sz w:val="32"/>
          <w:szCs w:val="32"/>
        </w:rPr>
      </w:pPr>
      <w:r>
        <w:rPr>
          <w:rFonts w:hint="eastAsia" w:ascii="仿宋_GB2312" w:eastAsia="仿宋_GB2312"/>
          <w:sz w:val="32"/>
          <w:szCs w:val="32"/>
        </w:rPr>
        <w:t xml:space="preserve">一、部门收支总体情况 </w:t>
      </w:r>
    </w:p>
    <w:p>
      <w:pPr>
        <w:spacing w:line="480" w:lineRule="auto"/>
        <w:rPr>
          <w:rFonts w:ascii="仿宋_GB2312" w:eastAsia="仿宋_GB2312"/>
          <w:sz w:val="32"/>
          <w:szCs w:val="32"/>
        </w:rPr>
      </w:pPr>
      <w:r>
        <w:rPr>
          <w:rFonts w:hint="eastAsia" w:ascii="仿宋_GB2312" w:eastAsia="仿宋_GB2312"/>
          <w:sz w:val="32"/>
          <w:szCs w:val="32"/>
        </w:rPr>
        <w:t xml:space="preserve">（一）部门收入支出决算总体情况说明 </w:t>
      </w:r>
    </w:p>
    <w:p>
      <w:pPr>
        <w:spacing w:line="480" w:lineRule="auto"/>
        <w:rPr>
          <w:rFonts w:ascii="仿宋_GB2312" w:eastAsia="仿宋_GB2312"/>
          <w:sz w:val="32"/>
          <w:szCs w:val="32"/>
        </w:rPr>
      </w:pPr>
      <w:r>
        <w:rPr>
          <w:rFonts w:hint="eastAsia" w:ascii="仿宋_GB2312" w:eastAsia="仿宋_GB2312"/>
          <w:sz w:val="32"/>
          <w:szCs w:val="32"/>
        </w:rPr>
        <w:t xml:space="preserve">（二）部门收入总体情况说明 </w:t>
      </w:r>
    </w:p>
    <w:p>
      <w:pPr>
        <w:spacing w:line="480" w:lineRule="auto"/>
        <w:rPr>
          <w:rFonts w:ascii="仿宋_GB2312" w:eastAsia="仿宋_GB2312"/>
          <w:sz w:val="32"/>
          <w:szCs w:val="32"/>
        </w:rPr>
      </w:pPr>
      <w:r>
        <w:rPr>
          <w:rFonts w:hint="eastAsia" w:ascii="仿宋_GB2312" w:eastAsia="仿宋_GB2312"/>
          <w:sz w:val="32"/>
          <w:szCs w:val="32"/>
        </w:rPr>
        <w:t xml:space="preserve">（三）部门支出总体情况说明 </w:t>
      </w:r>
    </w:p>
    <w:p>
      <w:pPr>
        <w:spacing w:line="480" w:lineRule="auto"/>
        <w:rPr>
          <w:rFonts w:ascii="仿宋_GB2312" w:eastAsia="仿宋_GB2312"/>
          <w:sz w:val="32"/>
          <w:szCs w:val="32"/>
        </w:rPr>
      </w:pPr>
      <w:r>
        <w:rPr>
          <w:rFonts w:hint="eastAsia" w:ascii="仿宋_GB2312" w:eastAsia="仿宋_GB2312"/>
          <w:sz w:val="32"/>
          <w:szCs w:val="32"/>
        </w:rPr>
        <w:t xml:space="preserve">二、部门财政拨款收支情况 </w:t>
      </w:r>
    </w:p>
    <w:p>
      <w:pPr>
        <w:spacing w:line="480" w:lineRule="auto"/>
        <w:rPr>
          <w:rFonts w:ascii="仿宋_GB2312" w:eastAsia="仿宋_GB2312"/>
          <w:sz w:val="32"/>
          <w:szCs w:val="32"/>
        </w:rPr>
      </w:pPr>
      <w:r>
        <w:rPr>
          <w:rFonts w:hint="eastAsia" w:ascii="仿宋_GB2312" w:eastAsia="仿宋_GB2312"/>
          <w:sz w:val="32"/>
          <w:szCs w:val="32"/>
        </w:rPr>
        <w:t xml:space="preserve">（一）财政拨款收支总体情况说明 </w:t>
      </w:r>
    </w:p>
    <w:p>
      <w:pPr>
        <w:spacing w:line="480" w:lineRule="auto"/>
        <w:rPr>
          <w:rFonts w:ascii="仿宋_GB2312" w:eastAsia="仿宋_GB2312"/>
          <w:sz w:val="32"/>
          <w:szCs w:val="32"/>
        </w:rPr>
      </w:pPr>
      <w:r>
        <w:rPr>
          <w:rFonts w:hint="eastAsia" w:ascii="仿宋_GB2312" w:eastAsia="仿宋_GB2312"/>
          <w:sz w:val="32"/>
          <w:szCs w:val="32"/>
        </w:rPr>
        <w:t xml:space="preserve">（二）一般公共预算支出决算情况说明 </w:t>
      </w:r>
    </w:p>
    <w:p>
      <w:pPr>
        <w:spacing w:line="480" w:lineRule="auto"/>
        <w:rPr>
          <w:rFonts w:ascii="仿宋_GB2312" w:eastAsia="仿宋_GB2312"/>
          <w:sz w:val="32"/>
          <w:szCs w:val="32"/>
        </w:rPr>
      </w:pPr>
      <w:r>
        <w:rPr>
          <w:rFonts w:hint="eastAsia" w:ascii="仿宋_GB2312" w:eastAsia="仿宋_GB2312"/>
          <w:sz w:val="32"/>
          <w:szCs w:val="32"/>
        </w:rPr>
        <w:t xml:space="preserve">（三）政府性基金预算收支决算情况说明 </w:t>
      </w:r>
    </w:p>
    <w:p>
      <w:pPr>
        <w:spacing w:line="480" w:lineRule="auto"/>
        <w:rPr>
          <w:rFonts w:ascii="仿宋_GB2312" w:eastAsia="仿宋_GB2312"/>
          <w:sz w:val="32"/>
          <w:szCs w:val="32"/>
        </w:rPr>
      </w:pPr>
      <w:r>
        <w:rPr>
          <w:rFonts w:hint="eastAsia" w:ascii="仿宋_GB2312" w:eastAsia="仿宋_GB2312"/>
          <w:sz w:val="32"/>
          <w:szCs w:val="32"/>
        </w:rPr>
        <w:t xml:space="preserve">三、部门结转结余情况 </w:t>
      </w:r>
    </w:p>
    <w:p>
      <w:pPr>
        <w:spacing w:line="480" w:lineRule="auto"/>
        <w:rPr>
          <w:rFonts w:ascii="仿宋_GB2312" w:eastAsia="仿宋_GB2312"/>
          <w:sz w:val="32"/>
          <w:szCs w:val="32"/>
        </w:rPr>
      </w:pPr>
      <w:r>
        <w:rPr>
          <w:rFonts w:hint="eastAsia" w:ascii="仿宋_GB2312" w:eastAsia="仿宋_GB2312"/>
          <w:sz w:val="32"/>
          <w:szCs w:val="32"/>
        </w:rPr>
        <w:t xml:space="preserve">四、一般公共预算“三公”经费支出情况 </w:t>
      </w:r>
    </w:p>
    <w:p>
      <w:pPr>
        <w:spacing w:line="480" w:lineRule="auto"/>
        <w:rPr>
          <w:rFonts w:ascii="仿宋_GB2312" w:eastAsia="仿宋_GB2312"/>
          <w:sz w:val="32"/>
          <w:szCs w:val="32"/>
        </w:rPr>
      </w:pPr>
      <w:r>
        <w:rPr>
          <w:rFonts w:hint="eastAsia" w:ascii="仿宋_GB2312" w:eastAsia="仿宋_GB2312"/>
          <w:sz w:val="32"/>
          <w:szCs w:val="32"/>
        </w:rPr>
        <w:t xml:space="preserve">五、机关运行经费支出情况 </w:t>
      </w:r>
    </w:p>
    <w:p>
      <w:pPr>
        <w:spacing w:line="480" w:lineRule="auto"/>
        <w:rPr>
          <w:rFonts w:ascii="仿宋_GB2312" w:eastAsia="仿宋_GB2312"/>
          <w:sz w:val="32"/>
          <w:szCs w:val="32"/>
        </w:rPr>
      </w:pPr>
      <w:r>
        <w:rPr>
          <w:rFonts w:hint="eastAsia" w:ascii="仿宋_GB2312" w:eastAsia="仿宋_GB2312"/>
          <w:sz w:val="32"/>
          <w:szCs w:val="32"/>
        </w:rPr>
        <w:t xml:space="preserve">六、政府采购情况 </w:t>
      </w:r>
    </w:p>
    <w:p>
      <w:pPr>
        <w:spacing w:line="480" w:lineRule="auto"/>
        <w:rPr>
          <w:rFonts w:ascii="仿宋_GB2312" w:eastAsia="仿宋_GB2312"/>
          <w:sz w:val="32"/>
          <w:szCs w:val="32"/>
        </w:rPr>
      </w:pPr>
      <w:r>
        <w:rPr>
          <w:rFonts w:hint="eastAsia" w:ascii="仿宋_GB2312" w:eastAsia="仿宋_GB2312"/>
          <w:sz w:val="32"/>
          <w:szCs w:val="32"/>
        </w:rPr>
        <w:t xml:space="preserve">七、其他重要事项的情况 </w:t>
      </w:r>
    </w:p>
    <w:p>
      <w:pPr>
        <w:spacing w:line="480" w:lineRule="auto"/>
        <w:rPr>
          <w:rFonts w:ascii="仿宋_GB2312" w:eastAsia="仿宋_GB2312"/>
          <w:sz w:val="32"/>
          <w:szCs w:val="32"/>
        </w:rPr>
      </w:pPr>
      <w:r>
        <w:rPr>
          <w:rFonts w:hint="eastAsia" w:ascii="仿宋_GB2312" w:eastAsia="仿宋_GB2312"/>
          <w:sz w:val="32"/>
          <w:szCs w:val="32"/>
        </w:rPr>
        <w:t xml:space="preserve">（一）国有资产占用情况说明 </w:t>
      </w:r>
    </w:p>
    <w:p>
      <w:pPr>
        <w:spacing w:line="480" w:lineRule="auto"/>
        <w:rPr>
          <w:rFonts w:ascii="仿宋_GB2312" w:eastAsia="仿宋_GB2312"/>
          <w:sz w:val="32"/>
          <w:szCs w:val="32"/>
        </w:rPr>
      </w:pPr>
      <w:r>
        <w:rPr>
          <w:rFonts w:hint="eastAsia" w:ascii="仿宋_GB2312" w:eastAsia="仿宋_GB2312"/>
          <w:sz w:val="32"/>
          <w:szCs w:val="32"/>
        </w:rPr>
        <w:t xml:space="preserve">（二）预算绩效情况的说明 </w:t>
      </w:r>
    </w:p>
    <w:p>
      <w:pPr>
        <w:spacing w:line="480" w:lineRule="auto"/>
        <w:rPr>
          <w:rFonts w:ascii="仿宋_GB2312" w:eastAsia="仿宋_GB2312"/>
          <w:b/>
          <w:sz w:val="32"/>
          <w:szCs w:val="32"/>
        </w:rPr>
      </w:pPr>
      <w:r>
        <w:rPr>
          <w:rFonts w:hint="eastAsia" w:ascii="仿宋_GB2312" w:eastAsia="仿宋_GB2312"/>
          <w:b/>
          <w:sz w:val="32"/>
          <w:szCs w:val="32"/>
        </w:rPr>
        <w:t xml:space="preserve">第三部分 专业名词解释 </w:t>
      </w:r>
    </w:p>
    <w:p>
      <w:pPr>
        <w:spacing w:line="480" w:lineRule="auto"/>
        <w:rPr>
          <w:rFonts w:ascii="仿宋_GB2312" w:eastAsia="仿宋_GB2312"/>
          <w:b/>
          <w:sz w:val="32"/>
          <w:szCs w:val="32"/>
        </w:rPr>
      </w:pPr>
      <w:r>
        <w:rPr>
          <w:rFonts w:hint="eastAsia" w:ascii="仿宋_GB2312" w:eastAsia="仿宋_GB2312"/>
          <w:b/>
          <w:sz w:val="32"/>
          <w:szCs w:val="32"/>
        </w:rPr>
        <w:t xml:space="preserve">第四部分 部门决算公开的8张报表 </w:t>
      </w:r>
    </w:p>
    <w:p>
      <w:pPr>
        <w:spacing w:line="480" w:lineRule="auto"/>
        <w:rPr>
          <w:rFonts w:ascii="仿宋_GB2312" w:eastAsia="仿宋_GB2312"/>
          <w:sz w:val="32"/>
          <w:szCs w:val="32"/>
        </w:rPr>
      </w:pPr>
      <w:r>
        <w:rPr>
          <w:rFonts w:hint="eastAsia" w:ascii="仿宋_GB2312" w:eastAsia="仿宋_GB2312"/>
          <w:sz w:val="32"/>
          <w:szCs w:val="32"/>
        </w:rPr>
        <w:t xml:space="preserve">《收入支出决算总表》 </w:t>
      </w:r>
    </w:p>
    <w:p>
      <w:pPr>
        <w:spacing w:line="480" w:lineRule="auto"/>
        <w:rPr>
          <w:rFonts w:ascii="仿宋_GB2312" w:eastAsia="仿宋_GB2312"/>
          <w:sz w:val="32"/>
          <w:szCs w:val="32"/>
        </w:rPr>
      </w:pPr>
      <w:r>
        <w:rPr>
          <w:rFonts w:hint="eastAsia" w:ascii="仿宋_GB2312" w:eastAsia="仿宋_GB2312"/>
          <w:sz w:val="32"/>
          <w:szCs w:val="32"/>
        </w:rPr>
        <w:t xml:space="preserve">《收入决算表》 </w:t>
      </w:r>
    </w:p>
    <w:p>
      <w:pPr>
        <w:spacing w:line="480" w:lineRule="auto"/>
        <w:rPr>
          <w:rFonts w:ascii="仿宋_GB2312" w:eastAsia="仿宋_GB2312"/>
          <w:sz w:val="32"/>
          <w:szCs w:val="32"/>
        </w:rPr>
      </w:pPr>
      <w:r>
        <w:rPr>
          <w:rFonts w:hint="eastAsia" w:ascii="仿宋_GB2312" w:eastAsia="仿宋_GB2312"/>
          <w:sz w:val="32"/>
          <w:szCs w:val="32"/>
        </w:rPr>
        <w:t xml:space="preserve">《支出决算表》 </w:t>
      </w:r>
    </w:p>
    <w:p>
      <w:pPr>
        <w:spacing w:line="480" w:lineRule="auto"/>
        <w:rPr>
          <w:rFonts w:ascii="仿宋_GB2312" w:eastAsia="仿宋_GB2312"/>
          <w:sz w:val="32"/>
          <w:szCs w:val="32"/>
        </w:rPr>
      </w:pPr>
      <w:r>
        <w:rPr>
          <w:rFonts w:hint="eastAsia" w:ascii="仿宋_GB2312" w:eastAsia="仿宋_GB2312"/>
          <w:sz w:val="32"/>
          <w:szCs w:val="32"/>
        </w:rPr>
        <w:t xml:space="preserve">《财政拨款收入支出决算总表》 </w:t>
      </w:r>
    </w:p>
    <w:p>
      <w:pPr>
        <w:spacing w:line="480" w:lineRule="auto"/>
        <w:rPr>
          <w:rFonts w:ascii="仿宋_GB2312" w:eastAsia="仿宋_GB2312"/>
          <w:sz w:val="32"/>
          <w:szCs w:val="32"/>
        </w:rPr>
      </w:pPr>
      <w:r>
        <w:rPr>
          <w:rFonts w:hint="eastAsia" w:ascii="仿宋_GB2312" w:eastAsia="仿宋_GB2312"/>
          <w:sz w:val="32"/>
          <w:szCs w:val="32"/>
        </w:rPr>
        <w:t xml:space="preserve">《一般公共预算财政拨款支出决算表》 </w:t>
      </w:r>
    </w:p>
    <w:p>
      <w:pPr>
        <w:spacing w:line="480" w:lineRule="auto"/>
        <w:rPr>
          <w:rFonts w:ascii="仿宋_GB2312" w:eastAsia="仿宋_GB2312"/>
          <w:sz w:val="32"/>
          <w:szCs w:val="32"/>
        </w:rPr>
      </w:pPr>
      <w:r>
        <w:rPr>
          <w:rFonts w:hint="eastAsia" w:ascii="仿宋_GB2312" w:eastAsia="仿宋_GB2312"/>
          <w:sz w:val="32"/>
          <w:szCs w:val="32"/>
        </w:rPr>
        <w:t xml:space="preserve">《一般公共预算财政拨款基本支出决算表》 </w:t>
      </w:r>
    </w:p>
    <w:p>
      <w:pPr>
        <w:spacing w:line="480" w:lineRule="auto"/>
        <w:rPr>
          <w:rFonts w:ascii="仿宋_GB2312" w:eastAsia="仿宋_GB2312"/>
          <w:sz w:val="32"/>
          <w:szCs w:val="32"/>
        </w:rPr>
      </w:pPr>
      <w:r>
        <w:rPr>
          <w:rFonts w:hint="eastAsia" w:ascii="仿宋_GB2312" w:eastAsia="仿宋_GB2312"/>
          <w:sz w:val="32"/>
          <w:szCs w:val="32"/>
        </w:rPr>
        <w:t xml:space="preserve">《一般公共预算财政拨款“三公”经费支出决算表》 </w:t>
      </w:r>
    </w:p>
    <w:p>
      <w:pPr>
        <w:spacing w:line="480" w:lineRule="auto"/>
        <w:rPr>
          <w:rFonts w:ascii="仿宋_GB2312" w:eastAsia="仿宋_GB2312"/>
          <w:sz w:val="32"/>
          <w:szCs w:val="32"/>
        </w:rPr>
      </w:pPr>
      <w:r>
        <w:rPr>
          <w:rFonts w:hint="eastAsia" w:ascii="仿宋_GB2312" w:eastAsia="仿宋_GB2312"/>
          <w:sz w:val="32"/>
          <w:szCs w:val="32"/>
        </w:rPr>
        <w:t>《政府性基金预算财政拨款收入支出决算表》</w:t>
      </w:r>
    </w:p>
    <w:p>
      <w:pPr>
        <w:spacing w:line="480" w:lineRule="auto"/>
        <w:rPr>
          <w:rFonts w:ascii="仿宋_GB2312" w:eastAsia="仿宋_GB2312"/>
          <w:sz w:val="32"/>
          <w:szCs w:val="32"/>
        </w:rPr>
      </w:pPr>
    </w:p>
    <w:p>
      <w:pPr>
        <w:jc w:val="left"/>
        <w:rPr>
          <w:rFonts w:ascii="方正仿宋_GBK" w:hAnsi="方正仿宋_GBK" w:eastAsia="方正仿宋_GBK" w:cs="方正仿宋_GBK"/>
          <w:sz w:val="32"/>
          <w:szCs w:val="32"/>
        </w:rPr>
      </w:pPr>
    </w:p>
    <w:p>
      <w:pPr>
        <w:jc w:val="left"/>
        <w:rPr>
          <w:rFonts w:ascii="方正仿宋_GBK" w:hAnsi="方正仿宋_GBK" w:eastAsia="方正仿宋_GBK" w:cs="方正仿宋_GBK"/>
          <w:sz w:val="32"/>
          <w:szCs w:val="32"/>
        </w:rPr>
      </w:pPr>
    </w:p>
    <w:p>
      <w:pPr>
        <w:jc w:val="left"/>
        <w:rPr>
          <w:rFonts w:ascii="方正仿宋_GBK" w:hAnsi="方正仿宋_GBK" w:eastAsia="方正仿宋_GBK" w:cs="方正仿宋_GBK"/>
          <w:sz w:val="32"/>
          <w:szCs w:val="32"/>
        </w:rPr>
      </w:pPr>
    </w:p>
    <w:p>
      <w:pPr>
        <w:jc w:val="left"/>
        <w:rPr>
          <w:rFonts w:ascii="方正仿宋_GBK" w:hAnsi="方正仿宋_GBK" w:eastAsia="方正仿宋_GBK" w:cs="方正仿宋_GBK"/>
          <w:sz w:val="32"/>
          <w:szCs w:val="32"/>
        </w:rPr>
      </w:pPr>
    </w:p>
    <w:p>
      <w:pPr>
        <w:jc w:val="left"/>
        <w:rPr>
          <w:rFonts w:ascii="方正仿宋_GBK" w:hAnsi="方正仿宋_GBK" w:eastAsia="方正仿宋_GBK" w:cs="方正仿宋_GBK"/>
          <w:sz w:val="32"/>
          <w:szCs w:val="32"/>
        </w:rPr>
      </w:pPr>
    </w:p>
    <w:p>
      <w:pPr>
        <w:jc w:val="left"/>
        <w:rPr>
          <w:rFonts w:ascii="方正仿宋_GBK" w:hAnsi="方正仿宋_GBK" w:eastAsia="方正仿宋_GBK" w:cs="方正仿宋_GBK"/>
          <w:sz w:val="32"/>
          <w:szCs w:val="32"/>
        </w:rPr>
      </w:pPr>
    </w:p>
    <w:p>
      <w:pPr>
        <w:jc w:val="left"/>
        <w:rPr>
          <w:rFonts w:ascii="方正仿宋_GBK" w:hAnsi="方正仿宋_GBK" w:eastAsia="方正仿宋_GBK" w:cs="方正仿宋_GBK"/>
          <w:sz w:val="32"/>
          <w:szCs w:val="32"/>
        </w:rPr>
      </w:pPr>
    </w:p>
    <w:p>
      <w:pPr>
        <w:jc w:val="left"/>
        <w:rPr>
          <w:rFonts w:ascii="方正仿宋_GBK" w:hAnsi="方正仿宋_GBK" w:eastAsia="方正仿宋_GBK" w:cs="方正仿宋_GBK"/>
          <w:sz w:val="32"/>
          <w:szCs w:val="32"/>
        </w:rPr>
      </w:pPr>
    </w:p>
    <w:p>
      <w:pPr>
        <w:spacing w:line="480" w:lineRule="auto"/>
        <w:jc w:val="center"/>
        <w:rPr>
          <w:rFonts w:ascii="仿宋_GB2312" w:eastAsia="仿宋_GB2312"/>
          <w:b/>
          <w:sz w:val="32"/>
          <w:szCs w:val="32"/>
        </w:rPr>
      </w:pPr>
      <w:r>
        <w:rPr>
          <w:rFonts w:hint="eastAsia" w:ascii="仿宋_GB2312" w:eastAsia="仿宋_GB2312"/>
          <w:b/>
          <w:sz w:val="32"/>
          <w:szCs w:val="32"/>
        </w:rPr>
        <w:t>第一部分 部门单位概况</w:t>
      </w:r>
    </w:p>
    <w:p>
      <w:pPr>
        <w:spacing w:line="480" w:lineRule="auto"/>
        <w:ind w:firstLine="643" w:firstLineChars="200"/>
        <w:rPr>
          <w:rFonts w:ascii="仿宋_GB2312" w:eastAsia="仿宋_GB2312"/>
          <w:b/>
          <w:sz w:val="32"/>
          <w:szCs w:val="32"/>
        </w:rPr>
      </w:pPr>
      <w:r>
        <w:rPr>
          <w:rFonts w:hint="eastAsia" w:ascii="仿宋_GB2312" w:eastAsia="仿宋_GB2312"/>
          <w:b/>
          <w:sz w:val="32"/>
          <w:szCs w:val="32"/>
        </w:rPr>
        <w:t xml:space="preserve">一、主要职能 </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阜康市军粮供应站为全额事业单位，股级；2018年末事业编制4人，实有人数6人。部门主要职能: 负责军粮的供应与经营。</w:t>
      </w:r>
    </w:p>
    <w:p>
      <w:pPr>
        <w:spacing w:line="480" w:lineRule="auto"/>
        <w:ind w:firstLine="643" w:firstLineChars="200"/>
        <w:rPr>
          <w:rFonts w:ascii="方正仿宋_GBK" w:hAnsi="方正仿宋_GBK" w:eastAsia="方正仿宋_GBK" w:cs="方正仿宋_GBK"/>
          <w:sz w:val="32"/>
          <w:szCs w:val="32"/>
        </w:rPr>
      </w:pPr>
      <w:r>
        <w:rPr>
          <w:rFonts w:hint="eastAsia" w:ascii="仿宋_GB2312" w:eastAsia="仿宋_GB2312"/>
          <w:b/>
          <w:sz w:val="32"/>
          <w:szCs w:val="32"/>
        </w:rPr>
        <w:t xml:space="preserve">二、机构设置情况 </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从决算单位构成看，阜康市军粮供应站（单位）部门决算包括：阜康市军粮供应站（单位）部门本级决算。</w:t>
      </w:r>
    </w:p>
    <w:p>
      <w:pPr>
        <w:spacing w:line="500"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纳入阜康市军粮供应站2018年部门决算编制范围的单位名单见下表：</w:t>
      </w:r>
    </w:p>
    <w:p>
      <w:pPr>
        <w:spacing w:line="500" w:lineRule="exact"/>
        <w:ind w:firstLine="616" w:firstLineChars="200"/>
        <w:rPr>
          <w:rFonts w:ascii="仿宋_GB2312" w:hAnsi="仿宋_GB2312" w:eastAsia="仿宋_GB2312" w:cs="仿宋_GB2312"/>
          <w:spacing w:val="-6"/>
          <w:sz w:val="32"/>
          <w:szCs w:val="32"/>
        </w:rPr>
      </w:pPr>
    </w:p>
    <w:tbl>
      <w:tblPr>
        <w:tblStyle w:val="5"/>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1"/>
        <w:gridCol w:w="4522"/>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exact"/>
        </w:trPr>
        <w:tc>
          <w:tcPr>
            <w:tcW w:w="214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 号</w:t>
            </w:r>
          </w:p>
        </w:tc>
        <w:tc>
          <w:tcPr>
            <w:tcW w:w="45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单位名称</w:t>
            </w:r>
          </w:p>
        </w:tc>
        <w:tc>
          <w:tcPr>
            <w:tcW w:w="24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exact"/>
        </w:trPr>
        <w:tc>
          <w:tcPr>
            <w:tcW w:w="214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45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新疆昌吉州阜康市军粮供应站单位本级</w:t>
            </w:r>
          </w:p>
        </w:tc>
        <w:tc>
          <w:tcPr>
            <w:tcW w:w="249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640" w:firstLineChars="200"/>
              <w:rPr>
                <w:rFonts w:ascii="仿宋_GB2312" w:hAnsi="仿宋_GB2312" w:eastAsia="仿宋_GB2312" w:cs="仿宋_GB2312"/>
                <w:sz w:val="32"/>
                <w:szCs w:val="32"/>
              </w:rPr>
            </w:pPr>
          </w:p>
        </w:tc>
      </w:tr>
    </w:tbl>
    <w:p>
      <w:pPr>
        <w:spacing w:line="500" w:lineRule="exact"/>
        <w:jc w:val="center"/>
        <w:outlineLvl w:val="0"/>
        <w:rPr>
          <w:rFonts w:ascii="方正仿宋_GBK" w:hAnsi="方正仿宋_GBK" w:eastAsia="方正仿宋_GBK" w:cs="方正仿宋_GBK"/>
          <w:sz w:val="32"/>
          <w:szCs w:val="32"/>
        </w:rPr>
      </w:pPr>
    </w:p>
    <w:p>
      <w:pPr>
        <w:spacing w:line="480" w:lineRule="auto"/>
        <w:ind w:firstLine="643" w:firstLineChars="200"/>
        <w:jc w:val="center"/>
        <w:rPr>
          <w:rFonts w:ascii="仿宋_GB2312" w:eastAsia="仿宋_GB2312"/>
          <w:b/>
          <w:sz w:val="32"/>
          <w:szCs w:val="32"/>
        </w:rPr>
      </w:pPr>
      <w:r>
        <w:rPr>
          <w:rFonts w:hint="eastAsia" w:ascii="仿宋_GB2312" w:eastAsia="仿宋_GB2312"/>
          <w:b/>
          <w:sz w:val="32"/>
          <w:szCs w:val="32"/>
        </w:rPr>
        <w:t>第二部分 部门决算情况说明</w:t>
      </w:r>
    </w:p>
    <w:p>
      <w:pPr>
        <w:spacing w:line="480" w:lineRule="auto"/>
        <w:ind w:firstLine="643" w:firstLineChars="200"/>
        <w:rPr>
          <w:rFonts w:ascii="仿宋_GB2312" w:eastAsia="仿宋_GB2312"/>
          <w:b/>
          <w:sz w:val="32"/>
          <w:szCs w:val="32"/>
        </w:rPr>
      </w:pPr>
      <w:r>
        <w:rPr>
          <w:rFonts w:hint="eastAsia" w:ascii="仿宋_GB2312" w:eastAsia="仿宋_GB2312"/>
          <w:b/>
          <w:sz w:val="32"/>
          <w:szCs w:val="32"/>
        </w:rPr>
        <w:t xml:space="preserve">一、部门收支总体情况 </w:t>
      </w:r>
    </w:p>
    <w:p>
      <w:pPr>
        <w:spacing w:line="500" w:lineRule="exact"/>
        <w:ind w:firstLine="643" w:firstLineChars="200"/>
        <w:rPr>
          <w:rFonts w:ascii="方正仿宋_GBK" w:hAnsi="方正仿宋_GBK" w:eastAsia="方正仿宋_GBK" w:cs="方正仿宋_GBK"/>
          <w:sz w:val="32"/>
          <w:szCs w:val="32"/>
        </w:rPr>
      </w:pPr>
      <w:r>
        <w:rPr>
          <w:rFonts w:hint="eastAsia" w:ascii="仿宋_GB2312" w:eastAsia="仿宋_GB2312"/>
          <w:b/>
          <w:sz w:val="32"/>
          <w:szCs w:val="32"/>
        </w:rPr>
        <w:t>（一）部门收入支出决算总体情况说明</w:t>
      </w:r>
    </w:p>
    <w:p>
      <w:pPr>
        <w:spacing w:line="48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2018年度本年收入82.68万元,比</w:t>
      </w:r>
      <w:r>
        <w:rPr>
          <w:rFonts w:hint="eastAsia" w:ascii="仿宋_GB2312" w:hAnsi="仿宋_GB2312" w:eastAsia="仿宋_GB2312" w:cs="仿宋_GB2312"/>
          <w:sz w:val="32"/>
          <w:szCs w:val="32"/>
          <w:lang w:eastAsia="zh-CN"/>
        </w:rPr>
        <w:t>上</w:t>
      </w:r>
      <w:r>
        <w:rPr>
          <w:rFonts w:hint="eastAsia" w:ascii="仿宋_GB2312" w:hAnsi="仿宋_GB2312" w:eastAsia="仿宋_GB2312" w:cs="仿宋_GB2312"/>
          <w:sz w:val="32"/>
          <w:szCs w:val="32"/>
        </w:rPr>
        <w:t>年增加1.18万元，增长1.45%，增长的原因是人员工资调整；</w:t>
      </w:r>
      <w:r>
        <w:rPr>
          <w:rFonts w:hint="eastAsia" w:ascii="仿宋_GB2312" w:eastAsia="仿宋_GB2312"/>
          <w:sz w:val="32"/>
          <w:szCs w:val="32"/>
        </w:rPr>
        <w:t xml:space="preserve">支出84.68万元,与上年相比，增加5.18万元，增长6.5%，增加变化主要原因是：1.人员工资调整；2.增加固定资产；结余0万元，与上年相比，减少2万元，降低100%，降低的主要原因是：支出中使用上年结余，并已用完。 </w:t>
      </w:r>
    </w:p>
    <w:p>
      <w:pPr>
        <w:spacing w:line="480" w:lineRule="auto"/>
        <w:ind w:firstLine="643" w:firstLineChars="200"/>
        <w:rPr>
          <w:rFonts w:ascii="仿宋_GB2312" w:eastAsia="仿宋_GB2312"/>
          <w:b/>
          <w:sz w:val="32"/>
          <w:szCs w:val="32"/>
        </w:rPr>
      </w:pPr>
      <w:r>
        <w:rPr>
          <w:rFonts w:hint="eastAsia" w:ascii="仿宋_GB2312" w:eastAsia="仿宋_GB2312"/>
          <w:b/>
          <w:sz w:val="32"/>
          <w:szCs w:val="32"/>
        </w:rPr>
        <w:t xml:space="preserve">（二）部门收入总体情况说明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本年收入合计82.68万元，其中：财政拨款收入82.68万元，占100%；上级补助收入0万元，占0%；事业收入0万元，占0%；经营收入0万元，占0%；附属单位缴款0万元，占0%；其他收入0万元，占0%。</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与年初预算数相比情况：本年收入年初预算数72.16万元，决算数82.68万元，预决算差异率14.58%，差异主要原因人员工资及福利支出增加额年初未预算，后追加预算。 </w:t>
      </w:r>
    </w:p>
    <w:p>
      <w:pPr>
        <w:spacing w:line="480" w:lineRule="auto"/>
        <w:ind w:firstLine="643" w:firstLineChars="200"/>
        <w:rPr>
          <w:rFonts w:ascii="仿宋_GB2312" w:eastAsia="仿宋_GB2312"/>
          <w:b/>
          <w:sz w:val="32"/>
          <w:szCs w:val="32"/>
        </w:rPr>
      </w:pPr>
      <w:r>
        <w:rPr>
          <w:rFonts w:hint="eastAsia" w:ascii="仿宋_GB2312" w:eastAsia="仿宋_GB2312"/>
          <w:b/>
          <w:sz w:val="32"/>
          <w:szCs w:val="32"/>
        </w:rPr>
        <w:t xml:space="preserve">（三）部门支出总体情况说明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本年支出合计84.68万元，其中：基本支出84.68万元，占100%；项目支出0万元，占0%；上缴上级支出0万元，占0%；经营支出0万元，占0%；对附属单位补助支出0万元，占0%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与年初预算数相比情况：本年支出年初预算数72.16万元，决算数84.68万元，预决算差异率17.35%，差异主要原因人员工资及福利支出增加额年初未预算，后追加预算。 </w:t>
      </w:r>
    </w:p>
    <w:p>
      <w:pPr>
        <w:spacing w:line="480" w:lineRule="auto"/>
        <w:ind w:firstLine="643" w:firstLineChars="200"/>
        <w:rPr>
          <w:rFonts w:ascii="仿宋_GB2312" w:eastAsia="仿宋_GB2312"/>
          <w:b/>
          <w:sz w:val="32"/>
          <w:szCs w:val="32"/>
        </w:rPr>
      </w:pPr>
      <w:r>
        <w:rPr>
          <w:rFonts w:hint="eastAsia" w:ascii="仿宋_GB2312" w:eastAsia="仿宋_GB2312"/>
          <w:b/>
          <w:sz w:val="32"/>
          <w:szCs w:val="32"/>
        </w:rPr>
        <w:t xml:space="preserve">二、部门财政拨款收支情况 </w:t>
      </w:r>
    </w:p>
    <w:p>
      <w:pPr>
        <w:spacing w:line="480" w:lineRule="auto"/>
        <w:ind w:firstLine="643" w:firstLineChars="200"/>
        <w:rPr>
          <w:rFonts w:ascii="仿宋_GB2312" w:eastAsia="仿宋_GB2312"/>
          <w:sz w:val="32"/>
          <w:szCs w:val="32"/>
        </w:rPr>
      </w:pPr>
      <w:r>
        <w:rPr>
          <w:rFonts w:hint="eastAsia" w:ascii="仿宋_GB2312" w:eastAsia="仿宋_GB2312"/>
          <w:b/>
          <w:sz w:val="32"/>
          <w:szCs w:val="32"/>
        </w:rPr>
        <w:t>（一）财政拨款收支总体情况说明</w:t>
      </w:r>
      <w:r>
        <w:rPr>
          <w:rFonts w:hint="eastAsia" w:ascii="仿宋_GB2312" w:eastAsia="仿宋_GB2312"/>
          <w:sz w:val="32"/>
          <w:szCs w:val="32"/>
        </w:rPr>
        <w:t xml:space="preserve">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2018年度财政拨款收入82.68万元，与上年相比，增加3.18万元，增长4%。增长的主要原因是</w:t>
      </w:r>
      <w:r>
        <w:rPr>
          <w:rFonts w:hint="eastAsia" w:ascii="仿宋_GB2312" w:hAnsi="仿宋_GB2312" w:eastAsia="仿宋_GB2312" w:cs="仿宋_GB2312"/>
          <w:sz w:val="32"/>
          <w:szCs w:val="32"/>
        </w:rPr>
        <w:t>人员工资调整</w:t>
      </w:r>
      <w:r>
        <w:rPr>
          <w:rFonts w:hint="eastAsia" w:ascii="仿宋_GB2312" w:eastAsia="仿宋_GB2312"/>
          <w:sz w:val="32"/>
          <w:szCs w:val="32"/>
        </w:rPr>
        <w:t>。财政拨款支出82.68万元，与上年相比，增加3.18万元，增长4%，增长的主要原因是</w:t>
      </w:r>
      <w:r>
        <w:rPr>
          <w:rFonts w:hint="eastAsia" w:ascii="仿宋_GB2312" w:hAnsi="仿宋_GB2312" w:eastAsia="仿宋_GB2312" w:cs="仿宋_GB2312"/>
          <w:sz w:val="32"/>
          <w:szCs w:val="32"/>
        </w:rPr>
        <w:t>人员工资调整</w:t>
      </w:r>
      <w:r>
        <w:rPr>
          <w:rFonts w:hint="eastAsia" w:ascii="仿宋_GB2312" w:eastAsia="仿宋_GB2312"/>
          <w:sz w:val="32"/>
          <w:szCs w:val="32"/>
        </w:rPr>
        <w:t xml:space="preserve">。其中：基本支出82.68万元，项目支出0万元。财政拨款结转结余0万元，与上年相比，减少0万元，降低0%。主要原因是与上年持平。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与年初预算数相比情况：财政拨款收入年初预算数72.16万元，决算数82.68万元，预决算差异率14.58%，差异主要原因人员工资及福利支出增加额年初未预算，后追加预算。财政拨款支出年初预算数72.16万元，决算数82.68万元，预决算差异率14.58%，差异主要原因人员工资及福利支出增加额年初未预算，后追加预算。 </w:t>
      </w:r>
    </w:p>
    <w:p>
      <w:pPr>
        <w:spacing w:line="480" w:lineRule="auto"/>
        <w:ind w:firstLine="643" w:firstLineChars="200"/>
        <w:rPr>
          <w:rFonts w:ascii="仿宋_GB2312" w:eastAsia="仿宋_GB2312"/>
          <w:b/>
          <w:sz w:val="32"/>
          <w:szCs w:val="32"/>
        </w:rPr>
      </w:pPr>
      <w:r>
        <w:rPr>
          <w:rFonts w:hint="eastAsia" w:ascii="仿宋_GB2312" w:eastAsia="仿宋_GB2312"/>
          <w:b/>
          <w:sz w:val="32"/>
          <w:szCs w:val="32"/>
        </w:rPr>
        <w:t xml:space="preserve">（二）一般公共预算收支决算情况说明 </w:t>
      </w:r>
    </w:p>
    <w:p>
      <w:pPr>
        <w:spacing w:line="480" w:lineRule="auto"/>
        <w:ind w:firstLine="640" w:firstLineChars="200"/>
        <w:rPr>
          <w:rFonts w:ascii="仿宋_GB2312" w:eastAsia="仿宋_GB2312"/>
          <w:sz w:val="32"/>
          <w:szCs w:val="32"/>
          <w:highlight w:val="none"/>
        </w:rPr>
      </w:pPr>
      <w:r>
        <w:rPr>
          <w:rFonts w:hint="eastAsia" w:ascii="仿宋_GB2312" w:eastAsia="仿宋_GB2312"/>
          <w:sz w:val="32"/>
          <w:szCs w:val="32"/>
        </w:rPr>
        <w:t>2018年度一般公共预算财政拨款收入82.68万元。与上年</w:t>
      </w:r>
      <w:r>
        <w:rPr>
          <w:rFonts w:hint="eastAsia" w:ascii="仿宋_GB2312" w:eastAsia="仿宋_GB2312"/>
          <w:sz w:val="32"/>
          <w:szCs w:val="32"/>
          <w:highlight w:val="none"/>
        </w:rPr>
        <w:t>相比，增加3.18万元，增长4%。增长的主要原因是</w:t>
      </w:r>
      <w:r>
        <w:rPr>
          <w:rFonts w:hint="eastAsia" w:ascii="仿宋_GB2312" w:hAnsi="仿宋_GB2312" w:eastAsia="仿宋_GB2312" w:cs="仿宋_GB2312"/>
          <w:sz w:val="32"/>
          <w:szCs w:val="32"/>
          <w:highlight w:val="none"/>
        </w:rPr>
        <w:t>人员工资调整</w:t>
      </w:r>
      <w:r>
        <w:rPr>
          <w:rFonts w:hint="eastAsia" w:ascii="仿宋_GB2312" w:eastAsia="仿宋_GB2312"/>
          <w:sz w:val="32"/>
          <w:szCs w:val="32"/>
          <w:highlight w:val="none"/>
        </w:rPr>
        <w:t>。一般公共预算财政拨款支出82.68万元。与上年相比，增加3.18万元，增长4%。增长的主要原因是</w:t>
      </w:r>
      <w:r>
        <w:rPr>
          <w:rFonts w:hint="eastAsia" w:ascii="仿宋_GB2312" w:hAnsi="仿宋_GB2312" w:eastAsia="仿宋_GB2312" w:cs="仿宋_GB2312"/>
          <w:sz w:val="32"/>
          <w:szCs w:val="32"/>
          <w:highlight w:val="none"/>
        </w:rPr>
        <w:t>人员工资调整</w:t>
      </w:r>
      <w:r>
        <w:rPr>
          <w:rFonts w:hint="eastAsia" w:ascii="仿宋_GB2312" w:eastAsia="仿宋_GB2312"/>
          <w:sz w:val="32"/>
          <w:szCs w:val="32"/>
          <w:highlight w:val="none"/>
        </w:rPr>
        <w:t>。</w:t>
      </w:r>
    </w:p>
    <w:p>
      <w:pPr>
        <w:spacing w:line="48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其中：按功能分类科目（按类级科目公开）</w:t>
      </w:r>
    </w:p>
    <w:p>
      <w:pPr>
        <w:spacing w:line="48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208  社会保障和就业支出 77.50万元</w:t>
      </w:r>
    </w:p>
    <w:p>
      <w:pPr>
        <w:spacing w:line="48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210  卫生健康支出 5.18万元</w:t>
      </w:r>
    </w:p>
    <w:p>
      <w:pPr>
        <w:spacing w:line="48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按经济分类科目</w:t>
      </w:r>
    </w:p>
    <w:p>
      <w:pPr>
        <w:numPr>
          <w:ilvl w:val="0"/>
          <w:numId w:val="1"/>
        </w:numPr>
        <w:spacing w:line="48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工资福利支出80.66万元</w:t>
      </w:r>
    </w:p>
    <w:p>
      <w:pPr>
        <w:numPr>
          <w:ilvl w:val="0"/>
          <w:numId w:val="1"/>
        </w:numPr>
        <w:spacing w:line="48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商品和服务支出2.01万元</w:t>
      </w:r>
    </w:p>
    <w:p>
      <w:pPr>
        <w:spacing w:line="48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 xml:space="preserve">303-对个人和家庭补助支出0.01万元。 </w:t>
      </w:r>
    </w:p>
    <w:p>
      <w:pPr>
        <w:spacing w:line="48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 xml:space="preserve">与年初预算数相比情况：一般公共预算财政拨款收入年初预算数72.16万元，决算数82.68万元，预决算差异率14.58%，差异主要原因人员工资及福利支出增加额年初未预算，后追加预算。一般公共预算财政拨款支出年初预算数72.16万元，决算数82.68万元，预决算差异率14.58%，差异主要原因人员工资及福利支出增加额年初未预算，后追加预算。 </w:t>
      </w:r>
    </w:p>
    <w:p>
      <w:pPr>
        <w:spacing w:line="480" w:lineRule="auto"/>
        <w:ind w:firstLine="643" w:firstLineChars="200"/>
        <w:rPr>
          <w:rFonts w:ascii="仿宋_GB2312" w:eastAsia="仿宋_GB2312"/>
          <w:b/>
          <w:sz w:val="32"/>
          <w:szCs w:val="32"/>
          <w:highlight w:val="none"/>
        </w:rPr>
      </w:pPr>
      <w:r>
        <w:rPr>
          <w:rFonts w:hint="eastAsia" w:ascii="仿宋_GB2312" w:eastAsia="仿宋_GB2312"/>
          <w:b/>
          <w:sz w:val="32"/>
          <w:szCs w:val="32"/>
          <w:highlight w:val="none"/>
        </w:rPr>
        <w:t xml:space="preserve">（三）政府性基金预算收支决算情况说明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2018年度政府性基金预算财政拨款收入0万元，与上年相比，增加0万元，增长0%。持平的主要原因是上年及本年无此项收入。政府性基金预算支出0万元。与上年相比，增加0万元，增长0%。持平的主要原因是上年及本年无此项支出。其中：按功能分类科目（按类级科目公开），</w:t>
      </w:r>
      <w:r>
        <w:rPr>
          <w:rFonts w:hint="eastAsia" w:ascii="仿宋_GB2312" w:eastAsia="仿宋_GB2312"/>
          <w:sz w:val="32"/>
          <w:szCs w:val="32"/>
          <w:lang w:val="en-US" w:eastAsia="zh-CN"/>
        </w:rPr>
        <w:t>0</w:t>
      </w:r>
      <w:r>
        <w:rPr>
          <w:rFonts w:hint="eastAsia" w:ascii="仿宋_GB2312" w:eastAsia="仿宋_GB2312"/>
          <w:sz w:val="32"/>
          <w:szCs w:val="32"/>
        </w:rPr>
        <w:t>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val="en-US" w:eastAsia="zh-CN"/>
        </w:rPr>
        <w:t>0</w:t>
      </w:r>
      <w:r>
        <w:rPr>
          <w:rFonts w:hint="eastAsia" w:ascii="仿宋_GB2312" w:eastAsia="仿宋_GB2312"/>
          <w:sz w:val="32"/>
          <w:szCs w:val="32"/>
        </w:rPr>
        <w:t>支出</w:t>
      </w:r>
      <w:r>
        <w:rPr>
          <w:rFonts w:hint="eastAsia" w:ascii="仿宋_GB2312" w:eastAsia="仿宋_GB2312"/>
          <w:sz w:val="32"/>
          <w:szCs w:val="32"/>
          <w:lang w:val="en-US" w:eastAsia="zh-CN"/>
        </w:rPr>
        <w:t>0</w:t>
      </w:r>
      <w:r>
        <w:rPr>
          <w:rFonts w:hint="eastAsia" w:ascii="仿宋_GB2312" w:eastAsia="仿宋_GB2312"/>
          <w:sz w:val="32"/>
          <w:szCs w:val="32"/>
        </w:rPr>
        <w:t>万元。按经济分类科目（按类级科目公开），</w:t>
      </w:r>
      <w:r>
        <w:rPr>
          <w:rFonts w:hint="eastAsia" w:ascii="仿宋_GB2312" w:eastAsia="仿宋_GB2312"/>
          <w:sz w:val="32"/>
          <w:szCs w:val="32"/>
          <w:lang w:val="en-US" w:eastAsia="zh-CN"/>
        </w:rPr>
        <w:t>0</w:t>
      </w:r>
      <w:r>
        <w:rPr>
          <w:rFonts w:hint="eastAsia" w:ascii="仿宋_GB2312" w:eastAsia="仿宋_GB2312"/>
          <w:sz w:val="32"/>
          <w:szCs w:val="32"/>
        </w:rPr>
        <w:t>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val="en-US" w:eastAsia="zh-CN"/>
        </w:rPr>
        <w:t>0</w:t>
      </w:r>
      <w:r>
        <w:rPr>
          <w:rFonts w:hint="eastAsia" w:ascii="仿宋_GB2312" w:eastAsia="仿宋_GB2312"/>
          <w:sz w:val="32"/>
          <w:szCs w:val="32"/>
        </w:rPr>
        <w:t>支出</w:t>
      </w:r>
      <w:r>
        <w:rPr>
          <w:rFonts w:hint="eastAsia" w:ascii="仿宋_GB2312" w:eastAsia="仿宋_GB2312"/>
          <w:sz w:val="32"/>
          <w:szCs w:val="32"/>
          <w:lang w:val="en-US" w:eastAsia="zh-CN"/>
        </w:rPr>
        <w:t>0</w:t>
      </w:r>
      <w:r>
        <w:rPr>
          <w:rFonts w:hint="eastAsia" w:ascii="仿宋_GB2312" w:eastAsia="仿宋_GB2312"/>
          <w:sz w:val="32"/>
          <w:szCs w:val="32"/>
        </w:rPr>
        <w:t>万元。</w:t>
      </w:r>
      <w:bookmarkStart w:id="0" w:name="_GoBack"/>
      <w:bookmarkEnd w:id="0"/>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与年初预算数相比情况：政府性基金预算财政拨款收入年初预算数0万元，决算数0万元，预决算差异率0%，差异主要原因是2018年无此项收入。政府性基金预算财政拨款支出年初预算数0万元，决算数0万元，预决算差异率0%，差异主要原因是2018年无此项支出。 </w:t>
      </w:r>
    </w:p>
    <w:p>
      <w:pPr>
        <w:spacing w:line="480" w:lineRule="auto"/>
        <w:ind w:firstLine="643" w:firstLineChars="200"/>
        <w:rPr>
          <w:rFonts w:ascii="仿宋_GB2312" w:eastAsia="仿宋_GB2312"/>
          <w:b/>
          <w:sz w:val="32"/>
          <w:szCs w:val="32"/>
        </w:rPr>
      </w:pPr>
      <w:r>
        <w:rPr>
          <w:rFonts w:hint="eastAsia" w:ascii="仿宋_GB2312" w:eastAsia="仿宋_GB2312"/>
          <w:b/>
          <w:sz w:val="32"/>
          <w:szCs w:val="32"/>
        </w:rPr>
        <w:t xml:space="preserve">三、部门结转结余情况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年末结转结余0万元。与上年相比，减少2万元，降低100%。</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其中财政拨款结转结余0万元。与上年相比，增加0万元，增长0%。 </w:t>
      </w:r>
    </w:p>
    <w:p>
      <w:pPr>
        <w:spacing w:line="480" w:lineRule="auto"/>
        <w:ind w:firstLine="643" w:firstLineChars="200"/>
        <w:rPr>
          <w:rFonts w:ascii="仿宋_GB2312" w:eastAsia="仿宋_GB2312"/>
          <w:b/>
          <w:sz w:val="32"/>
          <w:szCs w:val="32"/>
        </w:rPr>
      </w:pPr>
      <w:r>
        <w:rPr>
          <w:rFonts w:hint="eastAsia" w:ascii="仿宋_GB2312" w:eastAsia="仿宋_GB2312"/>
          <w:b/>
          <w:sz w:val="32"/>
          <w:szCs w:val="32"/>
        </w:rPr>
        <w:t xml:space="preserve">四、一般公共预算“三公”经费支出情况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2018年度一般公共预算“三公”经费支出决算0万元，比上年增加0万元，增长0%，持平的原因是2017-2018年均无此项支出。其中，因公出国（境）费支出0万元，占0%，比上年增加0万元，增长0%，持平的原因是2017-2018年均无此项支出；公务用车购置及运行维护费支出0万元，占0%，比上年增加0万元，增长0%，持平的原因是2017-2018年均无此项支出；公务接待费支出0万元，占0%，比上年增加0万元，增长0%，持平的原因是2017-2018年均无此项支出。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具体情况如下：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因公出国（境）费支出0万元。全年使用一般公共预算财政拨款安排的出国（境）团组0个，累计0人次。开支内容包括：无此项支出。</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公务用车购置及运行维护费0万元,其中，公务用车购置0万元，公务用车运行维护费0万元。主要用于无此项支出。单位一般公共财政拨款安排的公务用车购置量0辆，保有量为0辆。</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公务接待费0万元。具体是：国内公务接待支出0万元，主要是无此项支出。国内公务接待0批次，0人次。 </w:t>
      </w:r>
    </w:p>
    <w:p>
      <w:pPr>
        <w:spacing w:line="480" w:lineRule="auto"/>
        <w:ind w:firstLine="640" w:firstLineChars="200"/>
        <w:rPr>
          <w:rFonts w:ascii="仿宋_GB2312" w:eastAsia="仿宋_GB2312"/>
          <w:sz w:val="32"/>
          <w:szCs w:val="32"/>
          <w:highlight w:val="none"/>
        </w:rPr>
      </w:pPr>
      <w:r>
        <w:rPr>
          <w:rFonts w:hint="eastAsia" w:ascii="仿宋_GB2312" w:eastAsia="仿宋_GB2312"/>
          <w:sz w:val="32"/>
          <w:szCs w:val="32"/>
        </w:rPr>
        <w:t>与年初预算数相比情况：一般公共预算“三公”经费支出年初预算数0万元，决算数0万元，预决算差异率0%，差异主要原因2018年无此项支出。其中：因公出国（境）费预算数0万元，决算数0万元，预决算差异率0%，差异主要原因2018年无此项支出；公务用车购置预算数0万元，决算数0万元，预决算差异率0%，差异主要原因2018年无此项支出；公务用车运行费预算数0万元，决算数0万元，预决算差异率0%，差异主要原因2018年无此项支出；公务接待费预算数0万元</w:t>
      </w:r>
      <w:r>
        <w:rPr>
          <w:rFonts w:hint="eastAsia" w:ascii="仿宋_GB2312" w:eastAsia="仿宋_GB2312"/>
          <w:sz w:val="32"/>
          <w:szCs w:val="32"/>
          <w:highlight w:val="none"/>
        </w:rPr>
        <w:t xml:space="preserve">，决算数0万元，预决算差异率0%，差异主要原因2018年无此项支出。 </w:t>
      </w:r>
    </w:p>
    <w:p>
      <w:pPr>
        <w:spacing w:line="480" w:lineRule="auto"/>
        <w:ind w:firstLine="643" w:firstLineChars="200"/>
        <w:rPr>
          <w:rFonts w:ascii="仿宋_GB2312" w:eastAsia="仿宋_GB2312"/>
          <w:b/>
          <w:sz w:val="32"/>
          <w:szCs w:val="32"/>
          <w:highlight w:val="none"/>
        </w:rPr>
      </w:pPr>
      <w:r>
        <w:rPr>
          <w:rFonts w:hint="eastAsia" w:ascii="仿宋_GB2312" w:eastAsia="仿宋_GB2312"/>
          <w:b/>
          <w:sz w:val="32"/>
          <w:szCs w:val="32"/>
          <w:highlight w:val="none"/>
        </w:rPr>
        <w:t xml:space="preserve">五、机关运行经费支出情况 </w:t>
      </w:r>
    </w:p>
    <w:p>
      <w:pPr>
        <w:spacing w:line="48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 xml:space="preserve">阜康市军粮供应站（事业单位）2018年度日常公用经费4.01万元，比上年减少6.33元，降低61.23%，主要原因是2017年误将人员经费计入公用经费，使得2017年公用经费过大。 </w:t>
      </w:r>
    </w:p>
    <w:p>
      <w:pPr>
        <w:spacing w:line="480" w:lineRule="auto"/>
        <w:ind w:firstLine="643" w:firstLineChars="200"/>
        <w:rPr>
          <w:rFonts w:ascii="仿宋_GB2312" w:eastAsia="仿宋_GB2312"/>
          <w:b/>
          <w:sz w:val="32"/>
          <w:szCs w:val="32"/>
          <w:highlight w:val="none"/>
        </w:rPr>
      </w:pPr>
      <w:r>
        <w:rPr>
          <w:rFonts w:hint="eastAsia" w:ascii="仿宋_GB2312" w:eastAsia="仿宋_GB2312"/>
          <w:b/>
          <w:sz w:val="32"/>
          <w:szCs w:val="32"/>
          <w:highlight w:val="none"/>
        </w:rPr>
        <w:t xml:space="preserve">六、政府采购情况 </w:t>
      </w:r>
    </w:p>
    <w:p>
      <w:pPr>
        <w:spacing w:line="48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 xml:space="preserve">2018年度政府采购支出总额0万元，其中：政府采购货物支出0万元、政府采购工程支出0万元、政府采购服务支出0万元。 </w:t>
      </w:r>
    </w:p>
    <w:p>
      <w:pPr>
        <w:spacing w:line="480" w:lineRule="auto"/>
        <w:ind w:firstLine="643" w:firstLineChars="200"/>
        <w:rPr>
          <w:rFonts w:ascii="仿宋_GB2312" w:eastAsia="仿宋_GB2312"/>
          <w:b/>
          <w:sz w:val="32"/>
          <w:szCs w:val="32"/>
        </w:rPr>
      </w:pPr>
      <w:r>
        <w:rPr>
          <w:rFonts w:hint="eastAsia" w:ascii="仿宋_GB2312" w:eastAsia="仿宋_GB2312"/>
          <w:b/>
          <w:sz w:val="32"/>
          <w:szCs w:val="32"/>
        </w:rPr>
        <w:t xml:space="preserve">七、其他重要事项的情况 </w:t>
      </w:r>
    </w:p>
    <w:p>
      <w:pPr>
        <w:spacing w:line="480" w:lineRule="auto"/>
        <w:ind w:firstLine="643" w:firstLineChars="200"/>
        <w:rPr>
          <w:rFonts w:ascii="仿宋_GB2312" w:eastAsia="仿宋_GB2312"/>
          <w:b/>
          <w:sz w:val="32"/>
          <w:szCs w:val="32"/>
        </w:rPr>
      </w:pPr>
      <w:r>
        <w:rPr>
          <w:rFonts w:hint="eastAsia" w:ascii="仿宋_GB2312" w:eastAsia="仿宋_GB2312"/>
          <w:b/>
          <w:sz w:val="32"/>
          <w:szCs w:val="32"/>
        </w:rPr>
        <w:t xml:space="preserve">（一）国有资产占用情况说明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截至2018年12月31日，单位共有车辆0辆，价值0万元，其中：部级领导干部用车0辆、主要领导干部用车0辆、机要通信用车0辆、应急保障用车0辆、执法执勤用车0辆、特种专业技术用车0辆、离退休干部用车0辆；单位价值50万元以上通用设备0台、单位价值100万元以上专用设备0台。</w:t>
      </w:r>
    </w:p>
    <w:p>
      <w:pPr>
        <w:numPr>
          <w:ilvl w:val="0"/>
          <w:numId w:val="2"/>
        </w:numPr>
        <w:spacing w:line="480" w:lineRule="auto"/>
        <w:ind w:firstLine="643" w:firstLineChars="200"/>
        <w:rPr>
          <w:rFonts w:ascii="仿宋_GB2312" w:eastAsia="仿宋_GB2312"/>
          <w:b/>
          <w:sz w:val="32"/>
          <w:szCs w:val="32"/>
        </w:rPr>
      </w:pPr>
      <w:r>
        <w:rPr>
          <w:rFonts w:hint="eastAsia" w:ascii="仿宋_GB2312" w:eastAsia="仿宋_GB2312"/>
          <w:b/>
          <w:sz w:val="32"/>
          <w:szCs w:val="32"/>
        </w:rPr>
        <w:t xml:space="preserve">预算绩效情况的说明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 2018年度，本部门单位预算绩效自评情况：本单位无预算绩效自评项目。无项目绩效自评综述：根据年初设定的绩效目标，项目绩效自评得分为0分。项目全年预算数为0万元，执行数为0万元，完成预算的0%。主要产出和效果：无。发现的问题及原因：无。下一步改进措施：无。无项目支出绩效自评表。</w:t>
      </w:r>
    </w:p>
    <w:p>
      <w:pPr>
        <w:spacing w:line="480" w:lineRule="auto"/>
        <w:rPr>
          <w:rFonts w:ascii="仿宋_GB2312" w:eastAsia="仿宋_GB2312"/>
          <w:sz w:val="32"/>
          <w:szCs w:val="32"/>
        </w:rPr>
      </w:pPr>
      <w:r>
        <w:rPr>
          <w:rFonts w:hint="eastAsia" w:ascii="仿宋_GB2312" w:eastAsia="仿宋_GB2312"/>
          <w:sz w:val="32"/>
          <w:szCs w:val="32"/>
        </w:rPr>
        <w:t xml:space="preserve"> </w:t>
      </w:r>
    </w:p>
    <w:p>
      <w:pPr>
        <w:spacing w:line="480" w:lineRule="auto"/>
        <w:jc w:val="center"/>
        <w:rPr>
          <w:rFonts w:ascii="仿宋_GB2312" w:eastAsia="仿宋_GB2312"/>
          <w:b/>
          <w:sz w:val="32"/>
          <w:szCs w:val="32"/>
        </w:rPr>
      </w:pPr>
      <w:r>
        <w:rPr>
          <w:rFonts w:hint="eastAsia" w:ascii="仿宋_GB2312" w:eastAsia="仿宋_GB2312"/>
          <w:b/>
          <w:sz w:val="32"/>
          <w:szCs w:val="32"/>
        </w:rPr>
        <w:t>第三部分 专业名词解释</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财政拨款收入：指同级财政当年拨付的资金。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上级补助收入：指事业单位从主管部门和上级单位取得的非财政补助收入。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事业收入：指事业单位开展专业业务活动及其辅助活动所取得的收入。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经营收入：指事业单位在专业业务活动及其辅助活动之外开展非独立核算经营活动取得的收入。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附属单位上缴收入：指事业单位附属的独立核算单位按有关规定上缴的收入。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其他收入：指除上述“财政拨款收入”、“事业收入”、“经营收入”、“附属单位上缴收入”等之外取得的收入。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上年结转和结余：指以前年度支出预算因客观条件变化未执行完毕、结转到本年度按有关规定继续使用的资金，既包括财政拨款结转和结余，也包括事业收入、经营收入、其他收入的结转和结余。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结余分配：反映单位当年结余的分配情况。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年末结转和结余：指本年度或以前年度预算安排、因客观条件发生变化无法按原计划实施，需要延迟到以后年度按有关规定继续使用的资金，既包括财政拨款结转和结余，也包括事业收入、经营收入、其他收入的结转和结余。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基本支出：指为保障机构正常运转、完成日常工作任务而发生的人员支出和公用支出。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项目支出：指在基本支出之外为完成特定行政任务和事业发展目标所发生的支出。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经营支出：指事业单位在专业业务活动及其辅助活动之外开展非独立核算经营活动发生的支出。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对附属单位补助支出：指事业单位发生的用非财政预算资金对附属单位的补助支出。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pPr>
        <w:spacing w:line="480" w:lineRule="auto"/>
        <w:ind w:left="210" w:leftChars="100" w:firstLine="320" w:firstLineChars="100"/>
        <w:rPr>
          <w:rFonts w:ascii="仿宋_GB2312" w:eastAsia="仿宋_GB2312"/>
          <w:sz w:val="32"/>
          <w:szCs w:val="32"/>
        </w:rPr>
      </w:pPr>
      <w:r>
        <w:rPr>
          <w:rFonts w:hint="eastAsia" w:ascii="仿宋_GB2312" w:eastAsia="仿宋_GB2312"/>
          <w:sz w:val="32"/>
          <w:szCs w:val="32"/>
        </w:rPr>
        <w:t>本单位支出功能分类说明。2080209  部队供应支出 反映本单位的基本支出包括人员工资、津贴、水电费、办公费等日常开支。</w:t>
      </w:r>
    </w:p>
    <w:p>
      <w:pPr>
        <w:spacing w:line="480" w:lineRule="auto"/>
        <w:ind w:left="210" w:leftChars="100" w:firstLine="320" w:firstLineChars="100"/>
        <w:rPr>
          <w:rFonts w:ascii="仿宋_GB2312" w:eastAsia="仿宋_GB2312"/>
          <w:color w:val="000000"/>
          <w:sz w:val="32"/>
          <w:szCs w:val="32"/>
        </w:rPr>
      </w:pPr>
      <w:r>
        <w:rPr>
          <w:rFonts w:hint="eastAsia" w:ascii="仿宋_GB2312" w:eastAsia="仿宋_GB2312"/>
          <w:sz w:val="32"/>
          <w:szCs w:val="32"/>
        </w:rPr>
        <w:t xml:space="preserve"> </w:t>
      </w:r>
      <w:r>
        <w:rPr>
          <w:rFonts w:hint="eastAsia" w:ascii="仿宋_GB2312" w:eastAsia="仿宋_GB2312"/>
          <w:color w:val="000000"/>
          <w:sz w:val="32"/>
          <w:szCs w:val="32"/>
        </w:rPr>
        <w:t>2080505机关事业单位基本养老保险缴费支出：反映财政部门集中安排的事业单位基本医疗保险缴费经费，未参加医疗保险的事业单位的公费医疗经费，按国家规定享受离休人员待遇的医疗经费。</w:t>
      </w:r>
    </w:p>
    <w:p>
      <w:pPr>
        <w:ind w:firstLine="640" w:firstLineChars="200"/>
        <w:rPr>
          <w:rFonts w:ascii="仿宋_GB2312" w:eastAsia="仿宋_GB2312"/>
          <w:sz w:val="32"/>
          <w:szCs w:val="32"/>
        </w:rPr>
      </w:pPr>
      <w:r>
        <w:rPr>
          <w:rFonts w:hint="eastAsia" w:ascii="仿宋_GB2312" w:eastAsia="仿宋_GB2312"/>
          <w:sz w:val="32"/>
          <w:szCs w:val="32"/>
        </w:rPr>
        <w:t>2101102事业单位医疗：反应财政部门集中安排的事业单位基本医疗保险缴费经费，未参加医疗保险的事业单位的公费医疗经费，按照国家规定享受离休人员待遇的医疗经费。</w:t>
      </w:r>
    </w:p>
    <w:p>
      <w:pPr>
        <w:spacing w:line="480" w:lineRule="auto"/>
        <w:ind w:firstLine="640" w:firstLineChars="200"/>
        <w:rPr>
          <w:rFonts w:ascii="仿宋_GB2312" w:eastAsia="仿宋_GB2312"/>
          <w:sz w:val="32"/>
          <w:szCs w:val="32"/>
        </w:rPr>
      </w:pPr>
      <w:r>
        <w:rPr>
          <w:rFonts w:hint="eastAsia" w:ascii="仿宋_GB2312" w:eastAsia="仿宋_GB2312"/>
          <w:color w:val="000000"/>
          <w:sz w:val="32"/>
          <w:szCs w:val="32"/>
        </w:rPr>
        <w:t>2101103公务员医疗补助支出：反映财政部门集中安排的公务员</w:t>
      </w:r>
      <w:r>
        <w:rPr>
          <w:rFonts w:hint="eastAsia" w:ascii="仿宋_GB2312" w:eastAsia="仿宋_GB2312"/>
          <w:sz w:val="32"/>
          <w:szCs w:val="32"/>
        </w:rPr>
        <w:t>医疗补助经费。</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其他有关说明内容：无 </w:t>
      </w:r>
    </w:p>
    <w:p>
      <w:pPr>
        <w:spacing w:line="480" w:lineRule="auto"/>
        <w:rPr>
          <w:rFonts w:ascii="仿宋_GB2312" w:eastAsia="仿宋_GB2312"/>
          <w:sz w:val="32"/>
          <w:szCs w:val="32"/>
        </w:rPr>
      </w:pPr>
      <w:r>
        <w:rPr>
          <w:rFonts w:hint="eastAsia" w:ascii="仿宋_GB2312" w:eastAsia="仿宋_GB2312"/>
          <w:sz w:val="32"/>
          <w:szCs w:val="32"/>
        </w:rPr>
        <w:t xml:space="preserve"> </w:t>
      </w:r>
    </w:p>
    <w:p>
      <w:pPr>
        <w:spacing w:line="480" w:lineRule="auto"/>
        <w:jc w:val="center"/>
        <w:rPr>
          <w:rFonts w:ascii="仿宋_GB2312" w:eastAsia="仿宋_GB2312"/>
          <w:b/>
          <w:sz w:val="32"/>
          <w:szCs w:val="32"/>
        </w:rPr>
      </w:pPr>
      <w:r>
        <w:rPr>
          <w:rFonts w:hint="eastAsia" w:ascii="仿宋_GB2312" w:eastAsia="仿宋_GB2312"/>
          <w:b/>
          <w:sz w:val="32"/>
          <w:szCs w:val="32"/>
        </w:rPr>
        <w:t>第四部分 部门决算公开的8张报表（见附表）</w:t>
      </w:r>
    </w:p>
    <w:p>
      <w:pPr>
        <w:spacing w:line="480" w:lineRule="auto"/>
        <w:rPr>
          <w:rFonts w:ascii="仿宋_GB2312" w:eastAsia="仿宋_GB2312"/>
          <w:sz w:val="32"/>
          <w:szCs w:val="32"/>
        </w:rPr>
      </w:pPr>
      <w:r>
        <w:rPr>
          <w:rFonts w:hint="eastAsia" w:ascii="仿宋_GB2312" w:eastAsia="仿宋_GB2312"/>
          <w:sz w:val="32"/>
          <w:szCs w:val="32"/>
        </w:rPr>
        <w:t xml:space="preserve">一、《收入支出决算总表》 </w:t>
      </w:r>
    </w:p>
    <w:p>
      <w:pPr>
        <w:spacing w:line="480" w:lineRule="auto"/>
        <w:rPr>
          <w:rFonts w:ascii="仿宋_GB2312" w:eastAsia="仿宋_GB2312"/>
          <w:sz w:val="32"/>
          <w:szCs w:val="32"/>
        </w:rPr>
      </w:pPr>
      <w:r>
        <w:rPr>
          <w:rFonts w:hint="eastAsia" w:ascii="仿宋_GB2312" w:eastAsia="仿宋_GB2312"/>
          <w:sz w:val="32"/>
          <w:szCs w:val="32"/>
        </w:rPr>
        <w:t xml:space="preserve">二、《收入决算表》 </w:t>
      </w:r>
    </w:p>
    <w:p>
      <w:pPr>
        <w:spacing w:line="480" w:lineRule="auto"/>
        <w:rPr>
          <w:rFonts w:ascii="仿宋_GB2312" w:eastAsia="仿宋_GB2312"/>
          <w:sz w:val="32"/>
          <w:szCs w:val="32"/>
        </w:rPr>
      </w:pPr>
      <w:r>
        <w:rPr>
          <w:rFonts w:hint="eastAsia" w:ascii="仿宋_GB2312" w:eastAsia="仿宋_GB2312"/>
          <w:sz w:val="32"/>
          <w:szCs w:val="32"/>
        </w:rPr>
        <w:t xml:space="preserve">三、《支出决算表》 </w:t>
      </w:r>
    </w:p>
    <w:p>
      <w:pPr>
        <w:spacing w:line="480" w:lineRule="auto"/>
        <w:rPr>
          <w:rFonts w:ascii="仿宋_GB2312" w:eastAsia="仿宋_GB2312"/>
          <w:sz w:val="32"/>
          <w:szCs w:val="32"/>
        </w:rPr>
      </w:pPr>
      <w:r>
        <w:rPr>
          <w:rFonts w:hint="eastAsia" w:ascii="仿宋_GB2312" w:eastAsia="仿宋_GB2312"/>
          <w:sz w:val="32"/>
          <w:szCs w:val="32"/>
        </w:rPr>
        <w:t xml:space="preserve">四、《财政拨款收入支出决算总表》 </w:t>
      </w:r>
    </w:p>
    <w:p>
      <w:pPr>
        <w:spacing w:line="480" w:lineRule="auto"/>
        <w:rPr>
          <w:rFonts w:ascii="仿宋_GB2312" w:eastAsia="仿宋_GB2312"/>
          <w:sz w:val="32"/>
          <w:szCs w:val="32"/>
        </w:rPr>
      </w:pPr>
      <w:r>
        <w:rPr>
          <w:rFonts w:hint="eastAsia" w:ascii="仿宋_GB2312" w:eastAsia="仿宋_GB2312"/>
          <w:sz w:val="32"/>
          <w:szCs w:val="32"/>
        </w:rPr>
        <w:t xml:space="preserve">五、《一般公共预算财政拨款支出决算表》 </w:t>
      </w:r>
    </w:p>
    <w:p>
      <w:pPr>
        <w:spacing w:line="480" w:lineRule="auto"/>
        <w:rPr>
          <w:rFonts w:ascii="仿宋_GB2312" w:eastAsia="仿宋_GB2312"/>
          <w:sz w:val="32"/>
          <w:szCs w:val="32"/>
        </w:rPr>
      </w:pPr>
      <w:r>
        <w:rPr>
          <w:rFonts w:hint="eastAsia" w:ascii="仿宋_GB2312" w:eastAsia="仿宋_GB2312"/>
          <w:sz w:val="32"/>
          <w:szCs w:val="32"/>
        </w:rPr>
        <w:t xml:space="preserve">六、《一般公共预算财政拨款基本支出决算表》 </w:t>
      </w:r>
    </w:p>
    <w:p>
      <w:pPr>
        <w:spacing w:line="480" w:lineRule="auto"/>
        <w:rPr>
          <w:rFonts w:ascii="仿宋_GB2312" w:eastAsia="仿宋_GB2312"/>
          <w:sz w:val="32"/>
          <w:szCs w:val="32"/>
        </w:rPr>
      </w:pPr>
      <w:r>
        <w:rPr>
          <w:rFonts w:hint="eastAsia" w:ascii="仿宋_GB2312" w:eastAsia="仿宋_GB2312"/>
          <w:sz w:val="32"/>
          <w:szCs w:val="32"/>
        </w:rPr>
        <w:t xml:space="preserve">七、《一般公共预算财政拨款“三公”经费支出决算表》 </w:t>
      </w:r>
    </w:p>
    <w:p>
      <w:pPr>
        <w:spacing w:line="480" w:lineRule="auto"/>
        <w:rPr>
          <w:rFonts w:ascii="仿宋_GB2312" w:eastAsia="仿宋_GB2312"/>
          <w:sz w:val="32"/>
          <w:szCs w:val="32"/>
        </w:rPr>
      </w:pPr>
      <w:r>
        <w:rPr>
          <w:rFonts w:hint="eastAsia" w:ascii="仿宋_GB2312" w:eastAsia="仿宋_GB2312"/>
          <w:sz w:val="32"/>
          <w:szCs w:val="32"/>
        </w:rPr>
        <w:t xml:space="preserve">八、《政府性基金预算财政拨款收入支出决算表》 </w:t>
      </w:r>
    </w:p>
    <w:p>
      <w:pPr>
        <w:spacing w:line="480" w:lineRule="auto"/>
        <w:rPr>
          <w:rFonts w:ascii="仿宋_GB2312" w:eastAsia="仿宋_GB2312"/>
          <w:sz w:val="32"/>
          <w:szCs w:val="32"/>
        </w:rPr>
      </w:pPr>
    </w:p>
    <w:p>
      <w:pPr>
        <w:spacing w:line="480" w:lineRule="auto"/>
        <w:rPr>
          <w:rFonts w:ascii="仿宋_GB2312" w:eastAsia="仿宋_GB2312"/>
          <w:sz w:val="32"/>
          <w:szCs w:val="32"/>
        </w:rPr>
      </w:pPr>
    </w:p>
    <w:p>
      <w:pPr>
        <w:spacing w:line="480" w:lineRule="auto"/>
        <w:rPr>
          <w:rFonts w:ascii="仿宋_GB2312" w:eastAsia="仿宋_GB2312"/>
          <w:sz w:val="32"/>
          <w:szCs w:val="32"/>
        </w:rPr>
      </w:pPr>
    </w:p>
    <w:p>
      <w:pPr>
        <w:spacing w:line="480" w:lineRule="auto"/>
        <w:rPr>
          <w:rFonts w:ascii="仿宋_GB2312" w:eastAsia="仿宋_GB2312"/>
          <w:sz w:val="32"/>
          <w:szCs w:val="32"/>
        </w:rPr>
      </w:pPr>
      <w:r>
        <w:rPr>
          <w:rFonts w:hint="eastAsia" w:ascii="仿宋_GB2312" w:eastAsia="仿宋_GB2312"/>
          <w:sz w:val="32"/>
          <w:szCs w:val="32"/>
        </w:rPr>
        <w:t xml:space="preserve">                       新疆昌吉州阜康市军粮供应站</w:t>
      </w:r>
    </w:p>
    <w:p>
      <w:pPr>
        <w:spacing w:line="480" w:lineRule="auto"/>
        <w:rPr>
          <w:rFonts w:ascii="仿宋_GB2312" w:eastAsia="仿宋_GB2312"/>
          <w:sz w:val="32"/>
          <w:szCs w:val="32"/>
        </w:rPr>
      </w:pPr>
      <w:r>
        <w:rPr>
          <w:rFonts w:hint="eastAsia" w:ascii="仿宋_GB2312" w:eastAsia="仿宋_GB2312"/>
          <w:sz w:val="32"/>
          <w:szCs w:val="32"/>
        </w:rPr>
        <w:t xml:space="preserve">                            2019年8月19日</w:t>
      </w:r>
    </w:p>
    <w:p>
      <w:pPr>
        <w:spacing w:line="480" w:lineRule="auto"/>
        <w:rPr>
          <w:rFonts w:ascii="仿宋_GB2312" w:eastAsia="仿宋_GB2312"/>
          <w:sz w:val="32"/>
          <w:szCs w:val="32"/>
        </w:rPr>
      </w:pPr>
    </w:p>
    <w:p>
      <w:pPr>
        <w:spacing w:line="480" w:lineRule="auto"/>
        <w:rPr>
          <w:rFonts w:ascii="仿宋_GB2312" w:eastAsia="仿宋_GB2312"/>
          <w:sz w:val="32"/>
          <w:szCs w:val="32"/>
        </w:rPr>
      </w:pPr>
    </w:p>
    <w:p>
      <w:pPr>
        <w:ind w:firstLine="600"/>
        <w:rPr>
          <w:rFonts w:ascii="方正仿宋_GBK" w:hAnsi="方正仿宋_GBK" w:eastAsia="方正仿宋_GBK" w:cs="方正仿宋_GBK"/>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1024;mso-width-relative:page;mso-height-relative:page;" filled="f" o:preferrelative="t"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5ED7D2"/>
    <w:multiLevelType w:val="singleLevel"/>
    <w:tmpl w:val="C05ED7D2"/>
    <w:lvl w:ilvl="0" w:tentative="0">
      <w:start w:val="301"/>
      <w:numFmt w:val="decimal"/>
      <w:suff w:val="nothing"/>
      <w:lvlText w:val="%1-"/>
      <w:lvlJc w:val="left"/>
    </w:lvl>
  </w:abstractNum>
  <w:abstractNum w:abstractNumId="1">
    <w:nsid w:val="0000000A"/>
    <w:multiLevelType w:val="singleLevel"/>
    <w:tmpl w:val="0000000A"/>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C71"/>
    <w:rsid w:val="00096C71"/>
    <w:rsid w:val="002461C1"/>
    <w:rsid w:val="002B6201"/>
    <w:rsid w:val="00622CB0"/>
    <w:rsid w:val="006F082B"/>
    <w:rsid w:val="00712B37"/>
    <w:rsid w:val="00947875"/>
    <w:rsid w:val="00AF506D"/>
    <w:rsid w:val="00BA0F00"/>
    <w:rsid w:val="00CF2F2A"/>
    <w:rsid w:val="00DC2443"/>
    <w:rsid w:val="00F11B95"/>
    <w:rsid w:val="0A82177A"/>
    <w:rsid w:val="1DF955FF"/>
    <w:rsid w:val="2E3970F9"/>
    <w:rsid w:val="2FA55D95"/>
    <w:rsid w:val="3C307520"/>
    <w:rsid w:val="653323B0"/>
    <w:rsid w:val="756A0CA9"/>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7"/>
    <w:qFormat/>
    <w:uiPriority w:val="0"/>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7">
    <w:name w:val="页脚 Char"/>
    <w:link w:val="3"/>
    <w:semiHidden/>
    <w:qFormat/>
    <w:uiPriority w:val="0"/>
    <w:rPr>
      <w:sz w:val="18"/>
      <w:szCs w:val="18"/>
    </w:rPr>
  </w:style>
  <w:style w:type="character" w:customStyle="1" w:styleId="8">
    <w:name w:val="页眉 Char"/>
    <w:link w:val="4"/>
    <w:semiHidden/>
    <w:qFormat/>
    <w:uiPriority w:val="0"/>
    <w:rPr>
      <w:sz w:val="18"/>
      <w:szCs w:val="18"/>
    </w:rPr>
  </w:style>
  <w:style w:type="paragraph" w:customStyle="1" w:styleId="9">
    <w:name w:val="默认段落字体 Para Char"/>
    <w:basedOn w:val="1"/>
    <w:qFormat/>
    <w:uiPriority w:val="0"/>
    <w:pPr>
      <w:adjustRightInd w:val="0"/>
      <w:spacing w:line="360" w:lineRule="auto"/>
    </w:pPr>
    <w:rPr>
      <w:kern w:val="0"/>
      <w:sz w:val="24"/>
      <w:szCs w:val="20"/>
    </w:rPr>
  </w:style>
  <w:style w:type="character" w:customStyle="1" w:styleId="10">
    <w:name w:val="页码1"/>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780</Words>
  <Characters>4447</Characters>
  <Lines>37</Lines>
  <Paragraphs>10</Paragraphs>
  <TotalTime>1</TotalTime>
  <ScaleCrop>false</ScaleCrop>
  <LinksUpToDate>false</LinksUpToDate>
  <CharactersWithSpaces>5217</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2016-08-26T19:40:00Z</dcterms:created>
  <dc:creator>mayao</dc:creator>
  <cp:lastModifiedBy>Administrator</cp:lastModifiedBy>
  <cp:lastPrinted>2018-08-19T21:17:00Z</cp:lastPrinted>
  <dcterms:modified xsi:type="dcterms:W3CDTF">2021-07-07T09:00:42Z</dcterms:modified>
  <dc:title>lenovo</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