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阜康市动物疾病预防控制中心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阜康市动物疾病预防控制中心单位概况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一、关于阜康市动物疾病预防控制中心2020年收支预算情况的总体说明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二、关于阜康市动物疾病预防控制中心2020年收入预算情况说明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三、关于阜康市动物疾病预防控制中心2020年支出预算情况说明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四、关于阜康市动物疾病预防控制中心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五、关于阜康市动物疾病预防控制中心2020年一般公共预算当年拨款情况说明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六、关于阜康市动物疾病预防控制中心2020年一般公共预算基本支出情况说明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七、关于阜康市动物疾病预防控制中心2020年项目支出情况说明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八、关于阜康市动物疾病预防控制中心2020年一般公共预算“三公”经费预算情况说明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九、关于阜康市动物疾病预防控制中心2020年政府性基金预算拨款情况说明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阜康市动物疾病预防控制中心单位概况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组织实施动物疫病的预防、控制、扑灭和动物及动物产品的检疫；组织实施畜禽品种改良工作，对种畜禽引进、生产、经营、使用等进行监督检查，处理违法案件；负责畜牧兽医新技术推广、技术服务、咨询、培训和兽医诊疗等工作，对防疫诊疗纠纷进行技术裁定。贯彻落实《中华人民共和国食品安全法》、《兽医管理条例》等法律法规的规定，开展畜产品质量检测工作。负责全市兽药生产经营企业的生产许可证及经营许可证的审核、发放工作。对全市兽药生产经营市场依法进行监督管理、查处假劣兽药，规范兽药生产经营秩序，保障养殖业健康发展。负责全市畜产品质量认证工作，维护公共卫生安全和人民身体健康。</w:t>
      </w:r>
    </w:p>
    <w:p>
      <w:pPr>
        <w:widowControl/>
        <w:spacing w:line="560" w:lineRule="exact"/>
        <w:ind w:firstLine="64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</w:p>
    <w:p>
      <w:pPr>
        <w:pStyle w:val="7"/>
        <w:ind w:left="638" w:leftChars="304"/>
        <w:rPr>
          <w:rFonts w:ascii="仿宋_GB2312" w:hAnsi="黑体" w:eastAsia="仿宋_GB2312"/>
          <w:b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阜康市动物疾病预防控制中心无下属预算单位，下设4个科室，分别是：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办公室、生产信息科技科、农业产业化发展科、政策法规科。</w:t>
      </w:r>
    </w:p>
    <w:p>
      <w:pPr>
        <w:pStyle w:val="7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阜康市动物疾病预防控制中心编制数15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</w:t>
      </w:r>
      <w:r>
        <w:rPr>
          <w:rFonts w:hint="eastAsia" w:ascii="仿宋_GB2312" w:eastAsia="仿宋_GB2312"/>
          <w:sz w:val="32"/>
          <w:szCs w:val="32"/>
        </w:rPr>
        <w:t>，实有人数24人，其中：在职15人，增加0人；退休9人，增加0人；离休0人，减少0人。</w:t>
      </w:r>
      <w:r>
        <w:rPr>
          <w:rFonts w:ascii="仿宋_GB2312" w:eastAsia="仿宋_GB2312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编制部门：阜康市动物疾病预防控制中心       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18.12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223.36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276.38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276.38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填报部门：阜康市动物疾病预防控制中心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417"/>
        <w:gridCol w:w="516"/>
        <w:gridCol w:w="1848"/>
        <w:gridCol w:w="1036"/>
        <w:gridCol w:w="900"/>
        <w:gridCol w:w="642"/>
        <w:gridCol w:w="708"/>
        <w:gridCol w:w="426"/>
        <w:gridCol w:w="708"/>
        <w:gridCol w:w="480"/>
        <w:gridCol w:w="680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223.36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223.36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16.53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16.53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276.38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276.38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编制部门：阜康市动物疾病预防控制中心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550"/>
        <w:gridCol w:w="566"/>
        <w:gridCol w:w="2117"/>
        <w:gridCol w:w="1855"/>
        <w:gridCol w:w="1856"/>
        <w:gridCol w:w="1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223.36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223.36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16.53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16.53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276.38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276.38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编制部门：阜康市动物疾病预防控制中心         </w:t>
      </w:r>
      <w:r>
        <w:rPr>
          <w:rFonts w:ascii="仿宋_GB2312" w:hAnsi="宋体" w:eastAsia="仿宋_GB2312"/>
          <w:kern w:val="0"/>
          <w:sz w:val="24"/>
        </w:rPr>
        <w:t xml:space="preserve">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18.12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18.12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18.37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18.37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223.36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223.36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16.53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16.53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168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阜康市动物疾病预防控制中心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223.36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223.36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16.53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16.53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276.38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276.38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3062"/>
        <w:gridCol w:w="987"/>
        <w:gridCol w:w="543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编制部门：阜康市动物疾病预防控制中心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0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53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113.7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113.7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机关事业基本养老保险缴费支出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18.12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18.12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公务员医疗补助经费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1.13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16.53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16.53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18.9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18.9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公用取暖费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公务车运行维护费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76.44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76.44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其他对个人和家庭补助支出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276.38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263.74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12.64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56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70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编制部门：阜康市动物疾病预防控制中心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备注：我单位2020年无项目支出预算安排，因此此表为空表。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阜康市动物疾病预防控制中心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ind w:firstLine="2249" w:firstLineChars="7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编制单位：阜康市动物疾病预防控制中心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备注：我单位2020年无政府性基金支出预算安排，因此此表为空表。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关于阜康市动物疾病预防控制中心2020年收支预算情况的总体说明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按照全口径预算的原则，阜康市动物疾病预防控制中心2020年所有收入和支出均纳入部门预算管理。收支总预算276.38万元。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收入预算包括：一般公共预算276.38万元、政府性基金预算0万元。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支出预算包括：社会保障和就业支出18.12万元、卫生健康支出18.37万元、农林水支出223.36万元、住房保障支出16.53万元等。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二、关于阜康市动物疾病预防控制中心2020年收入预算情况说明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阜康市动物疾病预防控制中心收入预算276.38万元，其中：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一般公共预算276.38万元，占100%，比上年增加17.98万元，主要原因是村级兽医人员补助及社保、公积金缴费等预算增加。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三、关于阜康市动物疾病预防控制中心单位2020年支出预算情况说明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阜康市动物疾病预防控制中心单位2020年支出预算276.38万元，其中：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基本支出276.38万元，占100%，比上年增加17.98万元，主要原因是村级兽医人员补助及公积金缴费等增加。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项目支出0万元，占0%，比上年增加0万元，主要原因是本单位本年无项目支出预算。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四、关于阜康市动物疾病预防控制中心2020年财政拨款收支预算情况的总体说明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2020年财政拨款收支总预算276.38万元。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支出预算包括：社会保障和就业支出18.12万元，主要用于机关事业单位基本养老保险缴费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卫生健康支出18.37万元，主要用于事业单位基本医疗及公务员补助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农林水支出223.36万元，主要用于保障机关正常运行的人员经费、公用经费。住房保障支出16.53万元，主要用于个人的住房公积金缴纳。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五、关于阜康市动物疾病预防控制中心2020年一般公共预算当年拨款情况说明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阜康市动物疾病预防控制中心2020年一般公共预算拨款基本支出276.38万元，比上年执行数减少84.36万元，降低23.39%。主要原因是较上年本年业务费没有预算安排。     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1.社会保障和就业支出（208类）18.12万元，占6.6%。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卫生健康支出（210类）18.37万元，占6.4%。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3.农林水支出（213类）223.36万元，占81%。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4.住房保障支出（221类）16.53万元，占6%。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1、社会保障和就业支出（208类）行政事业单位离退休（05款）机关事业单位基本养老保险缴费支出（05项）：2020年预算数为18.12万元，比上年执行数减少1.95万元，降低9.72%，主要原因是：本年基本养老基数调整。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2、卫生健康支出（210类)行政事业单位医疗（11款）事业单位医疗（02项）:2020年预算数为15.14万元。比上年执行数增加1.47万元，增长10.75%。主要原因是：本年人员基本医疗基数调整。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3、卫生健康支出（210类)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行政事业单位医疗（11款）公务员医疗补助（03项）:2020年预算数为 3.23万元。比上年执行数减少2.85万元，降低46.88%。主要原因是：本年公务员医疗保险基数调整。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4、农林水支出（213类）农业（01款）事业运行（01项）2020年预算数为223.36万元，比上年执行数减少82.01万元，降低26.86%，主要原因是：2020年年初较上年业务费没有预算安排。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5、住房保障支出（221类）住房改革支出（02款）住房公积金（01项）：2020年预算数为16.53万元，比上年执行数增加1.73万元，增长11.69%。主要原因是：本年公积金缴费基数调整。</w:t>
      </w:r>
    </w:p>
    <w:p>
      <w:pPr>
        <w:spacing w:line="560" w:lineRule="exact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六、关于阜康市动物疾病预防控制中心2020年一般公共预算基本支出情况说明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阜康市动物疾病预防控制中心2020年一般公共预算基本支出276.38万元，其中：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263.74万元，主要包括：基本工资113.7万元、机关事业单位基本养老保险缴费18.12万元、职工基本医疗保险缴费15.28万元、公务员医疗补助缴费3.24万元、其他社会保障缴费1.13万元、住房公积金16.53元、其他工资福利支出18.9万元、生活补助76.44万元、其他对个人和家庭的补助0.4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公用经费12.64万元，主要包括：办公费1.8万元、水费0.45万元、电费0.75万元、邮电费0.75万元、差旅费4.5万元、公务接待费1万元、工会经费1.14万元、公务用车运行维护费2.25万元。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七、关于阜康市动物疾病预防控制中心2020年项目支出情况说明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我单位本年无项目支出预算安排。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八、关于阜康市动物疾病预防控制中心2020年一般公共预算“三公”经费预算情况说明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阜康市动物疾病预防控制中心2020年“三公”经费财政拨款预算数为3.25万元，其中：因公出国（境）费0万元，公务用车购置0万元，公务用车运行费2.25万元，公务接待费1万元。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其中：因公出国（境）费增加0万元，主要原因是本年“三公”经费预算安排较上年无变化；公务用车购置费增加0万元，主要原因是本年“三公”经费预算安排较上年无变化；公务用车运行费增加0万元，主要原因是本年“三公”经费预算安排较上年无变化；公务接待费增加0万元，主要原因是本年“三公”经费预算安排较上年无变化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九、关于阜康市动物疾病预防控制中心2020年政府性基金预算拨款情况说明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阜康市动物疾病预防控制中心2020年没有使用政府性基金预算拨款安排的支出，政府性基金预算支出情况表为空表。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2020年，阜康市动物疾病预防控制中心的机关运行经费财政拨款预算12.64万元，比上年预算增加12.64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万元，增长100%。主要原因是上年没做公用经费预算，本年预算主要用于办公费、水电费、差旅费、公务接待费、交通费等。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2020年，阜康市动物疾病预防控制中心政府采购预算0万元，其中：政府采购货物预算0万元，政府采购工程预算0万元，政府采购服务预算0万元。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截至2019年底，阜康市动物疾病预防控制中心占用使用国有资产总体情况为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1.房屋73.2平方米，价值4.49万元。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2.车辆2辆，价值31.77万元；其中：一般公务用车0辆，价值0万元；执法执勤用车0辆，价值 0 万元；其他车辆 2辆，价值31.77万元。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3.办公家具价值3.54万元。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4.其他资产价值48.42万元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阜康市动物疾病预防控制中心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阜康市动物疾病预防控制中心</w:t>
      </w:r>
    </w:p>
    <w:p>
      <w:pPr>
        <w:widowControl/>
        <w:spacing w:line="52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  <w:bookmarkStart w:id="0" w:name="_GoBack"/>
      <w:bookmarkEnd w:id="0"/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4150"/>
    <w:rsid w:val="0003663A"/>
    <w:rsid w:val="00046D89"/>
    <w:rsid w:val="00055826"/>
    <w:rsid w:val="00093228"/>
    <w:rsid w:val="000A7039"/>
    <w:rsid w:val="000B479F"/>
    <w:rsid w:val="000C7EBA"/>
    <w:rsid w:val="000E518A"/>
    <w:rsid w:val="001073F9"/>
    <w:rsid w:val="001329D9"/>
    <w:rsid w:val="0015259B"/>
    <w:rsid w:val="001708A3"/>
    <w:rsid w:val="00172A27"/>
    <w:rsid w:val="001A6ACB"/>
    <w:rsid w:val="001B0782"/>
    <w:rsid w:val="001C1357"/>
    <w:rsid w:val="00207005"/>
    <w:rsid w:val="00234493"/>
    <w:rsid w:val="00251167"/>
    <w:rsid w:val="00261DC0"/>
    <w:rsid w:val="002822ED"/>
    <w:rsid w:val="002C33B6"/>
    <w:rsid w:val="002D655F"/>
    <w:rsid w:val="002D7444"/>
    <w:rsid w:val="002F4528"/>
    <w:rsid w:val="002F654A"/>
    <w:rsid w:val="002F7841"/>
    <w:rsid w:val="00327BBC"/>
    <w:rsid w:val="00333C66"/>
    <w:rsid w:val="00335855"/>
    <w:rsid w:val="00351FAA"/>
    <w:rsid w:val="00373E81"/>
    <w:rsid w:val="00377F4C"/>
    <w:rsid w:val="003B6047"/>
    <w:rsid w:val="003D5B37"/>
    <w:rsid w:val="0041557F"/>
    <w:rsid w:val="00441854"/>
    <w:rsid w:val="00446F41"/>
    <w:rsid w:val="00493CDF"/>
    <w:rsid w:val="004B31EE"/>
    <w:rsid w:val="004C5A0F"/>
    <w:rsid w:val="004D2CF0"/>
    <w:rsid w:val="004D41C8"/>
    <w:rsid w:val="004F7E44"/>
    <w:rsid w:val="00515EC2"/>
    <w:rsid w:val="00532E32"/>
    <w:rsid w:val="00551527"/>
    <w:rsid w:val="00570F05"/>
    <w:rsid w:val="00581F45"/>
    <w:rsid w:val="005B30B6"/>
    <w:rsid w:val="005F2A75"/>
    <w:rsid w:val="005F2EEE"/>
    <w:rsid w:val="005F754F"/>
    <w:rsid w:val="0060579C"/>
    <w:rsid w:val="00616E36"/>
    <w:rsid w:val="0062518F"/>
    <w:rsid w:val="00631F3D"/>
    <w:rsid w:val="00652756"/>
    <w:rsid w:val="00667801"/>
    <w:rsid w:val="00691F68"/>
    <w:rsid w:val="00697A06"/>
    <w:rsid w:val="006A7B0E"/>
    <w:rsid w:val="006C1337"/>
    <w:rsid w:val="006E6780"/>
    <w:rsid w:val="00717B3D"/>
    <w:rsid w:val="007273BB"/>
    <w:rsid w:val="007663F1"/>
    <w:rsid w:val="00773BBC"/>
    <w:rsid w:val="00782245"/>
    <w:rsid w:val="007A06F7"/>
    <w:rsid w:val="007B523B"/>
    <w:rsid w:val="007B7A45"/>
    <w:rsid w:val="007D0FDE"/>
    <w:rsid w:val="007E56CE"/>
    <w:rsid w:val="007F42A4"/>
    <w:rsid w:val="008264F4"/>
    <w:rsid w:val="00841BD6"/>
    <w:rsid w:val="00854417"/>
    <w:rsid w:val="0086795D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906960"/>
    <w:rsid w:val="00947A57"/>
    <w:rsid w:val="00951A4D"/>
    <w:rsid w:val="00976CAF"/>
    <w:rsid w:val="009A29CB"/>
    <w:rsid w:val="009A2DA4"/>
    <w:rsid w:val="009A6792"/>
    <w:rsid w:val="009E0834"/>
    <w:rsid w:val="00A17546"/>
    <w:rsid w:val="00A3409E"/>
    <w:rsid w:val="00A361C8"/>
    <w:rsid w:val="00A4568B"/>
    <w:rsid w:val="00A649D2"/>
    <w:rsid w:val="00A675D6"/>
    <w:rsid w:val="00A74DEC"/>
    <w:rsid w:val="00A92AB0"/>
    <w:rsid w:val="00A93CA8"/>
    <w:rsid w:val="00AB1C6C"/>
    <w:rsid w:val="00AF3BF5"/>
    <w:rsid w:val="00B00AA9"/>
    <w:rsid w:val="00B07046"/>
    <w:rsid w:val="00B34A0E"/>
    <w:rsid w:val="00B66B75"/>
    <w:rsid w:val="00BA6844"/>
    <w:rsid w:val="00BD6FD8"/>
    <w:rsid w:val="00C05A6B"/>
    <w:rsid w:val="00C1778D"/>
    <w:rsid w:val="00C86845"/>
    <w:rsid w:val="00C9313A"/>
    <w:rsid w:val="00CB041F"/>
    <w:rsid w:val="00CD14BC"/>
    <w:rsid w:val="00CD364B"/>
    <w:rsid w:val="00CE76F9"/>
    <w:rsid w:val="00D07908"/>
    <w:rsid w:val="00D23CAC"/>
    <w:rsid w:val="00D347FE"/>
    <w:rsid w:val="00D55963"/>
    <w:rsid w:val="00D74C34"/>
    <w:rsid w:val="00D75F10"/>
    <w:rsid w:val="00D769AA"/>
    <w:rsid w:val="00D846ED"/>
    <w:rsid w:val="00D9223D"/>
    <w:rsid w:val="00D97B29"/>
    <w:rsid w:val="00DA0808"/>
    <w:rsid w:val="00DE1BFA"/>
    <w:rsid w:val="00DE743A"/>
    <w:rsid w:val="00DF20A4"/>
    <w:rsid w:val="00E21494"/>
    <w:rsid w:val="00E23DC9"/>
    <w:rsid w:val="00E3422B"/>
    <w:rsid w:val="00E4042E"/>
    <w:rsid w:val="00E40E3A"/>
    <w:rsid w:val="00E4229F"/>
    <w:rsid w:val="00E83C6E"/>
    <w:rsid w:val="00E90922"/>
    <w:rsid w:val="00E970E1"/>
    <w:rsid w:val="00EA564E"/>
    <w:rsid w:val="00EB6AD0"/>
    <w:rsid w:val="00EC7537"/>
    <w:rsid w:val="00ED761C"/>
    <w:rsid w:val="00F045BC"/>
    <w:rsid w:val="00F05640"/>
    <w:rsid w:val="00F203DB"/>
    <w:rsid w:val="00F24B97"/>
    <w:rsid w:val="00F369F5"/>
    <w:rsid w:val="00F37381"/>
    <w:rsid w:val="00F61D29"/>
    <w:rsid w:val="00FA23E9"/>
    <w:rsid w:val="00FC4E99"/>
    <w:rsid w:val="00FF5F8A"/>
    <w:rsid w:val="02921682"/>
    <w:rsid w:val="06A31DB3"/>
    <w:rsid w:val="06AC7DC1"/>
    <w:rsid w:val="0D036426"/>
    <w:rsid w:val="0E5763F4"/>
    <w:rsid w:val="154D0FF5"/>
    <w:rsid w:val="1A807CE8"/>
    <w:rsid w:val="1BE17D2B"/>
    <w:rsid w:val="267E656E"/>
    <w:rsid w:val="276E354E"/>
    <w:rsid w:val="2A7F7B38"/>
    <w:rsid w:val="2AF97813"/>
    <w:rsid w:val="2F346855"/>
    <w:rsid w:val="3EE05911"/>
    <w:rsid w:val="43517BC1"/>
    <w:rsid w:val="447B35E7"/>
    <w:rsid w:val="4AC30B8C"/>
    <w:rsid w:val="4C0A7DD2"/>
    <w:rsid w:val="4D43426E"/>
    <w:rsid w:val="502A2CEE"/>
    <w:rsid w:val="55083BF5"/>
    <w:rsid w:val="5ADC7F00"/>
    <w:rsid w:val="5AF231DB"/>
    <w:rsid w:val="5B426D5D"/>
    <w:rsid w:val="5FF732A9"/>
    <w:rsid w:val="608F5405"/>
    <w:rsid w:val="61103365"/>
    <w:rsid w:val="61993940"/>
    <w:rsid w:val="637F0EE9"/>
    <w:rsid w:val="689576FE"/>
    <w:rsid w:val="691E476B"/>
    <w:rsid w:val="6E626B4F"/>
    <w:rsid w:val="6EFE5727"/>
    <w:rsid w:val="70960BFC"/>
    <w:rsid w:val="7506689E"/>
    <w:rsid w:val="75900BA0"/>
    <w:rsid w:val="772748F2"/>
    <w:rsid w:val="785028FD"/>
    <w:rsid w:val="788535BC"/>
    <w:rsid w:val="7C8032C9"/>
    <w:rsid w:val="7DE379B9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字符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字符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1539</Words>
  <Characters>8775</Characters>
  <Lines>73</Lines>
  <Paragraphs>20</Paragraphs>
  <TotalTime>5</TotalTime>
  <ScaleCrop>false</ScaleCrop>
  <LinksUpToDate>false</LinksUpToDate>
  <CharactersWithSpaces>10294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2020-09-29T04:45:00Z</dcterms:created>
  <dc:creator>User</dc:creator>
  <cp:lastModifiedBy>A凤颜国际-张倩</cp:lastModifiedBy>
  <cp:lastPrinted>2021-05-29T02:50:00Z</cp:lastPrinted>
  <dcterms:modified xsi:type="dcterms:W3CDTF">2021-07-07T03:50:21Z</dcterms:modified>
  <dc:title>哈密地区财政局           发文稿纸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8126B3E6862B4510A976E35C2DE96A41</vt:lpwstr>
  </property>
</Properties>
</file>