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阜康市现代服务业发展中心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ascii="方正小标宋_GBK" w:hAnsi="宋体" w:eastAsia="方正小标宋_GBK"/>
          <w:kern w:val="0"/>
          <w:sz w:val="44"/>
          <w:szCs w:val="44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</w:t>
      </w:r>
      <w:r>
        <w:rPr>
          <w:rFonts w:ascii="黑体" w:hAnsi="黑体" w:eastAsia="黑体"/>
          <w:kern w:val="0"/>
          <w:sz w:val="36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6"/>
          <w:szCs w:val="32"/>
        </w:rPr>
        <w:t>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阜康市现代服务业发展中心部门单位概况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阜康市现代服务业发展中心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九、关于阜康市现代服务业发展中心部门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名词解释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</w:rPr>
        <w:t>阜康市服务业发展中心部门单位概况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负责编制和组织实施全市服务业发展规划，指导有关部门编制服务业专项规划；根据国家法律法规和有关规定，研究提出服务业市场准入有关规定。负责衔接国家、区、州服务业有关规划，指导乡镇服务业规划编制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、负责全市服务业经济运行监测工作，包括年度和季度发展形势分析；服务业产业结构调整；监测、预测服务业发展动态和趋势；做好服务业信息发布工作。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、确定全市服务业发展引导资金的使用计划，并组织实施和检查。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、负责全市服务业发展工作的组织、督查及考核。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、负责全市服务业政策扶持工作，贯彻落实上级有关扶持政策；起草全市发展服务业的各项政策、意见和措施。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、负责推进全市服务业重大项目、重点企业、重点乡镇和重点集聚区的建设工作。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、负责与区、州、市业务部门及有关方面的衔接，协助有关部门做好争取上级资金和政策扶持工作。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、完成上级主管部门及市委交办的其它工作。</w:t>
      </w:r>
      <w:r>
        <w:rPr>
          <w:rFonts w:ascii="仿宋_GB2312" w:eastAsia="仿宋_GB2312"/>
          <w:sz w:val="32"/>
          <w:szCs w:val="32"/>
        </w:rPr>
        <w:br w:type="textWrapping"/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阜康市现代服务业发展中心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单位无下属预算单位，下设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1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个科室，分别是：服务业发展中心办公室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阜康市现代服务业发展中心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</w:t>
      </w:r>
      <w:r>
        <w:rPr>
          <w:rFonts w:ascii="仿宋_GB2312" w:hAnsi="宋体" w:eastAsia="仿宋_GB2312" w:cs="宋体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</w:t>
      </w:r>
      <w:r>
        <w:rPr>
          <w:rFonts w:ascii="仿宋_GB2312" w:hAnsi="宋体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</w:t>
      </w:r>
      <w:r>
        <w:rPr>
          <w:rFonts w:ascii="仿宋_GB2312" w:hAnsi="宋体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人；退休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人；离休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line="560" w:lineRule="exact"/>
        <w:ind w:firstLine="640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部门收支总体情况表 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89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2066"/>
        <w:gridCol w:w="2797"/>
        <w:gridCol w:w="1767"/>
      </w:tblGrid>
      <w:tr>
        <w:trPr>
          <w:trHeight w:val="362" w:hRule="atLeast"/>
        </w:trPr>
        <w:tc>
          <w:tcPr>
            <w:tcW w:w="4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44.03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5.22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3.79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4.67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36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426"/>
        <w:gridCol w:w="425"/>
        <w:gridCol w:w="1843"/>
        <w:gridCol w:w="964"/>
        <w:gridCol w:w="842"/>
        <w:gridCol w:w="887"/>
        <w:gridCol w:w="567"/>
        <w:gridCol w:w="567"/>
        <w:gridCol w:w="709"/>
        <w:gridCol w:w="508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计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44.03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44.03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5.22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5.22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3.14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0.65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0.65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4.67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4.67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57.71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57.71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40"/>
        <w:gridCol w:w="540"/>
        <w:gridCol w:w="2426"/>
        <w:gridCol w:w="1626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0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3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行政运行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44.03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44.03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05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机关事业单位基本养老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5.22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5.22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行政单位医疗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3.14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3.14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03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公务员医疗补助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0.65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0.65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住房公积金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4.67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4.67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57.71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57.71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080" w:hanging="1080" w:hangingChars="600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44.03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44.03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5.22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5.22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3.79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3.79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4.67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4.67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57.71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1842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编制部门：阜康市现代服务业发展中心</w:t>
            </w:r>
            <w:r>
              <w:rPr>
                <w:rFonts w:ascii="仿宋_GB2312" w:hAnsi="宋体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44.03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44.03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5.22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3.14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4.67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57.71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57.71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033"/>
        <w:gridCol w:w="853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编制部门：阜康市现代服务业发展中心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基本工资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31.2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31.2</w:t>
            </w: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5.22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5.22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职工基本医疗保险缴费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3.14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3.14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公务员医疗补助缴费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0,65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其他社会保障缴费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其他工资福利支出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办公费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0.3</w:t>
            </w: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差旅费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工会经费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0.31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其他交通费用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其他商品和服务支出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抚恤金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生活补助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奖励金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其他对个人和家庭的补助支出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57.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51.4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6.31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编制部门：阜康市现代服务业发展中心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17" w:right="1418" w:bottom="1417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备注：本年无项目支出预算安排，此表为空表。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编制单位：阜康市现代服务业发展中心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5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关于阜康市现代服务业发展中心部门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按照全口径预算的原则，阜康市现代服务业发展中心部门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万元、政府性基金预算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</w:rPr>
        <w:t>44.03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5.22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3.79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4.67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二、关于阜康市现代服务业发展中心部门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阜康市现代服务业发展中心部门收入预算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10.96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万元，主要原因是调出一人，人员工资及社保缴费减少。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三、关于阜康市现代服务业发展中心部门单位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阜康市现代服务业发展中心部门单位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10.96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万元，主要原因是调出一人，人员工资及社保缴费等预算减少。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万元，主要原因是本年无项目支出。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四、关于阜康市现代服务业发展中心部门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</w:rPr>
        <w:t>44.03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万元，主要用于保障机关正常运行的人员经费、公用经费。社会保障和就业支出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5.22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机关事业单位基本养老保险缴费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3.79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万元，主要用于职工医疗保障缴费及公务员医疗补助缴费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4.67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</w:rPr>
        <w:t>主要用于职工住房公积金缴费支出。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五、关于阜康市现代服务业发展中心部门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共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基本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8.80%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。主要原因是：调出一人，人员工资及社保缴费等预算减少。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一般公共服务（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eastAsia="仿宋_GB2312"/>
          <w:sz w:val="32"/>
          <w:szCs w:val="32"/>
        </w:rPr>
        <w:t>44.03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76.30%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社会保障和就业支出（</w:t>
      </w:r>
      <w:r>
        <w:rPr>
          <w:rFonts w:ascii="仿宋_GB2312" w:eastAsia="仿宋_GB2312"/>
          <w:sz w:val="32"/>
          <w:szCs w:val="32"/>
        </w:rPr>
        <w:t>208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eastAsia="仿宋_GB2312"/>
          <w:sz w:val="32"/>
          <w:szCs w:val="32"/>
        </w:rPr>
        <w:t>5.22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9.05%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eastAsia="仿宋_GB2312"/>
          <w:sz w:val="32"/>
          <w:szCs w:val="32"/>
        </w:rPr>
        <w:t>3.79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6.57%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4.67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8.08%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一般公共服务支出（</w:t>
      </w:r>
      <w:r>
        <w:rPr>
          <w:rFonts w:ascii="仿宋_GB2312" w:hAnsi="宋体" w:eastAsia="仿宋_GB2312" w:cs="宋体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sz w:val="32"/>
          <w:szCs w:val="32"/>
        </w:rPr>
        <w:t>类）商贸事务（</w:t>
      </w:r>
      <w:r>
        <w:rPr>
          <w:rFonts w:ascii="仿宋_GB2312" w:hAnsi="宋体" w:eastAsia="仿宋_GB2312" w:cs="宋体"/>
          <w:sz w:val="32"/>
          <w:szCs w:val="32"/>
        </w:rPr>
        <w:t>13</w:t>
      </w:r>
      <w:r>
        <w:rPr>
          <w:rFonts w:hint="eastAsia" w:ascii="仿宋_GB2312" w:hAnsi="宋体" w:eastAsia="仿宋_GB2312" w:cs="宋体"/>
          <w:sz w:val="32"/>
          <w:szCs w:val="32"/>
        </w:rPr>
        <w:t>款）行政运行（</w:t>
      </w:r>
      <w:r>
        <w:rPr>
          <w:rFonts w:ascii="仿宋_GB2312" w:hAnsi="宋体" w:eastAsia="仿宋_GB2312" w:cs="宋体"/>
          <w:sz w:val="32"/>
          <w:szCs w:val="32"/>
        </w:rPr>
        <w:t>01</w:t>
      </w:r>
      <w:r>
        <w:rPr>
          <w:rFonts w:hint="eastAsia" w:ascii="仿宋_GB2312" w:hAnsi="宋体" w:eastAsia="仿宋_GB2312" w:cs="宋体"/>
          <w:sz w:val="32"/>
          <w:szCs w:val="32"/>
        </w:rPr>
        <w:t>项）</w:t>
      </w:r>
      <w:r>
        <w:rPr>
          <w:rFonts w:ascii="仿宋_GB2312" w:hAnsi="宋体" w:eastAsia="仿宋_GB2312" w:cs="宋体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ascii="仿宋_GB2312" w:hAnsi="宋体" w:eastAsia="仿宋_GB2312" w:cs="宋体"/>
          <w:sz w:val="32"/>
          <w:szCs w:val="32"/>
        </w:rPr>
        <w:t>44.03</w:t>
      </w:r>
      <w:r>
        <w:rPr>
          <w:rFonts w:hint="eastAsia" w:ascii="仿宋_GB2312" w:hAnsi="宋体" w:eastAsia="仿宋_GB2312" w:cs="宋体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sz w:val="32"/>
          <w:szCs w:val="32"/>
        </w:rPr>
        <w:t>1.82</w:t>
      </w:r>
      <w:r>
        <w:rPr>
          <w:rFonts w:hint="eastAsia" w:ascii="仿宋_GB2312" w:hAnsi="宋体" w:eastAsia="仿宋_GB2312" w:cs="宋体"/>
          <w:sz w:val="32"/>
          <w:szCs w:val="32"/>
        </w:rPr>
        <w:t>万元，下降</w:t>
      </w:r>
      <w:r>
        <w:rPr>
          <w:rFonts w:ascii="仿宋_GB2312" w:hAnsi="宋体" w:eastAsia="仿宋_GB2312" w:cs="宋体"/>
          <w:sz w:val="32"/>
          <w:szCs w:val="32"/>
        </w:rPr>
        <w:t>3.97%</w:t>
      </w:r>
      <w:r>
        <w:rPr>
          <w:rFonts w:hint="eastAsia" w:ascii="仿宋_GB2312" w:hAnsi="宋体" w:eastAsia="仿宋_GB2312" w:cs="宋体"/>
          <w:sz w:val="32"/>
          <w:szCs w:val="32"/>
        </w:rPr>
        <w:t>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调出一人，人员工资及社保缴费等预算减少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款）机关事业单位基本养老保险缴费支出（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5.22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1.54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22.78%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，主要原因是：调出一人，人员工资及社保缴费等预算减少。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类）行政事业单位医疗（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款）行政单位医疗（</w:t>
      </w:r>
      <w:r>
        <w:rPr>
          <w:rFonts w:ascii="仿宋_GB2312" w:eastAsia="仿宋_GB2312"/>
          <w:sz w:val="32"/>
          <w:szCs w:val="32"/>
        </w:rPr>
        <w:t>01</w:t>
      </w:r>
      <w:r>
        <w:rPr>
          <w:rFonts w:hint="eastAsia" w:ascii="仿宋_GB2312" w:eastAsia="仿宋_GB2312"/>
          <w:sz w:val="32"/>
          <w:szCs w:val="32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3.14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，主要原因是：与上年相比无变化。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类）行政事业单位医疗（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款）公务员医疗补助（</w:t>
      </w:r>
      <w:r>
        <w:rPr>
          <w:rFonts w:ascii="仿宋_GB2312" w:eastAsia="仿宋_GB2312"/>
          <w:sz w:val="32"/>
          <w:szCs w:val="32"/>
        </w:rPr>
        <w:t>03</w:t>
      </w:r>
      <w:r>
        <w:rPr>
          <w:rFonts w:hint="eastAsia" w:ascii="仿宋_GB2312" w:eastAsia="仿宋_GB2312"/>
          <w:sz w:val="32"/>
          <w:szCs w:val="32"/>
        </w:rPr>
        <w:t>项）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年预算数为</w:t>
      </w:r>
      <w:r>
        <w:rPr>
          <w:rFonts w:ascii="仿宋_GB2312" w:eastAsia="仿宋_GB2312"/>
          <w:sz w:val="32"/>
          <w:szCs w:val="32"/>
        </w:rPr>
        <w:t>0.65</w:t>
      </w:r>
      <w:r>
        <w:rPr>
          <w:rFonts w:hint="eastAsia" w:ascii="仿宋_GB2312" w:eastAsia="仿宋_GB2312"/>
          <w:sz w:val="32"/>
          <w:szCs w:val="32"/>
        </w:rPr>
        <w:t>万元，比上年执行数减少</w:t>
      </w:r>
      <w:r>
        <w:rPr>
          <w:rFonts w:ascii="仿宋_GB2312" w:eastAsia="仿宋_GB2312"/>
          <w:sz w:val="32"/>
          <w:szCs w:val="32"/>
        </w:rPr>
        <w:t>0.73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ascii="仿宋_GB2312" w:eastAsia="仿宋_GB2312"/>
          <w:sz w:val="32"/>
          <w:szCs w:val="32"/>
        </w:rPr>
        <w:t>52.90%</w:t>
      </w:r>
      <w:r>
        <w:rPr>
          <w:rFonts w:hint="eastAsia" w:ascii="仿宋_GB2312" w:eastAsia="仿宋_GB2312"/>
          <w:sz w:val="32"/>
          <w:szCs w:val="32"/>
        </w:rPr>
        <w:t>，主要原因是：人员减少，单位医疗缴费减少。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住房保障支出（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类）住房改革支出（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款）住房公积金（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项）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4.67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1.48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24.07%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，主要原因是：本年度调出一人，人员减少，住房公积金缴费金额减少。</w:t>
      </w:r>
    </w:p>
    <w:p>
      <w:pPr>
        <w:tabs>
          <w:tab w:val="left" w:pos="312"/>
        </w:tabs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六、关于阜康市现代服务业发展中心</w:t>
      </w:r>
      <w:r>
        <w:rPr>
          <w:rFonts w:hint="eastAsia" w:ascii="黑体" w:hAnsi="宋体" w:eastAsia="黑体" w:cs="宋体"/>
          <w:kern w:val="0"/>
          <w:sz w:val="32"/>
          <w:szCs w:val="32"/>
        </w:rPr>
        <w:t>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57.71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51.40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</w:rPr>
        <w:t>31.2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5.22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3.14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0.65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4.67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万元、其他工资福利支出6.3万元。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公用经费6.31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万元，主要包括：办公费0.75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万元、水费0.2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万元、电费0.25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万元、差旅费</w:t>
      </w:r>
      <w:r>
        <w:rPr>
          <w:rFonts w:ascii="仿宋_GB2312" w:hAnsi="宋体" w:eastAsia="仿宋_GB2312" w:cs="宋体"/>
          <w:kern w:val="0"/>
          <w:sz w:val="32"/>
          <w:szCs w:val="32"/>
        </w:rPr>
        <w:t>1.5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</w:rPr>
        <w:t>0.31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万元、其他交通费用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七、关于阜康市现代服务业发展中心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八、关于阜康市现代服务业发展中心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万元，主要原因是本年未安排此项预算；公务用车购置费增加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万元，主要原因是本年未安排此项预算；公务用车运行费增加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万元，主要原因是本年未安排此项预算；公务接待费增加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万元，主要原因是与上年相比无变化。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九、关于阜康市现代服务业发展中心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阜康市阜康市现代服务业发展中心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年，阜康市现代服务业发展中心的机关运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行经费财政拨款预算</w:t>
      </w:r>
      <w:r>
        <w:rPr>
          <w:rFonts w:ascii="仿宋_GB2312" w:eastAsia="仿宋_GB2312"/>
          <w:sz w:val="32"/>
          <w:szCs w:val="32"/>
        </w:rPr>
        <w:t>6.31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ascii="仿宋_GB2312" w:hAnsi="宋体" w:eastAsia="仿宋_GB2312" w:cs="宋体"/>
          <w:kern w:val="0"/>
          <w:sz w:val="32"/>
          <w:szCs w:val="32"/>
        </w:rPr>
        <w:t>0.36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6.05%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原因是人均办公经费、交通费增加。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年，阜康市现代服务业发展中心政府采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购预算0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万元，政府采购工程预算0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</w:rPr>
        <w:t>2020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年底，阜康市现代服务业发展中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0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6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阜康市现代服务业发展中心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第四部分</w:t>
      </w:r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</w:rPr>
        <w:t>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阜康市现代服务业发展中心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sectPr>
      <w:headerReference r:id="rId7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30 -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4150"/>
    <w:rsid w:val="0003663A"/>
    <w:rsid w:val="00046D89"/>
    <w:rsid w:val="000478C0"/>
    <w:rsid w:val="00055826"/>
    <w:rsid w:val="000600D2"/>
    <w:rsid w:val="0006433C"/>
    <w:rsid w:val="00072F34"/>
    <w:rsid w:val="00093228"/>
    <w:rsid w:val="000A7039"/>
    <w:rsid w:val="000B479F"/>
    <w:rsid w:val="000C7EBA"/>
    <w:rsid w:val="000E518A"/>
    <w:rsid w:val="0010306A"/>
    <w:rsid w:val="001329D9"/>
    <w:rsid w:val="0015259B"/>
    <w:rsid w:val="001708A3"/>
    <w:rsid w:val="00171E83"/>
    <w:rsid w:val="00172A27"/>
    <w:rsid w:val="00182FD8"/>
    <w:rsid w:val="00185664"/>
    <w:rsid w:val="001A6ACB"/>
    <w:rsid w:val="001B0782"/>
    <w:rsid w:val="00234493"/>
    <w:rsid w:val="00261DC0"/>
    <w:rsid w:val="002822ED"/>
    <w:rsid w:val="002C33B6"/>
    <w:rsid w:val="002D655F"/>
    <w:rsid w:val="002F654A"/>
    <w:rsid w:val="002F7841"/>
    <w:rsid w:val="00305F51"/>
    <w:rsid w:val="00327BBC"/>
    <w:rsid w:val="00333C66"/>
    <w:rsid w:val="00335855"/>
    <w:rsid w:val="00351FAA"/>
    <w:rsid w:val="00373E81"/>
    <w:rsid w:val="00377F4C"/>
    <w:rsid w:val="0038641B"/>
    <w:rsid w:val="003B5208"/>
    <w:rsid w:val="003B6047"/>
    <w:rsid w:val="003D5B37"/>
    <w:rsid w:val="0041557F"/>
    <w:rsid w:val="00422CC9"/>
    <w:rsid w:val="00442BD7"/>
    <w:rsid w:val="00446F41"/>
    <w:rsid w:val="0047289B"/>
    <w:rsid w:val="00493CDF"/>
    <w:rsid w:val="004B31EE"/>
    <w:rsid w:val="004C5A0F"/>
    <w:rsid w:val="004D2CF0"/>
    <w:rsid w:val="004D41C8"/>
    <w:rsid w:val="004F7E44"/>
    <w:rsid w:val="00532E32"/>
    <w:rsid w:val="00570F05"/>
    <w:rsid w:val="00581F45"/>
    <w:rsid w:val="005B30B6"/>
    <w:rsid w:val="005C5855"/>
    <w:rsid w:val="005E7D54"/>
    <w:rsid w:val="005F2A75"/>
    <w:rsid w:val="005F2EEE"/>
    <w:rsid w:val="005F754F"/>
    <w:rsid w:val="0060579C"/>
    <w:rsid w:val="00613BB6"/>
    <w:rsid w:val="00616E36"/>
    <w:rsid w:val="0062518F"/>
    <w:rsid w:val="00631F3D"/>
    <w:rsid w:val="00636BD4"/>
    <w:rsid w:val="00652756"/>
    <w:rsid w:val="00667801"/>
    <w:rsid w:val="00691F68"/>
    <w:rsid w:val="00694D29"/>
    <w:rsid w:val="00697A06"/>
    <w:rsid w:val="006A7B0E"/>
    <w:rsid w:val="006B6901"/>
    <w:rsid w:val="006C1337"/>
    <w:rsid w:val="006D59FA"/>
    <w:rsid w:val="006E6780"/>
    <w:rsid w:val="00717573"/>
    <w:rsid w:val="00717B3D"/>
    <w:rsid w:val="007273BB"/>
    <w:rsid w:val="007310F5"/>
    <w:rsid w:val="007410EF"/>
    <w:rsid w:val="00760DDF"/>
    <w:rsid w:val="00762BAF"/>
    <w:rsid w:val="007663F1"/>
    <w:rsid w:val="00773BBC"/>
    <w:rsid w:val="00782245"/>
    <w:rsid w:val="007A06F7"/>
    <w:rsid w:val="007B523B"/>
    <w:rsid w:val="007B7A45"/>
    <w:rsid w:val="007D0FDE"/>
    <w:rsid w:val="007E56CE"/>
    <w:rsid w:val="007E7041"/>
    <w:rsid w:val="007F42A4"/>
    <w:rsid w:val="007F7375"/>
    <w:rsid w:val="007F7B93"/>
    <w:rsid w:val="00816A87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71A31"/>
    <w:rsid w:val="00982B13"/>
    <w:rsid w:val="009A29CB"/>
    <w:rsid w:val="009A2DA4"/>
    <w:rsid w:val="009A6792"/>
    <w:rsid w:val="009E0834"/>
    <w:rsid w:val="009F3133"/>
    <w:rsid w:val="00A11453"/>
    <w:rsid w:val="00A17546"/>
    <w:rsid w:val="00A261BB"/>
    <w:rsid w:val="00A3409E"/>
    <w:rsid w:val="00A361C8"/>
    <w:rsid w:val="00A4568B"/>
    <w:rsid w:val="00A649D2"/>
    <w:rsid w:val="00A675D6"/>
    <w:rsid w:val="00A7389E"/>
    <w:rsid w:val="00A74DEC"/>
    <w:rsid w:val="00A92AB0"/>
    <w:rsid w:val="00A93CA8"/>
    <w:rsid w:val="00AB1C6C"/>
    <w:rsid w:val="00AF3BF5"/>
    <w:rsid w:val="00B00AA9"/>
    <w:rsid w:val="00B34A0E"/>
    <w:rsid w:val="00B66B75"/>
    <w:rsid w:val="00B67437"/>
    <w:rsid w:val="00B87540"/>
    <w:rsid w:val="00BA6844"/>
    <w:rsid w:val="00BD6FD8"/>
    <w:rsid w:val="00BE4558"/>
    <w:rsid w:val="00C05A6B"/>
    <w:rsid w:val="00C1778D"/>
    <w:rsid w:val="00C64D21"/>
    <w:rsid w:val="00C83773"/>
    <w:rsid w:val="00C86845"/>
    <w:rsid w:val="00C9313A"/>
    <w:rsid w:val="00CB041F"/>
    <w:rsid w:val="00CB39D1"/>
    <w:rsid w:val="00CD14BC"/>
    <w:rsid w:val="00CD364B"/>
    <w:rsid w:val="00CE76F9"/>
    <w:rsid w:val="00D22025"/>
    <w:rsid w:val="00D55963"/>
    <w:rsid w:val="00D74C34"/>
    <w:rsid w:val="00D75F10"/>
    <w:rsid w:val="00D769AA"/>
    <w:rsid w:val="00D846ED"/>
    <w:rsid w:val="00D97B29"/>
    <w:rsid w:val="00DA0808"/>
    <w:rsid w:val="00DE1BFA"/>
    <w:rsid w:val="00E3422B"/>
    <w:rsid w:val="00E4042E"/>
    <w:rsid w:val="00E83C6E"/>
    <w:rsid w:val="00E90922"/>
    <w:rsid w:val="00E970E1"/>
    <w:rsid w:val="00EA564E"/>
    <w:rsid w:val="00EB5D21"/>
    <w:rsid w:val="00EB6AD0"/>
    <w:rsid w:val="00EC791E"/>
    <w:rsid w:val="00ED761C"/>
    <w:rsid w:val="00EE530A"/>
    <w:rsid w:val="00F045BC"/>
    <w:rsid w:val="00F05640"/>
    <w:rsid w:val="00F151A7"/>
    <w:rsid w:val="00F203DB"/>
    <w:rsid w:val="00F24B97"/>
    <w:rsid w:val="00F37381"/>
    <w:rsid w:val="00F44EF9"/>
    <w:rsid w:val="00F61D29"/>
    <w:rsid w:val="00F83D52"/>
    <w:rsid w:val="00FA23E9"/>
    <w:rsid w:val="00FB2680"/>
    <w:rsid w:val="00FC4E99"/>
    <w:rsid w:val="00FF5F8A"/>
    <w:rsid w:val="06AC7DC1"/>
    <w:rsid w:val="0B324CCA"/>
    <w:rsid w:val="11500433"/>
    <w:rsid w:val="23EB6D3F"/>
    <w:rsid w:val="276E354E"/>
    <w:rsid w:val="297207D1"/>
    <w:rsid w:val="2D65670A"/>
    <w:rsid w:val="33194094"/>
    <w:rsid w:val="3A4749FE"/>
    <w:rsid w:val="3A89441A"/>
    <w:rsid w:val="3EE05911"/>
    <w:rsid w:val="5101710B"/>
    <w:rsid w:val="53BD0258"/>
    <w:rsid w:val="5C67591C"/>
    <w:rsid w:val="62AA470D"/>
    <w:rsid w:val="67E06A4C"/>
    <w:rsid w:val="718C1066"/>
    <w:rsid w:val="790C2F62"/>
    <w:rsid w:val="7AB647ED"/>
    <w:rsid w:val="7E644A88"/>
    <w:rsid w:val="7EC3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99" w:name="table of authorities" w:locked="1"/>
    <w:lsdException w:uiPriority="0" w:name="macro"/>
    <w:lsdException w:uiPriority="0" w:name="toa heading"/>
    <w:lsdException w:uiPriority="99" w:name="List" w:locked="1"/>
    <w:lsdException w:uiPriority="99" w:name="List Bullet" w:locked="1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0" w:name="Message Header"/>
    <w:lsdException w:qFormat="1" w:unhideWhenUsed="0" w:uiPriority="11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7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99"/>
    <w:rPr>
      <w:rFonts w:cs="Times New Roman"/>
      <w:b/>
    </w:rPr>
  </w:style>
  <w:style w:type="character" w:styleId="12">
    <w:name w:val="page number"/>
    <w:qFormat/>
    <w:uiPriority w:val="99"/>
    <w:rPr>
      <w:rFonts w:cs="Times New Roman"/>
    </w:rPr>
  </w:style>
  <w:style w:type="character" w:customStyle="1" w:styleId="13">
    <w:name w:val="日期 字符"/>
    <w:link w:val="2"/>
    <w:semiHidden/>
    <w:qFormat/>
    <w:locked/>
    <w:uiPriority w:val="99"/>
    <w:rPr>
      <w:rFonts w:cs="Times New Roman"/>
      <w:sz w:val="24"/>
      <w:szCs w:val="24"/>
    </w:rPr>
  </w:style>
  <w:style w:type="character" w:customStyle="1" w:styleId="14">
    <w:name w:val="批注框文本 字符"/>
    <w:link w:val="3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页脚 字符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16">
    <w:name w:val="页眉 字符"/>
    <w:link w:val="5"/>
    <w:qFormat/>
    <w:locked/>
    <w:uiPriority w:val="99"/>
    <w:rPr>
      <w:rFonts w:cs="Times New Roman"/>
      <w:kern w:val="2"/>
      <w:sz w:val="18"/>
    </w:rPr>
  </w:style>
  <w:style w:type="character" w:customStyle="1" w:styleId="17">
    <w:name w:val="正文文本缩进 3 字符"/>
    <w:link w:val="6"/>
    <w:qFormat/>
    <w:locked/>
    <w:uiPriority w:val="99"/>
    <w:rPr>
      <w:rFonts w:eastAsia="仿宋_GB2312" w:cs="Times New Roman"/>
      <w:kern w:val="2"/>
      <w:sz w:val="24"/>
      <w:szCs w:val="24"/>
    </w:rPr>
  </w:style>
  <w:style w:type="paragraph" w:customStyle="1" w:styleId="18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21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普通(网站)1"/>
    <w:basedOn w:val="1"/>
    <w:qFormat/>
    <w:uiPriority w:val="99"/>
    <w:rPr>
      <w:rFonts w:ascii="Calibri" w:hAnsi="Calibri" w:cs="黑体"/>
      <w:sz w:val="24"/>
    </w:rPr>
  </w:style>
  <w:style w:type="paragraph" w:customStyle="1" w:styleId="23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24">
    <w:name w:val="普通(网站)3"/>
    <w:basedOn w:val="1"/>
    <w:qFormat/>
    <w:uiPriority w:val="99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1533</Words>
  <Characters>8744</Characters>
  <Lines>72</Lines>
  <Paragraphs>20</Paragraphs>
  <TotalTime>15</TotalTime>
  <ScaleCrop>false</ScaleCrop>
  <LinksUpToDate>false</LinksUpToDate>
  <CharactersWithSpaces>10257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2020-04-12T18:35:00Z</dcterms:created>
  <dc:creator>User</dc:creator>
  <cp:lastModifiedBy>A凤颜国际-张倩</cp:lastModifiedBy>
  <cp:lastPrinted>2019-12-30T11:43:00Z</cp:lastPrinted>
  <dcterms:modified xsi:type="dcterms:W3CDTF">2021-07-05T09:42:25Z</dcterms:modified>
  <dc:title>哈密地区财政局           发文稿纸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A075B2B49351495FB531DFD0400D81FD</vt:lpwstr>
  </property>
</Properties>
</file>