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附件：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阜康市商务和工业信息化局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ascii="方正小标宋_GBK" w:hAnsi="宋体" w:eastAsia="方正小标宋_GBK"/>
          <w:kern w:val="0"/>
          <w:sz w:val="44"/>
          <w:szCs w:val="44"/>
          <w:highlight w:val="none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6"/>
          <w:szCs w:val="32"/>
          <w:highlight w:val="none"/>
        </w:rPr>
        <w:t>目</w:t>
      </w:r>
      <w:r>
        <w:rPr>
          <w:rFonts w:ascii="黑体" w:hAnsi="黑体" w:eastAsia="黑体"/>
          <w:kern w:val="0"/>
          <w:sz w:val="36"/>
          <w:szCs w:val="32"/>
          <w:highlight w:val="none"/>
        </w:rPr>
        <w:t xml:space="preserve"> </w:t>
      </w:r>
      <w:r>
        <w:rPr>
          <w:rFonts w:hint="eastAsia" w:ascii="黑体" w:hAnsi="黑体" w:eastAsia="黑体"/>
          <w:kern w:val="0"/>
          <w:sz w:val="36"/>
          <w:szCs w:val="32"/>
          <w:highlight w:val="none"/>
        </w:rPr>
        <w:t>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第一部分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阜康市商务和工业信息化局概况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第二部分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 2020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 xml:space="preserve">第三部分 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2020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四、关于阜康市商务和工业信息化局部门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九、关于阜康市商务和工业信息化局部门</w:t>
      </w:r>
      <w:r>
        <w:rPr>
          <w:rFonts w:ascii="仿宋_GB2312" w:hAnsi="宋体" w:eastAsia="仿宋_GB2312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第四部分</w:t>
      </w: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名词解释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第一部分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阜康市商务和工业信息化局概况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一、主要职能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（一）贯彻执行国家、区、州有关商务和经济信息化的政策、法规，提出阜康市商务、新型工业化、信息化发展战略；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（二）负责监测分析商务和经济信息化运行态势，统计并发布相关信息，进行预测预警和信息引导；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（三）负责商务和经济信息化领域各行业的管理，组织实施行业专项规划、计划、技术规范和标准；负责园区产业发展及相关建设管理工作。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（四）负责商务和工业化、信息化建设的技术改造、投资管理工作；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（五）制定商务和经济信息化领域技术进步及自主创新的政策措施，推进技术创新和产学研相结合，推进科研成果产业；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（六）负责推进商务和经济信息化领域体制改革和管理创新；负责对各类经济成份企业进行宏观指导和服务，组织实施国家关于发展中小企业的政策法规；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（七）负责工业节能减排降耗综合协调和监督管理工作，落实能源资源节约和综合利用法规、规划、政策；负责推进循环经济发展；组织协调有关清洁生产和节能环保产业发展工作；负责工业节能执法工作。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（八）负责贯彻实施国家和区、州有关电力管理的政策、法规，负责权限范围内的电力行政执法、监督工作；组织协调电力生产、运营和供应中的重大问题。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（九）负责指导、协调经济社会各领域信息技术的推广应用工作；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（十）负责商贸流通行业管理，培养、发展和完善市场体系，拟定规范流通秩序和市场规则的政策措施；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（十一）指导大宗产品批发市场规划和商业网点规划、商业体系建设工作，促进城乡市场发展，推进农村市场体系建设，组织实施农村现代流通网络工程；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（十二）承担组织实施重要消费品市场调控和重要生产资料流通管理的责任；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（十三）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负责对外贸易的管理；贯彻执行国家进出口商品管理办法和进出口商品目录；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（十四）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负责外商投资工作；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（十五）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负责招商引资工作的协调、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组织、管理。编制产业集群招商规划；打造包装、征集筛选、推介发布招商引资项目；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十六）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负责推进区域经济联合与协作，指导和协调跨行业、跨部门的联合协作；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（十七）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承办市委、市人民政府和上级业务部门交办的其他事项。</w:t>
      </w:r>
    </w:p>
    <w:p>
      <w:pPr>
        <w:autoSpaceDE w:val="0"/>
        <w:autoSpaceDN w:val="0"/>
        <w:adjustRightInd w:val="0"/>
        <w:spacing w:line="42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从预算单位构成看，阜康市商务和工业信息化局的部门预算包括：工业信息化局本级预算及下属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家预算单位在内的汇总预算。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阜康市商务和工业信息化局部门本级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下设</w:t>
      </w:r>
      <w:r>
        <w:rPr>
          <w:rFonts w:ascii="仿宋_GB2312" w:hAnsi="黑体" w:eastAsia="仿宋_GB2312" w:cs="宋体"/>
          <w:bCs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个科室，分别是：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综合科、工业科、商贸科、招商科。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本部门中，行政单位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家，事业单位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家，纳入阜康市商务和工业信息化局部门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年部门预算编制范围的二级预算单位包括：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中小微企业中心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阜康市商务和工业信息化局部门编制数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人，实有人数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人；退休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人；离休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人。</w:t>
      </w:r>
    </w:p>
    <w:p>
      <w:pPr>
        <w:widowControl/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第二部分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编制部门：阜康市商务和工业信息化局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176.8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31.3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32.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84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35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       259.4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32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填报部门：阜康市商务和工业信息局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4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40"/>
        <w:gridCol w:w="540"/>
        <w:gridCol w:w="1758"/>
        <w:gridCol w:w="820"/>
        <w:gridCol w:w="842"/>
        <w:gridCol w:w="518"/>
        <w:gridCol w:w="680"/>
        <w:gridCol w:w="680"/>
        <w:gridCol w:w="680"/>
        <w:gridCol w:w="680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7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行政运行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176.8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176.8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行政单位离退休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10.8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10.8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5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5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12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</w:t>
            </w: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35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35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259.43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259.43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编制部门：阜康市商务和工业信息化局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</w:t>
      </w:r>
      <w:r>
        <w:rPr>
          <w:rFonts w:ascii="仿宋_GB2312" w:hAnsi="宋体" w:eastAsia="仿宋_GB2312"/>
          <w:b/>
          <w:kern w:val="0"/>
          <w:sz w:val="24"/>
          <w:highlight w:val="none"/>
        </w:rPr>
        <w:t xml:space="preserve"> 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4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34"/>
        <w:gridCol w:w="546"/>
        <w:gridCol w:w="2017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0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0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行政运行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176.88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176.88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行政单位离退休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10.8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10.8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20.55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20.55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12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35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259.43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259.43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编制部门：阜康市商务和工业信息化局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4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176.8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176.8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31.3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31.3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6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32.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32.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84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35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18.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35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259.43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表五：</w:t>
      </w:r>
    </w:p>
    <w:tbl>
      <w:tblPr>
        <w:tblStyle w:val="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168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  <w:t>阜康市商务和工业信息化局</w:t>
            </w:r>
            <w:r>
              <w:rPr>
                <w:rFonts w:ascii="仿宋_GB2312" w:hAnsi="宋体" w:eastAsia="仿宋_GB2312"/>
                <w:kern w:val="0"/>
                <w:sz w:val="24"/>
                <w:highlight w:val="none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行政运行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176.8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176.8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行政单位离退休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10.8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10.8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20.5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行政单位医疗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12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35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259.43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  <w:t>259.43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表六：</w:t>
      </w:r>
    </w:p>
    <w:tbl>
      <w:tblPr>
        <w:tblStyle w:val="4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  <w:t>阜康市商务和工业信息化局</w:t>
            </w:r>
            <w:r>
              <w:rPr>
                <w:rFonts w:ascii="仿宋_GB2312" w:hAnsi="宋体" w:eastAsia="仿宋_GB2312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123.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123.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27.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5.7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其他社会保障缴费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住房公积金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18.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23.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23.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</w:rPr>
              <w:t>2.7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</w:rPr>
              <w:t>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离休费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3.8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3.8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退休独生子女奖励工资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259.43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235.88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23.55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表七：</w:t>
      </w:r>
    </w:p>
    <w:tbl>
      <w:tblPr>
        <w:tblStyle w:val="4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  <w:t>阜康市商务和工业信息化局</w:t>
            </w:r>
            <w:r>
              <w:rPr>
                <w:rFonts w:ascii="仿宋_GB2312" w:hAnsi="宋体" w:eastAsia="仿宋_GB2312"/>
                <w:kern w:val="0"/>
                <w:sz w:val="24"/>
                <w:highlight w:val="none"/>
              </w:rPr>
              <w:t xml:space="preserve">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6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备注：本年无项目支出预算安排，此表为空表。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编制单位：阜康市商务和工业信息化局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</w:t>
      </w:r>
      <w:r>
        <w:rPr>
          <w:rFonts w:ascii="仿宋_GB2312" w:hAnsi="宋体" w:eastAsia="仿宋_GB2312"/>
          <w:b/>
          <w:kern w:val="0"/>
          <w:sz w:val="24"/>
          <w:highlight w:val="none"/>
        </w:rPr>
        <w:t xml:space="preserve"> 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</w:t>
      </w:r>
    </w:p>
    <w:tbl>
      <w:tblPr>
        <w:tblStyle w:val="4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11.56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highlight w:val="none"/>
              </w:rPr>
              <w:t>7.56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7.56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4"/>
                <w:highlight w:val="none"/>
              </w:rPr>
              <w:t>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/>
          <w:kern w:val="0"/>
          <w:sz w:val="28"/>
          <w:szCs w:val="32"/>
          <w:highlight w:val="none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编制单位：阜康市商务和工业信息化局</w:t>
      </w:r>
      <w:r>
        <w:rPr>
          <w:rFonts w:ascii="仿宋_GB2312" w:hAnsi="宋体" w:eastAsia="仿宋_GB2312"/>
          <w:kern w:val="0"/>
          <w:sz w:val="24"/>
          <w:highlight w:val="none"/>
        </w:rPr>
        <w:t xml:space="preserve">   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highlight w:val="none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备注：本年无政府性基金预算支出预算安排，此表为空表。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第三部分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 xml:space="preserve"> 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按照全口径预算的原则，阜康市商务和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工业信息化局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万元、政府性基金预算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176.8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8万元、社会保障和就业支出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31.3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6万元、卫生健康支出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84万元、住房保障支出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18.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35万元。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二、关于阜康市商务和工业信息化局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商务和工业信息化局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38.58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本年年初预算不包含业务经费支出，因此较上年减少。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政府性基金预算支出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万元，主要原因是我单位本年未作政府性基金预算安排。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三、关于阜康市商务和工业信息化局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商务和工业信息化局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38.58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本年年初预算不包含业务经费支出，因此较上年减少。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万元，主要原因是与上年相比无变化。</w:t>
      </w:r>
    </w:p>
    <w:p>
      <w:pPr>
        <w:spacing w:line="560" w:lineRule="exact"/>
        <w:rPr>
          <w:rFonts w:ascii="仿宋_GB2312" w:hAnsi="宋体" w:eastAsia="仿宋_GB2312" w:cs="宋体"/>
          <w:b/>
          <w:spacing w:val="-6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四、关于阜康市商务和工业信息化局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176.8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8万元，主要用于保障机关正常运行的人员经费、公用经费。社会保障和就业支出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31.3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6万元，主要用于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机关事业单位基本养老保险缴费支出。卫生健康支出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32.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84万元，主要用于医疗保险及公务员医疗补助。住房保障支出</w:t>
      </w:r>
      <w:r>
        <w:rPr>
          <w:rFonts w:ascii="仿宋_GB2312" w:hAnsi="宋体" w:eastAsia="仿宋_GB2312" w:cs="宋体"/>
          <w:sz w:val="32"/>
          <w:szCs w:val="32"/>
          <w:highlight w:val="none"/>
        </w:rPr>
        <w:t>18.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35万元，主要用于职工住房公积金缴费支出。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五、关于阜康市商务和工业信息化局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（一）一般公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  <w:lang w:eastAsia="zh-CN"/>
        </w:rPr>
        <w:t>共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商务和工业信息化局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基本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万元，比上年执行数增加减少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144.9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35.84%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。主要原因是：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上年执行数中有绩效奖、招商业务经费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一般公共服务（</w:t>
      </w:r>
      <w:r>
        <w:rPr>
          <w:rFonts w:ascii="仿宋_GB2312" w:eastAsia="仿宋_GB2312"/>
          <w:sz w:val="32"/>
          <w:szCs w:val="32"/>
          <w:highlight w:val="none"/>
        </w:rPr>
        <w:t>201</w:t>
      </w:r>
      <w:r>
        <w:rPr>
          <w:rFonts w:hint="eastAsia" w:ascii="仿宋_GB2312" w:eastAsia="仿宋_GB2312"/>
          <w:sz w:val="32"/>
          <w:szCs w:val="32"/>
          <w:highlight w:val="none"/>
        </w:rPr>
        <w:t>类）</w:t>
      </w:r>
      <w:r>
        <w:rPr>
          <w:rFonts w:ascii="仿宋_GB2312" w:eastAsia="仿宋_GB2312"/>
          <w:sz w:val="32"/>
          <w:szCs w:val="32"/>
          <w:highlight w:val="none"/>
        </w:rPr>
        <w:t>176.8</w:t>
      </w:r>
      <w:r>
        <w:rPr>
          <w:rFonts w:hint="eastAsia" w:ascii="仿宋_GB2312" w:eastAsia="仿宋_GB2312"/>
          <w:sz w:val="32"/>
          <w:szCs w:val="32"/>
          <w:highlight w:val="none"/>
        </w:rPr>
        <w:t>8万元</w:t>
      </w:r>
      <w:r>
        <w:rPr>
          <w:rFonts w:hint="eastAsia" w:ascii="仿宋_GB2312" w:eastAsia="仿宋_GB2312"/>
          <w:sz w:val="32"/>
          <w:szCs w:val="32"/>
          <w:highlight w:val="none"/>
        </w:rPr>
        <w:t>，占</w:t>
      </w:r>
      <w:r>
        <w:rPr>
          <w:rFonts w:ascii="仿宋_GB2312" w:eastAsia="仿宋_GB2312"/>
          <w:sz w:val="32"/>
          <w:szCs w:val="32"/>
          <w:highlight w:val="none"/>
        </w:rPr>
        <w:t>68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.18</w:t>
      </w:r>
      <w:r>
        <w:rPr>
          <w:rFonts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社会保障和就业支出（</w:t>
      </w:r>
      <w:r>
        <w:rPr>
          <w:rFonts w:ascii="仿宋_GB2312" w:eastAsia="仿宋_GB2312"/>
          <w:sz w:val="32"/>
          <w:szCs w:val="32"/>
          <w:highlight w:val="none"/>
        </w:rPr>
        <w:t>208</w:t>
      </w:r>
      <w:r>
        <w:rPr>
          <w:rFonts w:hint="eastAsia" w:ascii="仿宋_GB2312" w:eastAsia="仿宋_GB2312"/>
          <w:sz w:val="32"/>
          <w:szCs w:val="32"/>
          <w:highlight w:val="none"/>
        </w:rPr>
        <w:t>类）</w:t>
      </w:r>
      <w:r>
        <w:rPr>
          <w:rFonts w:ascii="仿宋_GB2312" w:eastAsia="仿宋_GB2312"/>
          <w:sz w:val="32"/>
          <w:szCs w:val="32"/>
          <w:highlight w:val="none"/>
        </w:rPr>
        <w:t>31.3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12.08</w:t>
      </w:r>
      <w:r>
        <w:rPr>
          <w:rFonts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3.</w:t>
      </w:r>
      <w:r>
        <w:rPr>
          <w:rFonts w:hint="eastAsia" w:ascii="仿宋_GB2312" w:eastAsia="仿宋_GB2312"/>
          <w:sz w:val="32"/>
          <w:szCs w:val="32"/>
          <w:highlight w:val="none"/>
        </w:rPr>
        <w:t>卫生健康支出（</w:t>
      </w:r>
      <w:r>
        <w:rPr>
          <w:rFonts w:ascii="仿宋_GB2312" w:eastAsia="仿宋_GB2312"/>
          <w:sz w:val="32"/>
          <w:szCs w:val="32"/>
          <w:highlight w:val="none"/>
        </w:rPr>
        <w:t>210</w:t>
      </w:r>
      <w:r>
        <w:rPr>
          <w:rFonts w:hint="eastAsia" w:ascii="仿宋_GB2312" w:eastAsia="仿宋_GB2312"/>
          <w:sz w:val="32"/>
          <w:szCs w:val="32"/>
          <w:highlight w:val="none"/>
        </w:rPr>
        <w:t>类）</w:t>
      </w:r>
      <w:r>
        <w:rPr>
          <w:rFonts w:ascii="仿宋_GB2312" w:eastAsia="仿宋_GB2312"/>
          <w:sz w:val="32"/>
          <w:szCs w:val="32"/>
          <w:highlight w:val="none"/>
        </w:rPr>
        <w:t>32.</w:t>
      </w:r>
      <w:r>
        <w:rPr>
          <w:rFonts w:hint="eastAsia" w:ascii="仿宋_GB2312" w:eastAsia="仿宋_GB2312"/>
          <w:sz w:val="32"/>
          <w:szCs w:val="32"/>
          <w:highlight w:val="none"/>
        </w:rPr>
        <w:t>8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sz w:val="32"/>
          <w:szCs w:val="32"/>
          <w:highlight w:val="none"/>
        </w:rPr>
        <w:t>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12.67</w:t>
      </w:r>
      <w:r>
        <w:rPr>
          <w:rFonts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、住房保障支出（</w:t>
      </w:r>
      <w:r>
        <w:rPr>
          <w:rFonts w:ascii="仿宋_GB2312" w:eastAsia="仿宋_GB2312"/>
          <w:sz w:val="32"/>
          <w:szCs w:val="32"/>
          <w:highlight w:val="none"/>
        </w:rPr>
        <w:t>221</w:t>
      </w:r>
      <w:r>
        <w:rPr>
          <w:rFonts w:hint="eastAsia" w:ascii="仿宋_GB2312" w:eastAsia="仿宋_GB2312"/>
          <w:sz w:val="32"/>
          <w:szCs w:val="32"/>
          <w:highlight w:val="none"/>
        </w:rPr>
        <w:t>类）</w:t>
      </w:r>
      <w:r>
        <w:rPr>
          <w:rFonts w:ascii="仿宋_GB2312" w:eastAsia="仿宋_GB2312"/>
          <w:sz w:val="32"/>
          <w:szCs w:val="32"/>
          <w:highlight w:val="none"/>
        </w:rPr>
        <w:t>18.</w:t>
      </w:r>
      <w:r>
        <w:rPr>
          <w:rFonts w:hint="eastAsia" w:ascii="仿宋_GB2312" w:eastAsia="仿宋_GB2312"/>
          <w:sz w:val="32"/>
          <w:szCs w:val="32"/>
          <w:highlight w:val="none"/>
        </w:rPr>
        <w:t>35万元，</w:t>
      </w:r>
      <w:r>
        <w:rPr>
          <w:rFonts w:hint="eastAsia" w:ascii="仿宋_GB2312" w:eastAsia="仿宋_GB2312"/>
          <w:sz w:val="32"/>
          <w:szCs w:val="32"/>
          <w:highlight w:val="none"/>
        </w:rPr>
        <w:t>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7.07</w:t>
      </w:r>
      <w:r>
        <w:rPr>
          <w:rFonts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一般公共服务（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类）商贸事务（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款）行政运行（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176.8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123.77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41.17%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，主要原因是：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执行数中有绩效奖、招商业务经费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类）行政事业单位离退休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(05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款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)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归口管理的行政单位离退休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0.6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5.88%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，主要原因是：离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休人员工资增加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</w:t>
      </w:r>
      <w:r>
        <w:rPr>
          <w:rFonts w:hint="eastAsia" w:ascii="仿宋_GB2312" w:eastAsia="仿宋_GB2312"/>
          <w:sz w:val="32"/>
          <w:szCs w:val="32"/>
          <w:highlight w:val="none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类）行政事业单位离退休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(05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款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)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机关事业单位基本养老保险缴费支出（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20.5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5万元，比上年执行数减少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13.14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社保缴费基数调整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款）行政单位医疗（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27.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15.65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要原因是：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社保缴费基数调整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2.28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20.8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社保缴费基数调整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住房保障支出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221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类）住房改革支出（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款）住房公积金（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18.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35万元，比上年执行数减少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14.06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，主要原因是：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本年预算住房公积金缴费基数不含绩效奖、取暖费，缴费基数较上年实际低。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六、关于阜康市商务和工业信息化局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商务和工业信息化局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259.43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人员经费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235.88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万元，主要包括：基本工资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123.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29万元、机关事业单位基本养老保险缴费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20.5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5万元、职工基本医疗保险缴费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27.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万元、公务员医疗补助缴费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3万元、其他社会保障缴费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15万元、住房公积金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18.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35万元、其他工资福利支出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94万元、离休费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万元、生活补助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4万元、退休独生子女奖励工资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3万元、其他对个人和家庭的补助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23.55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万元，主要包括：办公费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万元、水费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2万元、电费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万元、邮电费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08万元、差旅费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5.4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万元、公务接待费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万元、工会经费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9万元、公务用车运行维护费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7.56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七、关于阜康市商务和工业信息化局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/>
          <w:bCs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年未安排项目支出预算，因此没有使用项目支出预算拨款安排的支出，项目支出预算支出情况表为空表。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八、关于阜康市商务和工业信息化局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商务和工业信息化局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11.56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7.56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万元，公务接待费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年“三公”经费财政拨款预算比上年增加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万元，主要原因是本年未安排此项预算；公务用车购置费增加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万元，主要原因是本年未安排此项预算；公务用车运行费增加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万元，主要原因是与上年相比无变化；公务接待费增加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万元，主要原因是与上年相比无变化。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九、关于阜康市商务和工业信息化局部门</w:t>
      </w:r>
      <w:r>
        <w:rPr>
          <w:rFonts w:ascii="黑体" w:hAnsi="宋体" w:eastAsia="黑体" w:cs="宋体"/>
          <w:kern w:val="0"/>
          <w:sz w:val="32"/>
          <w:szCs w:val="32"/>
          <w:highlight w:val="none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年政府性基金预算拨款情况说明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阜康市商务和工业信息化局部门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年，阜康市商务和工业信息化局本级及下属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家行政单位和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家事业单位的机关运行经费财政拨款预算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23.55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万元，比上年预算减少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4.29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15.41%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。主要原因是办公费，邮电费减少。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2020年，阜康市商务和工业信息化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政府采购预算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万元，其中：政府采购货物预算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万元，政府采购工程预算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万元，政府采购服务预算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sz w:val="32"/>
          <w:highlight w:val="none"/>
        </w:rPr>
        <w:t>2020年度本部门面向中小企业预留政府采购项目预算金额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  <w:highlight w:val="none"/>
        </w:rPr>
        <w:t>万元，其中：面向小微企业预留政府采购项目预算金额</w:t>
      </w:r>
      <w:r>
        <w:rPr>
          <w:rFonts w:hint="eastAsia" w:ascii="仿宋_GB2312" w:hAnsi="仿宋_GB2312" w:eastAsia="仿宋_GB2312"/>
          <w:sz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  <w:highlight w:val="none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年底，阜康市商务和工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业信息化局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11.86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87.01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87.01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52.2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年部门预算未安排购置车辆经费，安排购置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台（套）。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万元。具体情况见下表（按项目分别填报）：</w:t>
      </w:r>
    </w:p>
    <w:p>
      <w:pPr>
        <w:widowControl/>
        <w:spacing w:line="600" w:lineRule="exact"/>
        <w:rPr>
          <w:highlight w:val="none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720" w:num="1"/>
          <w:docGrid w:linePitch="312" w:charSpace="0"/>
        </w:sectPr>
      </w:pPr>
    </w:p>
    <w:tbl>
      <w:tblPr>
        <w:tblStyle w:val="4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阜康市商务和工业信息化局</w:t>
            </w:r>
            <w:r>
              <w:rPr>
                <w:rFonts w:ascii="仿宋_GB2312" w:hAnsi="宋体" w:eastAsia="仿宋_GB2312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rPr>
          <w:highlight w:val="none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本单位无其他需要说明的事项。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</w:t>
      </w:r>
      <w:r>
        <w:rPr>
          <w:rFonts w:ascii="黑体" w:hAnsi="黑体" w:eastAsia="黑体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三、基本支出：</w:t>
      </w:r>
      <w:r>
        <w:rPr>
          <w:rFonts w:hint="eastAsia" w:ascii="仿宋_GB2312" w:eastAsia="仿宋_GB2312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四、“三公”经费：</w:t>
      </w:r>
      <w:r>
        <w:rPr>
          <w:rFonts w:hint="eastAsia" w:ascii="仿宋_GB2312" w:eastAsia="仿宋_GB2312"/>
          <w:sz w:val="32"/>
          <w:szCs w:val="32"/>
          <w:highlight w:val="none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五、机关运行经费：</w:t>
      </w:r>
      <w:r>
        <w:rPr>
          <w:rFonts w:hint="eastAsia" w:ascii="仿宋_GB2312" w:eastAsia="仿宋_GB2312"/>
          <w:sz w:val="32"/>
          <w:szCs w:val="32"/>
          <w:highlight w:val="none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20" w:lineRule="exact"/>
        <w:ind w:left="6080" w:hanging="6080" w:hangingChars="19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阜康市商务和工业信息化局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t>- 15 -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098"/>
    <w:rsid w:val="000A226F"/>
    <w:rsid w:val="000C27FD"/>
    <w:rsid w:val="001A0942"/>
    <w:rsid w:val="001B6D6D"/>
    <w:rsid w:val="001C5825"/>
    <w:rsid w:val="0023691B"/>
    <w:rsid w:val="00260DD7"/>
    <w:rsid w:val="002667EE"/>
    <w:rsid w:val="002A2450"/>
    <w:rsid w:val="002B55C5"/>
    <w:rsid w:val="002F6B27"/>
    <w:rsid w:val="00350D25"/>
    <w:rsid w:val="00356CD6"/>
    <w:rsid w:val="00360E2D"/>
    <w:rsid w:val="003853B5"/>
    <w:rsid w:val="003B7757"/>
    <w:rsid w:val="003D111E"/>
    <w:rsid w:val="00436A0D"/>
    <w:rsid w:val="00465D78"/>
    <w:rsid w:val="004709CA"/>
    <w:rsid w:val="0047468C"/>
    <w:rsid w:val="004B32E5"/>
    <w:rsid w:val="004D4928"/>
    <w:rsid w:val="005252CB"/>
    <w:rsid w:val="005316F7"/>
    <w:rsid w:val="00554EB8"/>
    <w:rsid w:val="005715BC"/>
    <w:rsid w:val="005A5DD5"/>
    <w:rsid w:val="005C194E"/>
    <w:rsid w:val="00610634"/>
    <w:rsid w:val="00674F98"/>
    <w:rsid w:val="006E72CC"/>
    <w:rsid w:val="006F660A"/>
    <w:rsid w:val="00717573"/>
    <w:rsid w:val="007524F8"/>
    <w:rsid w:val="007D6200"/>
    <w:rsid w:val="007F1FE6"/>
    <w:rsid w:val="00887B86"/>
    <w:rsid w:val="008A1ECB"/>
    <w:rsid w:val="008E04CC"/>
    <w:rsid w:val="00941CF4"/>
    <w:rsid w:val="009A319C"/>
    <w:rsid w:val="00A5736E"/>
    <w:rsid w:val="00AA42F5"/>
    <w:rsid w:val="00AB10FB"/>
    <w:rsid w:val="00AD00A1"/>
    <w:rsid w:val="00B66A2C"/>
    <w:rsid w:val="00BE4558"/>
    <w:rsid w:val="00C20A5A"/>
    <w:rsid w:val="00C22C6C"/>
    <w:rsid w:val="00C64D21"/>
    <w:rsid w:val="00D17349"/>
    <w:rsid w:val="00D520C6"/>
    <w:rsid w:val="00D77612"/>
    <w:rsid w:val="00D85C61"/>
    <w:rsid w:val="00DA4098"/>
    <w:rsid w:val="00DB147A"/>
    <w:rsid w:val="00DC2C3B"/>
    <w:rsid w:val="00EB4A76"/>
    <w:rsid w:val="00F456EF"/>
    <w:rsid w:val="00F63E14"/>
    <w:rsid w:val="00FC03D1"/>
    <w:rsid w:val="00FC0736"/>
    <w:rsid w:val="111F26E5"/>
    <w:rsid w:val="16307182"/>
    <w:rsid w:val="189774B4"/>
    <w:rsid w:val="191152ED"/>
    <w:rsid w:val="1AB069F1"/>
    <w:rsid w:val="1C264CA2"/>
    <w:rsid w:val="344B2ECB"/>
    <w:rsid w:val="35ED6885"/>
    <w:rsid w:val="383A3EB7"/>
    <w:rsid w:val="3FA61244"/>
    <w:rsid w:val="41940238"/>
    <w:rsid w:val="43F60588"/>
    <w:rsid w:val="4A6E23AE"/>
    <w:rsid w:val="4E44346B"/>
    <w:rsid w:val="50B91E71"/>
    <w:rsid w:val="59CC745B"/>
    <w:rsid w:val="5A3B7146"/>
    <w:rsid w:val="5D0C30FE"/>
    <w:rsid w:val="5FD13EC0"/>
    <w:rsid w:val="6B762877"/>
    <w:rsid w:val="6C652C2C"/>
    <w:rsid w:val="708E349C"/>
    <w:rsid w:val="72AA46B1"/>
    <w:rsid w:val="75FB0E9E"/>
    <w:rsid w:val="7E84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semiHidden/>
    <w:qFormat/>
    <w:locked/>
    <w:uiPriority w:val="99"/>
    <w:rPr>
      <w:rFonts w:cs="Times New Roman"/>
      <w:kern w:val="2"/>
      <w:sz w:val="18"/>
    </w:rPr>
  </w:style>
  <w:style w:type="character" w:customStyle="1" w:styleId="8">
    <w:name w:val="页眉 字符"/>
    <w:link w:val="3"/>
    <w:semiHidden/>
    <w:qFormat/>
    <w:locked/>
    <w:uiPriority w:val="99"/>
    <w:rPr>
      <w:rFonts w:cs="Times New Roman"/>
      <w:kern w:val="2"/>
      <w:sz w:val="18"/>
    </w:rPr>
  </w:style>
  <w:style w:type="character" w:customStyle="1" w:styleId="9">
    <w:name w:val="正文文本缩进 3 Char"/>
    <w:link w:val="10"/>
    <w:semiHidden/>
    <w:qFormat/>
    <w:locked/>
    <w:uiPriority w:val="99"/>
    <w:rPr>
      <w:rFonts w:eastAsia="仿宋_GB2312" w:cs="Times New Roman"/>
      <w:kern w:val="2"/>
      <w:sz w:val="24"/>
      <w:szCs w:val="24"/>
    </w:rPr>
  </w:style>
  <w:style w:type="paragraph" w:customStyle="1" w:styleId="10">
    <w:name w:val="Body Text Indent 31"/>
    <w:basedOn w:val="1"/>
    <w:link w:val="9"/>
    <w:qFormat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21"/>
    <w:qFormat/>
    <w:uiPriority w:val="99"/>
    <w:rPr>
      <w:sz w:val="18"/>
      <w:szCs w:val="20"/>
    </w:rPr>
  </w:style>
  <w:style w:type="paragraph" w:customStyle="1" w:styleId="12">
    <w:name w:val="Date1"/>
    <w:basedOn w:val="1"/>
    <w:next w:val="1"/>
    <w:qFormat/>
    <w:uiPriority w:val="99"/>
    <w:pPr>
      <w:ind w:left="100" w:leftChars="2500"/>
    </w:pPr>
  </w:style>
  <w:style w:type="paragraph" w:customStyle="1" w:styleId="13">
    <w:name w:val="Normal (Web)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</w:style>
  <w:style w:type="paragraph" w:customStyle="1" w:styleId="16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7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99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99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99"/>
    <w:rPr>
      <w:rFonts w:ascii="Calibri" w:hAnsi="Calibri" w:cs="黑体"/>
      <w:sz w:val="24"/>
    </w:rPr>
  </w:style>
  <w:style w:type="character" w:customStyle="1" w:styleId="21">
    <w:name w:val="批注框文本 Char Char Char"/>
    <w:link w:val="11"/>
    <w:semiHidden/>
    <w:qFormat/>
    <w:locked/>
    <w:uiPriority w:val="99"/>
    <w:rPr>
      <w:kern w:val="2"/>
      <w:sz w:val="18"/>
    </w:rPr>
  </w:style>
  <w:style w:type="character" w:customStyle="1" w:styleId="22">
    <w:name w:val="Page Number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1696</Words>
  <Characters>9670</Characters>
  <Lines>80</Lines>
  <Paragraphs>22</Paragraphs>
  <TotalTime>12</TotalTime>
  <ScaleCrop>false</ScaleCrop>
  <LinksUpToDate>false</LinksUpToDate>
  <CharactersWithSpaces>11344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2020-04-12T21:18:00Z</dcterms:created>
  <dc:creator>User</dc:creator>
  <cp:lastModifiedBy>A凤颜国际-张倩</cp:lastModifiedBy>
  <cp:lastPrinted>2020-03-31T00:58:00Z</cp:lastPrinted>
  <dcterms:modified xsi:type="dcterms:W3CDTF">2021-07-05T09:58:24Z</dcterms:modified>
  <dc:title>哈密地区财政局           发文稿纸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A6A05A5E2D9349DA830F8773A6DF168F</vt:lpwstr>
  </property>
</Properties>
</file>