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阜康市自然资源局</w:t>
      </w:r>
    </w:p>
    <w:p>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line="500" w:lineRule="exact"/>
        <w:jc w:val="center"/>
        <w:outlineLvl w:val="1"/>
        <w:rPr>
          <w:rFonts w:ascii="黑体" w:hAnsi="黑体" w:eastAsia="黑体"/>
          <w:kern w:val="0"/>
          <w:sz w:val="36"/>
          <w:szCs w:val="32"/>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阜康市自然资源局单位概况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阜康市自然资源局</w:t>
      </w:r>
      <w:r>
        <w:rPr>
          <w:rFonts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九、关于阜康市自然资源局</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jc w:val="center"/>
        <w:rPr>
          <w:rFonts w:ascii="黑体" w:hAnsi="黑体" w:eastAsia="黑体"/>
          <w:kern w:val="0"/>
          <w:sz w:val="32"/>
          <w:szCs w:val="32"/>
        </w:rPr>
      </w:pPr>
      <w:r>
        <w:rPr>
          <w:rFonts w:ascii="仿宋_GB2312" w:hAnsi="宋体" w:eastAsia="仿宋_GB2312"/>
          <w:b/>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阜康市自然资源局部门单位概况</w:t>
      </w:r>
    </w:p>
    <w:p>
      <w:pPr>
        <w:widowControl/>
        <w:jc w:val="center"/>
        <w:outlineLvl w:val="1"/>
        <w:rPr>
          <w:rFonts w:asci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阜康市自然资源局是市人民政府工作部门，为正科级，对外加挂市林业和草原局牌子。</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履行全民所有土地、矿产、森林、草原、湿地、水等自然资源资产所有者职责和所有国土空间用途管制职责。贯彻执行自然资源、国土空间规划、城乡规划和测绘等法律法规。</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自然资源调查监测评价。贯彻执行自然资源调查监测评价的指标体系和统计标准，执行统一规范的自然资源调查监测评价制度，实施自然资源基础调查、专项调查和监测、负责自然资源调查监测评价成果的监督管理和信息发布。负责森林、草原、湿地、荒漠和陆生野生动植物资源动态监测与评价。</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自然资源统一确权登记工作。贯彻落实各类自然资源和不动产统一确权登记、权籍调查、不动产测绘、争议调处、成果应用的制度、标准、规范。建立健全自然资源和不动产登记信息管理基础平台。负责市自然资源和不动产登记资料收集、整理、共享、汇交管理等。组织协调有关部门调查、调处市域内土地、草场、矿山、林地、水域等权属纠纷。</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自然资源资产有偿使用工作。贯彻执行国家全民所有自然资源资产统计制度，负责阜康市全民所有自然资源资产核算。编制阜康市全民所有自然资源资产负债表，贯彻执行国家全民所有自然资源资产划拨、出让、租赁、作价出资和土地储备政策，合理配置阜康市全民所有自然资源资产。负责阜康市自然资源资产价值评估管理，依法收缴相关资产收益。</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自然资源的合理开发利用。研究拟订阜康市自然资源发展规划，按照自然资源开发利用标准组织实施，建立政府公示自然资源价格体系，组织开展自然资源分等定级价格评估，指导节约集约利用。负责阜康市自然资源市场监管。组织研究全市自然资源管理涉及宏观调控、区域协调和城乡统筹的措施。</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建立空间规划体系并监督实施。推进阜康市主体功能区战略和制度，组织编制并监督实施国土空间规划和相关专项规划。开展市国土空间开发适宜性评价，建立国土空间规划实施监测、评估和预警体系。组织划定阜康市生态保护红线、永久基本农田、城镇开发边界等控制线，构建节约资源和保护环境的生产、生活、生态空间布局。贯彻落实国土空间用途管制制度。组织拟订并实施阜康市土地等自然资源年度利用计划。负责阜康市土地等国土空间用途转用工作。负责阜康市土地征收征用管理。</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研究拟订阜康市城乡规划措施并组织实施；组织编制全市总体规划、控制性详细规划并监督实施。组织指导编制市域乡村建设规划、乡（镇）规划、村庄规划；负责权限内选址意见书审批、上报工作；指导城镇地下空间开发利用的规划管理工作。负责城乡规划审批、实施、修改工作。</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统筹国土空间生态修复。牵头组织编制阜康市国土空间生态修复规划并实施有关生态修复重大工程。负责阜康市国土空间综合整治、土地整理复垦、矿山地质环境恢复治理等工作。牵头拟订和实施市生态保护补偿制度，拟订合理利用社会资金进行生态修复的政策措施，提出重大备选项目。</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贯彻落实最严格的耕地保护制度。贯彻落实国家耕地保护政策并牵头拟订和实施市有关政策，负责耕地数量、质量、生态保护。组织实施耕地保护责任目标考核和永久基本农田特殊保护。落实耕地占补平衡和占用耕地补偿制度。</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负责管理阜康市地质勘查工作。负责对市域内实施的地质勘查工作进行监督检查。负责阜康市地质灾害预防和治理，监督管理地下水过量开采引发的地面沉降等地质问题。负责阜康市古生物化石的监督管理。</w:t>
      </w:r>
    </w:p>
    <w:p>
      <w:pPr>
        <w:numPr>
          <w:ilvl w:val="0"/>
          <w:numId w:val="1"/>
        </w:numPr>
        <w:spacing w:line="560" w:lineRule="atLeast"/>
        <w:rPr>
          <w:rFonts w:ascii="仿宋_GB2312" w:hAnsi="黑体" w:eastAsia="仿宋_GB2312" w:cs="宋体"/>
          <w:bCs/>
          <w:kern w:val="0"/>
          <w:sz w:val="32"/>
          <w:szCs w:val="32"/>
        </w:rPr>
      </w:pPr>
      <w:r>
        <w:rPr>
          <w:rFonts w:hint="eastAsia" w:ascii="仿宋_GB2312" w:hAnsi="黑体" w:eastAsia="仿宋_GB2312" w:cs="宋体"/>
          <w:bCs/>
          <w:kern w:val="0"/>
          <w:sz w:val="32"/>
          <w:szCs w:val="32"/>
        </w:rPr>
        <w:t>负责矿产资源管理工作。负责市矿产资源储量管理及压覆矿产资源审查。监督指导全市矿产资源合理利用和保护。监督阜康市地质资料汇交、保管和利用。承担阜康市保护性开采的特定矿种、优勢矿产的调控及相关管理工作。负责矿产资源勘察活动安全生产管理。</w:t>
      </w:r>
    </w:p>
    <w:p>
      <w:pPr>
        <w:widowControl/>
        <w:spacing w:line="560" w:lineRule="atLeas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（十三）负责测绘地理信息管理工作。负责市基础测绘和测绘行业管理。负责市测绘资质资格与信用管理，监督管理市地理信息安全和市场秩序。负责市地理信息公共服务管</w:t>
      </w:r>
    </w:p>
    <w:p>
      <w:pPr>
        <w:widowControl/>
        <w:spacing w:line="560" w:lineRule="atLeast"/>
        <w:jc w:val="left"/>
        <w:rPr>
          <w:rFonts w:ascii="仿宋_GB2312" w:hAnsi="宋体" w:eastAsia="仿宋_GB2312" w:cs="宋体"/>
          <w:kern w:val="0"/>
          <w:sz w:val="32"/>
          <w:szCs w:val="32"/>
        </w:rPr>
      </w:pPr>
      <w:r>
        <w:rPr>
          <w:rFonts w:hint="eastAsia" w:ascii="仿宋_GB2312" w:hAnsi="宋体" w:eastAsia="仿宋_GB2312" w:cs="宋体"/>
          <w:kern w:val="0"/>
          <w:sz w:val="32"/>
          <w:szCs w:val="32"/>
        </w:rPr>
        <w:t>理。负责市测量标志保护。</w:t>
      </w:r>
    </w:p>
    <w:p>
      <w:pPr>
        <w:widowControl/>
        <w:spacing w:line="560" w:lineRule="atLeas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（十四）推动自然资源领堿科技发展。制定并实施市自然资源领域科技创新发展和人才培养规划和计划。组织实施全市重大科技工程及创新能力建设，推进自然资源信息化和信息资料的公共服务。</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（十五）监督检查各乡</w:t>
      </w:r>
      <w:r>
        <w:rPr>
          <w:rFonts w:ascii="仿宋_GB2312" w:hAnsi="宋体" w:eastAsia="仿宋_GB2312" w:cs="宋体"/>
          <w:kern w:val="0"/>
          <w:sz w:val="32"/>
          <w:szCs w:val="32"/>
        </w:rPr>
        <w:t>(</w:t>
      </w:r>
      <w:r>
        <w:rPr>
          <w:rFonts w:hint="eastAsia" w:ascii="仿宋_GB2312" w:hAnsi="宋体" w:eastAsia="仿宋_GB2312" w:cs="宋体"/>
          <w:kern w:val="0"/>
          <w:sz w:val="32"/>
          <w:szCs w:val="32"/>
        </w:rPr>
        <w:t>镇</w:t>
      </w:r>
      <w:r>
        <w:rPr>
          <w:rFonts w:ascii="仿宋_GB2312" w:hAnsi="宋体" w:eastAsia="仿宋_GB2312" w:cs="宋体"/>
          <w:kern w:val="0"/>
          <w:sz w:val="32"/>
          <w:szCs w:val="32"/>
        </w:rPr>
        <w:t>)</w:t>
      </w:r>
      <w:r>
        <w:rPr>
          <w:rFonts w:hint="eastAsia" w:ascii="仿宋_GB2312" w:hAnsi="宋体" w:eastAsia="仿宋_GB2312" w:cs="宋体"/>
          <w:kern w:val="0"/>
          <w:sz w:val="32"/>
          <w:szCs w:val="32"/>
        </w:rPr>
        <w:t>执行和遵守自然资源法律法规的情况，依法调查处理阜康市国土空间规划和自然资源违法案件。</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（十六）负责林业和草原及其生态保护修复的监督管理</w:t>
      </w:r>
      <w:r>
        <w:rPr>
          <w:rFonts w:ascii="仿宋_GB2312" w:hAnsi="宋体" w:eastAsia="仿宋_GB2312" w:cs="宋体"/>
          <w:kern w:val="0"/>
          <w:sz w:val="32"/>
          <w:szCs w:val="32"/>
        </w:rPr>
        <w:t>;</w:t>
      </w:r>
      <w:r>
        <w:rPr>
          <w:rFonts w:hint="eastAsia" w:ascii="仿宋_GB2312" w:hAnsi="宋体" w:eastAsia="仿宋_GB2312" w:cs="宋体"/>
          <w:kern w:val="0"/>
          <w:sz w:val="32"/>
          <w:szCs w:val="32"/>
        </w:rPr>
        <w:t>拟订林业和草原及其生态保护修复的政策、规划、标准并组织实施，起草相关地方性法规和政府规章草案，组织开展森林、草原、湿地、荒漠和陆生野生动植物资源动态监测与评价。</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（十七）组织林业和草原生态保护修复及造林绿化工作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组织实施林业和草原生态保护修复工程，指导公益林和商品林的培育，组织实施全民义务植树、城乡绿化工作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负责林业和草原有害生物防治、检疫工作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承担林业和草原应对气候变化相关工作。</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（十八）负责森林、草原、湿地资源的监督管理</w:t>
      </w:r>
      <w:r>
        <w:rPr>
          <w:rFonts w:ascii="仿宋_GB2312" w:hAnsi="宋体" w:eastAsia="仿宋_GB2312" w:cs="宋体"/>
          <w:kern w:val="0"/>
          <w:sz w:val="32"/>
          <w:szCs w:val="32"/>
        </w:rPr>
        <w:t>;</w:t>
      </w:r>
      <w:r>
        <w:rPr>
          <w:rFonts w:hint="eastAsia" w:ascii="仿宋_GB2312" w:hAnsi="宋体" w:eastAsia="仿宋_GB2312" w:cs="宋体"/>
          <w:kern w:val="0"/>
          <w:sz w:val="32"/>
          <w:szCs w:val="32"/>
        </w:rPr>
        <w:t>组织编制并监督执行森林采伐限额</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负责林地管理，拟订林地保护利用规划并组织实施，管理国有林区的国有森林资源</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负责草原禁牧、草畜平衡和草原生态修复治理工作，监督管理草原的开发利用</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负责湿地生态保护修复工作，拟订湿地保护规划，监督管理湿地的开发利用。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（十九）负责监督管理荒漠化防治工作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组织开展荒漠调查，拟订防沙治沙及沙化土地封禁保护区建设规划、相关地方标准和技术规程并监督实施，监督管理沙化土地的开发利用，组织沙尘暴灾害预防预报和应急处置。承担湿地、防治荒漠化等国际公约履约工作。</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（二十）负责陆生野生动植物资源监督管理</w:t>
      </w:r>
      <w:r>
        <w:rPr>
          <w:rFonts w:ascii="仿宋_GB2312" w:hAnsi="宋体" w:eastAsia="仿宋_GB2312" w:cs="宋体"/>
          <w:kern w:val="0"/>
          <w:sz w:val="32"/>
          <w:szCs w:val="32"/>
        </w:rPr>
        <w:t>;</w:t>
      </w:r>
      <w:r>
        <w:rPr>
          <w:rFonts w:hint="eastAsia" w:ascii="仿宋_GB2312" w:hAnsi="宋体" w:eastAsia="仿宋_GB2312" w:cs="宋体"/>
          <w:kern w:val="0"/>
          <w:sz w:val="32"/>
          <w:szCs w:val="32"/>
        </w:rPr>
        <w:t>组织开展野生动植物资源调查，研究提出重点保护的野生动物、植物名录调整意见，监督管理野生动植物救护繁育、栖息地恢复发展及野生动物疫源疫病监测、防控、应急处置。监督管理陆生野生动植物猎捕或采集、驯养繁殖或培植、经营利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（二十一）负责监督管理各类自然保护地。拟订各类自然保护地规划</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负责国家公园、自然保护区、风景名胜区、地质公园、森林公园等设立、规划、建设和特许经营等工作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负责阜康市直接行使所有权的自然保护地的自然资源资产管理</w:t>
      </w:r>
      <w:r>
        <w:rPr>
          <w:rFonts w:ascii="仿宋_GB2312" w:hAnsi="宋体" w:eastAsia="仿宋_GB2312" w:cs="宋体"/>
          <w:kern w:val="0"/>
          <w:sz w:val="32"/>
          <w:szCs w:val="32"/>
        </w:rPr>
        <w:t>;</w:t>
      </w:r>
      <w:r>
        <w:rPr>
          <w:rFonts w:hint="eastAsia" w:ascii="仿宋_GB2312" w:hAnsi="宋体" w:eastAsia="仿宋_GB2312" w:cs="宋体"/>
          <w:kern w:val="0"/>
          <w:sz w:val="32"/>
          <w:szCs w:val="32"/>
        </w:rPr>
        <w:t>提出新建、调整各类自治区级自然保护地的审核建议并按程序报批，负责世界自然遗产及世界自然与文化双重遗产的申报</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负责生物多样性保护相关工作。</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（二十二）指导国有林场基本建设和发展，组织林木种子、草种种质资源普查，组织建立种质资源库，负责良种选育推广，管理林木种苗、草种生产经营行为，监管林木种苗、草种质量</w:t>
      </w:r>
      <w:r>
        <w:rPr>
          <w:rFonts w:ascii="仿宋_GB2312" w:hAnsi="宋体" w:eastAsia="仿宋_GB2312" w:cs="宋体"/>
          <w:kern w:val="0"/>
          <w:sz w:val="32"/>
          <w:szCs w:val="32"/>
        </w:rPr>
        <w:t>;</w:t>
      </w:r>
      <w:r>
        <w:rPr>
          <w:rFonts w:hint="eastAsia" w:ascii="仿宋_GB2312" w:hAnsi="宋体" w:eastAsia="仿宋_GB2312" w:cs="宋体"/>
          <w:kern w:val="0"/>
          <w:sz w:val="32"/>
          <w:szCs w:val="32"/>
        </w:rPr>
        <w:t>监督管理林业和草原生物种质资源、转基因生物安全、植物新品种保护。</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（二十三）拟订林业和草原资源优化配置及木材利用规划，拟订林业产业地方规划发展体系建设并监督实施，负责林产品质量监督，指导生态扶贫相关工作，指导林果业发展负责推进林业和草原改革相关工作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贯彻落实农村林业发展、维护林业经营者合法权益的政策措施，指导农村林地承包经营工作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开展退耕</w:t>
      </w:r>
      <w:r>
        <w:rPr>
          <w:rFonts w:ascii="仿宋_GB2312" w:hAnsi="宋体" w:eastAsia="仿宋_GB2312" w:cs="宋体"/>
          <w:kern w:val="0"/>
          <w:sz w:val="32"/>
          <w:szCs w:val="32"/>
        </w:rPr>
        <w:t>(</w:t>
      </w:r>
      <w:r>
        <w:rPr>
          <w:rFonts w:hint="eastAsia" w:ascii="仿宋_GB2312" w:hAnsi="宋体" w:eastAsia="仿宋_GB2312" w:cs="宋体"/>
          <w:kern w:val="0"/>
          <w:sz w:val="32"/>
          <w:szCs w:val="32"/>
        </w:rPr>
        <w:t>牧</w:t>
      </w:r>
      <w:r>
        <w:rPr>
          <w:rFonts w:ascii="仿宋_GB2312" w:hAnsi="宋体" w:eastAsia="仿宋_GB2312" w:cs="宋体"/>
          <w:kern w:val="0"/>
          <w:sz w:val="32"/>
          <w:szCs w:val="32"/>
        </w:rPr>
        <w:t>)</w:t>
      </w:r>
      <w:r>
        <w:rPr>
          <w:rFonts w:hint="eastAsia" w:ascii="仿宋_GB2312" w:hAnsi="宋体" w:eastAsia="仿宋_GB2312" w:cs="宋体"/>
          <w:kern w:val="0"/>
          <w:sz w:val="32"/>
          <w:szCs w:val="32"/>
        </w:rPr>
        <w:t>还林还草，负责天然林保护工作。</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（二十四）监督管理林业和草原资金和国有资产，提出林业草原预算内投资、市财政专项资金安排建议，按规定权限，审定阜康市规划内和年度计划内投资项目</w:t>
      </w:r>
      <w:r>
        <w:rPr>
          <w:rFonts w:ascii="仿宋_GB2312" w:hAnsi="宋体" w:eastAsia="仿宋_GB2312" w:cs="宋体"/>
          <w:kern w:val="0"/>
          <w:sz w:val="32"/>
          <w:szCs w:val="32"/>
        </w:rPr>
        <w:t>;</w:t>
      </w:r>
      <w:r>
        <w:rPr>
          <w:rFonts w:hint="eastAsia" w:ascii="仿宋_GB2312" w:hAnsi="宋体" w:eastAsia="仿宋_GB2312" w:cs="宋体"/>
          <w:kern w:val="0"/>
          <w:sz w:val="32"/>
          <w:szCs w:val="32"/>
        </w:rPr>
        <w:t>组织实施林业和草原生态补偿工作。</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十五）负责落实综合防灾减灾规划相关要求，负责行业安全生产相关工作。组织编制阜康市地质灾害防治规划，执行防护标准并组织实施。组织协调和监督阜康市地质灾害调查评价及隐患的普查、详查、排查。指导开展群测群防、专业监测和预报预警等工作，指导开展地质灾害工程治理工作。承担阜康市地质灾害应急救援的技术支撑工作。组织编制森林和草原火灾防治规划并监督实施，组织开展林业和草原防火巡护、火源管理、防火设施建设等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负责阜康市辖区内林区和草原开展宣传教育、监测预警、督促检查等防火工作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必要时，可以提请市应急管理局，以市应急指挥机构名义，部署相关防治工作。</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（二十六）完成市党委、市人民政府交办的其他任务。</w:t>
      </w:r>
    </w:p>
    <w:p>
      <w:pPr>
        <w:widowControl/>
        <w:spacing w:line="560" w:lineRule="exact"/>
        <w:jc w:val="left"/>
        <w:rPr>
          <w:rFonts w:hint="eastAsia" w:ascii="仿宋_GB2312" w:hAnsi="宋体" w:eastAsia="仿宋_GB2312" w:cs="宋体"/>
          <w:kern w:val="0"/>
          <w:sz w:val="32"/>
          <w:szCs w:val="32"/>
        </w:rPr>
      </w:pPr>
    </w:p>
    <w:p>
      <w:pPr>
        <w:widowControl/>
        <w:spacing w:line="560" w:lineRule="exact"/>
        <w:jc w:val="left"/>
        <w:rPr>
          <w:rFonts w:hint="eastAsia" w:ascii="仿宋_GB2312" w:hAnsi="宋体" w:eastAsia="仿宋_GB2312" w:cs="宋体"/>
          <w:kern w:val="0"/>
          <w:sz w:val="32"/>
          <w:szCs w:val="32"/>
        </w:rPr>
      </w:pPr>
    </w:p>
    <w:p>
      <w:pPr>
        <w:widowControl/>
        <w:spacing w:line="560" w:lineRule="exact"/>
        <w:jc w:val="left"/>
        <w:rPr>
          <w:rFonts w:hint="eastAsia" w:ascii="仿宋_GB2312" w:hAnsi="宋体" w:eastAsia="仿宋_GB2312" w:cs="宋体"/>
          <w:kern w:val="0"/>
          <w:sz w:val="32"/>
          <w:szCs w:val="32"/>
        </w:rPr>
      </w:pPr>
    </w:p>
    <w:p>
      <w:pPr>
        <w:widowControl/>
        <w:spacing w:line="560" w:lineRule="exact"/>
        <w:jc w:val="left"/>
        <w:rPr>
          <w:rFonts w:hint="eastAsia" w:ascii="仿宋_GB2312" w:hAnsi="宋体" w:eastAsia="仿宋_GB2312" w:cs="宋体"/>
          <w:kern w:val="0"/>
          <w:sz w:val="32"/>
          <w:szCs w:val="32"/>
        </w:rPr>
      </w:pPr>
    </w:p>
    <w:p>
      <w:pPr>
        <w:widowControl/>
        <w:spacing w:line="560" w:lineRule="exact"/>
        <w:ind w:firstLine="160" w:firstLineChars="5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800" w:firstLineChars="2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阜康市自然资源局无下属预算单位，下设</w:t>
      </w:r>
      <w:r>
        <w:rPr>
          <w:rFonts w:ascii="仿宋_GB2312" w:hAnsi="宋体" w:eastAsia="仿宋_GB2312" w:cs="宋体"/>
          <w:kern w:val="0"/>
          <w:sz w:val="32"/>
          <w:szCs w:val="32"/>
        </w:rPr>
        <w:t>6</w:t>
      </w:r>
      <w:r>
        <w:rPr>
          <w:rFonts w:hint="eastAsia" w:ascii="仿宋_GB2312" w:hAnsi="宋体" w:eastAsia="仿宋_GB2312" w:cs="宋体"/>
          <w:kern w:val="0"/>
          <w:sz w:val="32"/>
          <w:szCs w:val="32"/>
        </w:rPr>
        <w:t>个科室，分别是：</w:t>
      </w:r>
      <w:r>
        <w:rPr>
          <w:rFonts w:ascii="仿宋_GB2312" w:hAnsi="宋体" w:eastAsia="仿宋_GB2312" w:cs="宋体"/>
          <w:kern w:val="0"/>
          <w:sz w:val="32"/>
          <w:szCs w:val="32"/>
        </w:rPr>
        <w:t>1</w:t>
      </w:r>
      <w:r>
        <w:rPr>
          <w:rFonts w:hint="eastAsia" w:ascii="仿宋_GB2312" w:hAnsi="宋体" w:eastAsia="仿宋_GB2312" w:cs="宋体"/>
          <w:kern w:val="0"/>
          <w:sz w:val="32"/>
          <w:szCs w:val="32"/>
        </w:rPr>
        <w:t>、办公室</w:t>
      </w:r>
      <w:r>
        <w:rPr>
          <w:rFonts w:ascii="仿宋_GB2312" w:hAnsi="宋体" w:eastAsia="仿宋_GB2312" w:cs="宋体"/>
          <w:kern w:val="0"/>
          <w:sz w:val="32"/>
          <w:szCs w:val="32"/>
        </w:rPr>
        <w:t>2</w:t>
      </w:r>
      <w:r>
        <w:rPr>
          <w:rFonts w:hint="eastAsia" w:ascii="仿宋_GB2312" w:hAnsi="宋体" w:eastAsia="仿宋_GB2312" w:cs="宋体"/>
          <w:kern w:val="0"/>
          <w:sz w:val="32"/>
          <w:szCs w:val="32"/>
        </w:rPr>
        <w:t>、政策法规科</w:t>
      </w:r>
      <w:r>
        <w:rPr>
          <w:rFonts w:ascii="仿宋_GB2312" w:hAnsi="宋体" w:eastAsia="仿宋_GB2312" w:cs="宋体"/>
          <w:kern w:val="0"/>
          <w:sz w:val="32"/>
          <w:szCs w:val="32"/>
        </w:rPr>
        <w:t>3</w:t>
      </w:r>
      <w:r>
        <w:rPr>
          <w:rFonts w:hint="eastAsia" w:ascii="仿宋_GB2312" w:hAnsi="宋体" w:eastAsia="仿宋_GB2312" w:cs="宋体"/>
          <w:kern w:val="0"/>
          <w:sz w:val="32"/>
          <w:szCs w:val="32"/>
        </w:rPr>
        <w:t>、规划信息科</w:t>
      </w:r>
      <w:r>
        <w:rPr>
          <w:rFonts w:ascii="仿宋_GB2312" w:hAnsi="宋体" w:eastAsia="仿宋_GB2312" w:cs="宋体"/>
          <w:kern w:val="0"/>
          <w:sz w:val="32"/>
          <w:szCs w:val="32"/>
        </w:rPr>
        <w:t>4</w:t>
      </w:r>
      <w:r>
        <w:rPr>
          <w:rFonts w:hint="eastAsia" w:ascii="仿宋_GB2312" w:hAnsi="宋体" w:eastAsia="仿宋_GB2312" w:cs="宋体"/>
          <w:kern w:val="0"/>
          <w:sz w:val="32"/>
          <w:szCs w:val="32"/>
        </w:rPr>
        <w:t>、土地资源管理科</w:t>
      </w:r>
      <w:r>
        <w:rPr>
          <w:rFonts w:ascii="仿宋_GB2312" w:hAnsi="宋体" w:eastAsia="仿宋_GB2312" w:cs="宋体"/>
          <w:kern w:val="0"/>
          <w:sz w:val="32"/>
          <w:szCs w:val="32"/>
        </w:rPr>
        <w:t>5</w:t>
      </w:r>
      <w:r>
        <w:rPr>
          <w:rFonts w:hint="eastAsia" w:ascii="仿宋_GB2312" w:hAnsi="宋体" w:eastAsia="仿宋_GB2312" w:cs="宋体"/>
          <w:kern w:val="0"/>
          <w:sz w:val="32"/>
          <w:szCs w:val="32"/>
        </w:rPr>
        <w:t>、矿产资源管理科</w:t>
      </w:r>
      <w:r>
        <w:rPr>
          <w:rFonts w:ascii="仿宋_GB2312" w:hAnsi="宋体" w:eastAsia="仿宋_GB2312" w:cs="宋体"/>
          <w:kern w:val="0"/>
          <w:sz w:val="32"/>
          <w:szCs w:val="32"/>
        </w:rPr>
        <w:t>6</w:t>
      </w:r>
      <w:r>
        <w:rPr>
          <w:rFonts w:hint="eastAsia" w:ascii="仿宋_GB2312" w:hAnsi="宋体" w:eastAsia="仿宋_GB2312" w:cs="宋体"/>
          <w:kern w:val="0"/>
          <w:sz w:val="32"/>
          <w:szCs w:val="32"/>
        </w:rPr>
        <w:t>、林业草原管理科。</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阜康市自然资源局编制数</w:t>
      </w:r>
      <w:r>
        <w:rPr>
          <w:rFonts w:ascii="仿宋_GB2312" w:hAnsi="宋体" w:eastAsia="仿宋_GB2312" w:cs="宋体"/>
          <w:kern w:val="0"/>
          <w:sz w:val="32"/>
          <w:szCs w:val="32"/>
        </w:rPr>
        <w:t>119</w:t>
      </w:r>
      <w:r>
        <w:rPr>
          <w:rFonts w:hint="eastAsia" w:ascii="仿宋_GB2312" w:hAnsi="宋体" w:eastAsia="仿宋_GB2312" w:cs="宋体"/>
          <w:kern w:val="0"/>
          <w:sz w:val="32"/>
          <w:szCs w:val="32"/>
        </w:rPr>
        <w:t>人，实有人数</w:t>
      </w:r>
      <w:r>
        <w:rPr>
          <w:rFonts w:ascii="仿宋_GB2312" w:hAnsi="宋体" w:eastAsia="仿宋_GB2312" w:cs="宋体"/>
          <w:kern w:val="0"/>
          <w:sz w:val="32"/>
          <w:szCs w:val="32"/>
        </w:rPr>
        <w:t>152</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111</w:t>
      </w:r>
      <w:r>
        <w:rPr>
          <w:rFonts w:hint="eastAsia" w:ascii="仿宋_GB2312" w:hAnsi="宋体" w:eastAsia="仿宋_GB2312" w:cs="宋体"/>
          <w:kern w:val="0"/>
          <w:sz w:val="32"/>
          <w:szCs w:val="32"/>
        </w:rPr>
        <w:t>人，减少</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人；退休</w:t>
      </w:r>
      <w:r>
        <w:rPr>
          <w:rFonts w:ascii="仿宋_GB2312" w:hAnsi="宋体" w:eastAsia="仿宋_GB2312" w:cs="宋体"/>
          <w:kern w:val="0"/>
          <w:sz w:val="32"/>
          <w:szCs w:val="32"/>
        </w:rPr>
        <w:t>39</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pPr>
        <w:widowControl/>
        <w:spacing w:before="120" w:beforeLines="50"/>
        <w:jc w:val="center"/>
        <w:outlineLvl w:val="1"/>
        <w:rPr>
          <w:rFonts w:ascii="黑体" w:hAnsi="黑体" w:eastAsia="黑体"/>
          <w:kern w:val="0"/>
          <w:sz w:val="32"/>
          <w:szCs w:val="32"/>
        </w:rPr>
      </w:pPr>
      <w:r>
        <w:rPr>
          <w:rFonts w:ascii="黑体" w:hAnsi="黑体" w:eastAsia="黑体"/>
          <w:kern w:val="0"/>
          <w:sz w:val="32"/>
          <w:szCs w:val="32"/>
        </w:rPr>
        <w:br w:type="page"/>
      </w: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28"/>
          <w:szCs w:val="28"/>
        </w:rPr>
      </w:pPr>
      <w:r>
        <w:rPr>
          <w:rFonts w:hint="eastAsia" w:ascii="仿宋_GB2312" w:hAnsi="宋体" w:eastAsia="仿宋_GB2312"/>
          <w:b/>
          <w:kern w:val="0"/>
          <w:sz w:val="28"/>
          <w:szCs w:val="28"/>
        </w:rPr>
        <w:t>表一：</w:t>
      </w:r>
    </w:p>
    <w:p>
      <w:pPr>
        <w:widowControl/>
        <w:jc w:val="center"/>
        <w:outlineLvl w:val="1"/>
        <w:rPr>
          <w:rFonts w:ascii="仿宋_GB2312" w:hAnsi="宋体" w:eastAsia="仿宋_GB2312"/>
          <w:b/>
          <w:kern w:val="0"/>
          <w:sz w:val="30"/>
          <w:szCs w:val="30"/>
        </w:rPr>
      </w:pPr>
      <w:r>
        <w:rPr>
          <w:rFonts w:hint="eastAsia" w:ascii="仿宋_GB2312" w:hAnsi="宋体" w:eastAsia="仿宋_GB2312"/>
          <w:b/>
          <w:kern w:val="0"/>
          <w:sz w:val="30"/>
          <w:szCs w:val="30"/>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编制部门：阜康市自然资源局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0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1750.5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1750.5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145.81</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121.48</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1368.38</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114.83</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1750.5</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421"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1750.5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1750.5</w:t>
            </w:r>
            <w:r>
              <w:rPr>
                <w:rFonts w:hint="eastAsia" w:ascii="仿宋_GB2312" w:hAnsi="宋体" w:eastAsia="仿宋_GB2312" w:cs="宋体"/>
                <w:kern w:val="0"/>
                <w:sz w:val="18"/>
                <w:szCs w:val="18"/>
              </w:rPr>
              <w:t>　</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0"/>
          <w:szCs w:val="30"/>
        </w:rPr>
      </w:pPr>
      <w:r>
        <w:rPr>
          <w:rFonts w:hint="eastAsia" w:ascii="仿宋_GB2312" w:hAnsi="宋体" w:eastAsia="仿宋_GB2312"/>
          <w:b/>
          <w:kern w:val="0"/>
          <w:sz w:val="30"/>
          <w:szCs w:val="30"/>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填报部门：阜康市自然资源局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654" w:type="dxa"/>
        <w:tblInd w:w="-450" w:type="dxa"/>
        <w:tblLayout w:type="fixed"/>
        <w:tblCellMar>
          <w:top w:w="0" w:type="dxa"/>
          <w:left w:w="108" w:type="dxa"/>
          <w:bottom w:w="0" w:type="dxa"/>
          <w:right w:w="108" w:type="dxa"/>
        </w:tblCellMar>
      </w:tblPr>
      <w:tblGrid>
        <w:gridCol w:w="738"/>
        <w:gridCol w:w="540"/>
        <w:gridCol w:w="540"/>
        <w:gridCol w:w="1578"/>
        <w:gridCol w:w="942"/>
        <w:gridCol w:w="900"/>
        <w:gridCol w:w="540"/>
        <w:gridCol w:w="540"/>
        <w:gridCol w:w="618"/>
        <w:gridCol w:w="680"/>
        <w:gridCol w:w="680"/>
        <w:gridCol w:w="680"/>
        <w:gridCol w:w="678"/>
      </w:tblGrid>
      <w:tr>
        <w:tblPrEx>
          <w:tblCellMar>
            <w:top w:w="0" w:type="dxa"/>
            <w:left w:w="108" w:type="dxa"/>
            <w:bottom w:w="0" w:type="dxa"/>
            <w:right w:w="108" w:type="dxa"/>
          </w:tblCellMar>
        </w:tblPrEx>
        <w:trPr>
          <w:trHeight w:val="510" w:hRule="atLeast"/>
        </w:trPr>
        <w:tc>
          <w:tcPr>
            <w:tcW w:w="181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5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4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90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1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5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4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0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1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行政单位离退休　</w:t>
            </w:r>
          </w:p>
        </w:tc>
        <w:tc>
          <w:tcPr>
            <w:tcW w:w="942"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13.92</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13.92</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机关事业单位基本养老保险缴费支出　</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131.89</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131.89</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行政单位医疗</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38.84</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38.84</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事业单位医疗</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61.71</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61.71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公务员医疗补助</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20.93</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20.93</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行政运行</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383.63</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383.63</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事业运行</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765.87</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765.87</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218.88</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218.88</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住房公积金</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114.83</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114.83</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330"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　</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1750.5</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1750.5</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0"/>
          <w:szCs w:val="30"/>
        </w:rPr>
      </w:pPr>
      <w:r>
        <w:rPr>
          <w:rFonts w:hint="eastAsia" w:ascii="仿宋_GB2312" w:hAnsi="宋体" w:eastAsia="仿宋_GB2312"/>
          <w:b/>
          <w:kern w:val="0"/>
          <w:sz w:val="30"/>
          <w:szCs w:val="30"/>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编制部门：阜康市自然资源局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420" w:type="dxa"/>
        <w:tblInd w:w="-240" w:type="dxa"/>
        <w:tblLayout w:type="fixed"/>
        <w:tblCellMar>
          <w:top w:w="0" w:type="dxa"/>
          <w:left w:w="108" w:type="dxa"/>
          <w:bottom w:w="0" w:type="dxa"/>
          <w:right w:w="108" w:type="dxa"/>
        </w:tblCellMar>
      </w:tblPr>
      <w:tblGrid>
        <w:gridCol w:w="581"/>
        <w:gridCol w:w="480"/>
        <w:gridCol w:w="547"/>
        <w:gridCol w:w="2197"/>
        <w:gridCol w:w="1855"/>
        <w:gridCol w:w="1856"/>
        <w:gridCol w:w="1904"/>
      </w:tblGrid>
      <w:tr>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60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19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1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行政单位离退休　</w:t>
            </w:r>
          </w:p>
        </w:tc>
        <w:tc>
          <w:tcPr>
            <w:tcW w:w="1855" w:type="dxa"/>
            <w:tcBorders>
              <w:top w:val="nil"/>
              <w:left w:val="nil"/>
              <w:bottom w:val="single" w:color="auto" w:sz="4" w:space="0"/>
              <w:right w:val="single" w:color="auto" w:sz="4" w:space="0"/>
            </w:tcBorders>
            <w:shd w:val="clear" w:color="000000" w:fill="FFFFFF"/>
            <w:vAlign w:val="center"/>
          </w:tcPr>
          <w:p>
            <w:pPr>
              <w:jc w:val="right"/>
              <w:rPr>
                <w:rFonts w:ascii="宋体" w:cs="宋体"/>
                <w:b/>
                <w:bCs/>
                <w:color w:val="000000"/>
                <w:kern w:val="0"/>
                <w:sz w:val="22"/>
                <w:szCs w:val="22"/>
              </w:rPr>
            </w:pPr>
            <w:r>
              <w:rPr>
                <w:rFonts w:ascii="仿宋_GB2312" w:eastAsia="仿宋_GB2312"/>
                <w:color w:val="000000"/>
                <w:sz w:val="20"/>
                <w:szCs w:val="20"/>
              </w:rPr>
              <w:t>13.92</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shd w:val="clear" w:color="000000" w:fill="FFFFFF"/>
            <w:vAlign w:val="center"/>
          </w:tcPr>
          <w:p>
            <w:pPr>
              <w:jc w:val="right"/>
              <w:rPr>
                <w:rFonts w:ascii="仿宋_GB2312" w:eastAsia="仿宋_GB2312"/>
                <w:color w:val="000000"/>
                <w:sz w:val="20"/>
                <w:szCs w:val="20"/>
              </w:rPr>
            </w:pPr>
            <w:r>
              <w:rPr>
                <w:rFonts w:ascii="仿宋_GB2312" w:eastAsia="仿宋_GB2312"/>
                <w:color w:val="000000"/>
                <w:sz w:val="20"/>
                <w:szCs w:val="20"/>
              </w:rPr>
              <w:t>13.92</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机关事业单位基本养老保险缴费支出　</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131.89</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131.89</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行政单位医疗</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38.84</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38.84</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事业单位医疗</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61.71</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61.71</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公务员医疗补助</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20.93</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20.93</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行政运行</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383.63</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383.63</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事业运行</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765.87</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666.51</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99.36</w:t>
            </w: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218.88</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218.88</w:t>
            </w: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4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197"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住房公积金</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114.83</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114.83</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4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19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48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54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219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1750.5</w:t>
            </w:r>
          </w:p>
        </w:tc>
        <w:tc>
          <w:tcPr>
            <w:tcW w:w="1856"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1432.26</w:t>
            </w:r>
          </w:p>
        </w:tc>
        <w:tc>
          <w:tcPr>
            <w:tcW w:w="1904"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318.24</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0"/>
          <w:szCs w:val="30"/>
        </w:rPr>
      </w:pPr>
      <w:r>
        <w:rPr>
          <w:rFonts w:hint="eastAsia" w:ascii="仿宋_GB2312" w:hAnsi="宋体" w:eastAsia="仿宋_GB2312"/>
          <w:b/>
          <w:kern w:val="0"/>
          <w:sz w:val="30"/>
          <w:szCs w:val="30"/>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编制部门：阜康市自然资源局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1750.5</w:t>
            </w:r>
            <w:r>
              <w:rPr>
                <w:rFonts w:hint="eastAsia" w:ascii="仿宋_GB2312" w:hAnsi="宋体" w:eastAsia="仿宋_GB2312" w:cs="宋体"/>
                <w:color w:val="000000"/>
                <w:kern w:val="0"/>
                <w:sz w:val="18"/>
                <w:szCs w:val="18"/>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1750.5</w:t>
            </w:r>
            <w:r>
              <w:rPr>
                <w:rFonts w:hint="eastAsia" w:ascii="仿宋_GB2312" w:hAnsi="宋体" w:eastAsia="仿宋_GB2312" w:cs="宋体"/>
                <w:color w:val="000000"/>
                <w:kern w:val="0"/>
                <w:sz w:val="18"/>
                <w:szCs w:val="18"/>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145.81</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145.81</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121.48</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121.48</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1368.38</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1368.38</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114.83</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114.83</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1750.5</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1750.5</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1750.5</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表五：</w:t>
      </w:r>
    </w:p>
    <w:tbl>
      <w:tblPr>
        <w:tblStyle w:val="4"/>
        <w:tblW w:w="9214" w:type="dxa"/>
        <w:tblInd w:w="-34" w:type="dxa"/>
        <w:tblLayout w:type="fixed"/>
        <w:tblCellMar>
          <w:top w:w="0" w:type="dxa"/>
          <w:left w:w="108" w:type="dxa"/>
          <w:bottom w:w="0" w:type="dxa"/>
          <w:right w:w="108" w:type="dxa"/>
        </w:tblCellMar>
      </w:tblPr>
      <w:tblGrid>
        <w:gridCol w:w="568"/>
        <w:gridCol w:w="492"/>
        <w:gridCol w:w="522"/>
        <w:gridCol w:w="2405"/>
        <w:gridCol w:w="660"/>
        <w:gridCol w:w="1024"/>
        <w:gridCol w:w="216"/>
        <w:gridCol w:w="1626"/>
        <w:gridCol w:w="1701"/>
      </w:tblGrid>
      <w:tr>
        <w:tblPrEx>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一般公共预算支出情况表</w:t>
            </w:r>
          </w:p>
        </w:tc>
      </w:tr>
      <w:tr>
        <w:tblPrEx>
          <w:tblCellMar>
            <w:top w:w="0" w:type="dxa"/>
            <w:left w:w="108" w:type="dxa"/>
            <w:bottom w:w="0" w:type="dxa"/>
            <w:right w:w="108" w:type="dxa"/>
          </w:tblCellMar>
        </w:tblPrEx>
        <w:trPr>
          <w:trHeight w:val="446" w:hRule="atLeast"/>
        </w:trPr>
        <w:tc>
          <w:tcPr>
            <w:tcW w:w="3987"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编制部门：阜康市自然资源局</w:t>
            </w:r>
            <w:r>
              <w:rPr>
                <w:rFonts w:ascii="仿宋_GB2312" w:hAnsi="宋体" w:eastAsia="仿宋_GB2312" w:cs="宋体"/>
                <w:color w:val="000000"/>
                <w:kern w:val="0"/>
                <w:sz w:val="24"/>
              </w:rPr>
              <w:t xml:space="preserve">  </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582"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40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2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40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行政单位离退休　</w:t>
            </w:r>
          </w:p>
        </w:tc>
        <w:tc>
          <w:tcPr>
            <w:tcW w:w="1684"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13.92</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13.92</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机关事业单位基本养老保险缴费支出　</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131.89</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131.89</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行政单位医疗</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38.84</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38.84</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事业单位医疗</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61.71</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61.71</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20.93</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20.93</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383.63</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383.63</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事业运行</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765.87</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666.51</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99.36</w:t>
            </w: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679"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220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其他自然资源事务支出</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218.88</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218.88</w:t>
            </w: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114.83</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114.83</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649"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40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1750.5</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1432.26</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r>
              <w:rPr>
                <w:rFonts w:ascii="仿宋_GB2312" w:eastAsia="仿宋_GB2312"/>
                <w:color w:val="000000"/>
                <w:sz w:val="20"/>
                <w:szCs w:val="20"/>
              </w:rPr>
              <w:t>318.24</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表六：</w:t>
      </w:r>
    </w:p>
    <w:tbl>
      <w:tblPr>
        <w:tblStyle w:val="4"/>
        <w:tblW w:w="9328" w:type="dxa"/>
        <w:tblInd w:w="-148" w:type="dxa"/>
        <w:tblLayout w:type="fixed"/>
        <w:tblCellMar>
          <w:top w:w="0" w:type="dxa"/>
          <w:left w:w="108" w:type="dxa"/>
          <w:bottom w:w="0" w:type="dxa"/>
          <w:right w:w="108" w:type="dxa"/>
        </w:tblCellMar>
      </w:tblPr>
      <w:tblGrid>
        <w:gridCol w:w="757"/>
        <w:gridCol w:w="577"/>
        <w:gridCol w:w="3100"/>
        <w:gridCol w:w="786"/>
        <w:gridCol w:w="706"/>
        <w:gridCol w:w="976"/>
        <w:gridCol w:w="725"/>
        <w:gridCol w:w="1701"/>
      </w:tblGrid>
      <w:tr>
        <w:tblPrEx>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一般公共预算基本支出情况表</w:t>
            </w:r>
          </w:p>
        </w:tc>
      </w:tr>
      <w:tr>
        <w:tblPrEx>
          <w:tblCellMar>
            <w:top w:w="0" w:type="dxa"/>
            <w:left w:w="108" w:type="dxa"/>
            <w:bottom w:w="0" w:type="dxa"/>
            <w:right w:w="108" w:type="dxa"/>
          </w:tblCellMar>
        </w:tblPrEx>
        <w:trPr>
          <w:trHeight w:val="405" w:hRule="atLeast"/>
        </w:trPr>
        <w:tc>
          <w:tcPr>
            <w:tcW w:w="443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编制部门：阜康市自然资源局</w:t>
            </w:r>
            <w:r>
              <w:rPr>
                <w:rFonts w:ascii="仿宋_GB2312" w:hAnsi="宋体" w:eastAsia="仿宋_GB2312" w:cs="宋体"/>
                <w:color w:val="000000"/>
                <w:kern w:val="0"/>
                <w:sz w:val="24"/>
              </w:rPr>
              <w:t xml:space="preserve">  </w:t>
            </w:r>
          </w:p>
        </w:tc>
        <w:tc>
          <w:tcPr>
            <w:tcW w:w="786"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443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894"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1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49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1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49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791.96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791.96</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08</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机关事业单位基本养老保险缴费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131.89</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131.89</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10</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100.56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100.56</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11</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20.92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20.92</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17"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12</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3.53</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3.53</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13</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114.83</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114.83</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99</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149.8</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149.8</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办公费　</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16.95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16.95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05</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水费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4.52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4.52</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06</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电费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5.65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5.65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07</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邮电费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6.78</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6.78</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11</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差旅费　</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33.9</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33.9</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17</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公务接待费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4</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4</w:t>
            </w:r>
          </w:p>
        </w:tc>
      </w:tr>
      <w:tr>
        <w:tblPrEx>
          <w:tblCellMar>
            <w:top w:w="0" w:type="dxa"/>
            <w:left w:w="108" w:type="dxa"/>
            <w:bottom w:w="0" w:type="dxa"/>
            <w:right w:w="108" w:type="dxa"/>
          </w:tblCellMar>
        </w:tblPrEx>
        <w:trPr>
          <w:trHeight w:val="387"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28</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7.78</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7.78</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r>
              <w:rPr>
                <w:rFonts w:hint="eastAsia" w:ascii="仿宋_GB2312" w:hAnsi="宋体" w:eastAsia="仿宋_GB2312"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31</w:t>
            </w:r>
            <w:r>
              <w:rPr>
                <w:rFonts w:hint="eastAsia" w:ascii="仿宋_GB2312" w:hAnsi="宋体" w:eastAsia="仿宋_GB2312"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公务用车运行维护费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20.16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20.16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离休费</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13.92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13.92</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05</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遗属生活补助</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1.7</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1.7</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09</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奖励金</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2.24</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2.24</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99</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1.17</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1.17</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49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10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0"/>
                <w:szCs w:val="20"/>
              </w:rPr>
              <w:t>合计</w:t>
            </w:r>
          </w:p>
        </w:tc>
        <w:tc>
          <w:tcPr>
            <w:tcW w:w="149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1432.26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1332.52</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r>
              <w:rPr>
                <w:rFonts w:ascii="仿宋_GB2312" w:hAnsi="宋体" w:eastAsia="仿宋_GB2312" w:cs="宋体"/>
                <w:color w:val="000000"/>
                <w:kern w:val="0"/>
                <w:sz w:val="20"/>
                <w:szCs w:val="20"/>
              </w:rPr>
              <w:t>99.74</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表七：</w:t>
      </w:r>
    </w:p>
    <w:tbl>
      <w:tblPr>
        <w:tblStyle w:val="4"/>
        <w:tblW w:w="9843" w:type="dxa"/>
        <w:tblInd w:w="-360" w:type="dxa"/>
        <w:tblLayout w:type="fixed"/>
        <w:tblCellMar>
          <w:top w:w="0" w:type="dxa"/>
          <w:left w:w="108" w:type="dxa"/>
          <w:bottom w:w="0" w:type="dxa"/>
          <w:right w:w="108" w:type="dxa"/>
        </w:tblCellMar>
      </w:tblPr>
      <w:tblGrid>
        <w:gridCol w:w="7"/>
        <w:gridCol w:w="588"/>
        <w:gridCol w:w="416"/>
        <w:gridCol w:w="418"/>
        <w:gridCol w:w="1108"/>
        <w:gridCol w:w="1108"/>
        <w:gridCol w:w="215"/>
        <w:gridCol w:w="754"/>
        <w:gridCol w:w="830"/>
        <w:gridCol w:w="974"/>
        <w:gridCol w:w="1"/>
        <w:gridCol w:w="415"/>
        <w:gridCol w:w="1"/>
        <w:gridCol w:w="415"/>
        <w:gridCol w:w="416"/>
        <w:gridCol w:w="361"/>
        <w:gridCol w:w="352"/>
        <w:gridCol w:w="352"/>
        <w:gridCol w:w="322"/>
        <w:gridCol w:w="421"/>
        <w:gridCol w:w="1"/>
        <w:gridCol w:w="368"/>
      </w:tblGrid>
      <w:tr>
        <w:tblPrEx>
          <w:tblCellMar>
            <w:top w:w="0" w:type="dxa"/>
            <w:left w:w="108" w:type="dxa"/>
            <w:bottom w:w="0" w:type="dxa"/>
            <w:right w:w="108" w:type="dxa"/>
          </w:tblCellMar>
        </w:tblPrEx>
        <w:trPr>
          <w:gridBefore w:val="1"/>
          <w:gridAfter w:val="1"/>
          <w:wBefore w:w="7" w:type="dxa"/>
          <w:wAfter w:w="368" w:type="dxa"/>
          <w:trHeight w:val="425" w:hRule="atLeast"/>
        </w:trPr>
        <w:tc>
          <w:tcPr>
            <w:tcW w:w="9468" w:type="dxa"/>
            <w:gridSpan w:val="20"/>
            <w:tcBorders>
              <w:top w:val="nil"/>
              <w:left w:val="nil"/>
              <w:bottom w:val="nil"/>
              <w:right w:val="nil"/>
            </w:tcBorders>
            <w:vAlign w:val="center"/>
          </w:tcPr>
          <w:p>
            <w:pPr>
              <w:widowControl/>
              <w:jc w:val="center"/>
              <w:rPr>
                <w:rFonts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项目支出情况表</w:t>
            </w:r>
          </w:p>
        </w:tc>
      </w:tr>
      <w:tr>
        <w:tblPrEx>
          <w:tblCellMar>
            <w:top w:w="0" w:type="dxa"/>
            <w:left w:w="108" w:type="dxa"/>
            <w:bottom w:w="0" w:type="dxa"/>
            <w:right w:w="108" w:type="dxa"/>
          </w:tblCellMar>
        </w:tblPrEx>
        <w:trPr>
          <w:gridBefore w:val="1"/>
          <w:wBefore w:w="7" w:type="dxa"/>
          <w:trHeight w:val="459" w:hRule="atLeast"/>
        </w:trPr>
        <w:tc>
          <w:tcPr>
            <w:tcW w:w="3853" w:type="dxa"/>
            <w:gridSpan w:val="6"/>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编制部门：阜康市自然资源局</w:t>
            </w:r>
          </w:p>
        </w:tc>
        <w:tc>
          <w:tcPr>
            <w:tcW w:w="2559"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416"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3008" w:type="dxa"/>
            <w:gridSpan w:val="9"/>
            <w:tcBorders>
              <w:top w:val="nil"/>
              <w:left w:val="nil"/>
              <w:bottom w:val="nil"/>
              <w:right w:val="nil"/>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714" w:hRule="atLeast"/>
        </w:trPr>
        <w:tc>
          <w:tcPr>
            <w:tcW w:w="1429"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110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108"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9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83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974"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416"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416"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41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36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3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3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32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2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1549" w:hRule="atLeast"/>
        </w:trPr>
        <w:tc>
          <w:tcPr>
            <w:tcW w:w="595" w:type="dxa"/>
            <w:gridSpan w:val="2"/>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16" w:type="dxa"/>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18" w:type="dxa"/>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108" w:type="dxa"/>
            <w:vMerge w:val="continue"/>
            <w:vAlign w:val="center"/>
          </w:tcPr>
          <w:p>
            <w:pPr>
              <w:widowControl/>
              <w:jc w:val="left"/>
              <w:outlineLvl w:val="1"/>
              <w:rPr>
                <w:rFonts w:ascii="仿宋_GB2312" w:hAnsi="宋体" w:eastAsia="仿宋_GB2312"/>
                <w:b/>
                <w:kern w:val="0"/>
                <w:sz w:val="18"/>
                <w:szCs w:val="18"/>
              </w:rPr>
            </w:pPr>
          </w:p>
        </w:tc>
        <w:tc>
          <w:tcPr>
            <w:tcW w:w="1108" w:type="dxa"/>
            <w:vMerge w:val="continue"/>
          </w:tcPr>
          <w:p>
            <w:pPr>
              <w:widowControl/>
              <w:jc w:val="left"/>
              <w:outlineLvl w:val="1"/>
              <w:rPr>
                <w:rFonts w:ascii="仿宋_GB2312" w:hAnsi="宋体" w:eastAsia="仿宋_GB2312"/>
                <w:b/>
                <w:kern w:val="0"/>
                <w:sz w:val="18"/>
                <w:szCs w:val="18"/>
              </w:rPr>
            </w:pPr>
          </w:p>
        </w:tc>
        <w:tc>
          <w:tcPr>
            <w:tcW w:w="969" w:type="dxa"/>
            <w:gridSpan w:val="2"/>
            <w:vMerge w:val="continue"/>
          </w:tcPr>
          <w:p>
            <w:pPr>
              <w:widowControl/>
              <w:jc w:val="left"/>
              <w:outlineLvl w:val="1"/>
              <w:rPr>
                <w:rFonts w:ascii="仿宋_GB2312" w:hAnsi="宋体" w:eastAsia="仿宋_GB2312"/>
                <w:b/>
                <w:kern w:val="0"/>
                <w:sz w:val="18"/>
                <w:szCs w:val="18"/>
              </w:rPr>
            </w:pPr>
          </w:p>
        </w:tc>
        <w:tc>
          <w:tcPr>
            <w:tcW w:w="830" w:type="dxa"/>
            <w:vMerge w:val="continue"/>
          </w:tcPr>
          <w:p>
            <w:pPr>
              <w:widowControl/>
              <w:jc w:val="left"/>
              <w:outlineLvl w:val="1"/>
              <w:rPr>
                <w:rFonts w:ascii="仿宋_GB2312" w:hAnsi="宋体" w:eastAsia="仿宋_GB2312"/>
                <w:b/>
                <w:kern w:val="0"/>
                <w:sz w:val="18"/>
                <w:szCs w:val="18"/>
              </w:rPr>
            </w:pPr>
          </w:p>
        </w:tc>
        <w:tc>
          <w:tcPr>
            <w:tcW w:w="974" w:type="dxa"/>
            <w:vMerge w:val="continue"/>
          </w:tcPr>
          <w:p>
            <w:pPr>
              <w:widowControl/>
              <w:jc w:val="left"/>
              <w:outlineLvl w:val="1"/>
              <w:rPr>
                <w:rFonts w:ascii="仿宋_GB2312" w:hAnsi="宋体" w:eastAsia="仿宋_GB2312"/>
                <w:b/>
                <w:kern w:val="0"/>
                <w:sz w:val="18"/>
                <w:szCs w:val="18"/>
              </w:rPr>
            </w:pPr>
          </w:p>
        </w:tc>
        <w:tc>
          <w:tcPr>
            <w:tcW w:w="416" w:type="dxa"/>
            <w:gridSpan w:val="2"/>
            <w:vMerge w:val="continue"/>
          </w:tcPr>
          <w:p>
            <w:pPr>
              <w:widowControl/>
              <w:jc w:val="left"/>
              <w:outlineLvl w:val="1"/>
              <w:rPr>
                <w:rFonts w:ascii="仿宋_GB2312" w:hAnsi="宋体" w:eastAsia="仿宋_GB2312"/>
                <w:b/>
                <w:kern w:val="0"/>
                <w:sz w:val="18"/>
                <w:szCs w:val="18"/>
              </w:rPr>
            </w:pPr>
          </w:p>
        </w:tc>
        <w:tc>
          <w:tcPr>
            <w:tcW w:w="416" w:type="dxa"/>
            <w:gridSpan w:val="2"/>
            <w:vMerge w:val="continue"/>
          </w:tcPr>
          <w:p>
            <w:pPr>
              <w:widowControl/>
              <w:jc w:val="left"/>
              <w:outlineLvl w:val="1"/>
              <w:rPr>
                <w:rFonts w:ascii="仿宋_GB2312" w:hAnsi="宋体" w:eastAsia="仿宋_GB2312"/>
                <w:b/>
                <w:kern w:val="0"/>
                <w:sz w:val="18"/>
                <w:szCs w:val="18"/>
              </w:rPr>
            </w:pPr>
          </w:p>
        </w:tc>
        <w:tc>
          <w:tcPr>
            <w:tcW w:w="416" w:type="dxa"/>
            <w:vMerge w:val="continue"/>
          </w:tcPr>
          <w:p>
            <w:pPr>
              <w:widowControl/>
              <w:jc w:val="left"/>
              <w:outlineLvl w:val="1"/>
              <w:rPr>
                <w:rFonts w:ascii="仿宋_GB2312" w:hAnsi="宋体" w:eastAsia="仿宋_GB2312"/>
                <w:b/>
                <w:kern w:val="0"/>
                <w:sz w:val="18"/>
                <w:szCs w:val="18"/>
              </w:rPr>
            </w:pPr>
          </w:p>
        </w:tc>
        <w:tc>
          <w:tcPr>
            <w:tcW w:w="361" w:type="dxa"/>
            <w:vMerge w:val="continue"/>
          </w:tcPr>
          <w:p>
            <w:pPr>
              <w:widowControl/>
              <w:jc w:val="left"/>
              <w:outlineLvl w:val="1"/>
              <w:rPr>
                <w:rFonts w:ascii="仿宋_GB2312" w:hAnsi="宋体" w:eastAsia="仿宋_GB2312"/>
                <w:b/>
                <w:kern w:val="0"/>
                <w:sz w:val="18"/>
                <w:szCs w:val="18"/>
              </w:rPr>
            </w:pPr>
          </w:p>
        </w:tc>
        <w:tc>
          <w:tcPr>
            <w:tcW w:w="352" w:type="dxa"/>
            <w:vMerge w:val="continue"/>
          </w:tcPr>
          <w:p>
            <w:pPr>
              <w:widowControl/>
              <w:jc w:val="left"/>
              <w:outlineLvl w:val="1"/>
              <w:rPr>
                <w:rFonts w:ascii="仿宋_GB2312" w:hAnsi="宋体" w:eastAsia="仿宋_GB2312"/>
                <w:b/>
                <w:kern w:val="0"/>
                <w:sz w:val="18"/>
                <w:szCs w:val="18"/>
              </w:rPr>
            </w:pPr>
          </w:p>
        </w:tc>
        <w:tc>
          <w:tcPr>
            <w:tcW w:w="352" w:type="dxa"/>
            <w:vMerge w:val="continue"/>
          </w:tcPr>
          <w:p>
            <w:pPr>
              <w:widowControl/>
              <w:jc w:val="left"/>
              <w:outlineLvl w:val="1"/>
              <w:rPr>
                <w:rFonts w:ascii="仿宋_GB2312" w:hAnsi="宋体" w:eastAsia="仿宋_GB2312"/>
                <w:b/>
                <w:kern w:val="0"/>
                <w:sz w:val="18"/>
                <w:szCs w:val="18"/>
              </w:rPr>
            </w:pPr>
          </w:p>
        </w:tc>
        <w:tc>
          <w:tcPr>
            <w:tcW w:w="322" w:type="dxa"/>
            <w:vMerge w:val="continue"/>
          </w:tcPr>
          <w:p>
            <w:pPr>
              <w:widowControl/>
              <w:jc w:val="left"/>
              <w:outlineLvl w:val="1"/>
              <w:rPr>
                <w:rFonts w:ascii="仿宋_GB2312" w:hAnsi="宋体" w:eastAsia="仿宋_GB2312"/>
                <w:b/>
                <w:kern w:val="0"/>
                <w:sz w:val="18"/>
                <w:szCs w:val="18"/>
              </w:rPr>
            </w:pPr>
          </w:p>
        </w:tc>
        <w:tc>
          <w:tcPr>
            <w:tcW w:w="421" w:type="dxa"/>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vAlign w:val="center"/>
          </w:tcPr>
          <w:p>
            <w:pPr>
              <w:widowControl/>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220</w:t>
            </w:r>
          </w:p>
        </w:tc>
        <w:tc>
          <w:tcPr>
            <w:tcW w:w="416" w:type="dxa"/>
            <w:vAlign w:val="center"/>
          </w:tcPr>
          <w:p>
            <w:pPr>
              <w:widowControl/>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418" w:type="dxa"/>
            <w:vAlign w:val="center"/>
          </w:tcPr>
          <w:p>
            <w:pPr>
              <w:widowControl/>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99</w:t>
            </w:r>
          </w:p>
        </w:tc>
        <w:tc>
          <w:tcPr>
            <w:tcW w:w="1108" w:type="dxa"/>
            <w:vAlign w:val="center"/>
          </w:tcPr>
          <w:p>
            <w:pPr>
              <w:widowControl/>
              <w:outlineLvl w:val="1"/>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其他自然资源事务支出</w:t>
            </w:r>
          </w:p>
        </w:tc>
        <w:tc>
          <w:tcPr>
            <w:tcW w:w="1108" w:type="dxa"/>
            <w:vAlign w:val="center"/>
          </w:tcPr>
          <w:p>
            <w:pPr>
              <w:widowControl/>
              <w:outlineLvl w:val="1"/>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南部山区保安服务费</w:t>
            </w:r>
          </w:p>
        </w:tc>
        <w:tc>
          <w:tcPr>
            <w:tcW w:w="969" w:type="dxa"/>
            <w:gridSpan w:val="2"/>
            <w:vAlign w:val="center"/>
          </w:tcPr>
          <w:p>
            <w:pPr>
              <w:widowControl/>
              <w:jc w:val="right"/>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218.88</w:t>
            </w:r>
          </w:p>
        </w:tc>
        <w:tc>
          <w:tcPr>
            <w:tcW w:w="830" w:type="dxa"/>
            <w:vAlign w:val="center"/>
          </w:tcPr>
          <w:p>
            <w:pPr>
              <w:widowControl/>
              <w:jc w:val="right"/>
              <w:outlineLvl w:val="1"/>
              <w:rPr>
                <w:rFonts w:ascii="仿宋_GB2312" w:hAnsi="宋体" w:eastAsia="仿宋_GB2312" w:cs="宋体"/>
                <w:color w:val="000000"/>
                <w:kern w:val="0"/>
                <w:sz w:val="20"/>
                <w:szCs w:val="20"/>
              </w:rPr>
            </w:pPr>
          </w:p>
          <w:p>
            <w:pPr>
              <w:widowControl/>
              <w:jc w:val="right"/>
              <w:outlineLvl w:val="1"/>
              <w:rPr>
                <w:rFonts w:ascii="仿宋_GB2312" w:hAnsi="宋体" w:eastAsia="仿宋_GB2312" w:cs="宋体"/>
                <w:color w:val="000000"/>
                <w:kern w:val="0"/>
                <w:sz w:val="20"/>
                <w:szCs w:val="20"/>
              </w:rPr>
            </w:pPr>
          </w:p>
        </w:tc>
        <w:tc>
          <w:tcPr>
            <w:tcW w:w="974" w:type="dxa"/>
            <w:vAlign w:val="center"/>
          </w:tcPr>
          <w:p>
            <w:pPr>
              <w:widowControl/>
              <w:jc w:val="right"/>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218.88</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61"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2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vAlign w:val="center"/>
          </w:tcPr>
          <w:p>
            <w:pPr>
              <w:widowControl/>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220</w:t>
            </w:r>
          </w:p>
        </w:tc>
        <w:tc>
          <w:tcPr>
            <w:tcW w:w="416" w:type="dxa"/>
            <w:vAlign w:val="center"/>
          </w:tcPr>
          <w:p>
            <w:pPr>
              <w:widowControl/>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418" w:type="dxa"/>
            <w:vAlign w:val="center"/>
          </w:tcPr>
          <w:p>
            <w:pPr>
              <w:widowControl/>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50</w:t>
            </w:r>
          </w:p>
        </w:tc>
        <w:tc>
          <w:tcPr>
            <w:tcW w:w="1108" w:type="dxa"/>
            <w:vAlign w:val="center"/>
          </w:tcPr>
          <w:p>
            <w:pPr>
              <w:widowControl/>
              <w:outlineLvl w:val="1"/>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事业运行</w:t>
            </w:r>
          </w:p>
        </w:tc>
        <w:tc>
          <w:tcPr>
            <w:tcW w:w="1108" w:type="dxa"/>
            <w:vAlign w:val="center"/>
          </w:tcPr>
          <w:p>
            <w:pPr>
              <w:widowControl/>
              <w:outlineLvl w:val="1"/>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草场看护人员补助　</w:t>
            </w:r>
          </w:p>
        </w:tc>
        <w:tc>
          <w:tcPr>
            <w:tcW w:w="969" w:type="dxa"/>
            <w:gridSpan w:val="2"/>
            <w:vAlign w:val="center"/>
          </w:tcPr>
          <w:p>
            <w:pPr>
              <w:widowControl/>
              <w:jc w:val="right"/>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99.36</w:t>
            </w:r>
            <w:r>
              <w:rPr>
                <w:rFonts w:hint="eastAsia" w:ascii="仿宋_GB2312" w:hAnsi="宋体" w:eastAsia="仿宋_GB2312" w:cs="宋体"/>
                <w:color w:val="000000"/>
                <w:kern w:val="0"/>
                <w:sz w:val="20"/>
                <w:szCs w:val="20"/>
              </w:rPr>
              <w:t>　</w:t>
            </w:r>
          </w:p>
        </w:tc>
        <w:tc>
          <w:tcPr>
            <w:tcW w:w="830" w:type="dxa"/>
            <w:vAlign w:val="center"/>
          </w:tcPr>
          <w:p>
            <w:pPr>
              <w:widowControl/>
              <w:jc w:val="right"/>
              <w:outlineLvl w:val="1"/>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99.36</w:t>
            </w:r>
            <w:r>
              <w:rPr>
                <w:rFonts w:hint="eastAsia" w:ascii="仿宋_GB2312" w:hAnsi="宋体" w:eastAsia="仿宋_GB2312" w:cs="宋体"/>
                <w:color w:val="000000"/>
                <w:kern w:val="0"/>
                <w:sz w:val="20"/>
                <w:szCs w:val="20"/>
              </w:rPr>
              <w:t>　</w:t>
            </w:r>
          </w:p>
        </w:tc>
        <w:tc>
          <w:tcPr>
            <w:tcW w:w="974" w:type="dxa"/>
            <w:vAlign w:val="center"/>
          </w:tcPr>
          <w:p>
            <w:pPr>
              <w:widowControl/>
              <w:jc w:val="right"/>
              <w:outlineLvl w:val="1"/>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61"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2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8"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1108"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1108"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969"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830"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974"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61"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2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8"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1108"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1108"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969"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830"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974"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gridSpan w:val="2"/>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16"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61"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5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322" w:type="dxa"/>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3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2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3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2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822" w:hRule="atLeast"/>
        </w:trPr>
        <w:tc>
          <w:tcPr>
            <w:tcW w:w="59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3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2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770" w:hRule="atLeast"/>
        </w:trPr>
        <w:tc>
          <w:tcPr>
            <w:tcW w:w="59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3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2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3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2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3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7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2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369" w:type="dxa"/>
          <w:trHeight w:val="663" w:hRule="atLeast"/>
        </w:trPr>
        <w:tc>
          <w:tcPr>
            <w:tcW w:w="59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8"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969" w:type="dxa"/>
            <w:gridSpan w:val="2"/>
            <w:vAlign w:val="center"/>
          </w:tcPr>
          <w:p>
            <w:pPr>
              <w:widowControl/>
              <w:jc w:val="right"/>
              <w:outlineLvl w:val="1"/>
              <w:rPr>
                <w:rFonts w:ascii="仿宋_GB2312" w:hAnsi="宋体" w:eastAsia="仿宋_GB2312"/>
                <w:kern w:val="0"/>
                <w:szCs w:val="21"/>
              </w:rPr>
            </w:pPr>
            <w:r>
              <w:rPr>
                <w:rFonts w:ascii="仿宋_GB2312" w:hAnsi="宋体" w:eastAsia="仿宋_GB2312"/>
                <w:kern w:val="0"/>
                <w:szCs w:val="21"/>
              </w:rPr>
              <w:t>318.24</w:t>
            </w:r>
          </w:p>
        </w:tc>
        <w:tc>
          <w:tcPr>
            <w:tcW w:w="830" w:type="dxa"/>
            <w:vAlign w:val="center"/>
          </w:tcPr>
          <w:p>
            <w:pPr>
              <w:widowControl/>
              <w:jc w:val="right"/>
              <w:outlineLvl w:val="1"/>
              <w:rPr>
                <w:rFonts w:ascii="仿宋_GB2312" w:hAnsi="宋体" w:eastAsia="仿宋_GB2312"/>
                <w:kern w:val="0"/>
                <w:sz w:val="32"/>
                <w:szCs w:val="32"/>
              </w:rPr>
            </w:pPr>
            <w:r>
              <w:rPr>
                <w:rFonts w:ascii="仿宋_GB2312" w:hAnsi="宋体" w:eastAsia="仿宋_GB2312"/>
                <w:kern w:val="0"/>
                <w:szCs w:val="21"/>
              </w:rPr>
              <w:t>99.36</w:t>
            </w:r>
            <w:r>
              <w:rPr>
                <w:rFonts w:hint="eastAsia" w:ascii="仿宋_GB2312" w:hAnsi="宋体" w:eastAsia="仿宋_GB2312"/>
                <w:kern w:val="0"/>
                <w:sz w:val="32"/>
                <w:szCs w:val="32"/>
              </w:rPr>
              <w:t>　</w:t>
            </w:r>
          </w:p>
        </w:tc>
        <w:tc>
          <w:tcPr>
            <w:tcW w:w="974" w:type="dxa"/>
            <w:vAlign w:val="center"/>
          </w:tcPr>
          <w:p>
            <w:pPr>
              <w:widowControl/>
              <w:jc w:val="right"/>
              <w:outlineLvl w:val="1"/>
              <w:rPr>
                <w:rFonts w:ascii="仿宋_GB2312" w:hAnsi="宋体" w:eastAsia="仿宋_GB2312"/>
                <w:kern w:val="0"/>
                <w:sz w:val="32"/>
                <w:szCs w:val="32"/>
              </w:rPr>
            </w:pPr>
            <w:r>
              <w:rPr>
                <w:rFonts w:ascii="仿宋_GB2312" w:hAnsi="宋体" w:eastAsia="仿宋_GB2312"/>
                <w:kern w:val="0"/>
                <w:szCs w:val="21"/>
              </w:rPr>
              <w:t>218.88</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2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编制单位：阜康市自然资源局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24.16</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cs="宋体"/>
                <w:color w:val="000000"/>
                <w:kern w:val="0"/>
                <w:sz w:val="24"/>
              </w:rPr>
              <w:t>0.00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20.16</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cs="宋体"/>
                <w:color w:val="000000"/>
                <w:kern w:val="0"/>
                <w:sz w:val="24"/>
              </w:rPr>
              <w:t>0.00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20.16</w:t>
            </w:r>
          </w:p>
        </w:tc>
        <w:tc>
          <w:tcPr>
            <w:tcW w:w="171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4.00</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编制单位：阜康市自然资源局</w:t>
      </w:r>
      <w:r>
        <w:rPr>
          <w:rFonts w:ascii="仿宋_GB2312" w:hAnsi="宋体" w:eastAsia="仿宋_GB2312"/>
          <w:b/>
          <w:kern w:val="0"/>
          <w:sz w:val="24"/>
        </w:rPr>
        <w:t xml:space="preserve"> </w:t>
      </w:r>
      <w:r>
        <w:rPr>
          <w:rFonts w:ascii="仿宋_GB2312" w:hAnsi="宋体" w:eastAsia="仿宋_GB2312"/>
          <w:kern w:val="0"/>
          <w:sz w:val="24"/>
        </w:rPr>
        <w:t xml:space="preserve"> </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rPr>
          <w:rFonts w:ascii="仿宋_GB2312" w:hAnsi="宋体" w:eastAsia="仿宋_GB2312"/>
          <w:b/>
          <w:kern w:val="0"/>
          <w:sz w:val="28"/>
          <w:szCs w:val="32"/>
        </w:rPr>
      </w:pPr>
      <w:r>
        <w:rPr>
          <w:rFonts w:hint="eastAsia" w:ascii="仿宋_GB2312" w:hAnsi="宋体" w:eastAsia="仿宋_GB2312"/>
          <w:b/>
          <w:kern w:val="0"/>
          <w:sz w:val="28"/>
          <w:szCs w:val="32"/>
        </w:rPr>
        <w:t>备注：2020年无政府性基金预算支出预算安排，此表为空表。</w:t>
      </w:r>
    </w:p>
    <w:p>
      <w:pPr>
        <w:widowControl/>
        <w:jc w:val="left"/>
        <w:outlineLvl w:val="1"/>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关于阜康市自然资源局</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按照全口径预算的原则，阜康市自然资源局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1750.5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1750.5</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145.81</w:t>
      </w:r>
      <w:r>
        <w:rPr>
          <w:rFonts w:hint="eastAsia" w:ascii="仿宋_GB2312" w:hAnsi="宋体" w:eastAsia="仿宋_GB2312" w:cs="宋体"/>
          <w:kern w:val="0"/>
          <w:sz w:val="32"/>
          <w:szCs w:val="32"/>
        </w:rPr>
        <w:t>万元、卫生健康支出</w:t>
      </w:r>
      <w:r>
        <w:rPr>
          <w:rFonts w:ascii="仿宋_GB2312" w:hAnsi="宋体" w:eastAsia="仿宋_GB2312" w:cs="宋体"/>
          <w:kern w:val="0"/>
          <w:sz w:val="32"/>
          <w:szCs w:val="32"/>
        </w:rPr>
        <w:t>121.48</w:t>
      </w:r>
      <w:r>
        <w:rPr>
          <w:rFonts w:hint="eastAsia" w:ascii="仿宋_GB2312" w:hAnsi="宋体" w:eastAsia="仿宋_GB2312" w:cs="宋体"/>
          <w:kern w:val="0"/>
          <w:sz w:val="32"/>
          <w:szCs w:val="32"/>
        </w:rPr>
        <w:t>万元、自然资源海洋气象等支出</w:t>
      </w:r>
      <w:r>
        <w:rPr>
          <w:rFonts w:ascii="仿宋_GB2312" w:hAnsi="宋体" w:eastAsia="仿宋_GB2312" w:cs="宋体"/>
          <w:kern w:val="0"/>
          <w:sz w:val="32"/>
          <w:szCs w:val="32"/>
        </w:rPr>
        <w:t>1368.38</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114.83</w:t>
      </w:r>
      <w:r>
        <w:rPr>
          <w:rFonts w:hint="eastAsia" w:ascii="仿宋_GB2312" w:hAnsi="宋体" w:eastAsia="仿宋_GB2312" w:cs="宋体"/>
          <w:kern w:val="0"/>
          <w:sz w:val="32"/>
          <w:szCs w:val="32"/>
        </w:rPr>
        <w:t>万元。</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二、关于阜康市自然资源局</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阜康市自然资源局部门收入预算</w:t>
      </w:r>
      <w:r>
        <w:rPr>
          <w:rFonts w:ascii="仿宋_GB2312" w:hAnsi="宋体" w:eastAsia="仿宋_GB2312" w:cs="宋体"/>
          <w:kern w:val="0"/>
          <w:sz w:val="32"/>
          <w:szCs w:val="32"/>
        </w:rPr>
        <w:t>1750.5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1750.5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828.52</w:t>
      </w:r>
      <w:r>
        <w:rPr>
          <w:rFonts w:hint="eastAsia" w:ascii="仿宋_GB2312" w:hAnsi="宋体" w:eastAsia="仿宋_GB2312" w:cs="宋体"/>
          <w:kern w:val="0"/>
          <w:sz w:val="32"/>
          <w:szCs w:val="32"/>
        </w:rPr>
        <w:t>万元，主要原因是本年人员各项经费增长、增加南部山区保安工资及草场看护人员补助经费；</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三、关于阜康市自然资源局单位</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阜康市自然资源局单位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1750.5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1432.26</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81.82%</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611.95</w:t>
      </w:r>
      <w:r>
        <w:rPr>
          <w:rFonts w:hint="eastAsia" w:ascii="仿宋_GB2312" w:hAnsi="宋体" w:eastAsia="仿宋_GB2312" w:cs="宋体"/>
          <w:kern w:val="0"/>
          <w:sz w:val="32"/>
          <w:szCs w:val="32"/>
        </w:rPr>
        <w:t>万元，主要原因是本年人员各项经费增长、增加南部山区保安工资及草场看护人员补助经费；</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318.24</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18.18%</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583.4</w:t>
      </w:r>
      <w:r>
        <w:rPr>
          <w:rFonts w:hint="eastAsia" w:ascii="仿宋_GB2312" w:hAnsi="宋体" w:eastAsia="仿宋_GB2312" w:cs="宋体"/>
          <w:kern w:val="0"/>
          <w:sz w:val="32"/>
          <w:szCs w:val="32"/>
        </w:rPr>
        <w:t>万元，主要原因是本年项目减少，减少征地和拆迁补偿支出，土地资源调查等项目。</w:t>
      </w:r>
    </w:p>
    <w:p>
      <w:pPr>
        <w:spacing w:line="560" w:lineRule="exact"/>
        <w:ind w:firstLine="619" w:firstLineChars="200"/>
        <w:rPr>
          <w:rFonts w:ascii="仿宋_GB2312" w:hAnsi="宋体" w:eastAsia="仿宋_GB2312" w:cs="宋体"/>
          <w:b/>
          <w:spacing w:val="-6"/>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四、关于阜康市自然资源局</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1750.5</w:t>
      </w:r>
      <w:r>
        <w:rPr>
          <w:rFonts w:hint="eastAsia" w:ascii="仿宋_GB2312" w:hAnsi="宋体" w:eastAsia="仿宋_GB2312" w:cs="宋体"/>
          <w:kern w:val="0"/>
          <w:sz w:val="32"/>
          <w:szCs w:val="32"/>
        </w:rPr>
        <w:t>万元。</w:t>
      </w:r>
    </w:p>
    <w:p>
      <w:pPr>
        <w:spacing w:line="560" w:lineRule="exact"/>
        <w:ind w:firstLine="616" w:firstLineChars="200"/>
        <w:rPr>
          <w:rFonts w:ascii="仿宋_GB2312" w:hAnsi="宋体" w:eastAsia="仿宋_GB2312" w:cs="宋体"/>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145.81</w:t>
      </w:r>
      <w:r>
        <w:rPr>
          <w:rFonts w:hint="eastAsia" w:ascii="仿宋_GB2312" w:hAnsi="宋体" w:eastAsia="仿宋_GB2312" w:cs="宋体"/>
          <w:kern w:val="0"/>
          <w:sz w:val="32"/>
          <w:szCs w:val="32"/>
        </w:rPr>
        <w:t>万元，主要用于机关事业单位基本养老保险缴费支出。卫生健康支出</w:t>
      </w:r>
      <w:r>
        <w:rPr>
          <w:rFonts w:ascii="仿宋_GB2312" w:hAnsi="宋体" w:eastAsia="仿宋_GB2312" w:cs="宋体"/>
          <w:kern w:val="0"/>
          <w:sz w:val="32"/>
          <w:szCs w:val="32"/>
        </w:rPr>
        <w:t>121.48</w:t>
      </w:r>
      <w:r>
        <w:rPr>
          <w:rFonts w:hint="eastAsia" w:ascii="仿宋_GB2312" w:hAnsi="宋体" w:eastAsia="仿宋_GB2312" w:cs="宋体"/>
          <w:kern w:val="0"/>
          <w:sz w:val="32"/>
          <w:szCs w:val="32"/>
        </w:rPr>
        <w:t>万元，主要用于在职、退休医疗保险支出。自然资源海洋气象等支出</w:t>
      </w:r>
      <w:r>
        <w:rPr>
          <w:rFonts w:ascii="仿宋_GB2312" w:hAnsi="宋体" w:eastAsia="仿宋_GB2312" w:cs="宋体"/>
          <w:kern w:val="0"/>
          <w:sz w:val="32"/>
          <w:szCs w:val="32"/>
        </w:rPr>
        <w:t>1368.38</w:t>
      </w:r>
      <w:r>
        <w:rPr>
          <w:rFonts w:hint="eastAsia" w:ascii="仿宋_GB2312" w:hAnsi="宋体" w:eastAsia="仿宋_GB2312" w:cs="宋体"/>
          <w:kern w:val="0"/>
          <w:sz w:val="32"/>
          <w:szCs w:val="32"/>
        </w:rPr>
        <w:t>万元，主要用于保障机关正常运行的人员经费、公用经费和项目经费。住房保障支出</w:t>
      </w:r>
      <w:r>
        <w:rPr>
          <w:rFonts w:ascii="仿宋_GB2312" w:hAnsi="宋体" w:eastAsia="仿宋_GB2312" w:cs="宋体"/>
          <w:kern w:val="0"/>
          <w:sz w:val="32"/>
          <w:szCs w:val="32"/>
        </w:rPr>
        <w:t>114.83</w:t>
      </w:r>
      <w:r>
        <w:rPr>
          <w:rFonts w:hint="eastAsia" w:ascii="仿宋_GB2312" w:hAnsi="宋体" w:eastAsia="仿宋_GB2312" w:cs="宋体"/>
          <w:kern w:val="0"/>
          <w:sz w:val="32"/>
          <w:szCs w:val="32"/>
        </w:rPr>
        <w:t>万元，</w:t>
      </w:r>
      <w:r>
        <w:rPr>
          <w:rFonts w:hint="eastAsia" w:ascii="仿宋_GB2312" w:hAnsi="宋体" w:eastAsia="仿宋_GB2312" w:cs="宋体"/>
          <w:sz w:val="32"/>
          <w:szCs w:val="32"/>
        </w:rPr>
        <w:t>主要用于职工住房公积金缴费支出。</w:t>
      </w:r>
    </w:p>
    <w:p>
      <w:pPr>
        <w:spacing w:line="560" w:lineRule="exac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五、关于阜康市自然资源局</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（一）一般公</w:t>
      </w:r>
      <w:r>
        <w:rPr>
          <w:rFonts w:hint="eastAsia" w:ascii="楷体_GB2312" w:hAnsi="宋体" w:eastAsia="楷体_GB2312" w:cs="宋体"/>
          <w:b/>
          <w:kern w:val="0"/>
          <w:sz w:val="30"/>
          <w:szCs w:val="30"/>
          <w:lang w:eastAsia="zh-CN"/>
        </w:rPr>
        <w:t>共</w:t>
      </w:r>
      <w:r>
        <w:rPr>
          <w:rFonts w:hint="eastAsia" w:ascii="楷体_GB2312" w:hAnsi="宋体" w:eastAsia="楷体_GB2312" w:cs="宋体"/>
          <w:b/>
          <w:kern w:val="0"/>
          <w:sz w:val="30"/>
          <w:szCs w:val="30"/>
        </w:rPr>
        <w:t>预算当年拨款规模变化情况</w:t>
      </w:r>
    </w:p>
    <w:p>
      <w:pPr>
        <w:spacing w:line="56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阜康市自然资源局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w:t>
      </w:r>
      <w:r>
        <w:rPr>
          <w:rFonts w:hint="eastAsia" w:ascii="仿宋_GB2312" w:hAnsi="宋体" w:eastAsia="仿宋_GB2312" w:cs="宋体"/>
          <w:kern w:val="0"/>
          <w:sz w:val="32"/>
          <w:szCs w:val="32"/>
          <w:lang w:eastAsia="zh-CN"/>
        </w:rPr>
        <w:t>基本</w:t>
      </w:r>
      <w:r>
        <w:rPr>
          <w:rFonts w:hint="eastAsia" w:ascii="仿宋_GB2312" w:hAnsi="宋体" w:eastAsia="仿宋_GB2312" w:cs="宋体"/>
          <w:kern w:val="0"/>
          <w:sz w:val="32"/>
          <w:szCs w:val="32"/>
        </w:rPr>
        <w:t>支出</w:t>
      </w:r>
      <w:r>
        <w:rPr>
          <w:rFonts w:hint="eastAsia" w:ascii="仿宋_GB2312" w:hAnsi="宋体" w:eastAsia="仿宋_GB2312" w:cs="宋体"/>
          <w:kern w:val="0"/>
          <w:sz w:val="32"/>
          <w:szCs w:val="32"/>
          <w:lang w:val="en-US" w:eastAsia="zh-CN"/>
        </w:rPr>
        <w:t>1432.26</w:t>
      </w:r>
      <w:r>
        <w:rPr>
          <w:rFonts w:hint="eastAsia" w:ascii="仿宋_GB2312" w:hAnsi="宋体" w:eastAsia="仿宋_GB2312" w:cs="宋体"/>
          <w:kern w:val="0"/>
          <w:sz w:val="32"/>
          <w:szCs w:val="32"/>
        </w:rPr>
        <w:t>万元，比上年执行数减少</w:t>
      </w:r>
      <w:r>
        <w:rPr>
          <w:rFonts w:hint="eastAsia" w:ascii="仿宋_GB2312" w:hAnsi="宋体" w:eastAsia="仿宋_GB2312" w:cs="宋体"/>
          <w:kern w:val="0"/>
          <w:sz w:val="32"/>
          <w:szCs w:val="32"/>
          <w:lang w:val="en-US" w:eastAsia="zh-CN"/>
        </w:rPr>
        <w:t>596.77</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29.41</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执行数中有追加绩效奖、人员增资及项目支出。</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（二）一般公共预算当年拨款结构情况</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社会保障和就业支出（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145.81</w:t>
      </w:r>
      <w:r>
        <w:rPr>
          <w:rFonts w:hint="eastAsia" w:ascii="仿宋_GB2312" w:eastAsia="仿宋_GB2312"/>
          <w:sz w:val="32"/>
          <w:szCs w:val="32"/>
        </w:rPr>
        <w:t>万元，占</w:t>
      </w:r>
      <w:r>
        <w:rPr>
          <w:rFonts w:ascii="仿宋_GB2312" w:eastAsia="仿宋_GB2312"/>
          <w:sz w:val="32"/>
          <w:szCs w:val="32"/>
        </w:rPr>
        <w:t>8.33%</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卫生健康支出（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121.48</w:t>
      </w:r>
      <w:r>
        <w:rPr>
          <w:rFonts w:hint="eastAsia" w:ascii="仿宋_GB2312" w:eastAsia="仿宋_GB2312"/>
          <w:sz w:val="32"/>
          <w:szCs w:val="32"/>
        </w:rPr>
        <w:t>万元，占</w:t>
      </w:r>
      <w:r>
        <w:rPr>
          <w:rFonts w:ascii="仿宋_GB2312" w:eastAsia="仿宋_GB2312"/>
          <w:sz w:val="32"/>
          <w:szCs w:val="32"/>
        </w:rPr>
        <w:t>6.94%</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自然资源海洋气象等支出（</w:t>
      </w:r>
      <w:r>
        <w:rPr>
          <w:rFonts w:ascii="仿宋_GB2312" w:eastAsia="仿宋_GB2312"/>
          <w:sz w:val="32"/>
          <w:szCs w:val="32"/>
        </w:rPr>
        <w:t>220</w:t>
      </w:r>
      <w:r>
        <w:rPr>
          <w:rFonts w:hint="eastAsia" w:ascii="仿宋_GB2312" w:eastAsia="仿宋_GB2312"/>
          <w:sz w:val="32"/>
          <w:szCs w:val="32"/>
        </w:rPr>
        <w:t>类）</w:t>
      </w:r>
      <w:r>
        <w:rPr>
          <w:rFonts w:ascii="仿宋_GB2312" w:eastAsia="仿宋_GB2312"/>
          <w:sz w:val="32"/>
          <w:szCs w:val="32"/>
        </w:rPr>
        <w:t>1368.38</w:t>
      </w:r>
      <w:r>
        <w:rPr>
          <w:rFonts w:hint="eastAsia" w:ascii="仿宋_GB2312" w:eastAsia="仿宋_GB2312"/>
          <w:sz w:val="32"/>
          <w:szCs w:val="32"/>
        </w:rPr>
        <w:t>万元，占</w:t>
      </w:r>
      <w:r>
        <w:rPr>
          <w:rFonts w:ascii="仿宋_GB2312" w:eastAsia="仿宋_GB2312"/>
          <w:sz w:val="32"/>
          <w:szCs w:val="32"/>
        </w:rPr>
        <w:t>78.17%</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住房保障支出（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114.83</w:t>
      </w:r>
      <w:r>
        <w:rPr>
          <w:rFonts w:hint="eastAsia" w:ascii="仿宋_GB2312" w:eastAsia="仿宋_GB2312"/>
          <w:sz w:val="32"/>
          <w:szCs w:val="32"/>
        </w:rPr>
        <w:t>万元，占</w:t>
      </w:r>
      <w:r>
        <w:rPr>
          <w:rFonts w:ascii="仿宋_GB2312" w:eastAsia="仿宋_GB2312"/>
          <w:sz w:val="32"/>
          <w:szCs w:val="32"/>
        </w:rPr>
        <w:t>6.56%</w:t>
      </w:r>
      <w:r>
        <w:rPr>
          <w:rFonts w:hint="eastAsia" w:ascii="仿宋_GB2312" w:eastAsia="仿宋_GB2312"/>
          <w:sz w:val="32"/>
          <w:szCs w:val="32"/>
        </w:rPr>
        <w:t>。</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（三）一般公共预算当年拨款具体使用情况</w:t>
      </w:r>
    </w:p>
    <w:p>
      <w:pPr>
        <w:spacing w:line="560" w:lineRule="exact"/>
        <w:ind w:firstLine="800" w:firstLineChars="25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类）行政事业单位离退休（</w:t>
      </w:r>
      <w:r>
        <w:rPr>
          <w:rFonts w:ascii="仿宋_GB2312" w:hAnsi="宋体" w:eastAsia="仿宋_GB2312" w:cs="宋体"/>
          <w:sz w:val="32"/>
          <w:szCs w:val="32"/>
        </w:rPr>
        <w:t>05</w:t>
      </w:r>
      <w:r>
        <w:rPr>
          <w:rFonts w:hint="eastAsia" w:ascii="仿宋_GB2312" w:hAnsi="宋体" w:eastAsia="仿宋_GB2312" w:cs="宋体"/>
          <w:sz w:val="32"/>
          <w:szCs w:val="32"/>
        </w:rPr>
        <w:t>款）归口管理的行政单位离退休（</w:t>
      </w:r>
      <w:r>
        <w:rPr>
          <w:rFonts w:ascii="仿宋_GB2312" w:hAnsi="宋体" w:eastAsia="仿宋_GB2312" w:cs="宋体"/>
          <w:sz w:val="32"/>
          <w:szCs w:val="32"/>
        </w:rPr>
        <w:t>01</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13.92</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1.97</w:t>
      </w:r>
      <w:r>
        <w:rPr>
          <w:rFonts w:hint="eastAsia" w:ascii="仿宋_GB2312" w:hAnsi="宋体" w:eastAsia="仿宋_GB2312" w:cs="宋体"/>
          <w:sz w:val="32"/>
          <w:szCs w:val="32"/>
        </w:rPr>
        <w:t>万元，下降</w:t>
      </w:r>
      <w:r>
        <w:rPr>
          <w:rFonts w:ascii="仿宋_GB2312" w:hAnsi="宋体" w:eastAsia="仿宋_GB2312" w:cs="宋体"/>
          <w:sz w:val="32"/>
          <w:szCs w:val="32"/>
        </w:rPr>
        <w:t>12.40%</w:t>
      </w:r>
      <w:r>
        <w:rPr>
          <w:rFonts w:hint="eastAsia" w:ascii="仿宋_GB2312" w:hAnsi="宋体" w:eastAsia="仿宋_GB2312" w:cs="宋体"/>
          <w:sz w:val="32"/>
          <w:szCs w:val="32"/>
        </w:rPr>
        <w:t>，主要原因是：退休人员去世，人员经费减少。</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类）行政事业单位离退休</w:t>
      </w:r>
      <w:r>
        <w:rPr>
          <w:rFonts w:hint="eastAsia" w:ascii="仿宋_GB2312" w:hAnsi="宋体" w:eastAsia="仿宋_GB2312" w:cs="宋体"/>
          <w:kern w:val="0"/>
          <w:sz w:val="32"/>
          <w:szCs w:val="32"/>
        </w:rPr>
        <w:t>（</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131.89</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8.29</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5.91%</w:t>
      </w:r>
      <w:r>
        <w:rPr>
          <w:rFonts w:hint="eastAsia" w:ascii="仿宋_GB2312" w:hAnsi="宋体" w:eastAsia="仿宋_GB2312" w:cs="宋体"/>
          <w:kern w:val="0"/>
          <w:sz w:val="32"/>
          <w:szCs w:val="32"/>
        </w:rPr>
        <w:t>，主要原因是：行政离退休社保</w:t>
      </w:r>
      <w:r>
        <w:rPr>
          <w:rFonts w:hint="eastAsia" w:ascii="仿宋_GB2312" w:hAnsi="宋体" w:eastAsia="仿宋_GB2312" w:cs="宋体"/>
          <w:kern w:val="0"/>
          <w:sz w:val="32"/>
          <w:szCs w:val="32"/>
          <w:lang w:eastAsia="zh-CN"/>
        </w:rPr>
        <w:t>基数调整</w:t>
      </w:r>
      <w:r>
        <w:rPr>
          <w:rFonts w:hint="eastAsia" w:ascii="仿宋_GB2312" w:hAnsi="宋体" w:eastAsia="仿宋_GB2312" w:cs="宋体"/>
          <w:kern w:val="0"/>
          <w:sz w:val="32"/>
          <w:szCs w:val="32"/>
        </w:rPr>
        <w:t>。</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款）行政单位医疗（</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38.84</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8.76</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29.12%</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社保</w:t>
      </w:r>
      <w:r>
        <w:rPr>
          <w:rFonts w:hint="eastAsia" w:ascii="仿宋_GB2312" w:hAnsi="宋体" w:eastAsia="仿宋_GB2312" w:cs="宋体"/>
          <w:kern w:val="0"/>
          <w:sz w:val="32"/>
          <w:szCs w:val="32"/>
        </w:rPr>
        <w:t>基数</w:t>
      </w:r>
      <w:r>
        <w:rPr>
          <w:rFonts w:hint="eastAsia" w:ascii="仿宋_GB2312" w:hAnsi="宋体" w:eastAsia="仿宋_GB2312" w:cs="宋体"/>
          <w:kern w:val="0"/>
          <w:sz w:val="32"/>
          <w:szCs w:val="32"/>
          <w:lang w:eastAsia="zh-CN"/>
        </w:rPr>
        <w:t>调整</w:t>
      </w:r>
      <w:r>
        <w:rPr>
          <w:rFonts w:hint="eastAsia" w:ascii="仿宋_GB2312" w:hAnsi="宋体" w:eastAsia="仿宋_GB2312" w:cs="宋体"/>
          <w:kern w:val="0"/>
          <w:sz w:val="32"/>
          <w:szCs w:val="32"/>
        </w:rPr>
        <w:t>，行政单位医疗费用增长。</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61.71</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9.46</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18.11%</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社保</w:t>
      </w:r>
      <w:r>
        <w:rPr>
          <w:rFonts w:hint="eastAsia" w:ascii="仿宋_GB2312" w:hAnsi="宋体" w:eastAsia="仿宋_GB2312" w:cs="宋体"/>
          <w:kern w:val="0"/>
          <w:sz w:val="32"/>
          <w:szCs w:val="32"/>
        </w:rPr>
        <w:t>基数</w:t>
      </w:r>
      <w:r>
        <w:rPr>
          <w:rFonts w:hint="eastAsia" w:ascii="仿宋_GB2312" w:hAnsi="宋体" w:eastAsia="仿宋_GB2312" w:cs="宋体"/>
          <w:kern w:val="0"/>
          <w:sz w:val="32"/>
          <w:szCs w:val="32"/>
          <w:lang w:eastAsia="zh-CN"/>
        </w:rPr>
        <w:t>调整</w:t>
      </w:r>
      <w:r>
        <w:rPr>
          <w:rFonts w:hint="eastAsia" w:ascii="仿宋_GB2312" w:hAnsi="宋体" w:eastAsia="仿宋_GB2312" w:cs="宋体"/>
          <w:kern w:val="0"/>
          <w:sz w:val="32"/>
          <w:szCs w:val="32"/>
        </w:rPr>
        <w:t>，行政单位医疗费用增长。</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20.93</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18.11</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46.39%</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社保基数调整</w:t>
      </w:r>
      <w:r>
        <w:rPr>
          <w:rFonts w:hint="eastAsia" w:ascii="仿宋_GB2312" w:hAnsi="宋体" w:eastAsia="仿宋_GB2312" w:cs="宋体"/>
          <w:kern w:val="0"/>
          <w:sz w:val="32"/>
          <w:szCs w:val="32"/>
        </w:rPr>
        <w:t>。</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kern w:val="0"/>
          <w:sz w:val="32"/>
          <w:szCs w:val="32"/>
        </w:rPr>
        <w:t>自然资源海洋气象等支出（</w:t>
      </w:r>
      <w:r>
        <w:rPr>
          <w:rFonts w:ascii="仿宋_GB2312" w:hAnsi="宋体" w:eastAsia="仿宋_GB2312" w:cs="宋体"/>
          <w:kern w:val="0"/>
          <w:sz w:val="32"/>
          <w:szCs w:val="32"/>
        </w:rPr>
        <w:t>220</w:t>
      </w:r>
      <w:r>
        <w:rPr>
          <w:rFonts w:hint="eastAsia" w:ascii="仿宋_GB2312" w:hAnsi="宋体" w:eastAsia="仿宋_GB2312" w:cs="宋体"/>
          <w:kern w:val="0"/>
          <w:sz w:val="32"/>
          <w:szCs w:val="32"/>
        </w:rPr>
        <w:t>类）自然资源事务（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383.63</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205.3</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34.86%</w:t>
      </w:r>
      <w:r>
        <w:rPr>
          <w:rFonts w:hint="eastAsia" w:ascii="仿宋_GB2312" w:hAnsi="宋体" w:eastAsia="仿宋_GB2312" w:cs="宋体"/>
          <w:kern w:val="0"/>
          <w:sz w:val="32"/>
          <w:szCs w:val="32"/>
        </w:rPr>
        <w:t>，主要原因是：在职退休个人、公用取暖费、年终一次性奖金</w:t>
      </w:r>
      <w:r>
        <w:rPr>
          <w:rFonts w:hint="eastAsia" w:ascii="仿宋_GB2312" w:hAnsi="宋体" w:eastAsia="仿宋_GB2312" w:cs="宋体"/>
          <w:kern w:val="0"/>
          <w:sz w:val="32"/>
          <w:szCs w:val="32"/>
          <w:lang w:eastAsia="zh-CN"/>
        </w:rPr>
        <w:t>、绩效奖</w:t>
      </w:r>
      <w:r>
        <w:rPr>
          <w:rFonts w:hint="eastAsia" w:ascii="仿宋_GB2312" w:hAnsi="宋体" w:eastAsia="仿宋_GB2312" w:cs="宋体"/>
          <w:kern w:val="0"/>
          <w:sz w:val="32"/>
          <w:szCs w:val="32"/>
        </w:rPr>
        <w:t>未下达预算资金。</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宋体" w:eastAsia="仿宋_GB2312" w:cs="宋体"/>
          <w:kern w:val="0"/>
          <w:sz w:val="32"/>
          <w:szCs w:val="32"/>
        </w:rPr>
        <w:t>自然资源海洋气象等支出（</w:t>
      </w:r>
      <w:r>
        <w:rPr>
          <w:rFonts w:ascii="仿宋_GB2312" w:hAnsi="宋体" w:eastAsia="仿宋_GB2312" w:cs="宋体"/>
          <w:kern w:val="0"/>
          <w:sz w:val="32"/>
          <w:szCs w:val="32"/>
        </w:rPr>
        <w:t>220</w:t>
      </w:r>
      <w:r>
        <w:rPr>
          <w:rFonts w:hint="eastAsia" w:ascii="仿宋_GB2312" w:hAnsi="宋体" w:eastAsia="仿宋_GB2312" w:cs="宋体"/>
          <w:kern w:val="0"/>
          <w:sz w:val="32"/>
          <w:szCs w:val="32"/>
        </w:rPr>
        <w:t>类）自然资源事务（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款）事业运行（</w:t>
      </w:r>
      <w:r>
        <w:rPr>
          <w:rFonts w:ascii="仿宋_GB2312" w:hAnsi="宋体" w:eastAsia="仿宋_GB2312" w:cs="宋体"/>
          <w:kern w:val="0"/>
          <w:sz w:val="32"/>
          <w:szCs w:val="32"/>
        </w:rPr>
        <w:t>50</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765.87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358.03</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87.79%</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涉改单位上年执行数支出未在此款中反映，本年下达</w:t>
      </w:r>
      <w:r>
        <w:rPr>
          <w:rFonts w:hint="eastAsia" w:ascii="仿宋_GB2312" w:hAnsi="宋体" w:eastAsia="仿宋_GB2312" w:cs="宋体"/>
          <w:kern w:val="0"/>
          <w:sz w:val="32"/>
          <w:szCs w:val="32"/>
        </w:rPr>
        <w:t>草场看护人员补助。</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kern w:val="0"/>
          <w:sz w:val="32"/>
          <w:szCs w:val="32"/>
        </w:rPr>
        <w:t>8.</w:t>
      </w:r>
      <w:r>
        <w:rPr>
          <w:rFonts w:hint="eastAsia" w:ascii="仿宋_GB2312" w:hAnsi="宋体" w:eastAsia="仿宋_GB2312" w:cs="宋体"/>
          <w:kern w:val="0"/>
          <w:sz w:val="32"/>
          <w:szCs w:val="32"/>
        </w:rPr>
        <w:t>自然资源海洋气象等支出（</w:t>
      </w:r>
      <w:r>
        <w:rPr>
          <w:rFonts w:ascii="仿宋_GB2312" w:hAnsi="宋体" w:eastAsia="仿宋_GB2312" w:cs="宋体"/>
          <w:kern w:val="0"/>
          <w:sz w:val="32"/>
          <w:szCs w:val="32"/>
        </w:rPr>
        <w:t>220</w:t>
      </w:r>
      <w:r>
        <w:rPr>
          <w:rFonts w:hint="eastAsia" w:ascii="仿宋_GB2312" w:hAnsi="宋体" w:eastAsia="仿宋_GB2312" w:cs="宋体"/>
          <w:kern w:val="0"/>
          <w:sz w:val="32"/>
          <w:szCs w:val="32"/>
        </w:rPr>
        <w:t>类）自然资源事务（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款）其他自然资源事务支出（</w:t>
      </w:r>
      <w:r>
        <w:rPr>
          <w:rFonts w:ascii="仿宋_GB2312" w:hAnsi="宋体" w:eastAsia="仿宋_GB2312" w:cs="宋体"/>
          <w:kern w:val="0"/>
          <w:sz w:val="32"/>
          <w:szCs w:val="32"/>
        </w:rPr>
        <w:t>99</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218.88</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1475.8</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87.08%</w:t>
      </w:r>
      <w:r>
        <w:rPr>
          <w:rFonts w:hint="eastAsia" w:ascii="仿宋_GB2312" w:hAnsi="宋体" w:eastAsia="仿宋_GB2312" w:cs="宋体"/>
          <w:kern w:val="0"/>
          <w:sz w:val="32"/>
          <w:szCs w:val="32"/>
        </w:rPr>
        <w:t>，主要原因是：本年项目资金减少，上年执行数有中央下达资金数。</w:t>
      </w:r>
    </w:p>
    <w:p>
      <w:pPr>
        <w:spacing w:line="560" w:lineRule="exact"/>
        <w:ind w:firstLine="800" w:firstLineChars="250"/>
        <w:rPr>
          <w:rFonts w:ascii="仿宋_GB2312" w:hAnsi="宋体" w:eastAsia="仿宋_GB2312" w:cs="宋体"/>
          <w:kern w:val="0"/>
          <w:sz w:val="32"/>
          <w:szCs w:val="32"/>
        </w:rPr>
      </w:pPr>
      <w:r>
        <w:rPr>
          <w:rFonts w:ascii="仿宋_GB2312" w:hAnsi="宋体" w:eastAsia="仿宋_GB2312" w:cs="宋体"/>
          <w:kern w:val="0"/>
          <w:sz w:val="32"/>
          <w:szCs w:val="32"/>
        </w:rPr>
        <w:t>9.</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114.83</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14.57</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11.26%</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住房公积金基数调整</w:t>
      </w:r>
      <w:r>
        <w:rPr>
          <w:rFonts w:hint="eastAsia" w:ascii="仿宋_GB2312" w:hAnsi="宋体" w:eastAsia="仿宋_GB2312" w:cs="宋体"/>
          <w:kern w:val="0"/>
          <w:sz w:val="32"/>
          <w:szCs w:val="32"/>
        </w:rPr>
        <w:t>。</w:t>
      </w:r>
    </w:p>
    <w:p>
      <w:pPr>
        <w:spacing w:line="560" w:lineRule="exact"/>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六、关于阜康市自然资源局</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阜康市自然资源局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年一般公共预算基本支出1432.26万元，其中：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人员经费1332.52万元，主要包括：基本工资</w:t>
      </w:r>
      <w:r>
        <w:rPr>
          <w:rFonts w:ascii="仿宋_GB2312" w:hAnsi="宋体" w:eastAsia="仿宋_GB2312" w:cs="宋体"/>
          <w:kern w:val="0"/>
          <w:sz w:val="32"/>
          <w:szCs w:val="32"/>
        </w:rPr>
        <w:t>791.96</w:t>
      </w:r>
      <w:r>
        <w:rPr>
          <w:rFonts w:hint="eastAsia" w:ascii="仿宋_GB2312" w:hAnsi="宋体" w:eastAsia="仿宋_GB2312" w:cs="宋体"/>
          <w:kern w:val="0"/>
          <w:sz w:val="32"/>
          <w:szCs w:val="32"/>
        </w:rPr>
        <w:t>万元、奖金</w:t>
      </w:r>
      <w:r>
        <w:rPr>
          <w:rFonts w:ascii="仿宋_GB2312" w:hAnsi="宋体" w:eastAsia="仿宋_GB2312" w:cs="宋体"/>
          <w:kern w:val="0"/>
          <w:sz w:val="32"/>
          <w:szCs w:val="32"/>
        </w:rPr>
        <w:t>2.24</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131.89</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100.56</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20.92</w:t>
      </w:r>
      <w:r>
        <w:rPr>
          <w:rFonts w:hint="eastAsia" w:ascii="仿宋_GB2312" w:hAnsi="宋体" w:eastAsia="仿宋_GB2312" w:cs="宋体"/>
          <w:kern w:val="0"/>
          <w:sz w:val="32"/>
          <w:szCs w:val="32"/>
        </w:rPr>
        <w:t>万元、其他社会保障缴费</w:t>
      </w:r>
      <w:r>
        <w:rPr>
          <w:rFonts w:ascii="仿宋_GB2312" w:hAnsi="宋体" w:eastAsia="仿宋_GB2312" w:cs="宋体"/>
          <w:kern w:val="0"/>
          <w:sz w:val="32"/>
          <w:szCs w:val="32"/>
        </w:rPr>
        <w:t>3.53</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114.83</w:t>
      </w:r>
      <w:r>
        <w:rPr>
          <w:rFonts w:hint="eastAsia" w:ascii="仿宋_GB2312" w:hAnsi="宋体" w:eastAsia="仿宋_GB2312" w:cs="宋体"/>
          <w:kern w:val="0"/>
          <w:sz w:val="32"/>
          <w:szCs w:val="32"/>
        </w:rPr>
        <w:t>万元、其他工资福利支出149.8万元、离休费</w:t>
      </w:r>
      <w:r>
        <w:rPr>
          <w:rFonts w:ascii="仿宋_GB2312" w:hAnsi="宋体" w:eastAsia="仿宋_GB2312" w:cs="宋体"/>
          <w:kern w:val="0"/>
          <w:sz w:val="32"/>
          <w:szCs w:val="32"/>
        </w:rPr>
        <w:t>13.92</w:t>
      </w:r>
      <w:r>
        <w:rPr>
          <w:rFonts w:hint="eastAsia" w:ascii="仿宋_GB2312" w:hAnsi="宋体" w:eastAsia="仿宋_GB2312" w:cs="宋体"/>
          <w:kern w:val="0"/>
          <w:sz w:val="32"/>
          <w:szCs w:val="32"/>
        </w:rPr>
        <w:t>万元、其他对个人和家庭的补助</w:t>
      </w:r>
      <w:r>
        <w:rPr>
          <w:rFonts w:ascii="仿宋_GB2312" w:hAnsi="宋体" w:eastAsia="仿宋_GB2312" w:cs="宋体"/>
          <w:kern w:val="0"/>
          <w:sz w:val="32"/>
          <w:szCs w:val="32"/>
        </w:rPr>
        <w:t>1.17</w:t>
      </w:r>
      <w:r>
        <w:rPr>
          <w:rFonts w:hint="eastAsia" w:ascii="仿宋_GB2312" w:hAnsi="宋体" w:eastAsia="仿宋_GB2312" w:cs="宋体"/>
          <w:kern w:val="0"/>
          <w:sz w:val="32"/>
          <w:szCs w:val="32"/>
        </w:rPr>
        <w:t>万元、遗属生活补助</w:t>
      </w:r>
      <w:r>
        <w:rPr>
          <w:rFonts w:ascii="仿宋_GB2312" w:hAnsi="宋体" w:eastAsia="仿宋_GB2312" w:cs="宋体"/>
          <w:kern w:val="0"/>
          <w:sz w:val="32"/>
          <w:szCs w:val="32"/>
        </w:rPr>
        <w:t>1.7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99.74</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16.95</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4.52</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5.65</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6.78</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33.9</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4</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7.78</w:t>
      </w:r>
      <w:r>
        <w:rPr>
          <w:rFonts w:hint="eastAsia" w:ascii="仿宋_GB2312" w:hAnsi="宋体" w:eastAsia="仿宋_GB2312" w:cs="宋体"/>
          <w:kern w:val="0"/>
          <w:sz w:val="32"/>
          <w:szCs w:val="32"/>
        </w:rPr>
        <w:t>万元、公务用车运行维护费</w:t>
      </w:r>
      <w:r>
        <w:rPr>
          <w:rFonts w:ascii="仿宋_GB2312" w:hAnsi="宋体" w:eastAsia="仿宋_GB2312" w:cs="宋体"/>
          <w:kern w:val="0"/>
          <w:sz w:val="32"/>
          <w:szCs w:val="32"/>
        </w:rPr>
        <w:t>20.16</w:t>
      </w:r>
      <w:r>
        <w:rPr>
          <w:rFonts w:hint="eastAsia" w:ascii="仿宋_GB2312" w:hAnsi="宋体" w:eastAsia="仿宋_GB2312" w:cs="宋体"/>
          <w:kern w:val="0"/>
          <w:sz w:val="32"/>
          <w:szCs w:val="32"/>
        </w:rPr>
        <w:t>万元。</w:t>
      </w:r>
    </w:p>
    <w:p>
      <w:pPr>
        <w:spacing w:line="560" w:lineRule="exac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七、关于阜康市自然资源局</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1</w:t>
      </w:r>
      <w:r>
        <w:rPr>
          <w:rFonts w:hint="eastAsia" w:ascii="仿宋_GB2312" w:hAnsi="黑体" w:eastAsia="仿宋_GB2312"/>
          <w:sz w:val="32"/>
          <w:szCs w:val="32"/>
        </w:rPr>
        <w:t>、项目名称：</w:t>
      </w:r>
      <w:r>
        <w:rPr>
          <w:rFonts w:hint="eastAsia" w:ascii="仿宋_GB2312" w:hAnsi="宋体" w:eastAsia="仿宋_GB2312" w:cs="宋体"/>
          <w:kern w:val="0"/>
          <w:sz w:val="32"/>
          <w:szCs w:val="32"/>
        </w:rPr>
        <w:t>南部山区保安服务费</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设立的政策依据：阜康市人民政府会议纪要</w:t>
      </w:r>
      <w:r>
        <w:rPr>
          <w:rFonts w:ascii="仿宋_GB2312" w:hAnsi="黑体" w:eastAsia="仿宋_GB2312"/>
          <w:sz w:val="32"/>
          <w:szCs w:val="32"/>
        </w:rPr>
        <w:t>[2017]36</w:t>
      </w:r>
      <w:r>
        <w:rPr>
          <w:rFonts w:hint="eastAsia" w:ascii="仿宋_GB2312" w:hAnsi="黑体" w:eastAsia="仿宋_GB2312"/>
          <w:sz w:val="32"/>
          <w:szCs w:val="32"/>
        </w:rPr>
        <w:t>号</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预算安排规模：</w:t>
      </w:r>
      <w:r>
        <w:rPr>
          <w:rFonts w:ascii="仿宋_GB2312" w:hAnsi="黑体" w:eastAsia="仿宋_GB2312"/>
          <w:sz w:val="32"/>
          <w:szCs w:val="32"/>
        </w:rPr>
        <w:t>218.88</w:t>
      </w:r>
      <w:r>
        <w:rPr>
          <w:rFonts w:hint="eastAsia" w:ascii="仿宋_GB2312" w:hAnsi="黑体" w:eastAsia="仿宋_GB2312"/>
          <w:sz w:val="32"/>
          <w:szCs w:val="32"/>
        </w:rPr>
        <w:t>万元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项目承担单位：阜康市自然资源局</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资金分配情况：付款至保安公司，保安公司按月支付</w:t>
      </w:r>
    </w:p>
    <w:p>
      <w:p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黑体" w:eastAsia="仿宋_GB2312"/>
          <w:sz w:val="32"/>
          <w:szCs w:val="32"/>
        </w:rPr>
        <w:t>2020</w:t>
      </w:r>
      <w:r>
        <w:rPr>
          <w:rFonts w:hint="eastAsia" w:ascii="仿宋_GB2312" w:hAnsi="黑体" w:eastAsia="仿宋_GB2312"/>
          <w:sz w:val="32"/>
          <w:szCs w:val="32"/>
        </w:rPr>
        <w:t>年</w:t>
      </w:r>
      <w:r>
        <w:rPr>
          <w:rFonts w:ascii="仿宋_GB2312" w:hAnsi="黑体" w:eastAsia="仿宋_GB2312"/>
          <w:sz w:val="32"/>
          <w:szCs w:val="32"/>
        </w:rPr>
        <w:t>1</w:t>
      </w:r>
      <w:r>
        <w:rPr>
          <w:rFonts w:hint="eastAsia" w:ascii="仿宋_GB2312" w:hAnsi="黑体" w:eastAsia="仿宋_GB2312"/>
          <w:sz w:val="32"/>
          <w:szCs w:val="32"/>
        </w:rPr>
        <w:t>月至</w:t>
      </w:r>
      <w:r>
        <w:rPr>
          <w:rFonts w:ascii="仿宋_GB2312" w:hAnsi="黑体" w:eastAsia="仿宋_GB2312"/>
          <w:sz w:val="32"/>
          <w:szCs w:val="32"/>
        </w:rPr>
        <w:t>2020</w:t>
      </w:r>
      <w:r>
        <w:rPr>
          <w:rFonts w:hint="eastAsia" w:ascii="仿宋_GB2312" w:hAnsi="黑体" w:eastAsia="仿宋_GB2312"/>
          <w:sz w:val="32"/>
          <w:szCs w:val="32"/>
        </w:rPr>
        <w:t>年</w:t>
      </w:r>
      <w:r>
        <w:rPr>
          <w:rFonts w:ascii="仿宋_GB2312" w:hAnsi="黑体" w:eastAsia="仿宋_GB2312"/>
          <w:sz w:val="32"/>
          <w:szCs w:val="32"/>
        </w:rPr>
        <w:t>12</w:t>
      </w:r>
      <w:r>
        <w:rPr>
          <w:rFonts w:hint="eastAsia" w:ascii="仿宋_GB2312" w:hAnsi="黑体" w:eastAsia="仿宋_GB2312"/>
          <w:sz w:val="32"/>
          <w:szCs w:val="32"/>
        </w:rPr>
        <w:t>月</w:t>
      </w:r>
    </w:p>
    <w:p>
      <w:pPr>
        <w:spacing w:line="560" w:lineRule="exact"/>
        <w:ind w:firstLine="640" w:firstLineChars="200"/>
        <w:rPr>
          <w:rFonts w:ascii="仿宋_GB2312" w:hAnsi="黑体" w:eastAsia="仿宋_GB2312"/>
          <w:sz w:val="32"/>
          <w:szCs w:val="32"/>
        </w:rPr>
      </w:pP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2</w:t>
      </w:r>
      <w:r>
        <w:rPr>
          <w:rFonts w:hint="eastAsia" w:ascii="仿宋_GB2312" w:hAnsi="黑体" w:eastAsia="仿宋_GB2312"/>
          <w:sz w:val="32"/>
          <w:szCs w:val="32"/>
        </w:rPr>
        <w:t>、项目名称：草场看护人员补助</w:t>
      </w:r>
    </w:p>
    <w:p>
      <w:pPr>
        <w:autoSpaceDN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设立的政策依据：</w:t>
      </w:r>
      <w:r>
        <w:rPr>
          <w:rFonts w:hint="eastAsia" w:ascii="仿宋_GB2312" w:hAnsi="仿宋_GB2312" w:eastAsia="仿宋_GB2312" w:cs="仿宋_GB2312"/>
          <w:sz w:val="32"/>
          <w:szCs w:val="32"/>
        </w:rPr>
        <w:t>《新疆维吾尔自治区实施</w:t>
      </w:r>
      <w:r>
        <w:rPr>
          <w:rFonts w:ascii="仿宋_GB2312" w:hAnsi="仿宋_GB2312" w:eastAsia="仿宋_GB2312" w:cs="仿宋_GB2312"/>
          <w:sz w:val="32"/>
          <w:szCs w:val="32"/>
        </w:rPr>
        <w:t>&lt;</w:t>
      </w:r>
      <w:r>
        <w:rPr>
          <w:rFonts w:hint="eastAsia" w:ascii="仿宋_GB2312" w:hAnsi="仿宋_GB2312" w:eastAsia="仿宋_GB2312" w:cs="仿宋_GB2312"/>
          <w:sz w:val="32"/>
          <w:szCs w:val="32"/>
        </w:rPr>
        <w:t>中华人民共和国草原法</w:t>
      </w:r>
      <w:r>
        <w:rPr>
          <w:rFonts w:ascii="仿宋_GB2312" w:hAnsi="仿宋_GB2312" w:eastAsia="仿宋_GB2312" w:cs="仿宋_GB2312"/>
          <w:sz w:val="32"/>
          <w:szCs w:val="32"/>
        </w:rPr>
        <w:t>&gt;</w:t>
      </w:r>
      <w:r>
        <w:rPr>
          <w:rFonts w:hint="eastAsia" w:ascii="仿宋_GB2312" w:hAnsi="仿宋_GB2312" w:eastAsia="仿宋_GB2312" w:cs="仿宋_GB2312"/>
          <w:sz w:val="32"/>
          <w:szCs w:val="32"/>
        </w:rPr>
        <w:t>办法》、《国务院关于促进牧区又好又快发展的若干意见》（国发〔</w:t>
      </w:r>
      <w:r>
        <w:rPr>
          <w:rFonts w:ascii="仿宋_GB2312" w:hAnsi="仿宋_GB2312" w:eastAsia="仿宋_GB2312" w:cs="仿宋_GB2312"/>
          <w:sz w:val="32"/>
          <w:szCs w:val="32"/>
        </w:rPr>
        <w:t>2011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17</w:t>
      </w:r>
      <w:r>
        <w:rPr>
          <w:rFonts w:hint="eastAsia" w:ascii="仿宋_GB2312" w:hAnsi="仿宋_GB2312" w:eastAsia="仿宋_GB2312" w:cs="仿宋_GB2312"/>
          <w:sz w:val="32"/>
          <w:szCs w:val="32"/>
        </w:rPr>
        <w:t>号）、《新一轮草原生态保护补助奖励政策实施指导意见（</w:t>
      </w:r>
      <w:r>
        <w:rPr>
          <w:rFonts w:ascii="仿宋_GB2312" w:hAnsi="仿宋_GB2312" w:eastAsia="仿宋_GB2312" w:cs="仿宋_GB2312"/>
          <w:sz w:val="32"/>
          <w:szCs w:val="32"/>
        </w:rPr>
        <w:t>2016-2020</w:t>
      </w:r>
      <w:r>
        <w:rPr>
          <w:rFonts w:hint="eastAsia" w:ascii="仿宋_GB2312" w:hAnsi="仿宋_GB2312" w:eastAsia="仿宋_GB2312" w:cs="仿宋_GB2312"/>
          <w:sz w:val="32"/>
          <w:szCs w:val="32"/>
        </w:rPr>
        <w:t>年）》（农办财〔</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号）、《新疆维吾尔自治区草原生态保护补助奖励资金管理暂行办法》等。依照以上政策，市畜牧兽医局牵头起草《阜康市第二轮草原生态保护补助奖励政策实施方案》。</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预算安排规模：</w:t>
      </w:r>
      <w:r>
        <w:rPr>
          <w:rFonts w:ascii="仿宋_GB2312" w:hAnsi="黑体" w:eastAsia="仿宋_GB2312"/>
          <w:sz w:val="32"/>
          <w:szCs w:val="32"/>
        </w:rPr>
        <w:t>99.36</w:t>
      </w:r>
      <w:r>
        <w:rPr>
          <w:rFonts w:hint="eastAsia" w:ascii="仿宋_GB2312" w:hAnsi="黑体" w:eastAsia="仿宋_GB2312"/>
          <w:sz w:val="32"/>
          <w:szCs w:val="32"/>
        </w:rPr>
        <w:t>万元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项目承担单位：阜康市自然资源局</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资金分配情况：由银行发放至个人一卡通</w:t>
      </w:r>
    </w:p>
    <w:p>
      <w:p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黑体" w:eastAsia="仿宋_GB2312"/>
          <w:sz w:val="32"/>
          <w:szCs w:val="32"/>
        </w:rPr>
        <w:t>2020</w:t>
      </w:r>
      <w:r>
        <w:rPr>
          <w:rFonts w:hint="eastAsia" w:ascii="仿宋_GB2312" w:hAnsi="黑体" w:eastAsia="仿宋_GB2312"/>
          <w:sz w:val="32"/>
          <w:szCs w:val="32"/>
        </w:rPr>
        <w:t>年</w:t>
      </w:r>
      <w:r>
        <w:rPr>
          <w:rFonts w:ascii="仿宋_GB2312" w:hAnsi="黑体" w:eastAsia="仿宋_GB2312"/>
          <w:sz w:val="32"/>
          <w:szCs w:val="32"/>
        </w:rPr>
        <w:t>1</w:t>
      </w:r>
      <w:r>
        <w:rPr>
          <w:rFonts w:hint="eastAsia" w:ascii="仿宋_GB2312" w:hAnsi="黑体" w:eastAsia="仿宋_GB2312"/>
          <w:sz w:val="32"/>
          <w:szCs w:val="32"/>
        </w:rPr>
        <w:t>月至</w:t>
      </w:r>
      <w:r>
        <w:rPr>
          <w:rFonts w:ascii="仿宋_GB2312" w:hAnsi="黑体" w:eastAsia="仿宋_GB2312"/>
          <w:sz w:val="32"/>
          <w:szCs w:val="32"/>
        </w:rPr>
        <w:t>2020</w:t>
      </w:r>
      <w:r>
        <w:rPr>
          <w:rFonts w:hint="eastAsia" w:ascii="仿宋_GB2312" w:hAnsi="黑体" w:eastAsia="仿宋_GB2312"/>
          <w:sz w:val="32"/>
          <w:szCs w:val="32"/>
        </w:rPr>
        <w:t>年</w:t>
      </w:r>
      <w:r>
        <w:rPr>
          <w:rFonts w:ascii="仿宋_GB2312" w:hAnsi="黑体" w:eastAsia="仿宋_GB2312"/>
          <w:sz w:val="32"/>
          <w:szCs w:val="32"/>
        </w:rPr>
        <w:t>12</w:t>
      </w:r>
      <w:r>
        <w:rPr>
          <w:rFonts w:hint="eastAsia" w:ascii="仿宋_GB2312" w:hAnsi="黑体" w:eastAsia="仿宋_GB2312"/>
          <w:sz w:val="32"/>
          <w:szCs w:val="32"/>
        </w:rPr>
        <w:t>月</w:t>
      </w:r>
    </w:p>
    <w:p>
      <w:pPr>
        <w:spacing w:line="560" w:lineRule="exact"/>
        <w:ind w:firstLine="640" w:firstLineChars="200"/>
        <w:rPr>
          <w:rFonts w:ascii="仿宋_GB2312" w:hAnsi="宋体" w:eastAsia="仿宋_GB2312"/>
          <w:sz w:val="32"/>
          <w:szCs w:val="22"/>
        </w:rPr>
      </w:pPr>
      <w:r>
        <w:rPr>
          <w:rFonts w:hint="eastAsia" w:ascii="仿宋_GB2312" w:hAnsi="宋体" w:eastAsia="仿宋_GB2312"/>
          <w:sz w:val="32"/>
          <w:szCs w:val="22"/>
        </w:rPr>
        <w:t>资金来源</w:t>
      </w:r>
      <w:r>
        <w:rPr>
          <w:rFonts w:hint="eastAsia" w:ascii="仿宋_GB2312" w:hAnsi="黑体" w:eastAsia="仿宋_GB2312"/>
          <w:sz w:val="32"/>
          <w:szCs w:val="32"/>
        </w:rPr>
        <w:t>：市财政</w:t>
      </w:r>
    </w:p>
    <w:p>
      <w:pPr>
        <w:spacing w:line="560" w:lineRule="exact"/>
        <w:ind w:firstLine="640" w:firstLineChars="200"/>
        <w:rPr>
          <w:rFonts w:ascii="仿宋_GB2312" w:hAnsi="宋体" w:eastAsia="仿宋_GB2312"/>
          <w:sz w:val="32"/>
          <w:szCs w:val="22"/>
        </w:rPr>
      </w:pPr>
      <w:r>
        <w:rPr>
          <w:rFonts w:hint="eastAsia" w:ascii="仿宋_GB2312" w:hAnsi="宋体" w:eastAsia="仿宋_GB2312"/>
          <w:sz w:val="32"/>
          <w:szCs w:val="22"/>
        </w:rPr>
        <w:t>补贴人数</w:t>
      </w:r>
      <w:r>
        <w:rPr>
          <w:rFonts w:hint="eastAsia" w:ascii="仿宋_GB2312" w:hAnsi="黑体" w:eastAsia="仿宋_GB2312"/>
          <w:sz w:val="32"/>
          <w:szCs w:val="32"/>
        </w:rPr>
        <w:t>：</w:t>
      </w:r>
      <w:r>
        <w:rPr>
          <w:rFonts w:ascii="仿宋_GB2312" w:hAnsi="黑体" w:eastAsia="仿宋_GB2312"/>
          <w:sz w:val="32"/>
          <w:szCs w:val="32"/>
        </w:rPr>
        <w:t>82</w:t>
      </w:r>
      <w:r>
        <w:rPr>
          <w:rFonts w:hint="eastAsia" w:ascii="仿宋_GB2312" w:hAnsi="黑体" w:eastAsia="仿宋_GB2312"/>
          <w:sz w:val="32"/>
          <w:szCs w:val="32"/>
        </w:rPr>
        <w:t>人</w:t>
      </w:r>
    </w:p>
    <w:p>
      <w:pPr>
        <w:autoSpaceDN w:val="0"/>
        <w:spacing w:line="560" w:lineRule="exact"/>
        <w:ind w:firstLine="643"/>
        <w:rPr>
          <w:rFonts w:ascii="仿宋_GB2312" w:hAnsi="宋体" w:eastAsia="仿宋_GB2312"/>
          <w:sz w:val="32"/>
          <w:szCs w:val="22"/>
        </w:rPr>
      </w:pPr>
      <w:r>
        <w:rPr>
          <w:rFonts w:hint="eastAsia" w:ascii="仿宋_GB2312" w:hAnsi="宋体" w:eastAsia="仿宋_GB2312"/>
          <w:sz w:val="32"/>
          <w:szCs w:val="22"/>
        </w:rPr>
        <w:t>补贴标准</w:t>
      </w:r>
      <w:r>
        <w:rPr>
          <w:rFonts w:hint="eastAsia" w:ascii="仿宋_GB2312" w:hAnsi="黑体" w:eastAsia="仿宋_GB2312"/>
          <w:sz w:val="32"/>
          <w:szCs w:val="32"/>
        </w:rPr>
        <w:t>：</w:t>
      </w:r>
      <w:r>
        <w:rPr>
          <w:rFonts w:hint="eastAsia" w:ascii="仿宋_GB2312" w:hAnsi="仿宋_GB2312" w:eastAsia="仿宋_GB2312" w:cs="仿宋_GB2312"/>
          <w:sz w:val="32"/>
          <w:szCs w:val="32"/>
        </w:rPr>
        <w:t>草场管护员每人每月</w:t>
      </w:r>
      <w:r>
        <w:rPr>
          <w:rFonts w:ascii="仿宋_GB2312" w:hAnsi="仿宋_GB2312" w:eastAsia="仿宋_GB2312" w:cs="仿宋_GB2312"/>
          <w:sz w:val="32"/>
          <w:szCs w:val="32"/>
        </w:rPr>
        <w:t>1800</w:t>
      </w:r>
      <w:r>
        <w:rPr>
          <w:rFonts w:hint="eastAsia" w:ascii="仿宋_GB2312" w:hAnsi="仿宋_GB2312" w:eastAsia="仿宋_GB2312" w:cs="仿宋_GB2312"/>
          <w:sz w:val="32"/>
          <w:szCs w:val="32"/>
        </w:rPr>
        <w:t>元、草场管护协管员</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元。</w:t>
      </w:r>
    </w:p>
    <w:p>
      <w:pPr>
        <w:spacing w:line="560" w:lineRule="exact"/>
        <w:ind w:firstLine="640" w:firstLineChars="200"/>
        <w:rPr>
          <w:rFonts w:ascii="仿宋_GB2312" w:hAnsi="宋体" w:eastAsia="仿宋_GB2312"/>
          <w:sz w:val="32"/>
          <w:szCs w:val="22"/>
        </w:rPr>
      </w:pPr>
      <w:r>
        <w:rPr>
          <w:rFonts w:hint="eastAsia" w:ascii="仿宋_GB2312" w:hAnsi="宋体" w:eastAsia="仿宋_GB2312"/>
          <w:sz w:val="32"/>
          <w:szCs w:val="22"/>
        </w:rPr>
        <w:t>补贴范围</w:t>
      </w:r>
      <w:r>
        <w:rPr>
          <w:rFonts w:hint="eastAsia" w:ascii="仿宋_GB2312" w:hAnsi="黑体" w:eastAsia="仿宋_GB2312"/>
          <w:sz w:val="32"/>
          <w:szCs w:val="32"/>
        </w:rPr>
        <w:t>：</w:t>
      </w:r>
      <w:r>
        <w:rPr>
          <w:rFonts w:hint="eastAsia" w:ascii="仿宋_GB2312" w:hAnsi="仿宋_GB2312" w:eastAsia="仿宋_GB2312" w:cs="仿宋_GB2312"/>
          <w:sz w:val="32"/>
          <w:szCs w:val="32"/>
        </w:rPr>
        <w:t>全市实施项目的</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各乡镇（水磨沟乡、三工河乡、九运街镇、上户沟乡、滋泥泉子镇），</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个行政村禁牧区和草畜平衡区管护的</w:t>
      </w:r>
      <w:r>
        <w:rPr>
          <w:rFonts w:ascii="仿宋_GB2312" w:hAnsi="仿宋_GB2312" w:eastAsia="仿宋_GB2312" w:cs="仿宋_GB2312"/>
          <w:sz w:val="32"/>
          <w:szCs w:val="32"/>
        </w:rPr>
        <w:t>82</w:t>
      </w:r>
      <w:r>
        <w:rPr>
          <w:rFonts w:hint="eastAsia" w:ascii="仿宋_GB2312" w:hAnsi="仿宋_GB2312" w:eastAsia="仿宋_GB2312" w:cs="仿宋_GB2312"/>
          <w:sz w:val="32"/>
          <w:szCs w:val="32"/>
        </w:rPr>
        <w:t>个草场管护员（其中：草场管护员</w:t>
      </w:r>
      <w:r>
        <w:rPr>
          <w:rFonts w:ascii="仿宋_GB2312" w:hAnsi="仿宋_GB2312" w:eastAsia="仿宋_GB2312" w:cs="仿宋_GB2312"/>
          <w:sz w:val="32"/>
          <w:szCs w:val="32"/>
        </w:rPr>
        <w:t>32</w:t>
      </w:r>
      <w:r>
        <w:rPr>
          <w:rFonts w:hint="eastAsia" w:ascii="仿宋_GB2312" w:hAnsi="仿宋_GB2312" w:eastAsia="仿宋_GB2312" w:cs="仿宋_GB2312"/>
          <w:sz w:val="32"/>
          <w:szCs w:val="32"/>
        </w:rPr>
        <w:t>个人、草场管护协管员</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个人）。</w:t>
      </w:r>
    </w:p>
    <w:p>
      <w:pPr>
        <w:autoSpaceDN w:val="0"/>
        <w:spacing w:line="560" w:lineRule="exact"/>
        <w:ind w:firstLine="643"/>
        <w:rPr>
          <w:rFonts w:ascii="仿宋_GB2312" w:hAnsi="宋体" w:eastAsia="仿宋_GB2312"/>
          <w:sz w:val="32"/>
          <w:szCs w:val="22"/>
        </w:rPr>
      </w:pPr>
      <w:r>
        <w:rPr>
          <w:rFonts w:hint="eastAsia" w:ascii="仿宋_GB2312" w:hAnsi="宋体" w:eastAsia="仿宋_GB2312"/>
          <w:sz w:val="32"/>
          <w:szCs w:val="22"/>
        </w:rPr>
        <w:t>补贴方式：按月支付工资</w:t>
      </w:r>
    </w:p>
    <w:p>
      <w:pPr>
        <w:autoSpaceDN w:val="0"/>
        <w:spacing w:line="560" w:lineRule="exact"/>
        <w:ind w:firstLine="643"/>
        <w:rPr>
          <w:rFonts w:ascii="仿宋_GB2312" w:hAnsi="宋体" w:eastAsia="仿宋_GB2312"/>
          <w:sz w:val="32"/>
          <w:szCs w:val="22"/>
        </w:rPr>
      </w:pPr>
      <w:r>
        <w:rPr>
          <w:rFonts w:hint="eastAsia" w:ascii="仿宋_GB2312" w:hAnsi="宋体" w:eastAsia="仿宋_GB2312"/>
          <w:sz w:val="32"/>
          <w:szCs w:val="22"/>
        </w:rPr>
        <w:t>发放程序：通过信用社打卡（一卡通）。</w:t>
      </w:r>
    </w:p>
    <w:p>
      <w:pPr>
        <w:autoSpaceDN w:val="0"/>
        <w:spacing w:line="560" w:lineRule="exact"/>
        <w:ind w:firstLine="643"/>
        <w:rPr>
          <w:rFonts w:hint="eastAsia" w:ascii="仿宋_GB2312" w:hAnsi="宋体" w:eastAsia="仿宋_GB2312"/>
          <w:sz w:val="32"/>
          <w:szCs w:val="22"/>
        </w:rPr>
      </w:pPr>
      <w:r>
        <w:rPr>
          <w:rFonts w:hint="eastAsia" w:ascii="仿宋_GB2312" w:hAnsi="宋体" w:eastAsia="仿宋_GB2312"/>
          <w:sz w:val="32"/>
          <w:szCs w:val="22"/>
        </w:rPr>
        <w:t>受益人群和社会效益：有效性评价：项目实施，全市禁牧区和草畜平衡区牧草覆盖度平均提高</w:t>
      </w:r>
      <w:r>
        <w:rPr>
          <w:rFonts w:ascii="仿宋_GB2312" w:hAnsi="宋体" w:eastAsia="仿宋_GB2312"/>
          <w:sz w:val="32"/>
          <w:szCs w:val="22"/>
        </w:rPr>
        <w:t>60%</w:t>
      </w:r>
      <w:r>
        <w:rPr>
          <w:rFonts w:hint="eastAsia" w:ascii="仿宋_GB2312" w:hAnsi="宋体" w:eastAsia="仿宋_GB2312"/>
          <w:sz w:val="32"/>
          <w:szCs w:val="22"/>
        </w:rPr>
        <w:t>以上</w:t>
      </w:r>
      <w:r>
        <w:rPr>
          <w:rFonts w:ascii="仿宋_GB2312" w:hAnsi="宋体" w:eastAsia="仿宋_GB2312"/>
          <w:sz w:val="32"/>
          <w:szCs w:val="22"/>
        </w:rPr>
        <w:t>,</w:t>
      </w:r>
      <w:r>
        <w:rPr>
          <w:rFonts w:hint="eastAsia" w:ascii="仿宋_GB2312" w:hAnsi="宋体" w:eastAsia="仿宋_GB2312"/>
          <w:sz w:val="32"/>
          <w:szCs w:val="22"/>
        </w:rPr>
        <w:t>草原生态恶化趋势基本得到遏制，生态环境得到有效保护，草原牧区生态、生产、生活水平持续向好。</w:t>
      </w:r>
    </w:p>
    <w:p>
      <w:pPr>
        <w:autoSpaceDN w:val="0"/>
        <w:spacing w:line="560" w:lineRule="exact"/>
        <w:ind w:firstLine="643"/>
        <w:rPr>
          <w:rFonts w:hint="eastAsia" w:ascii="仿宋_GB2312" w:hAnsi="宋体" w:eastAsia="仿宋_GB2312"/>
          <w:sz w:val="32"/>
          <w:szCs w:val="2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八、关于阜康市自然资源局</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阜康市自然资源局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24.16</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20.16</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4</w:t>
      </w:r>
      <w:r>
        <w:rPr>
          <w:rFonts w:hint="eastAsia" w:ascii="仿宋_GB2312" w:hAnsi="宋体" w:eastAsia="仿宋_GB2312" w:cs="宋体"/>
          <w:kern w:val="0"/>
          <w:sz w:val="32"/>
          <w:szCs w:val="32"/>
        </w:rPr>
        <w:t>万元。</w:t>
      </w:r>
    </w:p>
    <w:p>
      <w:pPr>
        <w:spacing w:line="560" w:lineRule="exact"/>
        <w:ind w:firstLine="640" w:firstLineChars="200"/>
        <w:rPr>
          <w:rFonts w:hint="eastAsia"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年“三公”经费财政拨款预算比上年减少</w:t>
      </w:r>
      <w:r>
        <w:rPr>
          <w:rFonts w:ascii="仿宋_GB2312" w:hAnsi="宋体" w:eastAsia="仿宋_GB2312" w:cs="宋体"/>
          <w:kern w:val="0"/>
          <w:sz w:val="32"/>
          <w:szCs w:val="32"/>
        </w:rPr>
        <w:t>6.54</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万元，主要原因是本年未安排此项预算；公务用车运行费减少</w:t>
      </w:r>
      <w:r>
        <w:rPr>
          <w:rFonts w:ascii="仿宋_GB2312" w:hAnsi="宋体" w:eastAsia="仿宋_GB2312" w:cs="宋体"/>
          <w:kern w:val="0"/>
          <w:sz w:val="32"/>
          <w:szCs w:val="32"/>
        </w:rPr>
        <w:t>5.04</w:t>
      </w:r>
      <w:r>
        <w:rPr>
          <w:rFonts w:hint="eastAsia" w:ascii="仿宋_GB2312" w:hAnsi="宋体" w:eastAsia="仿宋_GB2312" w:cs="宋体"/>
          <w:kern w:val="0"/>
          <w:sz w:val="32"/>
          <w:szCs w:val="32"/>
        </w:rPr>
        <w:t>万元，主要原因是减少车辆燃油费、车辆维修维护费、过桥过路费开支；公务接待费减少</w:t>
      </w:r>
      <w:r>
        <w:rPr>
          <w:rFonts w:ascii="仿宋_GB2312" w:hAnsi="宋体" w:eastAsia="仿宋_GB2312" w:cs="宋体"/>
          <w:kern w:val="0"/>
          <w:sz w:val="32"/>
          <w:szCs w:val="32"/>
        </w:rPr>
        <w:t>1.5</w:t>
      </w:r>
      <w:r>
        <w:rPr>
          <w:rFonts w:hint="eastAsia" w:ascii="仿宋_GB2312" w:hAnsi="宋体" w:eastAsia="仿宋_GB2312" w:cs="宋体"/>
          <w:kern w:val="0"/>
          <w:sz w:val="32"/>
          <w:szCs w:val="32"/>
        </w:rPr>
        <w:t>万元，主要原因是</w:t>
      </w:r>
      <w:r>
        <w:rPr>
          <w:rFonts w:hint="eastAsia" w:ascii="仿宋_GB2312" w:hAnsi="宋体" w:eastAsia="仿宋_GB2312" w:cs="仿宋_GB2312"/>
          <w:sz w:val="32"/>
          <w:szCs w:val="32"/>
        </w:rPr>
        <w:t>严格执行中央八项规定，厉行勤俭节约降低餐费标准</w:t>
      </w:r>
      <w:r>
        <w:rPr>
          <w:rFonts w:hint="eastAsia" w:ascii="仿宋_GB2312" w:hAnsi="宋体" w:eastAsia="仿宋_GB2312" w:cs="宋体"/>
          <w:kern w:val="0"/>
          <w:sz w:val="32"/>
          <w:szCs w:val="32"/>
        </w:rPr>
        <w:t>。</w:t>
      </w:r>
    </w:p>
    <w:p>
      <w:pPr>
        <w:spacing w:line="560" w:lineRule="exact"/>
        <w:ind w:firstLine="640" w:firstLineChars="200"/>
        <w:rPr>
          <w:rFonts w:hint="eastAsia"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九、关于阜康市自然资源局</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政府性基金预算本年未安排。支出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800</w:t>
      </w:r>
      <w:r>
        <w:rPr>
          <w:rFonts w:hint="eastAsia" w:ascii="仿宋_GB2312" w:hAnsi="宋体" w:eastAsia="仿宋_GB2312" w:cs="宋体"/>
          <w:kern w:val="0"/>
          <w:sz w:val="32"/>
          <w:szCs w:val="32"/>
        </w:rPr>
        <w:t>万元，主要原因是我单位本年未作政府性基金预算安排。</w:t>
      </w:r>
    </w:p>
    <w:p>
      <w:pPr>
        <w:spacing w:line="560" w:lineRule="exact"/>
        <w:ind w:firstLine="640" w:firstLineChars="200"/>
        <w:rPr>
          <w:rFonts w:hint="eastAsia"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02" w:firstLineChars="200"/>
        <w:rPr>
          <w:rFonts w:ascii="楷体_GB2312" w:hAnsi="宋体" w:eastAsia="楷体_GB2312" w:cs="宋体"/>
          <w:b/>
          <w:kern w:val="0"/>
          <w:sz w:val="30"/>
          <w:szCs w:val="30"/>
          <w:highlight w:val="none"/>
        </w:rPr>
      </w:pPr>
      <w:r>
        <w:rPr>
          <w:rFonts w:hint="eastAsia" w:ascii="楷体_GB2312" w:hAnsi="宋体" w:eastAsia="楷体_GB2312" w:cs="宋体"/>
          <w:b/>
          <w:kern w:val="0"/>
          <w:sz w:val="30"/>
          <w:szCs w:val="30"/>
          <w:highlight w:val="none"/>
        </w:rPr>
        <w:t>（一）机关运行经费情况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阜康市</w:t>
      </w:r>
      <w:r>
        <w:rPr>
          <w:rFonts w:hint="eastAsia" w:ascii="仿宋_GB2312" w:hAnsi="宋体" w:eastAsia="仿宋_GB2312" w:cs="宋体"/>
          <w:kern w:val="0"/>
          <w:sz w:val="32"/>
          <w:szCs w:val="32"/>
        </w:rPr>
        <w:t>自然资源局机关运行经费财政拨款预算</w:t>
      </w:r>
      <w:r>
        <w:rPr>
          <w:rFonts w:ascii="仿宋_GB2312" w:hAnsi="宋体" w:eastAsia="仿宋_GB2312" w:cs="宋体"/>
          <w:kern w:val="0"/>
          <w:sz w:val="32"/>
          <w:szCs w:val="32"/>
        </w:rPr>
        <w:t>99.74</w:t>
      </w:r>
      <w:r>
        <w:rPr>
          <w:rFonts w:hint="eastAsia" w:ascii="仿宋_GB2312" w:hAnsi="宋体" w:eastAsia="仿宋_GB2312" w:cs="宋体"/>
          <w:kern w:val="0"/>
          <w:sz w:val="32"/>
          <w:szCs w:val="32"/>
        </w:rPr>
        <w:t>万元，比上年预算增加</w:t>
      </w:r>
      <w:r>
        <w:rPr>
          <w:rFonts w:ascii="仿宋_GB2312" w:hAnsi="宋体" w:eastAsia="仿宋_GB2312" w:cs="宋体"/>
          <w:kern w:val="0"/>
          <w:sz w:val="32"/>
          <w:szCs w:val="32"/>
        </w:rPr>
        <w:t>21.45</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27.40%</w:t>
      </w:r>
      <w:r>
        <w:rPr>
          <w:rFonts w:hint="eastAsia" w:ascii="仿宋_GB2312" w:hAnsi="宋体" w:eastAsia="仿宋_GB2312" w:cs="宋体"/>
          <w:kern w:val="0"/>
          <w:sz w:val="32"/>
          <w:szCs w:val="32"/>
        </w:rPr>
        <w:t>。主要原因是办公费，差旅费，工会经费预算增加。</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（二）政府采购情况</w:t>
      </w:r>
    </w:p>
    <w:p>
      <w:pPr>
        <w:spacing w:line="560" w:lineRule="exact"/>
        <w:ind w:firstLine="640" w:firstLineChars="200"/>
        <w:rPr>
          <w:rFonts w:hint="eastAsia"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年，阜康市自然资源局政府采购预算0</w:t>
      </w:r>
      <w:r>
        <w:rPr>
          <w:rFonts w:hint="eastAsia" w:ascii="仿宋_GB2312" w:hAnsi="宋体" w:eastAsia="仿宋_GB2312" w:cs="宋体"/>
          <w:kern w:val="0"/>
          <w:sz w:val="32"/>
          <w:szCs w:val="32"/>
        </w:rPr>
        <w:t>万元，其中：政府采购货物预算0</w:t>
      </w:r>
      <w:r>
        <w:rPr>
          <w:rFonts w:hint="eastAsia" w:ascii="仿宋_GB2312" w:hAnsi="宋体" w:eastAsia="仿宋_GB2312" w:cs="宋体"/>
          <w:kern w:val="0"/>
          <w:sz w:val="32"/>
          <w:szCs w:val="32"/>
        </w:rPr>
        <w:t>万元，政府采购工程预算0</w:t>
      </w:r>
      <w:r>
        <w:rPr>
          <w:rFonts w:hint="eastAsia" w:ascii="仿宋_GB2312" w:hAnsi="宋体" w:eastAsia="仿宋_GB2312" w:cs="宋体"/>
          <w:kern w:val="0"/>
          <w:sz w:val="32"/>
          <w:szCs w:val="32"/>
        </w:rPr>
        <w:t>万元，政府采购服务预算0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2020年度本部门面向中小企业预留政府采购项目预算金额0万元，其中：面向小微企业预留政府采购项目预</w:t>
      </w:r>
      <w:r>
        <w:rPr>
          <w:rFonts w:hint="eastAsia" w:ascii="仿宋_GB2312" w:hAnsi="仿宋_GB2312" w:eastAsia="仿宋_GB2312"/>
          <w:sz w:val="32"/>
        </w:rPr>
        <w:t>算金额</w:t>
      </w:r>
      <w:r>
        <w:rPr>
          <w:rFonts w:ascii="仿宋_GB2312" w:hAnsi="仿宋_GB2312" w:eastAsia="仿宋_GB2312"/>
          <w:sz w:val="32"/>
        </w:rPr>
        <w:t>0</w:t>
      </w:r>
      <w:r>
        <w:rPr>
          <w:rFonts w:hint="eastAsia" w:ascii="仿宋_GB2312" w:hAnsi="仿宋_GB2312" w:eastAsia="仿宋_GB2312"/>
          <w:sz w:val="32"/>
        </w:rPr>
        <w:t>万元。</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年底，阜康市自然资源局</w:t>
      </w:r>
      <w:r>
        <w:rPr>
          <w:rFonts w:hint="eastAsia" w:ascii="仿宋_GB2312" w:hAnsi="宋体" w:eastAsia="仿宋_GB2312" w:cs="宋体"/>
          <w:kern w:val="0"/>
          <w:sz w:val="32"/>
          <w:szCs w:val="32"/>
          <w:lang w:val="en-US" w:eastAsia="zh-CN"/>
        </w:rPr>
        <w:t>部门</w:t>
      </w:r>
      <w:r>
        <w:rPr>
          <w:rFonts w:hint="eastAsia" w:ascii="仿宋_GB2312" w:hAnsi="宋体" w:eastAsia="仿宋_GB2312" w:cs="宋体"/>
          <w:kern w:val="0"/>
          <w:sz w:val="32"/>
          <w:szCs w:val="32"/>
        </w:rPr>
        <w:t>占用使用国有资产总体情况为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10556.35</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2524.44</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31</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609.16</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3</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50.81</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2</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38.89</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26</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518.46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102.79</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951.61</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2</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318.24</w:t>
      </w:r>
      <w:r>
        <w:rPr>
          <w:rFonts w:hint="eastAsia" w:ascii="仿宋_GB2312" w:hAnsi="宋体" w:eastAsia="仿宋_GB2312" w:cs="宋体"/>
          <w:kern w:val="0"/>
          <w:sz w:val="32"/>
          <w:szCs w:val="32"/>
        </w:rPr>
        <w:t>万元。具体情况见下表（按项目分别填报）：</w:t>
      </w:r>
    </w:p>
    <w:p>
      <w:pPr>
        <w:widowControl/>
        <w:spacing w:line="600" w:lineRule="exact"/>
        <w:sectPr>
          <w:footerReference r:id="rId4" w:type="default"/>
          <w:pgSz w:w="11906" w:h="16838"/>
          <w:pgMar w:top="1440" w:right="1797" w:bottom="1440" w:left="1797" w:header="851" w:footer="992" w:gutter="0"/>
          <w:pgNumType w:fmt="numberInDash" w:start="24"/>
          <w:cols w:space="720" w:num="1"/>
          <w:docGrid w:linePitch="312" w:charSpace="0"/>
        </w:sectPr>
      </w:pPr>
    </w:p>
    <w:tbl>
      <w:tblPr>
        <w:tblStyle w:val="4"/>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vAlign w:val="bottom"/>
          </w:tcPr>
          <w:p>
            <w:pPr>
              <w:widowControl/>
              <w:jc w:val="left"/>
              <w:rPr>
                <w:rFonts w:ascii="宋体" w:cs="宋体"/>
                <w:color w:val="000000"/>
                <w:kern w:val="0"/>
                <w:sz w:val="22"/>
              </w:rPr>
            </w:pPr>
          </w:p>
        </w:tc>
        <w:tc>
          <w:tcPr>
            <w:tcW w:w="1854" w:type="dxa"/>
            <w:tcBorders>
              <w:top w:val="nil"/>
              <w:left w:val="nil"/>
              <w:bottom w:val="nil"/>
              <w:right w:val="nil"/>
            </w:tcBorders>
            <w:vAlign w:val="bottom"/>
          </w:tcPr>
          <w:p>
            <w:pPr>
              <w:widowControl/>
              <w:jc w:val="left"/>
              <w:rPr>
                <w:rFonts w:ascii="宋体" w:cs="宋体"/>
                <w:color w:val="000000"/>
                <w:kern w:val="0"/>
                <w:sz w:val="22"/>
              </w:rPr>
            </w:pPr>
          </w:p>
        </w:tc>
        <w:tc>
          <w:tcPr>
            <w:tcW w:w="1661" w:type="dxa"/>
            <w:tcBorders>
              <w:top w:val="nil"/>
              <w:left w:val="nil"/>
              <w:bottom w:val="nil"/>
              <w:right w:val="nil"/>
            </w:tcBorders>
            <w:vAlign w:val="bottom"/>
          </w:tcPr>
          <w:p>
            <w:pPr>
              <w:widowControl/>
              <w:jc w:val="left"/>
              <w:rPr>
                <w:rFonts w:ascii="宋体" w:cs="宋体"/>
                <w:color w:val="000000"/>
                <w:kern w:val="0"/>
                <w:sz w:val="22"/>
              </w:rPr>
            </w:pPr>
          </w:p>
        </w:tc>
        <w:tc>
          <w:tcPr>
            <w:tcW w:w="1661" w:type="dxa"/>
            <w:gridSpan w:val="2"/>
            <w:tcBorders>
              <w:top w:val="nil"/>
              <w:left w:val="nil"/>
              <w:bottom w:val="nil"/>
              <w:right w:val="nil"/>
            </w:tcBorders>
            <w:vAlign w:val="bottom"/>
          </w:tcPr>
          <w:p>
            <w:pPr>
              <w:widowControl/>
              <w:jc w:val="left"/>
              <w:rPr>
                <w:rFonts w:ascii="宋体" w:cs="宋体"/>
                <w:color w:val="000000"/>
                <w:kern w:val="0"/>
                <w:sz w:val="22"/>
              </w:rPr>
            </w:pPr>
          </w:p>
        </w:tc>
        <w:tc>
          <w:tcPr>
            <w:tcW w:w="322" w:type="dxa"/>
            <w:tcBorders>
              <w:top w:val="nil"/>
              <w:left w:val="nil"/>
              <w:bottom w:val="nil"/>
              <w:right w:val="nil"/>
            </w:tcBorders>
            <w:vAlign w:val="bottom"/>
          </w:tcPr>
          <w:p>
            <w:pPr>
              <w:widowControl/>
              <w:jc w:val="left"/>
              <w:rPr>
                <w:rFonts w:ascii="宋体" w:cs="宋体"/>
                <w:color w:val="000000"/>
                <w:kern w:val="0"/>
                <w:sz w:val="22"/>
              </w:rPr>
            </w:pPr>
          </w:p>
        </w:tc>
        <w:tc>
          <w:tcPr>
            <w:tcW w:w="325" w:type="dxa"/>
            <w:tcBorders>
              <w:top w:val="nil"/>
              <w:left w:val="nil"/>
              <w:bottom w:val="nil"/>
              <w:right w:val="nil"/>
            </w:tcBorders>
            <w:vAlign w:val="bottom"/>
          </w:tcPr>
          <w:p>
            <w:pPr>
              <w:widowControl/>
              <w:jc w:val="left"/>
              <w:rPr>
                <w:rFonts w:ascii="宋体" w:cs="宋体"/>
                <w:color w:val="000000"/>
                <w:kern w:val="0"/>
                <w:sz w:val="22"/>
              </w:rPr>
            </w:pPr>
          </w:p>
        </w:tc>
        <w:tc>
          <w:tcPr>
            <w:tcW w:w="1922" w:type="dxa"/>
            <w:tcBorders>
              <w:top w:val="nil"/>
              <w:left w:val="nil"/>
              <w:bottom w:val="nil"/>
              <w:right w:val="nil"/>
            </w:tcBorders>
            <w:vAlign w:val="bottom"/>
          </w:tcPr>
          <w:p>
            <w:pPr>
              <w:widowControl/>
              <w:jc w:val="left"/>
              <w:rPr>
                <w:rFonts w:ascii="宋体" w:cs="宋体"/>
                <w:color w:val="000000"/>
                <w:kern w:val="0"/>
                <w:sz w:val="22"/>
              </w:rPr>
            </w:pPr>
          </w:p>
        </w:tc>
        <w:tc>
          <w:tcPr>
            <w:tcW w:w="248" w:type="dxa"/>
            <w:tcBorders>
              <w:top w:val="nil"/>
              <w:left w:val="nil"/>
              <w:bottom w:val="nil"/>
              <w:right w:val="nil"/>
            </w:tcBorders>
            <w:vAlign w:val="bottom"/>
          </w:tcPr>
          <w:p>
            <w:pPr>
              <w:widowControl/>
              <w:jc w:val="left"/>
              <w:rPr>
                <w:rFonts w:ascii="宋体" w:cs="宋体"/>
                <w:color w:val="000000"/>
                <w:kern w:val="0"/>
                <w:sz w:val="22"/>
              </w:rPr>
            </w:pPr>
          </w:p>
        </w:tc>
        <w:tc>
          <w:tcPr>
            <w:tcW w:w="3270" w:type="dxa"/>
            <w:gridSpan w:val="2"/>
            <w:tcBorders>
              <w:top w:val="nil"/>
              <w:left w:val="nil"/>
              <w:bottom w:val="nil"/>
              <w:right w:val="nil"/>
            </w:tcBorders>
            <w:vAlign w:val="bottom"/>
          </w:tcPr>
          <w:p>
            <w:pPr>
              <w:widowControl/>
              <w:jc w:val="left"/>
              <w:rPr>
                <w:rFonts w:ascii="宋体" w:cs="宋体"/>
                <w:color w:val="000000"/>
                <w:kern w:val="0"/>
                <w:sz w:val="22"/>
              </w:rPr>
            </w:pPr>
          </w:p>
        </w:tc>
        <w:tc>
          <w:tcPr>
            <w:tcW w:w="248" w:type="dxa"/>
            <w:tcBorders>
              <w:top w:val="nil"/>
              <w:left w:val="nil"/>
              <w:bottom w:val="nil"/>
              <w:right w:val="nil"/>
            </w:tcBorders>
            <w:vAlign w:val="bottom"/>
          </w:tcPr>
          <w:p>
            <w:pPr>
              <w:widowControl/>
              <w:jc w:val="left"/>
              <w:rPr>
                <w:rFonts w:ascii="宋体" w:cs="宋体"/>
                <w:color w:val="000000"/>
                <w:kern w:val="0"/>
                <w:sz w:val="22"/>
              </w:rPr>
            </w:pPr>
          </w:p>
        </w:tc>
        <w:tc>
          <w:tcPr>
            <w:tcW w:w="250" w:type="dxa"/>
            <w:tcBorders>
              <w:top w:val="nil"/>
              <w:left w:val="nil"/>
              <w:bottom w:val="nil"/>
              <w:right w:val="nil"/>
            </w:tcBorders>
            <w:vAlign w:val="bottom"/>
          </w:tcPr>
          <w:p>
            <w:pPr>
              <w:widowControl/>
              <w:jc w:val="left"/>
              <w:rPr>
                <w:rFonts w:ascii="宋体" w:cs="宋体"/>
                <w:color w:val="000000"/>
                <w:kern w:val="0"/>
                <w:sz w:val="22"/>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阜康市自然资源局</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8"/>
                <w:szCs w:val="28"/>
              </w:rPr>
            </w:pPr>
            <w:r>
              <w:rPr>
                <w:rFonts w:hint="eastAsia" w:ascii="宋体" w:hAnsi="宋体" w:cs="宋体"/>
                <w:kern w:val="0"/>
                <w:sz w:val="18"/>
                <w:szCs w:val="18"/>
              </w:rPr>
              <w:t>南部山区保安服务费</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r>
              <w:rPr>
                <w:rFonts w:ascii="宋体" w:hAnsi="宋体" w:cs="宋体"/>
                <w:kern w:val="0"/>
                <w:sz w:val="18"/>
                <w:szCs w:val="18"/>
              </w:rPr>
              <w:t>218.88</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r>
              <w:rPr>
                <w:rFonts w:ascii="宋体" w:hAnsi="宋体" w:cs="宋体"/>
                <w:kern w:val="0"/>
                <w:sz w:val="18"/>
                <w:szCs w:val="18"/>
              </w:rPr>
              <w:t>218.88</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widowControl/>
              <w:jc w:val="left"/>
              <w:rPr>
                <w:rFonts w:ascii="宋体" w:cs="宋体"/>
                <w:kern w:val="0"/>
                <w:sz w:val="18"/>
                <w:szCs w:val="18"/>
              </w:rPr>
            </w:pPr>
            <w:r>
              <w:rPr>
                <w:rFonts w:hint="eastAsia" w:ascii="宋体" w:hAnsi="宋体" w:cs="宋体"/>
                <w:kern w:val="0"/>
                <w:sz w:val="18"/>
                <w:szCs w:val="18"/>
              </w:rPr>
              <w:t>　</w:t>
            </w:r>
            <w:r>
              <w:rPr>
                <w:rFonts w:hint="eastAsia"/>
              </w:rPr>
              <w:t>坚决制止和打击南部山区非法开采风化煤现象，依法保护矿产资源和生态环境，按照市委、市人民政府要求，在南部山区重要交通节点设置了</w:t>
            </w:r>
            <w:r>
              <w:t>8</w:t>
            </w:r>
            <w:r>
              <w:rPr>
                <w:rFonts w:hint="eastAsia"/>
              </w:rPr>
              <w:t>处卡点，聘用</w:t>
            </w:r>
            <w:r>
              <w:t>48</w:t>
            </w:r>
            <w:r>
              <w:rPr>
                <w:rFonts w:hint="eastAsia"/>
              </w:rPr>
              <w:t>名保安人员进行</w:t>
            </w:r>
            <w:r>
              <w:t>24</w:t>
            </w:r>
            <w:r>
              <w:rPr>
                <w:rFonts w:hint="eastAsia"/>
              </w:rPr>
              <w:t>小时轮班值守，并由阜康市名京物业管理有限公司提供看护服务，负责聘用看护人员的管理、培训、上下班接送、饮水、取暖及伙食供应等，负责严格管控大型机械、车辆进出登记工作</w:t>
            </w:r>
            <w:r>
              <w:t>,</w:t>
            </w:r>
            <w:r>
              <w:rPr>
                <w:rFonts w:hint="eastAsia"/>
              </w:rPr>
              <w:t>通过该措施有效遏制了我市南部山区私挖盗采矿产资源违法行为，切实保护了国有矿产资源及南部矿区生态环境。</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rPr>
              <w:t>购置</w:t>
            </w:r>
            <w:r>
              <w:t>**</w:t>
            </w:r>
            <w:r>
              <w:rPr>
                <w:rFonts w:hint="eastAsia"/>
              </w:rPr>
              <w:t>数量（人</w:t>
            </w:r>
            <w:r>
              <w:t>/</w:t>
            </w:r>
            <w:r>
              <w:rPr>
                <w:rFonts w:hint="eastAsia"/>
              </w:rPr>
              <w:t>次</w:t>
            </w:r>
            <w:r>
              <w:t>/</w:t>
            </w:r>
            <w:r>
              <w:rPr>
                <w:rFonts w:hint="eastAsia"/>
              </w:rPr>
              <w:t>年）</w:t>
            </w: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t>45600</w:t>
            </w:r>
            <w:r>
              <w:rPr>
                <w:rFonts w:hint="eastAsia"/>
              </w:rPr>
              <w:t>元、年</w:t>
            </w:r>
            <w:r>
              <w:t>/</w:t>
            </w:r>
            <w:r>
              <w:rPr>
                <w:rFonts w:hint="eastAsia"/>
              </w:rPr>
              <w:t>人</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rPr>
              <w:t>采购资金节约率</w:t>
            </w:r>
            <w:r>
              <w:t>%</w:t>
            </w: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hint="eastAsia"/>
              </w:rPr>
              <w:t>政府按时采购率</w:t>
            </w:r>
            <w:r>
              <w:t>%</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购买数量</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r>
              <w:rPr>
                <w:rFonts w:ascii="宋体" w:hAnsi="宋体" w:cs="宋体"/>
                <w:kern w:val="0"/>
                <w:sz w:val="18"/>
                <w:szCs w:val="18"/>
              </w:rPr>
              <w:t>48</w:t>
            </w:r>
            <w:r>
              <w:rPr>
                <w:rFonts w:hint="eastAsia" w:ascii="宋体" w:hAnsi="宋体" w:cs="宋体"/>
                <w:kern w:val="0"/>
                <w:sz w:val="18"/>
                <w:szCs w:val="18"/>
              </w:rPr>
              <w:t>人</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hint="eastAsia"/>
              </w:rPr>
              <w:t>购置合同执行违规率</w:t>
            </w:r>
            <w:r>
              <w:t>%</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hint="eastAsia"/>
              </w:rPr>
              <w:t>购置质量合格率</w:t>
            </w:r>
            <w:r>
              <w:t xml:space="preserve">%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4"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hint="eastAsia"/>
              </w:rPr>
              <w:t>业务保障能力提升情况</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rPr>
              <w:t>≧</w:t>
            </w:r>
            <w:r>
              <w:t>95%</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hint="eastAsia"/>
              </w:rPr>
              <w:t>公共服务水平提升情况</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rPr>
              <w:t>≧</w:t>
            </w:r>
            <w:r>
              <w:t>95%</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hint="eastAsia"/>
              </w:rPr>
              <w:t>国有矿产资源及南部矿区生态环境</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rPr>
              <w:t>≧</w:t>
            </w:r>
            <w:r>
              <w:t>95%</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r>
              <w:rPr>
                <w:rFonts w:hint="eastAsia"/>
              </w:rPr>
              <w:t>社会群众满意度</w:t>
            </w:r>
            <w:r>
              <w:t>%</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rPr>
              <w:t>≧</w:t>
            </w:r>
            <w:r>
              <w:t>95%</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pgNumType w:fmt="numberInDash" w:start="32"/>
          <w:cols w:space="720" w:num="1"/>
          <w:docGrid w:type="lines" w:linePitch="312" w:charSpace="0"/>
        </w:sectPr>
      </w:pPr>
    </w:p>
    <w:tbl>
      <w:tblPr>
        <w:tblStyle w:val="4"/>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vAlign w:val="bottom"/>
          </w:tcPr>
          <w:p>
            <w:pPr>
              <w:widowControl/>
              <w:jc w:val="left"/>
              <w:rPr>
                <w:rFonts w:ascii="宋体" w:cs="宋体"/>
                <w:color w:val="000000"/>
                <w:kern w:val="0"/>
                <w:sz w:val="22"/>
              </w:rPr>
            </w:pPr>
          </w:p>
        </w:tc>
        <w:tc>
          <w:tcPr>
            <w:tcW w:w="1854" w:type="dxa"/>
            <w:tcBorders>
              <w:top w:val="nil"/>
              <w:left w:val="nil"/>
              <w:bottom w:val="nil"/>
              <w:right w:val="nil"/>
            </w:tcBorders>
            <w:vAlign w:val="bottom"/>
          </w:tcPr>
          <w:p>
            <w:pPr>
              <w:widowControl/>
              <w:jc w:val="left"/>
              <w:rPr>
                <w:rFonts w:ascii="宋体" w:cs="宋体"/>
                <w:color w:val="000000"/>
                <w:kern w:val="0"/>
                <w:sz w:val="22"/>
              </w:rPr>
            </w:pPr>
          </w:p>
        </w:tc>
        <w:tc>
          <w:tcPr>
            <w:tcW w:w="1661" w:type="dxa"/>
            <w:tcBorders>
              <w:top w:val="nil"/>
              <w:left w:val="nil"/>
              <w:bottom w:val="nil"/>
              <w:right w:val="nil"/>
            </w:tcBorders>
            <w:vAlign w:val="bottom"/>
          </w:tcPr>
          <w:p>
            <w:pPr>
              <w:widowControl/>
              <w:jc w:val="left"/>
              <w:rPr>
                <w:rFonts w:ascii="宋体" w:cs="宋体"/>
                <w:color w:val="000000"/>
                <w:kern w:val="0"/>
                <w:sz w:val="22"/>
              </w:rPr>
            </w:pPr>
          </w:p>
        </w:tc>
        <w:tc>
          <w:tcPr>
            <w:tcW w:w="1661" w:type="dxa"/>
            <w:gridSpan w:val="2"/>
            <w:tcBorders>
              <w:top w:val="nil"/>
              <w:left w:val="nil"/>
              <w:bottom w:val="nil"/>
              <w:right w:val="nil"/>
            </w:tcBorders>
            <w:vAlign w:val="bottom"/>
          </w:tcPr>
          <w:p>
            <w:pPr>
              <w:widowControl/>
              <w:jc w:val="left"/>
              <w:rPr>
                <w:rFonts w:ascii="宋体" w:cs="宋体"/>
                <w:color w:val="000000"/>
                <w:kern w:val="0"/>
                <w:sz w:val="22"/>
              </w:rPr>
            </w:pPr>
          </w:p>
        </w:tc>
        <w:tc>
          <w:tcPr>
            <w:tcW w:w="322" w:type="dxa"/>
            <w:tcBorders>
              <w:top w:val="nil"/>
              <w:left w:val="nil"/>
              <w:bottom w:val="nil"/>
              <w:right w:val="nil"/>
            </w:tcBorders>
            <w:vAlign w:val="bottom"/>
          </w:tcPr>
          <w:p>
            <w:pPr>
              <w:widowControl/>
              <w:jc w:val="left"/>
              <w:rPr>
                <w:rFonts w:ascii="宋体" w:cs="宋体"/>
                <w:color w:val="000000"/>
                <w:kern w:val="0"/>
                <w:sz w:val="22"/>
              </w:rPr>
            </w:pPr>
          </w:p>
        </w:tc>
        <w:tc>
          <w:tcPr>
            <w:tcW w:w="325" w:type="dxa"/>
            <w:tcBorders>
              <w:top w:val="nil"/>
              <w:left w:val="nil"/>
              <w:bottom w:val="nil"/>
              <w:right w:val="nil"/>
            </w:tcBorders>
            <w:vAlign w:val="bottom"/>
          </w:tcPr>
          <w:p>
            <w:pPr>
              <w:widowControl/>
              <w:jc w:val="left"/>
              <w:rPr>
                <w:rFonts w:ascii="宋体" w:cs="宋体"/>
                <w:color w:val="000000"/>
                <w:kern w:val="0"/>
                <w:sz w:val="22"/>
              </w:rPr>
            </w:pPr>
          </w:p>
        </w:tc>
        <w:tc>
          <w:tcPr>
            <w:tcW w:w="1922" w:type="dxa"/>
            <w:tcBorders>
              <w:top w:val="nil"/>
              <w:left w:val="nil"/>
              <w:bottom w:val="nil"/>
              <w:right w:val="nil"/>
            </w:tcBorders>
            <w:vAlign w:val="bottom"/>
          </w:tcPr>
          <w:p>
            <w:pPr>
              <w:widowControl/>
              <w:jc w:val="left"/>
              <w:rPr>
                <w:rFonts w:ascii="宋体" w:cs="宋体"/>
                <w:color w:val="000000"/>
                <w:kern w:val="0"/>
                <w:sz w:val="22"/>
              </w:rPr>
            </w:pPr>
          </w:p>
        </w:tc>
        <w:tc>
          <w:tcPr>
            <w:tcW w:w="248" w:type="dxa"/>
            <w:tcBorders>
              <w:top w:val="nil"/>
              <w:left w:val="nil"/>
              <w:bottom w:val="nil"/>
              <w:right w:val="nil"/>
            </w:tcBorders>
            <w:vAlign w:val="bottom"/>
          </w:tcPr>
          <w:p>
            <w:pPr>
              <w:widowControl/>
              <w:jc w:val="left"/>
              <w:rPr>
                <w:rFonts w:ascii="宋体" w:cs="宋体"/>
                <w:color w:val="000000"/>
                <w:kern w:val="0"/>
                <w:sz w:val="22"/>
              </w:rPr>
            </w:pPr>
          </w:p>
        </w:tc>
        <w:tc>
          <w:tcPr>
            <w:tcW w:w="3270" w:type="dxa"/>
            <w:gridSpan w:val="2"/>
            <w:tcBorders>
              <w:top w:val="nil"/>
              <w:left w:val="nil"/>
              <w:bottom w:val="nil"/>
              <w:right w:val="nil"/>
            </w:tcBorders>
            <w:vAlign w:val="bottom"/>
          </w:tcPr>
          <w:p>
            <w:pPr>
              <w:widowControl/>
              <w:jc w:val="left"/>
              <w:rPr>
                <w:rFonts w:ascii="宋体" w:cs="宋体"/>
                <w:color w:val="000000"/>
                <w:kern w:val="0"/>
                <w:sz w:val="22"/>
              </w:rPr>
            </w:pPr>
          </w:p>
        </w:tc>
        <w:tc>
          <w:tcPr>
            <w:tcW w:w="248" w:type="dxa"/>
            <w:tcBorders>
              <w:top w:val="nil"/>
              <w:left w:val="nil"/>
              <w:bottom w:val="nil"/>
              <w:right w:val="nil"/>
            </w:tcBorders>
            <w:vAlign w:val="bottom"/>
          </w:tcPr>
          <w:p>
            <w:pPr>
              <w:widowControl/>
              <w:jc w:val="left"/>
              <w:rPr>
                <w:rFonts w:ascii="宋体" w:cs="宋体"/>
                <w:color w:val="000000"/>
                <w:kern w:val="0"/>
                <w:sz w:val="22"/>
              </w:rPr>
            </w:pPr>
          </w:p>
        </w:tc>
        <w:tc>
          <w:tcPr>
            <w:tcW w:w="250" w:type="dxa"/>
            <w:tcBorders>
              <w:top w:val="nil"/>
              <w:left w:val="nil"/>
              <w:bottom w:val="nil"/>
              <w:right w:val="nil"/>
            </w:tcBorders>
            <w:vAlign w:val="bottom"/>
          </w:tcPr>
          <w:p>
            <w:pPr>
              <w:widowControl/>
              <w:jc w:val="left"/>
              <w:rPr>
                <w:rFonts w:ascii="宋体" w:cs="宋体"/>
                <w:color w:val="000000"/>
                <w:kern w:val="0"/>
                <w:sz w:val="22"/>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阜康市自然资源局</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草场看护人员补助</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99.36</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99.36</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0"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pStyle w:val="23"/>
              <w:spacing w:line="400" w:lineRule="atLeast"/>
              <w:ind w:firstLine="560"/>
              <w:rPr>
                <w:rFonts w:ascii="宋体" w:cs="宋体"/>
                <w:sz w:val="18"/>
                <w:szCs w:val="18"/>
              </w:rPr>
            </w:pPr>
            <w:r>
              <w:rPr>
                <w:rFonts w:hint="eastAsia" w:ascii="宋体" w:hAnsi="宋体" w:cs="宋体"/>
                <w:sz w:val="18"/>
                <w:szCs w:val="18"/>
              </w:rPr>
              <w:t>　　针对我国草原退化严重，可利用面积减少，生态功能弱化，农牧民收入增长缓慢的现实情况，国务院从</w:t>
            </w:r>
            <w:r>
              <w:rPr>
                <w:rFonts w:ascii="宋体" w:hAnsi="宋体" w:cs="宋体"/>
                <w:sz w:val="18"/>
                <w:szCs w:val="18"/>
              </w:rPr>
              <w:t>2011</w:t>
            </w:r>
            <w:r>
              <w:rPr>
                <w:rFonts w:hint="eastAsia" w:ascii="宋体" w:hAnsi="宋体" w:cs="宋体"/>
                <w:sz w:val="18"/>
                <w:szCs w:val="18"/>
              </w:rPr>
              <w:t>年起在主要草原牧区省（区），全面建立草原生态保护补助奖励机制。根据农业部、财政部《新一轮草原生态保护补助奖励政策实施指导意见（</w:t>
            </w:r>
            <w:r>
              <w:rPr>
                <w:rFonts w:ascii="宋体" w:hAnsi="宋体" w:cs="宋体"/>
                <w:sz w:val="18"/>
                <w:szCs w:val="18"/>
              </w:rPr>
              <w:t>2016-2020</w:t>
            </w:r>
            <w:r>
              <w:rPr>
                <w:rFonts w:hint="eastAsia" w:ascii="宋体" w:hAnsi="宋体" w:cs="宋体"/>
                <w:sz w:val="18"/>
                <w:szCs w:val="18"/>
              </w:rPr>
              <w:t>年）》（农办财〔</w:t>
            </w:r>
            <w:r>
              <w:rPr>
                <w:rFonts w:ascii="宋体" w:hAnsi="宋体" w:cs="宋体"/>
                <w:sz w:val="18"/>
                <w:szCs w:val="18"/>
              </w:rPr>
              <w:t>2016</w:t>
            </w:r>
            <w:r>
              <w:rPr>
                <w:rFonts w:hint="eastAsia" w:ascii="宋体" w:hAnsi="宋体" w:cs="宋体"/>
                <w:sz w:val="18"/>
                <w:szCs w:val="18"/>
              </w:rPr>
              <w:t>〕</w:t>
            </w:r>
            <w:r>
              <w:rPr>
                <w:rFonts w:ascii="宋体" w:hAnsi="宋体" w:cs="宋体"/>
                <w:sz w:val="18"/>
                <w:szCs w:val="18"/>
              </w:rPr>
              <w:t>10</w:t>
            </w:r>
            <w:r>
              <w:rPr>
                <w:rFonts w:hint="eastAsia" w:ascii="宋体" w:hAnsi="宋体" w:cs="宋体"/>
                <w:sz w:val="18"/>
                <w:szCs w:val="18"/>
              </w:rPr>
              <w:t>号）文件精神，明确新疆等</w:t>
            </w:r>
            <w:r>
              <w:rPr>
                <w:rFonts w:ascii="宋体" w:hAnsi="宋体" w:cs="宋体"/>
                <w:sz w:val="18"/>
                <w:szCs w:val="18"/>
              </w:rPr>
              <w:t>13</w:t>
            </w:r>
            <w:r>
              <w:rPr>
                <w:rFonts w:hint="eastAsia" w:ascii="宋体" w:hAnsi="宋体" w:cs="宋体"/>
                <w:sz w:val="18"/>
                <w:szCs w:val="18"/>
              </w:rPr>
              <w:t>个省（自治区）将于</w:t>
            </w:r>
            <w:r>
              <w:rPr>
                <w:rFonts w:ascii="宋体" w:hAnsi="宋体" w:cs="宋体"/>
                <w:sz w:val="18"/>
                <w:szCs w:val="18"/>
              </w:rPr>
              <w:t>2016-2020</w:t>
            </w:r>
            <w:r>
              <w:rPr>
                <w:rFonts w:hint="eastAsia" w:ascii="宋体" w:hAnsi="宋体" w:cs="宋体"/>
                <w:sz w:val="18"/>
                <w:szCs w:val="18"/>
              </w:rPr>
              <w:t>年实施新一轮草原补奖政策。按照区、州相关工作要求，阜康市共落实禁牧和草畜平衡任务总面积</w:t>
            </w:r>
            <w:r>
              <w:rPr>
                <w:rFonts w:ascii="宋体" w:hAnsi="宋体" w:cs="宋体"/>
                <w:sz w:val="18"/>
                <w:szCs w:val="18"/>
              </w:rPr>
              <w:t>711.0594</w:t>
            </w:r>
            <w:r>
              <w:rPr>
                <w:rFonts w:hint="eastAsia" w:ascii="宋体" w:hAnsi="宋体" w:cs="宋体"/>
                <w:sz w:val="18"/>
                <w:szCs w:val="18"/>
              </w:rPr>
              <w:t>万亩，其中草畜平衡面积</w:t>
            </w:r>
            <w:r>
              <w:rPr>
                <w:rFonts w:ascii="宋体" w:hAnsi="宋体" w:cs="宋体"/>
                <w:sz w:val="18"/>
                <w:szCs w:val="18"/>
              </w:rPr>
              <w:t>378.2186</w:t>
            </w:r>
            <w:r>
              <w:rPr>
                <w:rFonts w:hint="eastAsia" w:ascii="宋体" w:hAnsi="宋体" w:cs="宋体"/>
                <w:sz w:val="18"/>
                <w:szCs w:val="18"/>
              </w:rPr>
              <w:t>万亩、水源涵养禁牧区面积</w:t>
            </w:r>
            <w:r>
              <w:rPr>
                <w:rFonts w:ascii="宋体" w:hAnsi="宋体" w:cs="宋体"/>
                <w:sz w:val="18"/>
                <w:szCs w:val="18"/>
              </w:rPr>
              <w:t>40</w:t>
            </w:r>
            <w:r>
              <w:rPr>
                <w:rFonts w:hint="eastAsia" w:ascii="宋体" w:hAnsi="宋体" w:cs="宋体"/>
                <w:sz w:val="18"/>
                <w:szCs w:val="18"/>
              </w:rPr>
              <w:t>万亩、北部沙漠禁牧区面积</w:t>
            </w:r>
            <w:r>
              <w:rPr>
                <w:rFonts w:ascii="宋体" w:hAnsi="宋体" w:cs="宋体"/>
                <w:sz w:val="18"/>
                <w:szCs w:val="18"/>
              </w:rPr>
              <w:t>292.8408</w:t>
            </w:r>
            <w:r>
              <w:rPr>
                <w:rFonts w:hint="eastAsia" w:ascii="宋体" w:hAnsi="宋体" w:cs="宋体"/>
                <w:sz w:val="18"/>
                <w:szCs w:val="18"/>
              </w:rPr>
              <w:t>万亩。</w:t>
            </w:r>
          </w:p>
          <w:p>
            <w:pPr>
              <w:widowControl/>
              <w:jc w:val="left"/>
              <w:rPr>
                <w:rFonts w:ascii="宋体" w:cs="宋体"/>
                <w:kern w:val="0"/>
                <w:sz w:val="18"/>
                <w:szCs w:val="18"/>
              </w:rPr>
            </w:pP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auto"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auto"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auto"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auto"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spacing w:line="400" w:lineRule="atLeast"/>
              <w:rPr>
                <w:rFonts w:ascii="宋体" w:cs="宋体"/>
                <w:kern w:val="0"/>
                <w:sz w:val="18"/>
                <w:szCs w:val="18"/>
              </w:rPr>
            </w:pPr>
            <w:r>
              <w:rPr>
                <w:rFonts w:ascii="宋体" w:hAnsi="宋体" w:cs="宋体"/>
                <w:kern w:val="0"/>
                <w:sz w:val="18"/>
                <w:szCs w:val="18"/>
              </w:rPr>
              <w:t>1</w:t>
            </w:r>
            <w:r>
              <w:rPr>
                <w:rFonts w:hint="eastAsia" w:ascii="宋体" w:hAnsi="宋体" w:cs="宋体"/>
                <w:kern w:val="0"/>
                <w:sz w:val="18"/>
                <w:szCs w:val="18"/>
              </w:rPr>
              <w:t>、草场管护员工资为</w:t>
            </w:r>
            <w:r>
              <w:rPr>
                <w:rFonts w:ascii="宋体" w:hAnsi="宋体" w:cs="宋体"/>
                <w:kern w:val="0"/>
                <w:sz w:val="18"/>
                <w:szCs w:val="18"/>
              </w:rPr>
              <w:t>1800</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kern w:val="0"/>
                <w:sz w:val="18"/>
                <w:szCs w:val="18"/>
              </w:rPr>
              <w:t>月：</w:t>
            </w:r>
            <w:r>
              <w:rPr>
                <w:rFonts w:ascii="宋体" w:hAnsi="宋体" w:cs="宋体"/>
                <w:kern w:val="0"/>
                <w:sz w:val="18"/>
                <w:szCs w:val="18"/>
              </w:rPr>
              <w:t>2</w:t>
            </w:r>
            <w:r>
              <w:rPr>
                <w:rFonts w:hint="eastAsia" w:ascii="宋体" w:hAnsi="宋体" w:cs="宋体"/>
                <w:kern w:val="0"/>
                <w:sz w:val="18"/>
                <w:szCs w:val="18"/>
              </w:rPr>
              <w:t>、草场管护生态协管员工资为</w:t>
            </w:r>
            <w:r>
              <w:rPr>
                <w:rFonts w:ascii="宋体" w:hAnsi="宋体" w:cs="宋体"/>
                <w:kern w:val="0"/>
                <w:sz w:val="18"/>
                <w:szCs w:val="18"/>
              </w:rPr>
              <w:t>500</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kern w:val="0"/>
                <w:sz w:val="18"/>
                <w:szCs w:val="18"/>
              </w:rPr>
              <w:t>月。　</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100%</w:t>
            </w:r>
          </w:p>
        </w:tc>
      </w:tr>
      <w:tr>
        <w:tblPrEx>
          <w:tblCellMar>
            <w:top w:w="0" w:type="dxa"/>
            <w:left w:w="108" w:type="dxa"/>
            <w:bottom w:w="0" w:type="dxa"/>
            <w:right w:w="108" w:type="dxa"/>
          </w:tblCellMar>
        </w:tblPrEx>
        <w:trPr>
          <w:trHeight w:val="257"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项目计划实施时间为</w:t>
            </w:r>
            <w:r>
              <w:rPr>
                <w:rFonts w:ascii="宋体" w:hAnsi="宋体" w:cs="宋体"/>
                <w:kern w:val="0"/>
                <w:sz w:val="18"/>
                <w:szCs w:val="18"/>
              </w:rPr>
              <w:t>2020</w:t>
            </w:r>
            <w:r>
              <w:rPr>
                <w:rFonts w:hint="eastAsia" w:ascii="宋体" w:hAnsi="宋体" w:cs="宋体"/>
                <w:kern w:val="0"/>
                <w:sz w:val="18"/>
                <w:szCs w:val="18"/>
              </w:rPr>
              <w:t>年</w:t>
            </w:r>
            <w:r>
              <w:rPr>
                <w:rFonts w:ascii="宋体" w:hAnsi="宋体" w:cs="宋体"/>
                <w:kern w:val="0"/>
                <w:sz w:val="18"/>
                <w:szCs w:val="18"/>
              </w:rPr>
              <w:t>12</w:t>
            </w:r>
            <w:r>
              <w:rPr>
                <w:rFonts w:hint="eastAsia" w:ascii="宋体" w:hAnsi="宋体" w:cs="宋体"/>
                <w:kern w:val="0"/>
                <w:sz w:val="18"/>
                <w:szCs w:val="18"/>
              </w:rPr>
              <w:t>月底前。　</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100%</w:t>
            </w:r>
          </w:p>
        </w:tc>
      </w:tr>
      <w:tr>
        <w:tblPrEx>
          <w:tblCellMar>
            <w:top w:w="0" w:type="dxa"/>
            <w:left w:w="108" w:type="dxa"/>
            <w:bottom w:w="0" w:type="dxa"/>
            <w:right w:w="108" w:type="dxa"/>
          </w:tblCellMar>
        </w:tblPrEx>
        <w:trPr>
          <w:trHeight w:val="257"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57"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落实禁牧和草畜平衡任务总面积</w:t>
            </w:r>
            <w:r>
              <w:rPr>
                <w:rFonts w:ascii="宋体" w:hAnsi="宋体" w:cs="宋体"/>
                <w:kern w:val="0"/>
                <w:sz w:val="18"/>
                <w:szCs w:val="18"/>
              </w:rPr>
              <w:t>711.0594</w:t>
            </w:r>
            <w:r>
              <w:rPr>
                <w:rFonts w:hint="eastAsia" w:ascii="宋体" w:hAnsi="宋体" w:cs="宋体"/>
                <w:kern w:val="0"/>
                <w:sz w:val="18"/>
                <w:szCs w:val="18"/>
              </w:rPr>
              <w:t>万亩，其中草畜平衡面积</w:t>
            </w:r>
            <w:r>
              <w:rPr>
                <w:rFonts w:ascii="宋体" w:hAnsi="宋体" w:cs="宋体"/>
                <w:kern w:val="0"/>
                <w:sz w:val="18"/>
                <w:szCs w:val="18"/>
              </w:rPr>
              <w:t>378.2186</w:t>
            </w:r>
            <w:r>
              <w:rPr>
                <w:rFonts w:hint="eastAsia" w:ascii="宋体" w:hAnsi="宋体" w:cs="宋体"/>
                <w:kern w:val="0"/>
                <w:sz w:val="18"/>
                <w:szCs w:val="18"/>
              </w:rPr>
              <w:t>万亩、水源涵养禁牧区面积</w:t>
            </w:r>
            <w:r>
              <w:rPr>
                <w:rFonts w:ascii="宋体" w:hAnsi="宋体" w:cs="宋体"/>
                <w:kern w:val="0"/>
                <w:sz w:val="18"/>
                <w:szCs w:val="18"/>
              </w:rPr>
              <w:t>40</w:t>
            </w:r>
            <w:r>
              <w:rPr>
                <w:rFonts w:hint="eastAsia" w:ascii="宋体" w:hAnsi="宋体" w:cs="宋体"/>
                <w:kern w:val="0"/>
                <w:sz w:val="18"/>
                <w:szCs w:val="18"/>
              </w:rPr>
              <w:t>万亩、北部沙漠禁牧区面积</w:t>
            </w:r>
            <w:r>
              <w:rPr>
                <w:rFonts w:ascii="宋体" w:hAnsi="宋体" w:cs="宋体"/>
                <w:kern w:val="0"/>
                <w:sz w:val="18"/>
                <w:szCs w:val="18"/>
              </w:rPr>
              <w:t>292.8408</w:t>
            </w:r>
            <w:r>
              <w:rPr>
                <w:rFonts w:hint="eastAsia" w:ascii="宋体" w:hAnsi="宋体" w:cs="宋体"/>
                <w:kern w:val="0"/>
                <w:sz w:val="18"/>
                <w:szCs w:val="18"/>
              </w:rPr>
              <w:t>万亩。聘用的草场管护员</w:t>
            </w:r>
            <w:r>
              <w:rPr>
                <w:rFonts w:ascii="宋体" w:hAnsi="宋体" w:cs="宋体"/>
                <w:kern w:val="0"/>
                <w:sz w:val="18"/>
                <w:szCs w:val="18"/>
              </w:rPr>
              <w:t>82</w:t>
            </w:r>
            <w:r>
              <w:rPr>
                <w:rFonts w:hint="eastAsia" w:ascii="宋体" w:hAnsi="宋体" w:cs="宋体"/>
                <w:kern w:val="0"/>
                <w:sz w:val="18"/>
                <w:szCs w:val="18"/>
              </w:rPr>
              <w:t>名，其中建档立卡贫困管护草原生态协管员</w:t>
            </w:r>
            <w:r>
              <w:rPr>
                <w:rFonts w:ascii="宋体" w:hAnsi="宋体" w:cs="宋体"/>
                <w:kern w:val="0"/>
                <w:sz w:val="18"/>
                <w:szCs w:val="18"/>
              </w:rPr>
              <w:t>50</w:t>
            </w:r>
            <w:r>
              <w:rPr>
                <w:rFonts w:hint="eastAsia" w:ascii="宋体" w:hAnsi="宋体" w:cs="宋体"/>
                <w:kern w:val="0"/>
                <w:sz w:val="18"/>
                <w:szCs w:val="18"/>
              </w:rPr>
              <w:t>名。</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100%</w:t>
            </w:r>
          </w:p>
        </w:tc>
      </w:tr>
      <w:tr>
        <w:tblPrEx>
          <w:tblCellMar>
            <w:top w:w="0" w:type="dxa"/>
            <w:left w:w="108" w:type="dxa"/>
            <w:bottom w:w="0" w:type="dxa"/>
            <w:right w:w="108" w:type="dxa"/>
          </w:tblCellMar>
        </w:tblPrEx>
        <w:trPr>
          <w:trHeight w:val="257"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pStyle w:val="23"/>
              <w:spacing w:line="400" w:lineRule="atLeast"/>
              <w:rPr>
                <w:rFonts w:ascii="宋体" w:cs="宋体"/>
                <w:sz w:val="18"/>
                <w:szCs w:val="18"/>
              </w:rPr>
            </w:pPr>
            <w:r>
              <w:rPr>
                <w:rFonts w:hint="eastAsia" w:ascii="宋体" w:hAnsi="宋体" w:cs="宋体"/>
                <w:sz w:val="18"/>
                <w:szCs w:val="18"/>
              </w:rPr>
              <w:t>从监测数据分析，禁、限牧区草原植被高度、盖度和生物量比实施禁牧提高了</w:t>
            </w:r>
            <w:r>
              <w:rPr>
                <w:rFonts w:ascii="宋体" w:hAnsi="宋体" w:cs="宋体"/>
                <w:sz w:val="18"/>
                <w:szCs w:val="18"/>
              </w:rPr>
              <w:t>55-60%</w:t>
            </w:r>
            <w:r>
              <w:rPr>
                <w:rFonts w:hint="eastAsia" w:ascii="宋体" w:hAnsi="宋体" w:cs="宋体"/>
                <w:sz w:val="18"/>
                <w:szCs w:val="18"/>
              </w:rPr>
              <w:t>，天池景区提高了</w:t>
            </w:r>
            <w:r>
              <w:rPr>
                <w:rFonts w:ascii="宋体" w:hAnsi="宋体" w:cs="宋体"/>
                <w:sz w:val="18"/>
                <w:szCs w:val="18"/>
              </w:rPr>
              <w:t>60%</w:t>
            </w:r>
            <w:r>
              <w:rPr>
                <w:rFonts w:hint="eastAsia" w:ascii="宋体" w:hAnsi="宋体" w:cs="宋体"/>
                <w:sz w:val="18"/>
                <w:szCs w:val="18"/>
              </w:rPr>
              <w:t>以上</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pStyle w:val="23"/>
              <w:spacing w:line="400" w:lineRule="atLeast"/>
              <w:ind w:firstLine="1549" w:firstLineChars="861"/>
              <w:rPr>
                <w:rFonts w:ascii="宋体" w:cs="宋体"/>
                <w:sz w:val="18"/>
                <w:szCs w:val="18"/>
              </w:rPr>
            </w:pPr>
            <w:r>
              <w:rPr>
                <w:rFonts w:ascii="宋体" w:hAnsi="宋体" w:cs="宋体"/>
                <w:sz w:val="18"/>
                <w:szCs w:val="18"/>
              </w:rPr>
              <w:t>100%</w:t>
            </w:r>
          </w:p>
        </w:tc>
      </w:tr>
      <w:tr>
        <w:tblPrEx>
          <w:tblCellMar>
            <w:top w:w="0" w:type="dxa"/>
            <w:left w:w="108" w:type="dxa"/>
            <w:bottom w:w="0" w:type="dxa"/>
            <w:right w:w="108" w:type="dxa"/>
          </w:tblCellMar>
        </w:tblPrEx>
        <w:trPr>
          <w:trHeight w:val="388"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68" w:hRule="atLeast"/>
        </w:trPr>
        <w:tc>
          <w:tcPr>
            <w:tcW w:w="219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通过草补政策着力点是草原生态保护，落脚点则是促进牧民增收。这项大政策</w:t>
            </w:r>
            <w:r>
              <w:rPr>
                <w:rFonts w:ascii="宋体" w:hAnsi="宋体" w:cs="宋体"/>
                <w:kern w:val="0"/>
                <w:sz w:val="18"/>
                <w:szCs w:val="18"/>
              </w:rPr>
              <w:t>95%</w:t>
            </w:r>
            <w:r>
              <w:rPr>
                <w:rFonts w:hint="eastAsia" w:ascii="宋体" w:hAnsi="宋体" w:cs="宋体"/>
                <w:kern w:val="0"/>
                <w:sz w:val="18"/>
                <w:szCs w:val="18"/>
              </w:rPr>
              <w:t>以上的资金都是直补到户，增加了牧民的政策性收入，有力促进了生态补偿脱贫</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100%</w:t>
            </w:r>
          </w:p>
        </w:tc>
      </w:tr>
      <w:tr>
        <w:tblPrEx>
          <w:tblCellMar>
            <w:top w:w="0" w:type="dxa"/>
            <w:left w:w="108" w:type="dxa"/>
            <w:bottom w:w="0" w:type="dxa"/>
            <w:right w:w="108" w:type="dxa"/>
          </w:tblCellMar>
        </w:tblPrEx>
        <w:trPr>
          <w:trHeight w:val="268"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272"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spacing w:line="400" w:lineRule="atLeast"/>
              <w:rPr>
                <w:rFonts w:ascii="宋体" w:cs="宋体"/>
                <w:kern w:val="0"/>
                <w:sz w:val="18"/>
                <w:szCs w:val="18"/>
              </w:rPr>
            </w:pPr>
            <w:r>
              <w:rPr>
                <w:rFonts w:hint="eastAsia"/>
                <w:kern w:val="0"/>
              </w:rPr>
              <w:t>草原补奖政策的实施，使保护生态、协调发展、和谐共赢的理念逐步转化为广大农牧民的自觉行动，有力地促进了牧区生态、牧业生产和牧民生活的改善</w:t>
            </w:r>
            <w:r>
              <w:rPr>
                <w:kern w:val="0"/>
              </w:rPr>
              <w:t xml:space="preserve">, </w:t>
            </w:r>
            <w:r>
              <w:rPr>
                <w:rFonts w:hint="eastAsia"/>
                <w:kern w:val="0"/>
              </w:rPr>
              <w:t>基本扭转了过去草原利用无序、开发无度、严重过牧的状态，初步建立了草原生态补偿长效机制，开启了草原休养生息的新时代。草原补奖政策是一项社会认同、各界满意、群众称赞的德政工程和民心工程。</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pStyle w:val="23"/>
              <w:spacing w:line="440" w:lineRule="atLeast"/>
              <w:ind w:firstLine="640"/>
              <w:jc w:val="center"/>
              <w:rPr>
                <w:rFonts w:ascii="宋体" w:cs="宋体"/>
                <w:sz w:val="18"/>
                <w:szCs w:val="18"/>
              </w:rPr>
            </w:pPr>
            <w:r>
              <w:rPr>
                <w:rFonts w:ascii="宋体" w:hAnsi="宋体" w:cs="宋体"/>
                <w:sz w:val="18"/>
                <w:szCs w:val="18"/>
              </w:rPr>
              <w:t>100%</w:t>
            </w:r>
          </w:p>
          <w:p>
            <w:pPr>
              <w:widowControl/>
              <w:jc w:val="center"/>
              <w:rPr>
                <w:rFonts w:ascii="宋体" w:cs="宋体"/>
                <w:kern w:val="0"/>
                <w:sz w:val="18"/>
                <w:szCs w:val="18"/>
              </w:rPr>
            </w:pPr>
          </w:p>
        </w:tc>
      </w:tr>
      <w:tr>
        <w:tblPrEx>
          <w:tblCellMar>
            <w:top w:w="0" w:type="dxa"/>
            <w:left w:w="108" w:type="dxa"/>
            <w:bottom w:w="0" w:type="dxa"/>
            <w:right w:w="108" w:type="dxa"/>
          </w:tblCellMar>
        </w:tblPrEx>
        <w:trPr>
          <w:trHeight w:val="90"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1450"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pStyle w:val="23"/>
              <w:spacing w:line="400" w:lineRule="atLeast"/>
              <w:rPr>
                <w:rFonts w:ascii="宋体" w:cs="宋体"/>
                <w:sz w:val="18"/>
                <w:szCs w:val="18"/>
              </w:rPr>
            </w:pPr>
            <w:r>
              <w:rPr>
                <w:rFonts w:hint="eastAsia" w:ascii="宋体" w:hAnsi="宋体" w:cs="宋体"/>
                <w:sz w:val="18"/>
                <w:szCs w:val="18"/>
              </w:rPr>
              <w:t>项目实施，全市禁牧区和草畜平衡区牧草覆盖度平均提高</w:t>
            </w:r>
            <w:r>
              <w:rPr>
                <w:rFonts w:ascii="宋体" w:hAnsi="宋体" w:cs="宋体"/>
                <w:sz w:val="18"/>
                <w:szCs w:val="18"/>
              </w:rPr>
              <w:t>60%</w:t>
            </w:r>
            <w:r>
              <w:rPr>
                <w:rFonts w:hint="eastAsia" w:ascii="宋体" w:hAnsi="宋体" w:cs="宋体"/>
                <w:sz w:val="18"/>
                <w:szCs w:val="18"/>
              </w:rPr>
              <w:t>以上</w:t>
            </w:r>
            <w:r>
              <w:rPr>
                <w:rFonts w:ascii="宋体" w:cs="宋体"/>
                <w:sz w:val="18"/>
                <w:szCs w:val="18"/>
              </w:rPr>
              <w:t>,</w:t>
            </w:r>
            <w:r>
              <w:rPr>
                <w:rFonts w:hint="eastAsia" w:ascii="宋体" w:hAnsi="宋体" w:cs="宋体"/>
                <w:sz w:val="18"/>
                <w:szCs w:val="18"/>
              </w:rPr>
              <w:t>草原生态恶化趋势基本得到遏制，生态环境得到有效保护，草原牧区生态、生产、生活水平持续向好。</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pStyle w:val="23"/>
              <w:spacing w:line="400" w:lineRule="atLeast"/>
              <w:ind w:firstLine="560"/>
              <w:jc w:val="center"/>
              <w:rPr>
                <w:rFonts w:ascii="宋体" w:cs="宋体"/>
                <w:sz w:val="18"/>
                <w:szCs w:val="18"/>
              </w:rPr>
            </w:pPr>
            <w:r>
              <w:rPr>
                <w:rFonts w:ascii="宋体" w:hAnsi="宋体" w:cs="宋体"/>
                <w:sz w:val="18"/>
                <w:szCs w:val="18"/>
              </w:rPr>
              <w:t>100%</w:t>
            </w:r>
          </w:p>
          <w:p>
            <w:pPr>
              <w:pStyle w:val="23"/>
              <w:spacing w:line="400" w:lineRule="atLeast"/>
              <w:ind w:firstLine="560"/>
              <w:jc w:val="center"/>
              <w:rPr>
                <w:rFonts w:ascii="宋体" w:cs="宋体"/>
                <w:sz w:val="18"/>
                <w:szCs w:val="18"/>
              </w:rPr>
            </w:pPr>
          </w:p>
        </w:tc>
      </w:tr>
      <w:tr>
        <w:tblPrEx>
          <w:tblCellMar>
            <w:top w:w="0" w:type="dxa"/>
            <w:left w:w="108" w:type="dxa"/>
            <w:bottom w:w="0" w:type="dxa"/>
            <w:right w:w="108" w:type="dxa"/>
          </w:tblCellMar>
        </w:tblPrEx>
        <w:trPr>
          <w:trHeight w:val="268" w:hRule="atLeast"/>
        </w:trPr>
        <w:tc>
          <w:tcPr>
            <w:tcW w:w="21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18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草原补奖政策是一项社会认同、各界满意、群众称赞的德政工程和民心工程。</w:t>
            </w:r>
          </w:p>
        </w:tc>
        <w:tc>
          <w:tcPr>
            <w:tcW w:w="37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     95%</w:t>
            </w:r>
          </w:p>
        </w:tc>
      </w:tr>
    </w:tbl>
    <w:p>
      <w:pPr>
        <w:widowControl/>
        <w:spacing w:line="560" w:lineRule="exact"/>
        <w:ind w:firstLine="411" w:firstLineChars="196"/>
        <w:jc w:val="left"/>
        <w:sectPr>
          <w:pgSz w:w="16838" w:h="11906" w:orient="landscape"/>
          <w:pgMar w:top="1800" w:right="1440" w:bottom="1800" w:left="1440" w:header="851" w:footer="992" w:gutter="0"/>
          <w:pgNumType w:fmt="numberInDash" w:start="32"/>
          <w:cols w:space="720" w:num="1"/>
          <w:docGrid w:type="lines" w:linePitch="312" w:charSpace="0"/>
        </w:sectPr>
      </w:pPr>
    </w:p>
    <w:p>
      <w:pPr>
        <w:widowControl/>
        <w:spacing w:line="520" w:lineRule="exact"/>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spacing w:line="520" w:lineRule="exact"/>
        <w:ind w:firstLine="640" w:firstLineChars="200"/>
        <w:jc w:val="left"/>
        <w:rPr>
          <w:rFonts w:hint="eastAsia" w:ascii="仿宋_GB2312" w:hAnsi="宋体" w:eastAsia="仿宋_GB2312" w:cs="宋体"/>
          <w:kern w:val="0"/>
          <w:sz w:val="32"/>
          <w:szCs w:val="32"/>
        </w:rPr>
      </w:pPr>
    </w:p>
    <w:p>
      <w:pPr>
        <w:widowControl/>
        <w:spacing w:line="520" w:lineRule="exact"/>
        <w:ind w:firstLine="640" w:firstLineChars="200"/>
        <w:jc w:val="left"/>
        <w:rPr>
          <w:rFonts w:hint="eastAsia" w:ascii="仿宋_GB2312" w:hAnsi="宋体" w:eastAsia="仿宋_GB2312" w:cs="宋体"/>
          <w:kern w:val="0"/>
          <w:sz w:val="32"/>
          <w:szCs w:val="32"/>
        </w:rPr>
      </w:pPr>
    </w:p>
    <w:p>
      <w:pPr>
        <w:widowControl/>
        <w:spacing w:line="520" w:lineRule="exact"/>
        <w:ind w:firstLine="2560" w:firstLineChars="800"/>
        <w:jc w:val="left"/>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6"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四</w:t>
      </w:r>
      <w:r>
        <w:rPr>
          <w:rFonts w:hint="eastAsia" w:ascii="黑体" w:hAnsi="黑体" w:eastAsia="黑体"/>
          <w:sz w:val="32"/>
          <w:szCs w:val="32"/>
        </w:rPr>
        <w:t>、项目支出：</w:t>
      </w:r>
      <w:r>
        <w:rPr>
          <w:rFonts w:hint="eastAsia" w:ascii="仿宋_GB2312" w:eastAsia="仿宋_GB2312"/>
          <w:sz w:val="32"/>
          <w:szCs w:val="32"/>
        </w:rPr>
        <w:t>部门支出预算的组成部分，是州本级部门为完成其特定的行政任务或事业发展目标，在基本支出预算之外编制的年度项目支出计划。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五</w:t>
      </w:r>
      <w:r>
        <w:rPr>
          <w:rFonts w:hint="eastAsia" w:ascii="黑体" w:hAnsi="黑体" w:eastAsia="黑体"/>
          <w:sz w:val="32"/>
          <w:szCs w:val="32"/>
        </w:rPr>
        <w:t>、“三公”经费：</w:t>
      </w:r>
      <w:r>
        <w:rPr>
          <w:rFonts w:hint="eastAsia" w:ascii="仿宋_GB2312" w:eastAsia="仿宋_GB2312"/>
          <w:sz w:val="32"/>
          <w:szCs w:val="32"/>
        </w:rPr>
        <w:t>指州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六</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w:t>
      </w:r>
      <w:bookmarkStart w:id="0" w:name="_GoBack"/>
      <w:bookmarkEnd w:id="0"/>
      <w:r>
        <w:rPr>
          <w:rFonts w:hint="eastAsia" w:ascii="仿宋_GB2312" w:eastAsia="仿宋_GB2312"/>
          <w:sz w:val="32"/>
          <w:szCs w:val="32"/>
        </w:rPr>
        <w:t>费、会议费、福利费、日常维修费、专用材料及一般设备购置费、办公用房水电费、办公用房取暖费、办公用房物业管理费、公务用车运行维护费及其他费用。</w:t>
      </w:r>
    </w:p>
    <w:p>
      <w:pPr>
        <w:spacing w:line="520" w:lineRule="exact"/>
        <w:ind w:firstLine="642"/>
        <w:rPr>
          <w:rFonts w:ascii="仿宋_GB2312" w:eastAsia="仿宋_GB2312"/>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阜康市自然资源局</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2</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10</w:t>
      </w:r>
      <w:r>
        <w:rPr>
          <w:rFonts w:hint="eastAsia"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t>- 15 -</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3A4B7B"/>
    <w:multiLevelType w:val="multilevel"/>
    <w:tmpl w:val="173A4B7B"/>
    <w:lvl w:ilvl="0" w:tentative="0">
      <w:start w:val="1"/>
      <w:numFmt w:val="chineseCounting"/>
      <w:suff w:val="nothing"/>
      <w:lvlText w:val="（%1）"/>
      <w:lvlJc w:val="left"/>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NotTrackMoves/>
  <w:documentProtection w:enforcement="0"/>
  <w:defaultTabStop w:val="420"/>
  <w:drawingGridVerticalSpacing w:val="158"/>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FE4"/>
    <w:rsid w:val="00020362"/>
    <w:rsid w:val="00055A87"/>
    <w:rsid w:val="0019395C"/>
    <w:rsid w:val="001C3008"/>
    <w:rsid w:val="001C44DA"/>
    <w:rsid w:val="00201C93"/>
    <w:rsid w:val="002665A7"/>
    <w:rsid w:val="002B3FFF"/>
    <w:rsid w:val="002D438A"/>
    <w:rsid w:val="002E2539"/>
    <w:rsid w:val="002E7D13"/>
    <w:rsid w:val="00336B83"/>
    <w:rsid w:val="003555F0"/>
    <w:rsid w:val="00403E50"/>
    <w:rsid w:val="004B0EC4"/>
    <w:rsid w:val="004D37D0"/>
    <w:rsid w:val="004E3E11"/>
    <w:rsid w:val="00545048"/>
    <w:rsid w:val="005826FD"/>
    <w:rsid w:val="005E62F3"/>
    <w:rsid w:val="005F6E41"/>
    <w:rsid w:val="006303C1"/>
    <w:rsid w:val="006D7FE4"/>
    <w:rsid w:val="006F170F"/>
    <w:rsid w:val="00717573"/>
    <w:rsid w:val="0075201F"/>
    <w:rsid w:val="007878AF"/>
    <w:rsid w:val="00797E82"/>
    <w:rsid w:val="007C1C0A"/>
    <w:rsid w:val="007D29FC"/>
    <w:rsid w:val="00811300"/>
    <w:rsid w:val="00813B3D"/>
    <w:rsid w:val="0082502E"/>
    <w:rsid w:val="008A58E0"/>
    <w:rsid w:val="008E07F1"/>
    <w:rsid w:val="00904CF6"/>
    <w:rsid w:val="00965A95"/>
    <w:rsid w:val="00A6580E"/>
    <w:rsid w:val="00A92C12"/>
    <w:rsid w:val="00AE6683"/>
    <w:rsid w:val="00B05FD4"/>
    <w:rsid w:val="00B23956"/>
    <w:rsid w:val="00BB701E"/>
    <w:rsid w:val="00BE4558"/>
    <w:rsid w:val="00C021DE"/>
    <w:rsid w:val="00C64C4A"/>
    <w:rsid w:val="00C64D21"/>
    <w:rsid w:val="00CF6299"/>
    <w:rsid w:val="00D250EA"/>
    <w:rsid w:val="00D548E6"/>
    <w:rsid w:val="00E1695B"/>
    <w:rsid w:val="00E46C8F"/>
    <w:rsid w:val="00E64BCD"/>
    <w:rsid w:val="00E97A59"/>
    <w:rsid w:val="00F72E67"/>
    <w:rsid w:val="00F74853"/>
    <w:rsid w:val="00F777CF"/>
    <w:rsid w:val="00F925D7"/>
    <w:rsid w:val="00FD35DE"/>
    <w:rsid w:val="048E1409"/>
    <w:rsid w:val="0DF47A59"/>
    <w:rsid w:val="0F072767"/>
    <w:rsid w:val="0F7B7C1E"/>
    <w:rsid w:val="105D2E19"/>
    <w:rsid w:val="17741830"/>
    <w:rsid w:val="18274740"/>
    <w:rsid w:val="1CAA6492"/>
    <w:rsid w:val="218600AF"/>
    <w:rsid w:val="27E71758"/>
    <w:rsid w:val="2DD13DA7"/>
    <w:rsid w:val="2F18073D"/>
    <w:rsid w:val="32C5752B"/>
    <w:rsid w:val="37ED1891"/>
    <w:rsid w:val="3DD24B1A"/>
    <w:rsid w:val="4C31583F"/>
    <w:rsid w:val="54387456"/>
    <w:rsid w:val="552011D7"/>
    <w:rsid w:val="574B2535"/>
    <w:rsid w:val="5CC90E44"/>
    <w:rsid w:val="60054045"/>
    <w:rsid w:val="64C81D4F"/>
    <w:rsid w:val="64D6308B"/>
    <w:rsid w:val="65A46629"/>
    <w:rsid w:val="67195B0B"/>
    <w:rsid w:val="69B165AA"/>
    <w:rsid w:val="6A8A2FD4"/>
    <w:rsid w:val="75334309"/>
    <w:rsid w:val="767B210E"/>
    <w:rsid w:val="774D50A1"/>
    <w:rsid w:val="780F1980"/>
    <w:rsid w:val="78576F07"/>
    <w:rsid w:val="7C12559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99"/>
    <w:rPr>
      <w:rFonts w:cs="Times New Roman"/>
      <w:b/>
    </w:rPr>
  </w:style>
  <w:style w:type="character" w:customStyle="1" w:styleId="7">
    <w:name w:val="页脚 字符"/>
    <w:link w:val="2"/>
    <w:semiHidden/>
    <w:qFormat/>
    <w:locked/>
    <w:uiPriority w:val="99"/>
    <w:rPr>
      <w:rFonts w:cs="Times New Roman"/>
      <w:kern w:val="2"/>
      <w:sz w:val="18"/>
    </w:rPr>
  </w:style>
  <w:style w:type="character" w:customStyle="1" w:styleId="8">
    <w:name w:val="页眉 字符"/>
    <w:link w:val="3"/>
    <w:semiHidden/>
    <w:qFormat/>
    <w:locked/>
    <w:uiPriority w:val="99"/>
    <w:rPr>
      <w:rFonts w:cs="Times New Roman"/>
      <w:kern w:val="2"/>
      <w:sz w:val="18"/>
    </w:rPr>
  </w:style>
  <w:style w:type="character" w:customStyle="1" w:styleId="9">
    <w:name w:val="正文文本缩进 3 Char"/>
    <w:link w:val="10"/>
    <w:semiHidden/>
    <w:qFormat/>
    <w:locked/>
    <w:uiPriority w:val="99"/>
    <w:rPr>
      <w:rFonts w:eastAsia="仿宋_GB2312" w:cs="Times New Roman"/>
      <w:kern w:val="2"/>
      <w:sz w:val="24"/>
      <w:szCs w:val="24"/>
    </w:rPr>
  </w:style>
  <w:style w:type="paragraph" w:customStyle="1" w:styleId="10">
    <w:name w:val="Body Text Indent 31"/>
    <w:basedOn w:val="1"/>
    <w:link w:val="9"/>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21"/>
    <w:qFormat/>
    <w:uiPriority w:val="99"/>
    <w:rPr>
      <w:sz w:val="18"/>
      <w:szCs w:val="20"/>
    </w:rPr>
  </w:style>
  <w:style w:type="paragraph" w:customStyle="1" w:styleId="12">
    <w:name w:val="Date1"/>
    <w:basedOn w:val="1"/>
    <w:next w:val="1"/>
    <w:qFormat/>
    <w:uiPriority w:val="99"/>
    <w:pPr>
      <w:ind w:left="100" w:leftChars="2500"/>
    </w:pPr>
  </w:style>
  <w:style w:type="paragraph" w:customStyle="1" w:styleId="13">
    <w:name w:val="Normal (Web)1"/>
    <w:basedOn w:val="1"/>
    <w:qFormat/>
    <w:uiPriority w:val="99"/>
    <w:pPr>
      <w:widowControl/>
      <w:spacing w:before="100" w:beforeAutospacing="1" w:after="100" w:afterAutospacing="1"/>
      <w:jc w:val="left"/>
    </w:pPr>
    <w:rPr>
      <w:rFonts w:ascii="宋体" w:hAnsi="宋体" w:cs="宋体"/>
      <w:kern w:val="0"/>
      <w:sz w:val="24"/>
    </w:rPr>
  </w:style>
  <w:style w:type="paragraph" w:customStyle="1" w:styleId="14">
    <w:name w:val="正文 A"/>
    <w:qFormat/>
    <w:uiPriority w:val="99"/>
    <w:pPr>
      <w:widowControl w:val="0"/>
      <w:jc w:val="both"/>
    </w:pPr>
    <w:rPr>
      <w:rFonts w:ascii="Times New Roman" w:hAnsi="Times New Roman" w:eastAsia="宋体" w:cs="Arial Unicode MS"/>
      <w:color w:val="000000"/>
      <w:kern w:val="2"/>
      <w:sz w:val="21"/>
      <w:szCs w:val="21"/>
      <w:u w:color="000000"/>
      <w:lang w:val="en-US" w:eastAsia="zh-CN" w:bidi="ar-SA"/>
    </w:rPr>
  </w:style>
  <w:style w:type="paragraph" w:customStyle="1" w:styleId="15">
    <w:name w:val="列出段落1"/>
    <w:basedOn w:val="1"/>
    <w:qFormat/>
    <w:uiPriority w:val="99"/>
    <w:pPr>
      <w:ind w:firstLine="420" w:firstLineChars="200"/>
    </w:pPr>
  </w:style>
  <w:style w:type="paragraph" w:customStyle="1" w:styleId="16">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7">
    <w:name w:val="List Paragraph1"/>
    <w:basedOn w:val="1"/>
    <w:qFormat/>
    <w:uiPriority w:val="99"/>
    <w:pPr>
      <w:ind w:firstLine="420" w:firstLineChars="200"/>
    </w:pPr>
    <w:rPr>
      <w:rFonts w:ascii="Calibri" w:hAnsi="Calibri"/>
      <w:szCs w:val="22"/>
    </w:rPr>
  </w:style>
  <w:style w:type="paragraph" w:customStyle="1" w:styleId="18">
    <w:name w:val="普通(网站)1"/>
    <w:basedOn w:val="1"/>
    <w:qFormat/>
    <w:uiPriority w:val="99"/>
    <w:rPr>
      <w:rFonts w:ascii="Calibri" w:hAnsi="Calibri" w:cs="黑体"/>
      <w:sz w:val="24"/>
    </w:rPr>
  </w:style>
  <w:style w:type="paragraph" w:customStyle="1" w:styleId="19">
    <w:name w:val="普通(网站)2"/>
    <w:basedOn w:val="1"/>
    <w:qFormat/>
    <w:uiPriority w:val="99"/>
    <w:rPr>
      <w:rFonts w:ascii="Calibri" w:hAnsi="Calibri" w:cs="黑体"/>
      <w:sz w:val="24"/>
    </w:rPr>
  </w:style>
  <w:style w:type="paragraph" w:customStyle="1" w:styleId="20">
    <w:name w:val="普通(网站)3"/>
    <w:basedOn w:val="1"/>
    <w:qFormat/>
    <w:uiPriority w:val="99"/>
    <w:rPr>
      <w:rFonts w:ascii="Calibri" w:hAnsi="Calibri" w:cs="黑体"/>
      <w:sz w:val="24"/>
    </w:rPr>
  </w:style>
  <w:style w:type="character" w:customStyle="1" w:styleId="21">
    <w:name w:val="批注框文本 Char Char Char Char"/>
    <w:link w:val="11"/>
    <w:semiHidden/>
    <w:qFormat/>
    <w:locked/>
    <w:uiPriority w:val="99"/>
    <w:rPr>
      <w:kern w:val="2"/>
      <w:sz w:val="18"/>
    </w:rPr>
  </w:style>
  <w:style w:type="character" w:customStyle="1" w:styleId="22">
    <w:name w:val="Page Number1"/>
    <w:qFormat/>
    <w:uiPriority w:val="99"/>
    <w:rPr>
      <w:rFonts w:cs="Times New Roman"/>
    </w:rPr>
  </w:style>
  <w:style w:type="paragraph" w:customStyle="1" w:styleId="23">
    <w:name w:val="p0"/>
    <w:basedOn w:val="1"/>
    <w:qFormat/>
    <w:uiPriority w:val="99"/>
    <w:pPr>
      <w:widowControl/>
    </w:pPr>
    <w:rPr>
      <w:kern w:val="0"/>
      <w:szCs w:val="21"/>
    </w:rPr>
  </w:style>
  <w:style w:type="character" w:customStyle="1" w:styleId="24">
    <w:name w:val="15"/>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34</Pages>
  <Words>2445</Words>
  <Characters>13943</Characters>
  <Lines>116</Lines>
  <Paragraphs>32</Paragraphs>
  <TotalTime>40</TotalTime>
  <ScaleCrop>false</ScaleCrop>
  <LinksUpToDate>false</LinksUpToDate>
  <CharactersWithSpaces>16356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2020-04-15T04:51:00Z</dcterms:created>
  <dc:creator>User</dc:creator>
  <cp:lastModifiedBy>A凤颜国际-张倩</cp:lastModifiedBy>
  <cp:lastPrinted>2020-03-31T01:43:00Z</cp:lastPrinted>
  <dcterms:modified xsi:type="dcterms:W3CDTF">2021-07-05T10:27:31Z</dcterms:modified>
  <dc:title>哈密地区财政局           发文稿纸</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751564775_cloud</vt:lpwstr>
  </property>
  <property fmtid="{D5CDD505-2E9C-101B-9397-08002B2CF9AE}" pid="4" name="ICV">
    <vt:lpwstr>C6D633A7BB8D4F1DB34FE89CF243C66E</vt:lpwstr>
  </property>
</Properties>
</file>