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highlight w:val="none"/>
        </w:rPr>
      </w:pPr>
      <w:bookmarkStart w:id="0" w:name="_GoBack"/>
      <w:r>
        <w:rPr>
          <w:rFonts w:hint="eastAsia"/>
          <w:color w:val="auto"/>
          <w:highlight w:val="none"/>
        </w:rPr>
        <w:t xml:space="preserve">  </w:t>
      </w:r>
    </w:p>
    <w:p>
      <w:pPr>
        <w:rPr>
          <w:color w:val="auto"/>
          <w:highlight w:val="none"/>
        </w:rPr>
      </w:pPr>
    </w:p>
    <w:p>
      <w:pPr>
        <w:widowControl/>
        <w:spacing w:before="100" w:beforeAutospacing="1" w:after="100" w:afterAutospacing="1"/>
        <w:outlineLvl w:val="1"/>
        <w:rPr>
          <w:rFonts w:ascii="黑体" w:hAnsi="黑体" w:eastAsia="黑体" w:cs="宋体"/>
          <w:color w:val="auto"/>
          <w:kern w:val="0"/>
          <w:sz w:val="32"/>
          <w:szCs w:val="32"/>
          <w:highlight w:val="none"/>
        </w:rPr>
      </w:pPr>
    </w:p>
    <w:p>
      <w:pPr>
        <w:widowControl/>
        <w:spacing w:before="100" w:beforeAutospacing="1" w:after="100" w:afterAutospacing="1"/>
        <w:outlineLvl w:val="1"/>
        <w:rPr>
          <w:rFonts w:ascii="黑体" w:hAnsi="黑体" w:eastAsia="黑体" w:cs="宋体"/>
          <w:color w:val="auto"/>
          <w:kern w:val="0"/>
          <w:sz w:val="32"/>
          <w:szCs w:val="32"/>
          <w:highlight w:val="none"/>
        </w:rPr>
      </w:pPr>
    </w:p>
    <w:p>
      <w:pPr>
        <w:widowControl/>
        <w:spacing w:before="100" w:beforeAutospacing="1" w:after="100" w:afterAutospacing="1"/>
        <w:outlineLvl w:val="1"/>
        <w:rPr>
          <w:rFonts w:ascii="宋体" w:cs="宋体"/>
          <w:b/>
          <w:bCs/>
          <w:color w:val="auto"/>
          <w:kern w:val="0"/>
          <w:sz w:val="44"/>
          <w:szCs w:val="44"/>
          <w:highlight w:val="none"/>
        </w:rPr>
      </w:pPr>
    </w:p>
    <w:p>
      <w:pPr>
        <w:widowControl/>
        <w:spacing w:before="100" w:beforeAutospacing="1" w:after="100" w:afterAutospacing="1"/>
        <w:jc w:val="center"/>
        <w:outlineLvl w:val="1"/>
        <w:rPr>
          <w:rFonts w:ascii="方正小标宋_GBK" w:hAnsi="宋体" w:eastAsia="方正小标宋_GBK"/>
          <w:color w:val="auto"/>
          <w:kern w:val="0"/>
          <w:sz w:val="44"/>
          <w:szCs w:val="44"/>
          <w:highlight w:val="none"/>
        </w:rPr>
      </w:pPr>
      <w:r>
        <w:rPr>
          <w:rFonts w:hint="eastAsia" w:ascii="方正小标宋_GBK" w:hAnsi="宋体" w:eastAsia="方正小标宋_GBK"/>
          <w:color w:val="auto"/>
          <w:kern w:val="0"/>
          <w:sz w:val="44"/>
          <w:szCs w:val="44"/>
          <w:highlight w:val="none"/>
        </w:rPr>
        <w:t>昌吉州阜康市人工影响天气办公室</w:t>
      </w:r>
      <w:r>
        <w:rPr>
          <w:rFonts w:ascii="方正小标宋_GBK" w:hAnsi="宋体" w:eastAsia="方正小标宋_GBK"/>
          <w:color w:val="auto"/>
          <w:kern w:val="0"/>
          <w:sz w:val="44"/>
          <w:szCs w:val="44"/>
          <w:highlight w:val="none"/>
        </w:rPr>
        <w:t>201</w:t>
      </w:r>
      <w:r>
        <w:rPr>
          <w:rFonts w:hint="eastAsia" w:ascii="方正小标宋_GBK" w:hAnsi="宋体" w:eastAsia="方正小标宋_GBK"/>
          <w:color w:val="auto"/>
          <w:kern w:val="0"/>
          <w:sz w:val="44"/>
          <w:szCs w:val="44"/>
          <w:highlight w:val="none"/>
        </w:rPr>
        <w:t>9年部门预算公开</w:t>
      </w: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before="100" w:beforeAutospacing="1" w:after="100" w:afterAutospacing="1"/>
        <w:jc w:val="center"/>
        <w:outlineLvl w:val="1"/>
        <w:rPr>
          <w:rFonts w:ascii="宋体"/>
          <w:b/>
          <w:color w:val="auto"/>
          <w:kern w:val="0"/>
          <w:sz w:val="44"/>
          <w:szCs w:val="44"/>
          <w:highlight w:val="none"/>
        </w:rPr>
      </w:pPr>
    </w:p>
    <w:p>
      <w:pPr>
        <w:widowControl/>
        <w:spacing w:line="500" w:lineRule="exact"/>
        <w:jc w:val="center"/>
        <w:outlineLvl w:val="1"/>
        <w:rPr>
          <w:rFonts w:ascii="黑体" w:hAnsi="黑体" w:eastAsia="黑体"/>
          <w:color w:val="auto"/>
          <w:kern w:val="0"/>
          <w:sz w:val="44"/>
          <w:szCs w:val="44"/>
          <w:highlight w:val="none"/>
        </w:rPr>
      </w:pPr>
      <w:r>
        <w:rPr>
          <w:rFonts w:hint="eastAsia" w:ascii="黑体" w:hAnsi="黑体" w:eastAsia="黑体"/>
          <w:color w:val="auto"/>
          <w:kern w:val="0"/>
          <w:sz w:val="44"/>
          <w:szCs w:val="44"/>
          <w:highlight w:val="none"/>
        </w:rPr>
        <w:t>目录</w:t>
      </w:r>
    </w:p>
    <w:p>
      <w:pPr>
        <w:widowControl/>
        <w:spacing w:line="500" w:lineRule="exact"/>
        <w:jc w:val="center"/>
        <w:outlineLvl w:val="1"/>
        <w:rPr>
          <w:rFonts w:ascii="宋体"/>
          <w:b/>
          <w:color w:val="auto"/>
          <w:kern w:val="0"/>
          <w:sz w:val="44"/>
          <w:szCs w:val="44"/>
          <w:highlight w:val="none"/>
        </w:rPr>
      </w:pP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第一部分</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阜康市人工影响天气办公室单位概况</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一、主要职能</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二、机构设置及人员情况</w:t>
      </w: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第二部分</w:t>
      </w:r>
      <w:r>
        <w:rPr>
          <w:rFonts w:ascii="仿宋_GB2312" w:hAnsi="宋体" w:eastAsia="仿宋_GB2312"/>
          <w:b/>
          <w:color w:val="auto"/>
          <w:kern w:val="0"/>
          <w:sz w:val="32"/>
          <w:szCs w:val="32"/>
          <w:highlight w:val="none"/>
        </w:rPr>
        <w:t xml:space="preserve">  </w:t>
      </w:r>
      <w:r>
        <w:rPr>
          <w:rFonts w:ascii="宋体" w:hAnsi="宋体"/>
          <w:b/>
          <w:color w:val="auto"/>
          <w:kern w:val="0"/>
          <w:sz w:val="32"/>
          <w:szCs w:val="32"/>
          <w:highlight w:val="none"/>
        </w:rPr>
        <w:t>2019</w:t>
      </w:r>
      <w:r>
        <w:rPr>
          <w:rFonts w:hint="eastAsia" w:ascii="仿宋_GB2312" w:hAnsi="宋体" w:eastAsia="仿宋_GB2312"/>
          <w:b/>
          <w:color w:val="auto"/>
          <w:kern w:val="0"/>
          <w:sz w:val="32"/>
          <w:szCs w:val="32"/>
          <w:highlight w:val="none"/>
        </w:rPr>
        <w:t>年部门预算公开表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一、部门收支总体情况表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二、部门收入总体情况表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三、部门支出总体情况表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四、财政拨款收支总体情况表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五、一般公共预算支出情况表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六、一般公共预算基本支出情况表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七、</w:t>
      </w:r>
      <w:r>
        <w:rPr>
          <w:rFonts w:hint="eastAsia" w:ascii="仿宋_GB2312" w:hAnsi="宋体" w:eastAsia="仿宋_GB2312"/>
          <w:bCs/>
          <w:color w:val="auto"/>
          <w:kern w:val="0"/>
          <w:sz w:val="32"/>
          <w:szCs w:val="32"/>
          <w:highlight w:val="none"/>
        </w:rPr>
        <w:t>项目支出情况表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八、一般公共预算“三公”经费支出情况表</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九、政府性基金预算支出情况表</w:t>
      </w: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第三部分</w:t>
      </w:r>
      <w:r>
        <w:rPr>
          <w:rFonts w:ascii="仿宋_GB2312" w:hAnsi="宋体" w:eastAsia="仿宋_GB2312"/>
          <w:b/>
          <w:color w:val="auto"/>
          <w:kern w:val="0"/>
          <w:sz w:val="32"/>
          <w:szCs w:val="32"/>
          <w:highlight w:val="none"/>
        </w:rPr>
        <w:t xml:space="preserve">  </w:t>
      </w:r>
      <w:r>
        <w:rPr>
          <w:rFonts w:ascii="宋体" w:hAnsi="宋体"/>
          <w:b/>
          <w:color w:val="auto"/>
          <w:kern w:val="0"/>
          <w:sz w:val="32"/>
          <w:szCs w:val="32"/>
          <w:highlight w:val="none"/>
        </w:rPr>
        <w:t>2019</w:t>
      </w:r>
      <w:r>
        <w:rPr>
          <w:rFonts w:hint="eastAsia" w:ascii="仿宋_GB2312" w:hAnsi="宋体" w:eastAsia="仿宋_GB2312"/>
          <w:b/>
          <w:color w:val="auto"/>
          <w:kern w:val="0"/>
          <w:sz w:val="32"/>
          <w:szCs w:val="32"/>
          <w:highlight w:val="none"/>
        </w:rPr>
        <w:t>年部门预算情况说明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一、关于阜康市人工影响天气办公室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年收支预算情况的总体说明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二、关于阜康市人工影响天气办公室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年收入预算情况说明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三、关于阜康市人工影响天气办公室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年支出预算情况说明</w:t>
      </w:r>
    </w:p>
    <w:p>
      <w:pPr>
        <w:widowControl/>
        <w:spacing w:line="460" w:lineRule="exact"/>
        <w:outlineLvl w:val="1"/>
        <w:rPr>
          <w:rFonts w:ascii="仿宋_GB2312" w:hAnsi="宋体" w:eastAsia="仿宋_GB2312"/>
          <w:bCs/>
          <w:color w:val="auto"/>
          <w:kern w:val="0"/>
          <w:sz w:val="32"/>
          <w:szCs w:val="32"/>
          <w:highlight w:val="none"/>
        </w:rPr>
      </w:pPr>
      <w:r>
        <w:rPr>
          <w:rFonts w:hint="eastAsia" w:ascii="仿宋_GB2312" w:hAnsi="宋体" w:eastAsia="仿宋_GB2312"/>
          <w:bCs/>
          <w:color w:val="auto"/>
          <w:kern w:val="0"/>
          <w:sz w:val="32"/>
          <w:szCs w:val="32"/>
          <w:highlight w:val="none"/>
        </w:rPr>
        <w:t>四、关于</w:t>
      </w:r>
      <w:r>
        <w:rPr>
          <w:rFonts w:hint="eastAsia" w:ascii="仿宋_GB2312" w:hAnsi="宋体" w:eastAsia="仿宋_GB2312"/>
          <w:color w:val="auto"/>
          <w:kern w:val="0"/>
          <w:sz w:val="32"/>
          <w:szCs w:val="32"/>
          <w:highlight w:val="none"/>
        </w:rPr>
        <w:t>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bCs/>
          <w:color w:val="auto"/>
          <w:kern w:val="0"/>
          <w:sz w:val="32"/>
          <w:szCs w:val="32"/>
          <w:highlight w:val="none"/>
        </w:rPr>
        <w:t>年财政拨款收支预算情况的总体说明</w:t>
      </w:r>
    </w:p>
    <w:p>
      <w:pPr>
        <w:widowControl/>
        <w:spacing w:line="460" w:lineRule="exact"/>
        <w:outlineLvl w:val="1"/>
        <w:rPr>
          <w:rFonts w:hint="eastAsia"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五、关于阜康市人工影响天气办公室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年一般公共预算当年拨款情况说明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六、关于阜康市人工影响天气办公室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年一般公共预算基本支出情况说明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七、关于阜康市人工影响天气办公室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年项目支出情况说明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八、关于阜康市人工影响天气办公室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年一般公共预算“三公”经费预算情况说明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九、关于阜康市人工影响天气办公室</w:t>
      </w:r>
      <w:r>
        <w:rPr>
          <w:rFonts w:ascii="仿宋_GB2312" w:hAnsi="宋体" w:eastAsia="仿宋_GB2312"/>
          <w:color w:val="auto"/>
          <w:kern w:val="0"/>
          <w:sz w:val="32"/>
          <w:szCs w:val="32"/>
          <w:highlight w:val="none"/>
        </w:rPr>
        <w:t>2019</w:t>
      </w:r>
      <w:r>
        <w:rPr>
          <w:rFonts w:hint="eastAsia" w:ascii="仿宋_GB2312" w:hAnsi="宋体" w:eastAsia="仿宋_GB2312"/>
          <w:color w:val="auto"/>
          <w:kern w:val="0"/>
          <w:sz w:val="32"/>
          <w:szCs w:val="32"/>
          <w:highlight w:val="none"/>
        </w:rPr>
        <w:t>年政府性基金预算拨款情况说明</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十、其他重要事项的情况说明</w:t>
      </w:r>
    </w:p>
    <w:p>
      <w:pPr>
        <w:widowControl/>
        <w:spacing w:line="460" w:lineRule="exac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第四部分</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名词解释</w:t>
      </w:r>
    </w:p>
    <w:p>
      <w:pPr>
        <w:widowControl/>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第一部分</w:t>
      </w:r>
      <w:r>
        <w:rPr>
          <w:rFonts w:ascii="黑体" w:hAnsi="黑体" w:eastAsia="黑体"/>
          <w:color w:val="auto"/>
          <w:kern w:val="0"/>
          <w:sz w:val="32"/>
          <w:szCs w:val="32"/>
          <w:highlight w:val="none"/>
        </w:rPr>
        <w:t xml:space="preserve">   </w:t>
      </w:r>
      <w:r>
        <w:rPr>
          <w:rFonts w:hint="eastAsia" w:ascii="黑体" w:hAnsi="黑体" w:eastAsia="黑体"/>
          <w:color w:val="auto"/>
          <w:kern w:val="0"/>
          <w:sz w:val="32"/>
          <w:szCs w:val="32"/>
          <w:highlight w:val="none"/>
        </w:rPr>
        <w:t>阜康市人工影响天气办公室</w:t>
      </w:r>
      <w:r>
        <w:rPr>
          <w:rFonts w:ascii="黑体" w:hAnsi="黑体" w:eastAsia="黑体"/>
          <w:color w:val="auto"/>
          <w:kern w:val="0"/>
          <w:sz w:val="32"/>
          <w:szCs w:val="32"/>
          <w:highlight w:val="none"/>
        </w:rPr>
        <w:t>2019</w:t>
      </w:r>
      <w:r>
        <w:rPr>
          <w:rFonts w:hint="eastAsia" w:ascii="黑体" w:hAnsi="黑体" w:eastAsia="黑体"/>
          <w:color w:val="auto"/>
          <w:kern w:val="0"/>
          <w:sz w:val="32"/>
          <w:szCs w:val="32"/>
          <w:highlight w:val="none"/>
        </w:rPr>
        <w:t>单位概况</w:t>
      </w:r>
    </w:p>
    <w:p>
      <w:pPr>
        <w:widowControl/>
        <w:jc w:val="center"/>
        <w:outlineLvl w:val="1"/>
        <w:rPr>
          <w:rFonts w:ascii="宋体"/>
          <w:b/>
          <w:color w:val="auto"/>
          <w:kern w:val="0"/>
          <w:sz w:val="32"/>
          <w:szCs w:val="32"/>
          <w:highlight w:val="none"/>
        </w:rPr>
      </w:pPr>
    </w:p>
    <w:p>
      <w:pPr>
        <w:widowControl/>
        <w:numPr>
          <w:ilvl w:val="0"/>
          <w:numId w:val="1"/>
        </w:numPr>
        <w:spacing w:line="360" w:lineRule="auto"/>
        <w:jc w:val="left"/>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主要职能</w:t>
      </w:r>
    </w:p>
    <w:p>
      <w:pPr>
        <w:spacing w:line="360" w:lineRule="auto"/>
        <w:ind w:firstLine="646" w:firstLineChars="202"/>
        <w:rPr>
          <w:rFonts w:ascii="仿宋_GB2312" w:hAnsi="宋体" w:eastAsia="仿宋_GB2312"/>
          <w:color w:val="auto"/>
          <w:sz w:val="32"/>
          <w:szCs w:val="32"/>
          <w:highlight w:val="none"/>
        </w:rPr>
      </w:pPr>
      <w:r>
        <w:rPr>
          <w:rFonts w:ascii="仿宋_GB2312" w:hAnsi="宋体" w:eastAsia="仿宋_GB2312"/>
          <w:color w:val="auto"/>
          <w:sz w:val="32"/>
          <w:szCs w:val="32"/>
          <w:highlight w:val="none"/>
        </w:rPr>
        <w:t>1</w:t>
      </w:r>
      <w:r>
        <w:rPr>
          <w:rFonts w:hint="eastAsia" w:ascii="仿宋_GB2312" w:hAnsi="宋体" w:eastAsia="仿宋_GB2312"/>
          <w:color w:val="auto"/>
          <w:sz w:val="32"/>
          <w:szCs w:val="32"/>
          <w:highlight w:val="none"/>
        </w:rPr>
        <w:t>、负责全市人工影响天气作业点的设置规划和申报，组织实施装备年检维护。</w:t>
      </w:r>
    </w:p>
    <w:p>
      <w:pPr>
        <w:spacing w:line="360" w:lineRule="auto"/>
        <w:ind w:firstLine="646" w:firstLineChars="202"/>
        <w:rPr>
          <w:rFonts w:ascii="仿宋_GB2312" w:hAnsi="宋体" w:eastAsia="仿宋_GB2312"/>
          <w:color w:val="auto"/>
          <w:sz w:val="32"/>
          <w:szCs w:val="32"/>
          <w:highlight w:val="none"/>
        </w:rPr>
      </w:pPr>
      <w:r>
        <w:rPr>
          <w:rFonts w:ascii="仿宋_GB2312" w:hAnsi="宋体" w:eastAsia="仿宋_GB2312"/>
          <w:color w:val="auto"/>
          <w:sz w:val="32"/>
          <w:szCs w:val="32"/>
          <w:highlight w:val="none"/>
        </w:rPr>
        <w:t>2</w:t>
      </w:r>
      <w:r>
        <w:rPr>
          <w:rFonts w:hint="eastAsia" w:ascii="仿宋_GB2312" w:hAnsi="宋体" w:eastAsia="仿宋_GB2312"/>
          <w:color w:val="auto"/>
          <w:sz w:val="32"/>
          <w:szCs w:val="32"/>
          <w:highlight w:val="none"/>
        </w:rPr>
        <w:t>、负责全市人工影响天气装备和弹药的计划、采购、调拨、报废及储存管理，建立装备和弹药登记台账。</w:t>
      </w:r>
    </w:p>
    <w:p>
      <w:pPr>
        <w:spacing w:line="360" w:lineRule="auto"/>
        <w:ind w:firstLine="646" w:firstLineChars="202"/>
        <w:rPr>
          <w:rFonts w:ascii="仿宋_GB2312" w:hAnsi="宋体" w:eastAsia="仿宋_GB2312"/>
          <w:color w:val="auto"/>
          <w:sz w:val="32"/>
          <w:szCs w:val="32"/>
          <w:highlight w:val="none"/>
        </w:rPr>
      </w:pPr>
      <w:r>
        <w:rPr>
          <w:rFonts w:ascii="仿宋_GB2312" w:hAnsi="宋体" w:eastAsia="仿宋_GB2312"/>
          <w:color w:val="auto"/>
          <w:sz w:val="32"/>
          <w:szCs w:val="32"/>
          <w:highlight w:val="none"/>
        </w:rPr>
        <w:t>3</w:t>
      </w:r>
      <w:r>
        <w:rPr>
          <w:rFonts w:hint="eastAsia" w:ascii="仿宋_GB2312" w:hAnsi="宋体" w:eastAsia="仿宋_GB2312"/>
          <w:color w:val="auto"/>
          <w:sz w:val="32"/>
          <w:szCs w:val="32"/>
          <w:highlight w:val="none"/>
        </w:rPr>
        <w:t>、负责组织本市作业人员参加全市人工影响天气有关会议及作业人员培训工作。</w:t>
      </w:r>
    </w:p>
    <w:p>
      <w:pPr>
        <w:spacing w:line="360" w:lineRule="auto"/>
        <w:ind w:firstLine="646" w:firstLineChars="202"/>
        <w:rPr>
          <w:rFonts w:ascii="仿宋_GB2312" w:hAnsi="宋体" w:eastAsia="仿宋_GB2312"/>
          <w:color w:val="auto"/>
          <w:sz w:val="32"/>
          <w:szCs w:val="32"/>
          <w:highlight w:val="none"/>
        </w:rPr>
      </w:pPr>
      <w:r>
        <w:rPr>
          <w:rFonts w:ascii="仿宋_GB2312" w:hAnsi="宋体" w:eastAsia="仿宋_GB2312"/>
          <w:color w:val="auto"/>
          <w:sz w:val="32"/>
          <w:szCs w:val="32"/>
          <w:highlight w:val="none"/>
        </w:rPr>
        <w:t>4</w:t>
      </w:r>
      <w:r>
        <w:rPr>
          <w:rFonts w:hint="eastAsia" w:ascii="仿宋_GB2312" w:hAnsi="宋体" w:eastAsia="仿宋_GB2312"/>
          <w:color w:val="auto"/>
          <w:sz w:val="32"/>
          <w:szCs w:val="32"/>
          <w:highlight w:val="none"/>
        </w:rPr>
        <w:t>、发布本市人工影响天气作业信息，组织开展人工影响天气（联合）作业，进行作业效果评估。</w:t>
      </w:r>
    </w:p>
    <w:p>
      <w:pPr>
        <w:spacing w:line="360" w:lineRule="auto"/>
        <w:ind w:firstLine="646" w:firstLineChars="202"/>
        <w:rPr>
          <w:rFonts w:ascii="仿宋_GB2312" w:hAnsi="宋体" w:eastAsia="仿宋_GB2312"/>
          <w:color w:val="auto"/>
          <w:sz w:val="32"/>
          <w:szCs w:val="32"/>
          <w:highlight w:val="none"/>
        </w:rPr>
      </w:pPr>
      <w:r>
        <w:rPr>
          <w:rFonts w:ascii="仿宋_GB2312" w:hAnsi="宋体" w:eastAsia="仿宋_GB2312"/>
          <w:color w:val="auto"/>
          <w:sz w:val="32"/>
          <w:szCs w:val="32"/>
          <w:highlight w:val="none"/>
        </w:rPr>
        <w:t>5</w:t>
      </w:r>
      <w:r>
        <w:rPr>
          <w:rFonts w:hint="eastAsia" w:ascii="仿宋_GB2312" w:hAnsi="宋体" w:eastAsia="仿宋_GB2312"/>
          <w:color w:val="auto"/>
          <w:sz w:val="32"/>
          <w:szCs w:val="32"/>
          <w:highlight w:val="none"/>
        </w:rPr>
        <w:t>、承担人工影响天气业务的科学研究及新技术新项目的开发应用任务。</w:t>
      </w:r>
    </w:p>
    <w:p>
      <w:pPr>
        <w:spacing w:line="360" w:lineRule="auto"/>
        <w:ind w:firstLine="646" w:firstLineChars="202"/>
        <w:rPr>
          <w:rFonts w:ascii="仿宋_GB2312" w:hAnsi="宋体" w:eastAsia="仿宋_GB2312"/>
          <w:color w:val="auto"/>
          <w:sz w:val="32"/>
          <w:szCs w:val="32"/>
          <w:highlight w:val="none"/>
        </w:rPr>
      </w:pPr>
      <w:r>
        <w:rPr>
          <w:rFonts w:ascii="仿宋_GB2312" w:hAnsi="宋体" w:eastAsia="仿宋_GB2312"/>
          <w:color w:val="auto"/>
          <w:sz w:val="32"/>
          <w:szCs w:val="32"/>
          <w:highlight w:val="none"/>
        </w:rPr>
        <w:t>6</w:t>
      </w:r>
      <w:r>
        <w:rPr>
          <w:rFonts w:hint="eastAsia" w:ascii="仿宋_GB2312" w:hAnsi="宋体" w:eastAsia="仿宋_GB2312"/>
          <w:color w:val="auto"/>
          <w:sz w:val="32"/>
          <w:szCs w:val="32"/>
          <w:highlight w:val="none"/>
        </w:rPr>
        <w:t>、归口管理全市人影安全生产工作。</w:t>
      </w:r>
    </w:p>
    <w:p>
      <w:pPr>
        <w:spacing w:line="360" w:lineRule="auto"/>
        <w:ind w:firstLine="646" w:firstLineChars="202"/>
        <w:rPr>
          <w:rFonts w:ascii="仿宋_GB2312" w:hAnsi="宋体" w:eastAsia="仿宋_GB2312"/>
          <w:color w:val="auto"/>
          <w:sz w:val="32"/>
          <w:szCs w:val="32"/>
          <w:highlight w:val="none"/>
        </w:rPr>
      </w:pPr>
      <w:r>
        <w:rPr>
          <w:rFonts w:ascii="仿宋_GB2312" w:hAnsi="宋体" w:eastAsia="仿宋_GB2312"/>
          <w:color w:val="auto"/>
          <w:sz w:val="32"/>
          <w:szCs w:val="32"/>
          <w:highlight w:val="none"/>
        </w:rPr>
        <w:t>7</w:t>
      </w:r>
      <w:r>
        <w:rPr>
          <w:rFonts w:hint="eastAsia" w:ascii="仿宋_GB2312" w:hAnsi="宋体" w:eastAsia="仿宋_GB2312"/>
          <w:color w:val="auto"/>
          <w:sz w:val="32"/>
          <w:szCs w:val="32"/>
          <w:highlight w:val="none"/>
        </w:rPr>
        <w:t>、承办局领导和上级交办的其他工作。</w:t>
      </w:r>
    </w:p>
    <w:p>
      <w:pPr>
        <w:widowControl/>
        <w:numPr>
          <w:ilvl w:val="0"/>
          <w:numId w:val="1"/>
        </w:numPr>
        <w:spacing w:line="360" w:lineRule="auto"/>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机构设置及人员情况</w:t>
      </w:r>
    </w:p>
    <w:p>
      <w:pPr>
        <w:spacing w:line="360" w:lineRule="auto"/>
        <w:ind w:firstLine="648"/>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阜康市人工影响天气办公室无下属预算单位，下设0个处室。</w:t>
      </w:r>
    </w:p>
    <w:p>
      <w:pPr>
        <w:widowControl/>
        <w:spacing w:line="360" w:lineRule="auto"/>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阜康市</w:t>
      </w:r>
      <w:r>
        <w:rPr>
          <w:rFonts w:hint="eastAsia" w:ascii="仿宋_GB2312" w:hAnsi="宋体" w:eastAsia="仿宋_GB2312"/>
          <w:color w:val="auto"/>
          <w:sz w:val="32"/>
          <w:szCs w:val="32"/>
          <w:highlight w:val="none"/>
        </w:rPr>
        <w:t>人工影响天气办公室事业</w:t>
      </w:r>
      <w:r>
        <w:rPr>
          <w:rFonts w:hint="eastAsia" w:ascii="仿宋_GB2312" w:hAnsi="宋体" w:eastAsia="仿宋_GB2312" w:cs="宋体"/>
          <w:color w:val="auto"/>
          <w:kern w:val="0"/>
          <w:sz w:val="32"/>
          <w:szCs w:val="32"/>
          <w:highlight w:val="none"/>
        </w:rPr>
        <w:t>编制数</w:t>
      </w:r>
      <w:r>
        <w:rPr>
          <w:rFonts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rPr>
        <w:t>人，实有人数</w:t>
      </w: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人，其中：在职</w:t>
      </w: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人，增加</w:t>
      </w: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人；退休</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人，增加</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人；离休</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人，增加</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人。</w:t>
      </w: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line="360" w:lineRule="auto"/>
        <w:jc w:val="left"/>
        <w:rPr>
          <w:rFonts w:ascii="仿宋_GB2312" w:hAnsi="宋体" w:eastAsia="仿宋_GB2312" w:cs="宋体"/>
          <w:color w:val="auto"/>
          <w:kern w:val="0"/>
          <w:sz w:val="32"/>
          <w:szCs w:val="32"/>
          <w:highlight w:val="none"/>
        </w:rPr>
      </w:pP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第二部分</w:t>
      </w:r>
      <w:r>
        <w:rPr>
          <w:rFonts w:ascii="黑体" w:hAnsi="黑体" w:eastAsia="黑体"/>
          <w:color w:val="auto"/>
          <w:kern w:val="0"/>
          <w:sz w:val="32"/>
          <w:szCs w:val="32"/>
          <w:highlight w:val="none"/>
        </w:rPr>
        <w:t xml:space="preserve">  2019</w:t>
      </w:r>
      <w:r>
        <w:rPr>
          <w:rFonts w:hint="eastAsia" w:ascii="黑体" w:hAnsi="黑体" w:eastAsia="黑体"/>
          <w:color w:val="auto"/>
          <w:kern w:val="0"/>
          <w:sz w:val="32"/>
          <w:szCs w:val="32"/>
          <w:highlight w:val="none"/>
        </w:rPr>
        <w:t>年部门预算公开表</w:t>
      </w:r>
    </w:p>
    <w:p>
      <w:pPr>
        <w:widowControl/>
        <w:spacing w:beforeLines="50"/>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表一：</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部门收支总体情况表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编制部门：阜康市人工影响天气办公室</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r>
        <w:rPr>
          <w:rFonts w:ascii="仿宋_GB2312" w:hAnsi="宋体" w:eastAsia="仿宋_GB2312"/>
          <w:color w:val="auto"/>
          <w:kern w:val="0"/>
          <w:sz w:val="24"/>
          <w:highlight w:val="none"/>
        </w:rPr>
        <w:t xml:space="preserve">                        </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收</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支</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项</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201 </w:t>
            </w:r>
            <w:r>
              <w:rPr>
                <w:rFonts w:hint="eastAsia" w:ascii="仿宋_GB2312" w:hAnsi="宋体" w:eastAsia="仿宋_GB2312" w:cs="宋体"/>
                <w:color w:val="auto"/>
                <w:kern w:val="0"/>
                <w:sz w:val="18"/>
                <w:szCs w:val="18"/>
                <w:highlight w:val="none"/>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202 </w:t>
            </w:r>
            <w:r>
              <w:rPr>
                <w:rFonts w:hint="eastAsia" w:ascii="仿宋_GB2312" w:hAnsi="宋体" w:eastAsia="仿宋_GB2312" w:cs="宋体"/>
                <w:color w:val="auto"/>
                <w:kern w:val="0"/>
                <w:sz w:val="18"/>
                <w:szCs w:val="18"/>
                <w:highlight w:val="none"/>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203 </w:t>
            </w:r>
            <w:r>
              <w:rPr>
                <w:rFonts w:hint="eastAsia" w:ascii="仿宋_GB2312" w:hAnsi="宋体" w:eastAsia="仿宋_GB2312" w:cs="宋体"/>
                <w:color w:val="auto"/>
                <w:kern w:val="0"/>
                <w:sz w:val="18"/>
                <w:szCs w:val="18"/>
                <w:highlight w:val="none"/>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7"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204 </w:t>
            </w:r>
            <w:r>
              <w:rPr>
                <w:rFonts w:hint="eastAsia" w:ascii="仿宋_GB2312" w:hAnsi="宋体" w:eastAsia="仿宋_GB2312" w:cs="宋体"/>
                <w:color w:val="auto"/>
                <w:kern w:val="0"/>
                <w:sz w:val="18"/>
                <w:szCs w:val="18"/>
                <w:highlight w:val="none"/>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205 </w:t>
            </w:r>
            <w:r>
              <w:rPr>
                <w:rFonts w:hint="eastAsia" w:ascii="仿宋_GB2312" w:hAnsi="宋体" w:eastAsia="仿宋_GB2312" w:cs="宋体"/>
                <w:color w:val="auto"/>
                <w:kern w:val="0"/>
                <w:sz w:val="18"/>
                <w:szCs w:val="18"/>
                <w:highlight w:val="none"/>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206 </w:t>
            </w:r>
            <w:r>
              <w:rPr>
                <w:rFonts w:hint="eastAsia" w:ascii="仿宋_GB2312" w:hAnsi="宋体" w:eastAsia="仿宋_GB2312" w:cs="宋体"/>
                <w:color w:val="auto"/>
                <w:kern w:val="0"/>
                <w:sz w:val="18"/>
                <w:szCs w:val="18"/>
                <w:highlight w:val="none"/>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207 </w:t>
            </w:r>
            <w:r>
              <w:rPr>
                <w:rFonts w:hint="eastAsia" w:ascii="仿宋_GB2312" w:hAnsi="宋体" w:eastAsia="仿宋_GB2312" w:cs="宋体"/>
                <w:color w:val="auto"/>
                <w:kern w:val="0"/>
                <w:sz w:val="18"/>
                <w:szCs w:val="18"/>
                <w:highlight w:val="none"/>
              </w:rPr>
              <w:t>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208 </w:t>
            </w:r>
            <w:r>
              <w:rPr>
                <w:rFonts w:hint="eastAsia" w:ascii="仿宋_GB2312" w:hAnsi="宋体" w:eastAsia="仿宋_GB2312" w:cs="宋体"/>
                <w:color w:val="auto"/>
                <w:kern w:val="0"/>
                <w:sz w:val="18"/>
                <w:szCs w:val="18"/>
                <w:highlight w:val="none"/>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209 </w:t>
            </w:r>
            <w:r>
              <w:rPr>
                <w:rFonts w:hint="eastAsia" w:ascii="仿宋_GB2312" w:hAnsi="宋体" w:eastAsia="仿宋_GB2312" w:cs="宋体"/>
                <w:color w:val="auto"/>
                <w:kern w:val="0"/>
                <w:sz w:val="18"/>
                <w:szCs w:val="18"/>
                <w:highlight w:val="none"/>
              </w:rPr>
              <w:t>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210 </w:t>
            </w:r>
            <w:r>
              <w:rPr>
                <w:rFonts w:hint="eastAsia" w:ascii="仿宋_GB2312" w:hAnsi="宋体" w:eastAsia="仿宋_GB2312" w:cs="宋体"/>
                <w:color w:val="auto"/>
                <w:kern w:val="0"/>
                <w:sz w:val="18"/>
                <w:szCs w:val="18"/>
                <w:highlight w:val="none"/>
              </w:rPr>
              <w:t>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0.72</w:t>
            </w: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211 </w:t>
            </w:r>
            <w:r>
              <w:rPr>
                <w:rFonts w:hint="eastAsia" w:ascii="仿宋_GB2312" w:hAnsi="宋体" w:eastAsia="仿宋_GB2312" w:cs="宋体"/>
                <w:color w:val="auto"/>
                <w:kern w:val="0"/>
                <w:sz w:val="18"/>
                <w:szCs w:val="18"/>
                <w:highlight w:val="none"/>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212 </w:t>
            </w:r>
            <w:r>
              <w:rPr>
                <w:rFonts w:hint="eastAsia" w:ascii="仿宋_GB2312" w:hAnsi="宋体" w:eastAsia="仿宋_GB2312" w:cs="宋体"/>
                <w:color w:val="auto"/>
                <w:kern w:val="0"/>
                <w:sz w:val="18"/>
                <w:szCs w:val="18"/>
                <w:highlight w:val="none"/>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213 </w:t>
            </w:r>
            <w:r>
              <w:rPr>
                <w:rFonts w:hint="eastAsia" w:ascii="仿宋_GB2312" w:hAnsi="宋体" w:eastAsia="仿宋_GB2312" w:cs="宋体"/>
                <w:color w:val="auto"/>
                <w:kern w:val="0"/>
                <w:sz w:val="18"/>
                <w:szCs w:val="18"/>
                <w:highlight w:val="none"/>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214 </w:t>
            </w:r>
            <w:r>
              <w:rPr>
                <w:rFonts w:hint="eastAsia" w:ascii="仿宋_GB2312" w:hAnsi="宋体" w:eastAsia="仿宋_GB2312" w:cs="宋体"/>
                <w:color w:val="auto"/>
                <w:kern w:val="0"/>
                <w:sz w:val="18"/>
                <w:szCs w:val="18"/>
                <w:highlight w:val="none"/>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215 </w:t>
            </w:r>
            <w:r>
              <w:rPr>
                <w:rFonts w:hint="eastAsia" w:ascii="仿宋_GB2312" w:hAnsi="宋体" w:eastAsia="仿宋_GB2312" w:cs="宋体"/>
                <w:color w:val="auto"/>
                <w:kern w:val="0"/>
                <w:sz w:val="18"/>
                <w:szCs w:val="18"/>
                <w:highlight w:val="none"/>
              </w:rPr>
              <w:t>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216 </w:t>
            </w:r>
            <w:r>
              <w:rPr>
                <w:rFonts w:hint="eastAsia" w:ascii="仿宋_GB2312" w:hAnsi="宋体" w:eastAsia="仿宋_GB2312" w:cs="宋体"/>
                <w:color w:val="auto"/>
                <w:kern w:val="0"/>
                <w:sz w:val="18"/>
                <w:szCs w:val="18"/>
                <w:highlight w:val="none"/>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217 </w:t>
            </w:r>
            <w:r>
              <w:rPr>
                <w:rFonts w:hint="eastAsia" w:ascii="仿宋_GB2312" w:hAnsi="宋体" w:eastAsia="仿宋_GB2312" w:cs="宋体"/>
                <w:color w:val="auto"/>
                <w:kern w:val="0"/>
                <w:sz w:val="18"/>
                <w:szCs w:val="18"/>
                <w:highlight w:val="none"/>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219 </w:t>
            </w:r>
            <w:r>
              <w:rPr>
                <w:rFonts w:hint="eastAsia" w:ascii="仿宋_GB2312" w:hAnsi="宋体" w:eastAsia="仿宋_GB2312" w:cs="宋体"/>
                <w:color w:val="auto"/>
                <w:kern w:val="0"/>
                <w:sz w:val="18"/>
                <w:szCs w:val="18"/>
                <w:highlight w:val="none"/>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220 </w:t>
            </w:r>
            <w:r>
              <w:rPr>
                <w:rFonts w:hint="eastAsia" w:ascii="仿宋_GB2312" w:hAnsi="宋体" w:eastAsia="仿宋_GB2312" w:cs="宋体"/>
                <w:color w:val="auto"/>
                <w:kern w:val="0"/>
                <w:sz w:val="18"/>
                <w:szCs w:val="18"/>
                <w:highlight w:val="none"/>
              </w:rPr>
              <w:t>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8.57</w:t>
            </w: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221 </w:t>
            </w:r>
            <w:r>
              <w:rPr>
                <w:rFonts w:hint="eastAsia" w:ascii="仿宋_GB2312" w:hAnsi="宋体" w:eastAsia="仿宋_GB2312" w:cs="宋体"/>
                <w:color w:val="auto"/>
                <w:kern w:val="0"/>
                <w:sz w:val="18"/>
                <w:szCs w:val="18"/>
                <w:highlight w:val="none"/>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0.81</w:t>
            </w: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222 </w:t>
            </w:r>
            <w:r>
              <w:rPr>
                <w:rFonts w:hint="eastAsia" w:ascii="仿宋_GB2312" w:hAnsi="宋体" w:eastAsia="仿宋_GB2312" w:cs="宋体"/>
                <w:color w:val="auto"/>
                <w:kern w:val="0"/>
                <w:sz w:val="18"/>
                <w:szCs w:val="18"/>
                <w:highlight w:val="none"/>
              </w:rPr>
              <w:t>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223 </w:t>
            </w:r>
            <w:r>
              <w:rPr>
                <w:rFonts w:hint="eastAsia" w:ascii="仿宋_GB2312" w:hAnsi="宋体" w:eastAsia="仿宋_GB2312" w:cs="宋体"/>
                <w:color w:val="auto"/>
                <w:kern w:val="0"/>
                <w:sz w:val="18"/>
                <w:szCs w:val="18"/>
                <w:highlight w:val="none"/>
              </w:rPr>
              <w:t>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227 </w:t>
            </w:r>
            <w:r>
              <w:rPr>
                <w:rFonts w:hint="eastAsia" w:ascii="仿宋_GB2312" w:hAnsi="宋体" w:eastAsia="仿宋_GB2312" w:cs="宋体"/>
                <w:color w:val="auto"/>
                <w:kern w:val="0"/>
                <w:sz w:val="18"/>
                <w:szCs w:val="18"/>
                <w:highlight w:val="none"/>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229 </w:t>
            </w:r>
            <w:r>
              <w:rPr>
                <w:rFonts w:hint="eastAsia" w:ascii="仿宋_GB2312" w:hAnsi="宋体" w:eastAsia="仿宋_GB2312" w:cs="宋体"/>
                <w:color w:val="auto"/>
                <w:kern w:val="0"/>
                <w:sz w:val="18"/>
                <w:szCs w:val="18"/>
                <w:highlight w:val="none"/>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231 </w:t>
            </w:r>
            <w:r>
              <w:rPr>
                <w:rFonts w:hint="eastAsia" w:ascii="仿宋_GB2312" w:hAnsi="宋体" w:eastAsia="仿宋_GB2312" w:cs="宋体"/>
                <w:color w:val="auto"/>
                <w:kern w:val="0"/>
                <w:sz w:val="18"/>
                <w:szCs w:val="18"/>
                <w:highlight w:val="none"/>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232 </w:t>
            </w:r>
            <w:r>
              <w:rPr>
                <w:rFonts w:hint="eastAsia" w:ascii="仿宋_GB2312" w:hAnsi="宋体" w:eastAsia="仿宋_GB2312" w:cs="宋体"/>
                <w:color w:val="auto"/>
                <w:kern w:val="0"/>
                <w:sz w:val="18"/>
                <w:szCs w:val="18"/>
                <w:highlight w:val="none"/>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233 </w:t>
            </w:r>
            <w:r>
              <w:rPr>
                <w:rFonts w:hint="eastAsia" w:ascii="仿宋_GB2312" w:hAnsi="宋体" w:eastAsia="仿宋_GB2312" w:cs="宋体"/>
                <w:color w:val="auto"/>
                <w:kern w:val="0"/>
                <w:sz w:val="18"/>
                <w:szCs w:val="18"/>
                <w:highlight w:val="none"/>
              </w:rPr>
              <w:t>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10.1</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r>
              <w:rPr>
                <w:rFonts w:ascii="仿宋_GB2312" w:hAnsi="宋体" w:eastAsia="仿宋_GB2312" w:cs="宋体"/>
                <w:color w:val="auto"/>
                <w:kern w:val="0"/>
                <w:sz w:val="18"/>
                <w:szCs w:val="18"/>
                <w:highlight w:val="none"/>
              </w:rPr>
              <w:t>10.1</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 xml:space="preserve">230 </w:t>
            </w:r>
            <w:r>
              <w:rPr>
                <w:rFonts w:hint="eastAsia" w:ascii="仿宋_GB2312" w:hAnsi="宋体" w:eastAsia="仿宋_GB2312" w:cs="宋体"/>
                <w:color w:val="auto"/>
                <w:kern w:val="0"/>
                <w:sz w:val="20"/>
                <w:szCs w:val="20"/>
                <w:highlight w:val="none"/>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收</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入</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仿宋_GB2312" w:hAnsi="宋体" w:eastAsia="仿宋_GB2312" w:cs="宋体"/>
                <w:color w:val="auto"/>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支</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出</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合</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仿宋_GB2312" w:hAnsi="宋体" w:eastAsia="仿宋_GB2312" w:cs="宋体"/>
                <w:color w:val="auto"/>
                <w:kern w:val="0"/>
                <w:sz w:val="18"/>
                <w:szCs w:val="18"/>
                <w:highlight w:val="none"/>
              </w:rPr>
              <w:t>　</w:t>
            </w:r>
          </w:p>
        </w:tc>
      </w:tr>
    </w:tbl>
    <w:p>
      <w:pPr>
        <w:widowControl/>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表二：</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部门收入总体情况表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填报部门：阜康市人工影响天气办公室</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r>
        <w:rPr>
          <w:rFonts w:ascii="仿宋_GB2312" w:hAnsi="宋体" w:eastAsia="仿宋_GB2312"/>
          <w:color w:val="auto"/>
          <w:kern w:val="0"/>
          <w:sz w:val="24"/>
          <w:highlight w:val="none"/>
        </w:rPr>
        <w:t xml:space="preserve">                    </w:t>
      </w:r>
    </w:p>
    <w:tbl>
      <w:tblPr>
        <w:tblStyle w:val="7"/>
        <w:tblW w:w="9654" w:type="dxa"/>
        <w:tblInd w:w="93" w:type="dxa"/>
        <w:tblLayout w:type="fixed"/>
        <w:tblCellMar>
          <w:top w:w="0" w:type="dxa"/>
          <w:left w:w="108" w:type="dxa"/>
          <w:bottom w:w="0" w:type="dxa"/>
          <w:right w:w="108" w:type="dxa"/>
        </w:tblCellMar>
      </w:tblPr>
      <w:tblGrid>
        <w:gridCol w:w="555"/>
        <w:gridCol w:w="540"/>
        <w:gridCol w:w="540"/>
        <w:gridCol w:w="1761"/>
        <w:gridCol w:w="820"/>
        <w:gridCol w:w="839"/>
        <w:gridCol w:w="521"/>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63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功能分类科目编码</w:t>
            </w:r>
          </w:p>
        </w:tc>
        <w:tc>
          <w:tcPr>
            <w:tcW w:w="176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总</w:t>
            </w:r>
            <w:r>
              <w:rPr>
                <w:rFonts w:ascii="仿宋_GB2312" w:eastAsia="仿宋_GB2312"/>
                <w:b/>
                <w:color w:val="auto"/>
                <w:sz w:val="20"/>
                <w:szCs w:val="20"/>
                <w:highlight w:val="none"/>
              </w:rPr>
              <w:t xml:space="preserve">  </w:t>
            </w:r>
            <w:r>
              <w:rPr>
                <w:rFonts w:hint="eastAsia" w:ascii="仿宋_GB2312" w:eastAsia="仿宋_GB2312"/>
                <w:b/>
                <w:color w:val="auto"/>
                <w:sz w:val="20"/>
                <w:szCs w:val="20"/>
                <w:highlight w:val="none"/>
              </w:rPr>
              <w:t>计</w:t>
            </w:r>
          </w:p>
        </w:tc>
        <w:tc>
          <w:tcPr>
            <w:tcW w:w="83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一般公共预算拨款</w:t>
            </w:r>
          </w:p>
        </w:tc>
        <w:tc>
          <w:tcPr>
            <w:tcW w:w="52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auto"/>
                <w:sz w:val="18"/>
                <w:szCs w:val="18"/>
                <w:highlight w:val="none"/>
              </w:rPr>
            </w:pPr>
            <w:r>
              <w:rPr>
                <w:rFonts w:hint="eastAsia" w:ascii="仿宋_GB2312" w:eastAsia="仿宋_GB2312"/>
                <w:b/>
                <w:color w:val="auto"/>
                <w:sz w:val="18"/>
                <w:szCs w:val="18"/>
                <w:highlight w:val="none"/>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类</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款</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auto"/>
                <w:sz w:val="20"/>
                <w:szCs w:val="20"/>
                <w:highlight w:val="none"/>
              </w:rPr>
            </w:pPr>
            <w:r>
              <w:rPr>
                <w:rFonts w:hint="eastAsia" w:ascii="仿宋_GB2312" w:eastAsia="仿宋_GB2312"/>
                <w:b/>
                <w:color w:val="auto"/>
                <w:sz w:val="20"/>
                <w:szCs w:val="20"/>
                <w:highlight w:val="none"/>
              </w:rPr>
              <w:t>项</w:t>
            </w:r>
          </w:p>
        </w:tc>
        <w:tc>
          <w:tcPr>
            <w:tcW w:w="176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83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52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auto"/>
                <w:sz w:val="20"/>
                <w:szCs w:val="20"/>
                <w:highlight w:val="none"/>
              </w:rPr>
            </w:pP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220</w:t>
            </w: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行政运行</w:t>
            </w:r>
          </w:p>
        </w:tc>
        <w:tc>
          <w:tcPr>
            <w:tcW w:w="82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8.57</w:t>
            </w:r>
          </w:p>
        </w:tc>
        <w:tc>
          <w:tcPr>
            <w:tcW w:w="839"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8.57</w:t>
            </w:r>
          </w:p>
        </w:tc>
        <w:tc>
          <w:tcPr>
            <w:tcW w:w="52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r>
              <w:rPr>
                <w:rFonts w:hint="eastAsia" w:ascii="仿宋_GB2312" w:eastAsia="仿宋_GB2312"/>
                <w:color w:val="auto"/>
                <w:sz w:val="16"/>
                <w:szCs w:val="16"/>
                <w:highlight w:val="none"/>
              </w:rPr>
              <w:t>　</w:t>
            </w:r>
          </w:p>
        </w:tc>
        <w:tc>
          <w:tcPr>
            <w:tcW w:w="1761" w:type="dxa"/>
            <w:tcBorders>
              <w:top w:val="nil"/>
              <w:left w:val="nil"/>
              <w:bottom w:val="single" w:color="auto" w:sz="4" w:space="0"/>
              <w:right w:val="single" w:color="auto" w:sz="4" w:space="0"/>
            </w:tcBorders>
            <w:vAlign w:val="center"/>
          </w:tcPr>
          <w:p>
            <w:pPr>
              <w:jc w:val="left"/>
              <w:rPr>
                <w:rFonts w:ascii="仿宋_GB2312" w:eastAsia="仿宋_GB2312"/>
                <w:color w:val="auto"/>
                <w:sz w:val="20"/>
                <w:szCs w:val="20"/>
                <w:highlight w:val="none"/>
              </w:rPr>
            </w:pPr>
            <w:r>
              <w:rPr>
                <w:rFonts w:hint="eastAsia" w:ascii="仿宋_GB2312" w:eastAsia="仿宋_GB2312"/>
                <w:color w:val="auto"/>
                <w:sz w:val="20"/>
                <w:szCs w:val="20"/>
                <w:highlight w:val="none"/>
              </w:rPr>
              <w:t>事业单位医疗</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03</w:t>
            </w:r>
            <w:r>
              <w:rPr>
                <w:rFonts w:hint="eastAsia" w:ascii="仿宋_GB2312" w:eastAsia="仿宋_GB2312"/>
                <w:color w:val="auto"/>
                <w:sz w:val="16"/>
                <w:szCs w:val="16"/>
                <w:highlight w:val="none"/>
              </w:rPr>
              <w:t>　</w:t>
            </w:r>
          </w:p>
        </w:tc>
        <w:tc>
          <w:tcPr>
            <w:tcW w:w="1761" w:type="dxa"/>
            <w:tcBorders>
              <w:top w:val="nil"/>
              <w:left w:val="nil"/>
              <w:bottom w:val="single" w:color="auto" w:sz="4" w:space="0"/>
              <w:right w:val="single" w:color="auto" w:sz="4" w:space="0"/>
            </w:tcBorders>
            <w:vAlign w:val="center"/>
          </w:tcPr>
          <w:p>
            <w:pPr>
              <w:jc w:val="left"/>
              <w:rPr>
                <w:rFonts w:ascii="仿宋_GB2312" w:eastAsia="仿宋_GB2312"/>
                <w:color w:val="auto"/>
                <w:sz w:val="20"/>
                <w:szCs w:val="20"/>
                <w:highlight w:val="none"/>
              </w:rPr>
            </w:pPr>
            <w:r>
              <w:rPr>
                <w:rFonts w:hint="eastAsia" w:ascii="仿宋_GB2312" w:eastAsia="仿宋_GB2312"/>
                <w:color w:val="auto"/>
                <w:sz w:val="20"/>
                <w:szCs w:val="20"/>
                <w:highlight w:val="none"/>
              </w:rPr>
              <w:t>公务员医疗补助</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0.22</w:t>
            </w: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0.22</w:t>
            </w: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221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r>
              <w:rPr>
                <w:rFonts w:hint="eastAsia" w:ascii="仿宋_GB2312" w:eastAsia="仿宋_GB2312"/>
                <w:color w:val="auto"/>
                <w:sz w:val="16"/>
                <w:szCs w:val="16"/>
                <w:highlight w:val="none"/>
              </w:rPr>
              <w:t>　</w:t>
            </w:r>
          </w:p>
        </w:tc>
        <w:tc>
          <w:tcPr>
            <w:tcW w:w="1761" w:type="dxa"/>
            <w:tcBorders>
              <w:top w:val="nil"/>
              <w:left w:val="nil"/>
              <w:bottom w:val="single" w:color="auto" w:sz="4" w:space="0"/>
              <w:right w:val="single" w:color="auto" w:sz="4" w:space="0"/>
            </w:tcBorders>
            <w:vAlign w:val="center"/>
          </w:tcPr>
          <w:p>
            <w:pPr>
              <w:jc w:val="left"/>
              <w:rPr>
                <w:rFonts w:ascii="仿宋_GB2312" w:eastAsia="仿宋_GB2312"/>
                <w:color w:val="auto"/>
                <w:sz w:val="20"/>
                <w:szCs w:val="20"/>
                <w:highlight w:val="none"/>
              </w:rPr>
            </w:pPr>
            <w:r>
              <w:rPr>
                <w:rFonts w:hint="eastAsia" w:ascii="仿宋_GB2312" w:eastAsia="仿宋_GB2312"/>
                <w:color w:val="auto"/>
                <w:sz w:val="20"/>
                <w:szCs w:val="20"/>
                <w:highlight w:val="none"/>
              </w:rPr>
              <w:t>住房公积金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0.81</w:t>
            </w: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0.81</w:t>
            </w: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1761"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176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kern w:val="0"/>
                <w:sz w:val="18"/>
                <w:szCs w:val="18"/>
                <w:highlight w:val="none"/>
              </w:rPr>
              <w:t>10.1</w:t>
            </w:r>
          </w:p>
        </w:tc>
        <w:tc>
          <w:tcPr>
            <w:tcW w:w="8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hAnsi="宋体" w:eastAsia="仿宋_GB2312" w:cs="宋体"/>
                <w:color w:val="auto"/>
                <w:kern w:val="0"/>
                <w:sz w:val="18"/>
                <w:szCs w:val="18"/>
                <w:highlight w:val="none"/>
              </w:rPr>
              <w:t>10.1</w:t>
            </w:r>
            <w:r>
              <w:rPr>
                <w:rFonts w:hint="eastAsia" w:ascii="仿宋_GB2312" w:eastAsia="仿宋_GB2312"/>
                <w:color w:val="auto"/>
                <w:sz w:val="20"/>
                <w:szCs w:val="20"/>
                <w:highlight w:val="none"/>
              </w:rPr>
              <w:t>　</w:t>
            </w:r>
          </w:p>
        </w:tc>
        <w:tc>
          <w:tcPr>
            <w:tcW w:w="52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表三：</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部门支出总体情况表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编制部门：阜康市人工影响天气办公室</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r>
        <w:rPr>
          <w:rFonts w:ascii="仿宋_GB2312" w:hAnsi="宋体" w:eastAsia="仿宋_GB2312"/>
          <w:color w:val="auto"/>
          <w:kern w:val="0"/>
          <w:sz w:val="24"/>
          <w:highlight w:val="none"/>
        </w:rPr>
        <w:t xml:space="preserve">                        </w:t>
      </w:r>
    </w:p>
    <w:tbl>
      <w:tblPr>
        <w:tblStyle w:val="7"/>
        <w:tblW w:w="9229" w:type="dxa"/>
        <w:tblInd w:w="93" w:type="dxa"/>
        <w:tblLayout w:type="fixed"/>
        <w:tblCellMar>
          <w:top w:w="0" w:type="dxa"/>
          <w:left w:w="108" w:type="dxa"/>
          <w:bottom w:w="0" w:type="dxa"/>
          <w:right w:w="108" w:type="dxa"/>
        </w:tblCellMar>
      </w:tblPr>
      <w:tblGrid>
        <w:gridCol w:w="735"/>
        <w:gridCol w:w="540"/>
        <w:gridCol w:w="540"/>
        <w:gridCol w:w="1990"/>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支出预算</w:t>
            </w:r>
          </w:p>
        </w:tc>
      </w:tr>
      <w:tr>
        <w:tblPrEx>
          <w:tblLayout w:type="fixed"/>
          <w:tblCellMar>
            <w:top w:w="0" w:type="dxa"/>
            <w:left w:w="108" w:type="dxa"/>
            <w:bottom w:w="0" w:type="dxa"/>
            <w:right w:w="108" w:type="dxa"/>
          </w:tblCellMar>
        </w:tblPrEx>
        <w:trPr>
          <w:trHeight w:val="480" w:hRule="atLeast"/>
        </w:trPr>
        <w:tc>
          <w:tcPr>
            <w:tcW w:w="181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功能分类科目编码</w:t>
            </w:r>
          </w:p>
        </w:tc>
        <w:tc>
          <w:tcPr>
            <w:tcW w:w="199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auto"/>
                <w:kern w:val="0"/>
                <w:sz w:val="20"/>
                <w:szCs w:val="20"/>
                <w:highlight w:val="none"/>
              </w:rPr>
            </w:pPr>
            <w:r>
              <w:rPr>
                <w:rFonts w:hint="eastAsia" w:ascii="宋体" w:hAnsi="宋体" w:cs="宋体"/>
                <w:b/>
                <w:bCs/>
                <w:color w:val="auto"/>
                <w:kern w:val="0"/>
                <w:sz w:val="20"/>
                <w:szCs w:val="20"/>
                <w:highlight w:val="none"/>
              </w:rPr>
              <w:t>项目支出</w:t>
            </w:r>
          </w:p>
        </w:tc>
      </w:tr>
      <w:tr>
        <w:tblPrEx>
          <w:tblLayout w:type="fixed"/>
          <w:tblCellMar>
            <w:top w:w="0" w:type="dxa"/>
            <w:left w:w="108" w:type="dxa"/>
            <w:bottom w:w="0" w:type="dxa"/>
            <w:right w:w="108" w:type="dxa"/>
          </w:tblCellMar>
        </w:tblPrEx>
        <w:trPr>
          <w:trHeight w:val="270"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类</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款</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项</w:t>
            </w:r>
          </w:p>
        </w:tc>
        <w:tc>
          <w:tcPr>
            <w:tcW w:w="199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220</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p>
        </w:tc>
        <w:tc>
          <w:tcPr>
            <w:tcW w:w="1990"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行政运行</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8.57</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8.57</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p>
        </w:tc>
        <w:tc>
          <w:tcPr>
            <w:tcW w:w="199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事业单位医疗</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03</w:t>
            </w:r>
          </w:p>
        </w:tc>
        <w:tc>
          <w:tcPr>
            <w:tcW w:w="199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公务员医疗补助</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0.22</w:t>
            </w:r>
            <w:r>
              <w:rPr>
                <w:rFonts w:hint="eastAsia" w:ascii="仿宋_GB2312" w:eastAsia="仿宋_GB2312"/>
                <w:color w:val="auto"/>
                <w:sz w:val="20"/>
                <w:szCs w:val="20"/>
                <w:highlight w:val="none"/>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0.22</w:t>
            </w:r>
            <w:r>
              <w:rPr>
                <w:rFonts w:hint="eastAsia" w:ascii="仿宋_GB2312" w:eastAsia="仿宋_GB2312"/>
                <w:color w:val="auto"/>
                <w:sz w:val="20"/>
                <w:szCs w:val="20"/>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221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p>
        </w:tc>
        <w:tc>
          <w:tcPr>
            <w:tcW w:w="199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住房公积金</w:t>
            </w: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0.81</w:t>
            </w:r>
            <w:r>
              <w:rPr>
                <w:rFonts w:hint="eastAsia" w:ascii="仿宋_GB2312" w:eastAsia="仿宋_GB2312"/>
                <w:color w:val="auto"/>
                <w:sz w:val="20"/>
                <w:szCs w:val="20"/>
                <w:highlight w:val="none"/>
              </w:rPr>
              <w:t>　</w:t>
            </w: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0.81</w:t>
            </w:r>
            <w:r>
              <w:rPr>
                <w:rFonts w:hint="eastAsia" w:ascii="仿宋_GB2312" w:eastAsia="仿宋_GB2312"/>
                <w:color w:val="auto"/>
                <w:sz w:val="20"/>
                <w:szCs w:val="20"/>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199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1990"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p>
        </w:tc>
        <w:tc>
          <w:tcPr>
            <w:tcW w:w="185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18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16"/>
                <w:szCs w:val="16"/>
                <w:highlight w:val="none"/>
              </w:rPr>
            </w:pPr>
            <w:r>
              <w:rPr>
                <w:rFonts w:hint="eastAsia" w:ascii="宋体" w:hAnsi="宋体" w:cs="宋体"/>
                <w:b/>
                <w:bCs/>
                <w:color w:val="auto"/>
                <w:kern w:val="0"/>
                <w:sz w:val="16"/>
                <w:szCs w:val="16"/>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990" w:type="dxa"/>
            <w:tcBorders>
              <w:top w:val="nil"/>
              <w:left w:val="nil"/>
              <w:bottom w:val="single" w:color="auto" w:sz="4" w:space="0"/>
              <w:right w:val="single" w:color="auto" w:sz="4" w:space="0"/>
            </w:tcBorders>
            <w:vAlign w:val="center"/>
          </w:tcPr>
          <w:p>
            <w:pPr>
              <w:widowControl/>
              <w:jc w:val="center"/>
              <w:rPr>
                <w:rFonts w:ascii="宋体" w:cs="宋体"/>
                <w:color w:val="auto"/>
                <w:kern w:val="0"/>
                <w:sz w:val="22"/>
                <w:szCs w:val="22"/>
                <w:highlight w:val="none"/>
              </w:rPr>
            </w:pPr>
            <w:r>
              <w:rPr>
                <w:rFonts w:hint="eastAsia" w:ascii="宋体" w:hAnsi="宋体" w:cs="宋体"/>
                <w:color w:val="auto"/>
                <w:kern w:val="0"/>
                <w:sz w:val="22"/>
                <w:szCs w:val="22"/>
                <w:highlight w:val="none"/>
              </w:rPr>
              <w:t>合计</w:t>
            </w:r>
          </w:p>
        </w:tc>
        <w:tc>
          <w:tcPr>
            <w:tcW w:w="1855" w:type="dxa"/>
            <w:tcBorders>
              <w:top w:val="nil"/>
              <w:left w:val="nil"/>
              <w:bottom w:val="single" w:color="auto" w:sz="4" w:space="0"/>
              <w:right w:val="single" w:color="auto" w:sz="4" w:space="0"/>
            </w:tcBorders>
            <w:vAlign w:val="center"/>
          </w:tcPr>
          <w:p>
            <w:pPr>
              <w:widowControl/>
              <w:jc w:val="right"/>
              <w:rPr>
                <w:rFonts w:ascii="宋体" w:cs="宋体"/>
                <w:color w:val="auto"/>
                <w:kern w:val="0"/>
                <w:sz w:val="24"/>
                <w:highlight w:val="none"/>
              </w:rPr>
            </w:pPr>
            <w:r>
              <w:rPr>
                <w:rFonts w:ascii="宋体" w:hAnsi="宋体" w:cs="宋体"/>
                <w:color w:val="auto"/>
                <w:kern w:val="0"/>
                <w:sz w:val="24"/>
                <w:highlight w:val="none"/>
              </w:rPr>
              <w:t>10.1</w:t>
            </w:r>
          </w:p>
        </w:tc>
        <w:tc>
          <w:tcPr>
            <w:tcW w:w="1856" w:type="dxa"/>
            <w:tcBorders>
              <w:top w:val="nil"/>
              <w:left w:val="nil"/>
              <w:bottom w:val="single" w:color="auto" w:sz="4" w:space="0"/>
              <w:right w:val="single" w:color="auto" w:sz="4" w:space="0"/>
            </w:tcBorders>
            <w:vAlign w:val="center"/>
          </w:tcPr>
          <w:p>
            <w:pPr>
              <w:widowControl/>
              <w:jc w:val="right"/>
              <w:rPr>
                <w:rFonts w:ascii="宋体" w:cs="宋体"/>
                <w:color w:val="auto"/>
                <w:kern w:val="0"/>
                <w:sz w:val="24"/>
                <w:highlight w:val="none"/>
              </w:rPr>
            </w:pPr>
            <w:r>
              <w:rPr>
                <w:rFonts w:hint="eastAsia" w:ascii="宋体" w:hAnsi="宋体" w:cs="宋体"/>
                <w:color w:val="auto"/>
                <w:kern w:val="0"/>
                <w:sz w:val="24"/>
                <w:highlight w:val="none"/>
              </w:rPr>
              <w:t>　</w:t>
            </w:r>
            <w:r>
              <w:rPr>
                <w:rFonts w:ascii="宋体" w:hAnsi="宋体" w:cs="宋体"/>
                <w:color w:val="auto"/>
                <w:kern w:val="0"/>
                <w:sz w:val="24"/>
                <w:highlight w:val="none"/>
              </w:rPr>
              <w:t>10.1</w:t>
            </w:r>
          </w:p>
        </w:tc>
        <w:tc>
          <w:tcPr>
            <w:tcW w:w="1713"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spacing w:beforeLines="50"/>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表四：</w:t>
      </w:r>
    </w:p>
    <w:p>
      <w:pPr>
        <w:widowControl/>
        <w:spacing w:beforeLines="50"/>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财政拨款收支预算总体情况表</w:t>
      </w:r>
    </w:p>
    <w:p>
      <w:pPr>
        <w:widowControl/>
        <w:spacing w:beforeLines="50"/>
        <w:jc w:val="left"/>
        <w:outlineLvl w:val="1"/>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编制部门：</w:t>
      </w:r>
      <w:r>
        <w:rPr>
          <w:rFonts w:hint="eastAsia" w:ascii="仿宋_GB2312" w:hAnsi="宋体" w:eastAsia="仿宋_GB2312"/>
          <w:color w:val="auto"/>
          <w:kern w:val="0"/>
          <w:sz w:val="24"/>
          <w:highlight w:val="none"/>
        </w:rPr>
        <w:t>阜康市人工影响天气办公室</w:t>
      </w:r>
      <w:r>
        <w:rPr>
          <w:rFonts w:ascii="仿宋_GB2312" w:hAnsi="宋体" w:eastAsia="仿宋_GB2312"/>
          <w:color w:val="auto"/>
          <w:kern w:val="0"/>
          <w:sz w:val="28"/>
          <w:szCs w:val="28"/>
          <w:highlight w:val="none"/>
        </w:rPr>
        <w:t xml:space="preserve">                     </w:t>
      </w:r>
      <w:r>
        <w:rPr>
          <w:rFonts w:hint="eastAsia" w:ascii="仿宋_GB2312" w:hAnsi="宋体" w:eastAsia="仿宋_GB2312"/>
          <w:color w:val="auto"/>
          <w:kern w:val="0"/>
          <w:sz w:val="28"/>
          <w:szCs w:val="28"/>
          <w:highlight w:val="none"/>
        </w:rPr>
        <w:t>单位：万元</w:t>
      </w:r>
      <w:r>
        <w:rPr>
          <w:rFonts w:ascii="仿宋_GB2312" w:hAnsi="宋体" w:eastAsia="仿宋_GB2312"/>
          <w:color w:val="auto"/>
          <w:kern w:val="0"/>
          <w:sz w:val="28"/>
          <w:szCs w:val="28"/>
          <w:highlight w:val="none"/>
        </w:rPr>
        <w:t xml:space="preserve">                     </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项</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功</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能</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分</w:t>
            </w:r>
            <w:r>
              <w:rPr>
                <w:rFonts w:ascii="仿宋_GB2312" w:hAnsi="宋体" w:eastAsia="仿宋_GB2312" w:cs="宋体"/>
                <w:b/>
                <w:color w:val="auto"/>
                <w:kern w:val="0"/>
                <w:sz w:val="20"/>
                <w:szCs w:val="20"/>
                <w:highlight w:val="none"/>
              </w:rPr>
              <w:t xml:space="preserve">  </w:t>
            </w:r>
            <w:r>
              <w:rPr>
                <w:rFonts w:hint="eastAsia" w:ascii="仿宋_GB2312" w:hAnsi="宋体" w:eastAsia="仿宋_GB2312" w:cs="宋体"/>
                <w:b/>
                <w:color w:val="auto"/>
                <w:kern w:val="0"/>
                <w:sz w:val="20"/>
                <w:szCs w:val="20"/>
                <w:highlight w:val="none"/>
              </w:rPr>
              <w:t>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201 </w:t>
            </w:r>
            <w:r>
              <w:rPr>
                <w:rFonts w:hint="eastAsia" w:ascii="仿宋_GB2312" w:hAnsi="宋体" w:eastAsia="仿宋_GB2312" w:cs="宋体"/>
                <w:color w:val="auto"/>
                <w:kern w:val="0"/>
                <w:sz w:val="18"/>
                <w:szCs w:val="18"/>
                <w:highlight w:val="none"/>
              </w:rPr>
              <w:t>一般公共服务支出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一般公共预算</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202 </w:t>
            </w:r>
            <w:r>
              <w:rPr>
                <w:rFonts w:hint="eastAsia" w:ascii="仿宋_GB2312" w:hAnsi="宋体" w:eastAsia="仿宋_GB2312" w:cs="宋体"/>
                <w:color w:val="auto"/>
                <w:kern w:val="0"/>
                <w:sz w:val="18"/>
                <w:szCs w:val="18"/>
                <w:highlight w:val="none"/>
              </w:rPr>
              <w:t>外交支出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政府性基金预算</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203 </w:t>
            </w:r>
            <w:r>
              <w:rPr>
                <w:rFonts w:hint="eastAsia" w:ascii="仿宋_GB2312" w:hAnsi="宋体" w:eastAsia="仿宋_GB2312" w:cs="宋体"/>
                <w:color w:val="auto"/>
                <w:kern w:val="0"/>
                <w:sz w:val="18"/>
                <w:szCs w:val="18"/>
                <w:highlight w:val="none"/>
              </w:rPr>
              <w:t>国防支出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204 </w:t>
            </w:r>
            <w:r>
              <w:rPr>
                <w:rFonts w:hint="eastAsia" w:ascii="仿宋_GB2312" w:hAnsi="宋体" w:eastAsia="仿宋_GB2312" w:cs="宋体"/>
                <w:color w:val="auto"/>
                <w:kern w:val="0"/>
                <w:sz w:val="18"/>
                <w:szCs w:val="18"/>
                <w:highlight w:val="none"/>
              </w:rPr>
              <w:t>公共安全支出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205 </w:t>
            </w:r>
            <w:r>
              <w:rPr>
                <w:rFonts w:hint="eastAsia" w:ascii="仿宋_GB2312" w:hAnsi="宋体" w:eastAsia="仿宋_GB2312" w:cs="宋体"/>
                <w:color w:val="auto"/>
                <w:kern w:val="0"/>
                <w:sz w:val="18"/>
                <w:szCs w:val="18"/>
                <w:highlight w:val="none"/>
              </w:rPr>
              <w:t>教育支出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206 </w:t>
            </w:r>
            <w:r>
              <w:rPr>
                <w:rFonts w:hint="eastAsia" w:ascii="仿宋_GB2312" w:hAnsi="宋体" w:eastAsia="仿宋_GB2312" w:cs="宋体"/>
                <w:color w:val="auto"/>
                <w:kern w:val="0"/>
                <w:sz w:val="18"/>
                <w:szCs w:val="18"/>
                <w:highlight w:val="none"/>
              </w:rPr>
              <w:t>科学技术支出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207 </w:t>
            </w:r>
            <w:r>
              <w:rPr>
                <w:rFonts w:hint="eastAsia" w:ascii="仿宋_GB2312" w:hAnsi="宋体" w:eastAsia="仿宋_GB2312" w:cs="宋体"/>
                <w:color w:val="auto"/>
                <w:kern w:val="0"/>
                <w:sz w:val="18"/>
                <w:szCs w:val="18"/>
                <w:highlight w:val="none"/>
              </w:rPr>
              <w:t>文化体育与传媒支出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208 </w:t>
            </w:r>
            <w:r>
              <w:rPr>
                <w:rFonts w:hint="eastAsia" w:ascii="仿宋_GB2312" w:hAnsi="宋体" w:eastAsia="仿宋_GB2312" w:cs="宋体"/>
                <w:color w:val="auto"/>
                <w:kern w:val="0"/>
                <w:sz w:val="18"/>
                <w:szCs w:val="18"/>
                <w:highlight w:val="none"/>
              </w:rPr>
              <w:t>社会保障和就业支出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209 </w:t>
            </w:r>
            <w:r>
              <w:rPr>
                <w:rFonts w:hint="eastAsia" w:ascii="仿宋_GB2312" w:hAnsi="宋体" w:eastAsia="仿宋_GB2312" w:cs="宋体"/>
                <w:color w:val="auto"/>
                <w:kern w:val="0"/>
                <w:sz w:val="18"/>
                <w:szCs w:val="18"/>
                <w:highlight w:val="none"/>
              </w:rPr>
              <w:t>社会保险基金支出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210 </w:t>
            </w:r>
            <w:r>
              <w:rPr>
                <w:rFonts w:hint="eastAsia" w:ascii="仿宋_GB2312" w:hAnsi="宋体" w:eastAsia="仿宋_GB2312" w:cs="宋体"/>
                <w:color w:val="auto"/>
                <w:kern w:val="0"/>
                <w:sz w:val="18"/>
                <w:szCs w:val="18"/>
                <w:highlight w:val="none"/>
              </w:rPr>
              <w:t>医疗卫生与计划生育支出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0.72</w:t>
            </w: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0.72</w:t>
            </w: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211 </w:t>
            </w:r>
            <w:r>
              <w:rPr>
                <w:rFonts w:hint="eastAsia" w:ascii="仿宋_GB2312" w:hAnsi="宋体" w:eastAsia="仿宋_GB2312" w:cs="宋体"/>
                <w:color w:val="auto"/>
                <w:kern w:val="0"/>
                <w:sz w:val="18"/>
                <w:szCs w:val="18"/>
                <w:highlight w:val="none"/>
              </w:rPr>
              <w:t>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212 </w:t>
            </w:r>
            <w:r>
              <w:rPr>
                <w:rFonts w:hint="eastAsia" w:ascii="仿宋_GB2312" w:hAnsi="宋体" w:eastAsia="仿宋_GB2312" w:cs="宋体"/>
                <w:color w:val="auto"/>
                <w:kern w:val="0"/>
                <w:sz w:val="18"/>
                <w:szCs w:val="18"/>
                <w:highlight w:val="none"/>
              </w:rPr>
              <w:t>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213 </w:t>
            </w:r>
            <w:r>
              <w:rPr>
                <w:rFonts w:hint="eastAsia" w:ascii="仿宋_GB2312" w:hAnsi="宋体" w:eastAsia="仿宋_GB2312" w:cs="宋体"/>
                <w:color w:val="auto"/>
                <w:kern w:val="0"/>
                <w:sz w:val="18"/>
                <w:szCs w:val="18"/>
                <w:highlight w:val="none"/>
              </w:rPr>
              <w:t>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214 </w:t>
            </w:r>
            <w:r>
              <w:rPr>
                <w:rFonts w:hint="eastAsia" w:ascii="仿宋_GB2312" w:hAnsi="宋体" w:eastAsia="仿宋_GB2312" w:cs="宋体"/>
                <w:color w:val="auto"/>
                <w:kern w:val="0"/>
                <w:sz w:val="18"/>
                <w:szCs w:val="18"/>
                <w:highlight w:val="none"/>
              </w:rPr>
              <w:t>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215 </w:t>
            </w:r>
            <w:r>
              <w:rPr>
                <w:rFonts w:hint="eastAsia" w:ascii="仿宋_GB2312" w:hAnsi="宋体" w:eastAsia="仿宋_GB2312" w:cs="宋体"/>
                <w:color w:val="auto"/>
                <w:kern w:val="0"/>
                <w:sz w:val="18"/>
                <w:szCs w:val="18"/>
                <w:highlight w:val="none"/>
              </w:rPr>
              <w:t>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216 </w:t>
            </w:r>
            <w:r>
              <w:rPr>
                <w:rFonts w:hint="eastAsia" w:ascii="仿宋_GB2312" w:hAnsi="宋体" w:eastAsia="仿宋_GB2312" w:cs="宋体"/>
                <w:color w:val="auto"/>
                <w:kern w:val="0"/>
                <w:sz w:val="18"/>
                <w:szCs w:val="18"/>
                <w:highlight w:val="none"/>
              </w:rPr>
              <w:t>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217 </w:t>
            </w:r>
            <w:r>
              <w:rPr>
                <w:rFonts w:hint="eastAsia" w:ascii="仿宋_GB2312" w:hAnsi="宋体" w:eastAsia="仿宋_GB2312" w:cs="宋体"/>
                <w:color w:val="auto"/>
                <w:kern w:val="0"/>
                <w:sz w:val="18"/>
                <w:szCs w:val="18"/>
                <w:highlight w:val="none"/>
              </w:rPr>
              <w:t>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219 </w:t>
            </w:r>
            <w:r>
              <w:rPr>
                <w:rFonts w:hint="eastAsia" w:ascii="仿宋_GB2312" w:hAnsi="宋体" w:eastAsia="仿宋_GB2312" w:cs="宋体"/>
                <w:color w:val="auto"/>
                <w:kern w:val="0"/>
                <w:sz w:val="18"/>
                <w:szCs w:val="18"/>
                <w:highlight w:val="none"/>
              </w:rPr>
              <w:t>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220 </w:t>
            </w:r>
            <w:r>
              <w:rPr>
                <w:rFonts w:hint="eastAsia" w:ascii="仿宋_GB2312" w:hAnsi="宋体" w:eastAsia="仿宋_GB2312" w:cs="宋体"/>
                <w:color w:val="auto"/>
                <w:kern w:val="0"/>
                <w:sz w:val="18"/>
                <w:szCs w:val="18"/>
                <w:highlight w:val="none"/>
              </w:rPr>
              <w:t>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8.57</w:t>
            </w: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8.57</w:t>
            </w:r>
            <w:r>
              <w:rPr>
                <w:rFonts w:hint="eastAsia" w:ascii="仿宋_GB2312" w:hAnsi="宋体" w:eastAsia="仿宋_GB2312"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221 </w:t>
            </w:r>
            <w:r>
              <w:rPr>
                <w:rFonts w:hint="eastAsia" w:ascii="仿宋_GB2312" w:hAnsi="宋体" w:eastAsia="仿宋_GB2312" w:cs="宋体"/>
                <w:color w:val="auto"/>
                <w:kern w:val="0"/>
                <w:sz w:val="18"/>
                <w:szCs w:val="18"/>
                <w:highlight w:val="none"/>
              </w:rPr>
              <w:t>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0.81</w:t>
            </w:r>
            <w:r>
              <w:rPr>
                <w:rFonts w:hint="eastAsia" w:ascii="仿宋_GB2312" w:hAnsi="宋体" w:eastAsia="仿宋_GB2312"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0.81</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222 </w:t>
            </w:r>
            <w:r>
              <w:rPr>
                <w:rFonts w:hint="eastAsia" w:ascii="仿宋_GB2312" w:hAnsi="宋体" w:eastAsia="仿宋_GB2312" w:cs="宋体"/>
                <w:color w:val="auto"/>
                <w:kern w:val="0"/>
                <w:sz w:val="18"/>
                <w:szCs w:val="18"/>
                <w:highlight w:val="none"/>
              </w:rPr>
              <w:t>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5"/>
                <w:szCs w:val="15"/>
                <w:highlight w:val="none"/>
              </w:rPr>
            </w:pPr>
            <w:r>
              <w:rPr>
                <w:rFonts w:ascii="仿宋_GB2312" w:hAnsi="宋体" w:eastAsia="仿宋_GB2312" w:cs="宋体"/>
                <w:color w:val="auto"/>
                <w:kern w:val="0"/>
                <w:sz w:val="15"/>
                <w:szCs w:val="15"/>
                <w:highlight w:val="none"/>
              </w:rPr>
              <w:t>2</w:t>
            </w:r>
            <w:r>
              <w:rPr>
                <w:rFonts w:ascii="仿宋_GB2312" w:hAnsi="宋体" w:eastAsia="仿宋_GB2312" w:cs="宋体"/>
                <w:color w:val="auto"/>
                <w:kern w:val="0"/>
                <w:sz w:val="15"/>
                <w:szCs w:val="15"/>
                <w:highlight w:val="none"/>
              </w:rPr>
              <w:t xml:space="preserve">23 </w:t>
            </w:r>
            <w:r>
              <w:rPr>
                <w:rFonts w:hint="eastAsia" w:ascii="仿宋_GB2312" w:hAnsi="宋体" w:eastAsia="仿宋_GB2312" w:cs="宋体"/>
                <w:color w:val="auto"/>
                <w:kern w:val="0"/>
                <w:sz w:val="15"/>
                <w:szCs w:val="15"/>
                <w:highlight w:val="none"/>
              </w:rPr>
              <w:t>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227 </w:t>
            </w:r>
            <w:r>
              <w:rPr>
                <w:rFonts w:hint="eastAsia" w:ascii="仿宋_GB2312" w:hAnsi="宋体" w:eastAsia="仿宋_GB2312" w:cs="宋体"/>
                <w:color w:val="auto"/>
                <w:kern w:val="0"/>
                <w:sz w:val="18"/>
                <w:szCs w:val="18"/>
                <w:highlight w:val="none"/>
              </w:rPr>
              <w:t>预备费</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 xml:space="preserve">229 </w:t>
            </w:r>
            <w:r>
              <w:rPr>
                <w:rFonts w:hint="eastAsia" w:ascii="仿宋_GB2312" w:hAnsi="宋体" w:eastAsia="仿宋_GB2312" w:cs="宋体"/>
                <w:color w:val="auto"/>
                <w:kern w:val="0"/>
                <w:sz w:val="18"/>
                <w:szCs w:val="18"/>
                <w:highlight w:val="none"/>
              </w:rPr>
              <w:t>其他支出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2</w:t>
            </w:r>
            <w:r>
              <w:rPr>
                <w:rFonts w:ascii="仿宋_GB2312" w:hAnsi="宋体" w:eastAsia="仿宋_GB2312" w:cs="宋体"/>
                <w:color w:val="auto"/>
                <w:kern w:val="0"/>
                <w:sz w:val="18"/>
                <w:szCs w:val="18"/>
                <w:highlight w:val="none"/>
              </w:rPr>
              <w:t xml:space="preserve">31 </w:t>
            </w:r>
            <w:r>
              <w:rPr>
                <w:rFonts w:hint="eastAsia" w:ascii="仿宋_GB2312" w:hAnsi="宋体" w:eastAsia="仿宋_GB2312" w:cs="宋体"/>
                <w:color w:val="auto"/>
                <w:kern w:val="0"/>
                <w:sz w:val="18"/>
                <w:szCs w:val="18"/>
                <w:highlight w:val="none"/>
              </w:rPr>
              <w:t>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2</w:t>
            </w:r>
            <w:r>
              <w:rPr>
                <w:rFonts w:ascii="仿宋_GB2312" w:hAnsi="宋体" w:eastAsia="仿宋_GB2312" w:cs="宋体"/>
                <w:color w:val="auto"/>
                <w:kern w:val="0"/>
                <w:sz w:val="18"/>
                <w:szCs w:val="18"/>
                <w:highlight w:val="none"/>
              </w:rPr>
              <w:t xml:space="preserve">32 </w:t>
            </w:r>
            <w:r>
              <w:rPr>
                <w:rFonts w:hint="eastAsia" w:ascii="仿宋_GB2312" w:hAnsi="宋体" w:eastAsia="仿宋_GB2312" w:cs="宋体"/>
                <w:color w:val="auto"/>
                <w:kern w:val="0"/>
                <w:sz w:val="18"/>
                <w:szCs w:val="18"/>
                <w:highlight w:val="none"/>
              </w:rPr>
              <w:t>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22"/>
                <w:szCs w:val="22"/>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ascii="仿宋_GB2312" w:hAnsi="宋体" w:eastAsia="仿宋_GB2312" w:cs="宋体"/>
                <w:color w:val="auto"/>
                <w:kern w:val="0"/>
                <w:sz w:val="18"/>
                <w:szCs w:val="18"/>
                <w:highlight w:val="none"/>
              </w:rPr>
              <w:t>233</w:t>
            </w:r>
            <w:r>
              <w:rPr>
                <w:rFonts w:ascii="仿宋_GB2312" w:hAnsi="宋体" w:eastAsia="仿宋_GB2312" w:cs="宋体"/>
                <w:color w:val="auto"/>
                <w:kern w:val="0"/>
                <w:sz w:val="18"/>
                <w:szCs w:val="18"/>
                <w:highlight w:val="none"/>
              </w:rPr>
              <w:t xml:space="preserve"> </w:t>
            </w:r>
            <w:r>
              <w:rPr>
                <w:rFonts w:hint="eastAsia" w:ascii="仿宋_GB2312" w:hAnsi="宋体" w:eastAsia="仿宋_GB2312" w:cs="宋体"/>
                <w:color w:val="auto"/>
                <w:kern w:val="0"/>
                <w:sz w:val="18"/>
                <w:szCs w:val="18"/>
                <w:highlight w:val="none"/>
              </w:rPr>
              <w:t>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2"/>
                <w:szCs w:val="22"/>
                <w:highlight w:val="none"/>
              </w:rPr>
            </w:pPr>
            <w:r>
              <w:rPr>
                <w:rFonts w:ascii="仿宋_GB2312" w:hAnsi="宋体" w:eastAsia="仿宋_GB2312" w:cs="宋体"/>
                <w:color w:val="auto"/>
                <w:kern w:val="0"/>
                <w:sz w:val="18"/>
                <w:szCs w:val="18"/>
                <w:highlight w:val="none"/>
              </w:rPr>
              <w:t>10.1</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20"/>
                <w:szCs w:val="20"/>
                <w:highlight w:val="none"/>
              </w:rPr>
              <w:t>小</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2"/>
                <w:szCs w:val="22"/>
                <w:highlight w:val="none"/>
              </w:rPr>
            </w:pP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0"/>
                <w:szCs w:val="20"/>
                <w:highlight w:val="none"/>
              </w:rPr>
            </w:pPr>
            <w:r>
              <w:rPr>
                <w:rFonts w:ascii="仿宋_GB2312" w:hAnsi="宋体" w:eastAsia="仿宋_GB2312" w:cs="宋体"/>
                <w:color w:val="auto"/>
                <w:kern w:val="0"/>
                <w:sz w:val="20"/>
                <w:szCs w:val="20"/>
                <w:highlight w:val="none"/>
              </w:rPr>
              <w:t xml:space="preserve">230 </w:t>
            </w:r>
            <w:r>
              <w:rPr>
                <w:rFonts w:hint="eastAsia" w:ascii="仿宋_GB2312" w:hAnsi="宋体" w:eastAsia="仿宋_GB2312" w:cs="宋体"/>
                <w:color w:val="auto"/>
                <w:kern w:val="0"/>
                <w:sz w:val="20"/>
                <w:szCs w:val="20"/>
                <w:highlight w:val="none"/>
              </w:rPr>
              <w:t>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22"/>
                <w:szCs w:val="22"/>
                <w:highlight w:val="none"/>
              </w:rPr>
            </w:pPr>
            <w:r>
              <w:rPr>
                <w:rFonts w:hint="eastAsia" w:ascii="宋体" w:hAnsi="宋体" w:cs="宋体"/>
                <w:color w:val="auto"/>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收</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入</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2"/>
                <w:szCs w:val="22"/>
                <w:highlight w:val="none"/>
              </w:rPr>
            </w:pPr>
            <w:r>
              <w:rPr>
                <w:rFonts w:ascii="仿宋_GB2312" w:hAnsi="宋体" w:eastAsia="仿宋_GB2312" w:cs="宋体"/>
                <w:color w:val="auto"/>
                <w:kern w:val="0"/>
                <w:sz w:val="18"/>
                <w:szCs w:val="18"/>
                <w:highlight w:val="none"/>
              </w:rPr>
              <w:t>10.1</w:t>
            </w:r>
            <w:r>
              <w:rPr>
                <w:rFonts w:hint="eastAsia" w:ascii="仿宋_GB2312" w:hAnsi="宋体" w:eastAsia="仿宋_GB2312" w:cs="宋体"/>
                <w:color w:val="auto"/>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支</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出</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总</w:t>
            </w:r>
            <w:r>
              <w:rPr>
                <w:rFonts w:ascii="仿宋_GB2312" w:hAnsi="宋体" w:eastAsia="仿宋_GB2312" w:cs="宋体"/>
                <w:color w:val="auto"/>
                <w:kern w:val="0"/>
                <w:sz w:val="20"/>
                <w:szCs w:val="20"/>
                <w:highlight w:val="none"/>
              </w:rPr>
              <w:t xml:space="preserve">  </w:t>
            </w:r>
            <w:r>
              <w:rPr>
                <w:rFonts w:hint="eastAsia" w:ascii="仿宋_GB2312" w:hAnsi="宋体" w:eastAsia="仿宋_GB2312" w:cs="宋体"/>
                <w:color w:val="auto"/>
                <w:kern w:val="0"/>
                <w:sz w:val="20"/>
                <w:szCs w:val="20"/>
                <w:highlight w:val="none"/>
              </w:rPr>
              <w:t>计</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宋体" w:hAnsi="宋体" w:cs="宋体"/>
                <w:color w:val="auto"/>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ascii="仿宋_GB2312" w:hAnsi="宋体" w:eastAsia="仿宋_GB2312" w:cs="宋体"/>
                <w:color w:val="auto"/>
                <w:kern w:val="0"/>
                <w:sz w:val="18"/>
                <w:szCs w:val="18"/>
                <w:highlight w:val="none"/>
              </w:rPr>
              <w:t>10.1</w:t>
            </w:r>
            <w:r>
              <w:rPr>
                <w:rFonts w:hint="eastAsia" w:ascii="宋体" w:hAnsi="宋体" w:cs="宋体"/>
                <w:color w:val="auto"/>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表五：</w:t>
      </w:r>
    </w:p>
    <w:tbl>
      <w:tblPr>
        <w:tblStyle w:val="7"/>
        <w:tblW w:w="9087" w:type="dxa"/>
        <w:tblInd w:w="93" w:type="dxa"/>
        <w:tblLayout w:type="fixed"/>
        <w:tblCellMar>
          <w:top w:w="0" w:type="dxa"/>
          <w:left w:w="108" w:type="dxa"/>
          <w:bottom w:w="0" w:type="dxa"/>
          <w:right w:w="108" w:type="dxa"/>
        </w:tblCellMar>
      </w:tblPr>
      <w:tblGrid>
        <w:gridCol w:w="555"/>
        <w:gridCol w:w="540"/>
        <w:gridCol w:w="540"/>
        <w:gridCol w:w="2225"/>
        <w:gridCol w:w="168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一般公共预算支出情况表</w:t>
            </w:r>
          </w:p>
        </w:tc>
      </w:tr>
      <w:tr>
        <w:tblPrEx>
          <w:tblLayout w:type="fixed"/>
          <w:tblCellMar>
            <w:top w:w="0" w:type="dxa"/>
            <w:left w:w="108" w:type="dxa"/>
            <w:bottom w:w="0" w:type="dxa"/>
            <w:right w:w="108" w:type="dxa"/>
          </w:tblCellMar>
        </w:tblPrEx>
        <w:trPr>
          <w:trHeight w:val="285" w:hRule="atLeast"/>
        </w:trPr>
        <w:tc>
          <w:tcPr>
            <w:tcW w:w="5760" w:type="dxa"/>
            <w:gridSpan w:val="6"/>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olor w:val="auto"/>
                <w:kern w:val="0"/>
                <w:sz w:val="24"/>
                <w:highlight w:val="none"/>
              </w:rPr>
              <w:t>阜康市人工影响天气办公室</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项目</w:t>
            </w:r>
          </w:p>
        </w:tc>
        <w:tc>
          <w:tcPr>
            <w:tcW w:w="5227"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一般公共预算支出</w:t>
            </w:r>
          </w:p>
        </w:tc>
      </w:tr>
      <w:tr>
        <w:tblPrEx>
          <w:tblLayout w:type="fixed"/>
          <w:tblCellMar>
            <w:top w:w="0" w:type="dxa"/>
            <w:left w:w="108" w:type="dxa"/>
            <w:bottom w:w="0" w:type="dxa"/>
            <w:right w:w="108" w:type="dxa"/>
          </w:tblCellMar>
        </w:tblPrEx>
        <w:trPr>
          <w:trHeight w:val="465" w:hRule="atLeast"/>
        </w:trPr>
        <w:tc>
          <w:tcPr>
            <w:tcW w:w="163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功能分类科目编码</w:t>
            </w:r>
          </w:p>
        </w:tc>
        <w:tc>
          <w:tcPr>
            <w:tcW w:w="222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项目支出</w:t>
            </w:r>
          </w:p>
        </w:tc>
      </w:tr>
      <w:tr>
        <w:tblPrEx>
          <w:tblLayout w:type="fixed"/>
          <w:tblCellMar>
            <w:top w:w="0" w:type="dxa"/>
            <w:left w:w="108" w:type="dxa"/>
            <w:bottom w:w="0" w:type="dxa"/>
            <w:right w:w="108" w:type="dxa"/>
          </w:tblCellMar>
        </w:tblPrEx>
        <w:trPr>
          <w:trHeight w:val="30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类</w:t>
            </w:r>
          </w:p>
        </w:tc>
        <w:tc>
          <w:tcPr>
            <w:tcW w:w="54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款</w:t>
            </w:r>
          </w:p>
        </w:tc>
        <w:tc>
          <w:tcPr>
            <w:tcW w:w="54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项</w:t>
            </w:r>
          </w:p>
        </w:tc>
        <w:tc>
          <w:tcPr>
            <w:tcW w:w="222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220</w:t>
            </w: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01</w:t>
            </w:r>
            <w:r>
              <w:rPr>
                <w:rFonts w:hint="eastAsia" w:ascii="仿宋_GB2312" w:eastAsia="仿宋_GB2312"/>
                <w:color w:val="auto"/>
                <w:sz w:val="20"/>
                <w:szCs w:val="20"/>
                <w:highlight w:val="none"/>
              </w:rPr>
              <w:t>　</w:t>
            </w:r>
          </w:p>
        </w:tc>
        <w:tc>
          <w:tcPr>
            <w:tcW w:w="2225" w:type="dxa"/>
            <w:tcBorders>
              <w:top w:val="nil"/>
              <w:left w:val="nil"/>
              <w:bottom w:val="single" w:color="auto" w:sz="4" w:space="0"/>
              <w:right w:val="single" w:color="auto" w:sz="4" w:space="0"/>
            </w:tcBorders>
            <w:vAlign w:val="center"/>
          </w:tcPr>
          <w:p>
            <w:pPr>
              <w:rPr>
                <w:rFonts w:ascii="仿宋_GB2312" w:hAnsi="宋体" w:eastAsia="仿宋_GB2312" w:cs="宋体"/>
                <w:color w:val="auto"/>
                <w:sz w:val="20"/>
                <w:szCs w:val="20"/>
                <w:highlight w:val="none"/>
              </w:rPr>
            </w:pPr>
            <w:r>
              <w:rPr>
                <w:rFonts w:hint="eastAsia" w:ascii="仿宋_GB2312" w:eastAsia="仿宋_GB2312"/>
                <w:color w:val="auto"/>
                <w:sz w:val="20"/>
                <w:szCs w:val="20"/>
                <w:highlight w:val="none"/>
              </w:rPr>
              <w:t>行政运行</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8.57</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8.57</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auto"/>
                <w:kern w:val="0"/>
                <w:sz w:val="20"/>
                <w:szCs w:val="20"/>
                <w:highlight w:val="none"/>
              </w:rPr>
            </w:pPr>
            <w:r>
              <w:rPr>
                <w:rFonts w:hint="eastAsia" w:ascii="仿宋_GB2312" w:hAnsi="宋体" w:eastAsia="仿宋_GB2312" w:cs="宋体"/>
                <w:b/>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r>
              <w:rPr>
                <w:rFonts w:hint="eastAsia" w:ascii="仿宋_GB2312" w:eastAsia="仿宋_GB2312"/>
                <w:color w:val="auto"/>
                <w:sz w:val="16"/>
                <w:szCs w:val="16"/>
                <w:highlight w:val="none"/>
              </w:rPr>
              <w:t>　</w:t>
            </w:r>
          </w:p>
        </w:tc>
        <w:tc>
          <w:tcPr>
            <w:tcW w:w="2225"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事业单位医疗</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0.5</w:t>
            </w:r>
            <w:r>
              <w:rPr>
                <w:rFonts w:hint="eastAsia" w:ascii="仿宋_GB2312" w:eastAsia="仿宋_GB2312"/>
                <w:color w:val="auto"/>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210</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11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03</w:t>
            </w:r>
            <w:r>
              <w:rPr>
                <w:rFonts w:hint="eastAsia" w:ascii="仿宋_GB2312" w:eastAsia="仿宋_GB2312"/>
                <w:color w:val="auto"/>
                <w:sz w:val="16"/>
                <w:szCs w:val="16"/>
                <w:highlight w:val="none"/>
              </w:rPr>
              <w:t>　</w:t>
            </w:r>
          </w:p>
        </w:tc>
        <w:tc>
          <w:tcPr>
            <w:tcW w:w="2225"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公务员医疗补助</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0.22</w:t>
            </w:r>
            <w:r>
              <w:rPr>
                <w:rFonts w:hint="eastAsia" w:ascii="仿宋_GB2312" w:eastAsia="仿宋_GB2312"/>
                <w:color w:val="auto"/>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0.22</w:t>
            </w:r>
            <w:r>
              <w:rPr>
                <w:rFonts w:hint="eastAsia" w:ascii="仿宋_GB2312" w:eastAsia="仿宋_GB2312"/>
                <w:color w:val="auto"/>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221</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02</w:t>
            </w:r>
            <w:r>
              <w:rPr>
                <w:rFonts w:hint="eastAsia" w:ascii="仿宋_GB2312" w:eastAsia="仿宋_GB2312"/>
                <w:color w:val="auto"/>
                <w:sz w:val="16"/>
                <w:szCs w:val="16"/>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r>
              <w:rPr>
                <w:rFonts w:ascii="仿宋_GB2312" w:eastAsia="仿宋_GB2312"/>
                <w:color w:val="auto"/>
                <w:sz w:val="16"/>
                <w:szCs w:val="16"/>
                <w:highlight w:val="none"/>
              </w:rPr>
              <w:t>01</w:t>
            </w:r>
            <w:r>
              <w:rPr>
                <w:rFonts w:hint="eastAsia" w:ascii="仿宋_GB2312" w:eastAsia="仿宋_GB2312"/>
                <w:color w:val="auto"/>
                <w:sz w:val="16"/>
                <w:szCs w:val="16"/>
                <w:highlight w:val="none"/>
              </w:rPr>
              <w:t>　</w:t>
            </w:r>
          </w:p>
        </w:tc>
        <w:tc>
          <w:tcPr>
            <w:tcW w:w="2225"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r>
              <w:rPr>
                <w:rFonts w:hint="eastAsia" w:ascii="仿宋_GB2312" w:eastAsia="仿宋_GB2312"/>
                <w:color w:val="auto"/>
                <w:sz w:val="20"/>
                <w:szCs w:val="20"/>
                <w:highlight w:val="none"/>
              </w:rPr>
              <w:t>住房公积金</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0.81</w:t>
            </w:r>
            <w:r>
              <w:rPr>
                <w:rFonts w:hint="eastAsia" w:ascii="仿宋_GB2312" w:eastAsia="仿宋_GB2312"/>
                <w:color w:val="auto"/>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r>
              <w:rPr>
                <w:rFonts w:ascii="仿宋_GB2312" w:eastAsia="仿宋_GB2312"/>
                <w:color w:val="auto"/>
                <w:sz w:val="20"/>
                <w:szCs w:val="20"/>
                <w:highlight w:val="none"/>
              </w:rPr>
              <w:t>0.81</w:t>
            </w:r>
            <w:r>
              <w:rPr>
                <w:rFonts w:hint="eastAsia" w:ascii="仿宋_GB2312" w:eastAsia="仿宋_GB2312"/>
                <w:color w:val="auto"/>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2225"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16"/>
                <w:szCs w:val="16"/>
                <w:highlight w:val="none"/>
              </w:rPr>
            </w:pPr>
          </w:p>
        </w:tc>
        <w:tc>
          <w:tcPr>
            <w:tcW w:w="2225" w:type="dxa"/>
            <w:tcBorders>
              <w:top w:val="nil"/>
              <w:left w:val="nil"/>
              <w:bottom w:val="single" w:color="auto" w:sz="4" w:space="0"/>
              <w:right w:val="single" w:color="auto" w:sz="4" w:space="0"/>
            </w:tcBorders>
            <w:vAlign w:val="center"/>
          </w:tcPr>
          <w:p>
            <w:pPr>
              <w:rPr>
                <w:rFonts w:ascii="仿宋_GB2312" w:eastAsia="仿宋_GB2312"/>
                <w:color w:val="auto"/>
                <w:sz w:val="20"/>
                <w:szCs w:val="20"/>
                <w:highlight w:val="none"/>
              </w:rPr>
            </w:pP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auto"/>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225" w:type="dxa"/>
            <w:tcBorders>
              <w:top w:val="nil"/>
              <w:left w:val="nil"/>
              <w:bottom w:val="single" w:color="auto" w:sz="4" w:space="0"/>
              <w:right w:val="single" w:color="auto" w:sz="4" w:space="0"/>
            </w:tcBorders>
            <w:vAlign w:val="center"/>
          </w:tcPr>
          <w:p>
            <w:pPr>
              <w:widowControl/>
              <w:jc w:val="center"/>
              <w:rPr>
                <w:rFonts w:ascii="宋体" w:cs="宋体"/>
                <w:color w:val="auto"/>
                <w:kern w:val="0"/>
                <w:sz w:val="20"/>
                <w:szCs w:val="20"/>
                <w:highlight w:val="none"/>
              </w:rPr>
            </w:pPr>
            <w:r>
              <w:rPr>
                <w:rFonts w:hint="eastAsia" w:ascii="宋体" w:hAnsi="宋体" w:cs="宋体"/>
                <w:color w:val="auto"/>
                <w:kern w:val="0"/>
                <w:sz w:val="20"/>
                <w:szCs w:val="20"/>
                <w:highlight w:val="none"/>
              </w:rPr>
              <w:t>合计</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10.1</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10.1</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表六：</w:t>
      </w:r>
    </w:p>
    <w:tbl>
      <w:tblPr>
        <w:tblStyle w:val="7"/>
        <w:tblW w:w="9087" w:type="dxa"/>
        <w:tblInd w:w="93" w:type="dxa"/>
        <w:tblLayout w:type="fixed"/>
        <w:tblCellMar>
          <w:top w:w="0" w:type="dxa"/>
          <w:left w:w="108" w:type="dxa"/>
          <w:bottom w:w="0" w:type="dxa"/>
          <w:right w:w="108" w:type="dxa"/>
        </w:tblCellMar>
      </w:tblPr>
      <w:tblGrid>
        <w:gridCol w:w="516"/>
        <w:gridCol w:w="577"/>
        <w:gridCol w:w="2891"/>
        <w:gridCol w:w="1701"/>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7"/>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一般公共预算基本支出情况表</w:t>
            </w:r>
          </w:p>
        </w:tc>
      </w:tr>
      <w:tr>
        <w:tblPrEx>
          <w:tblLayout w:type="fixed"/>
          <w:tblCellMar>
            <w:top w:w="0" w:type="dxa"/>
            <w:left w:w="108" w:type="dxa"/>
            <w:bottom w:w="0" w:type="dxa"/>
            <w:right w:w="108" w:type="dxa"/>
          </w:tblCellMar>
        </w:tblPrEx>
        <w:trPr>
          <w:trHeight w:val="405" w:hRule="atLeast"/>
        </w:trPr>
        <w:tc>
          <w:tcPr>
            <w:tcW w:w="6661" w:type="dxa"/>
            <w:gridSpan w:val="5"/>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olor w:val="auto"/>
                <w:kern w:val="0"/>
                <w:sz w:val="24"/>
                <w:highlight w:val="none"/>
              </w:rPr>
              <w:t>阜康市人工影响天气办公室</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项目</w:t>
            </w:r>
          </w:p>
        </w:tc>
        <w:tc>
          <w:tcPr>
            <w:tcW w:w="5103"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经济分类科目名称</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r>
              <w:rPr>
                <w:rFonts w:hint="eastAsia" w:ascii="仿宋_GB2312" w:hAnsi="宋体" w:eastAsia="仿宋_GB2312" w:cs="宋体"/>
                <w:b/>
                <w:bCs/>
                <w:color w:val="auto"/>
                <w:kern w:val="0"/>
                <w:sz w:val="20"/>
                <w:szCs w:val="20"/>
                <w:highlight w:val="none"/>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01</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基本工资</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cs="宋体"/>
                <w:color w:val="auto"/>
                <w:kern w:val="0"/>
                <w:sz w:val="20"/>
                <w:szCs w:val="20"/>
                <w:highlight w:val="none"/>
              </w:rPr>
              <w:t>5.07</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cs="宋体"/>
                <w:color w:val="auto"/>
                <w:kern w:val="0"/>
                <w:sz w:val="20"/>
                <w:szCs w:val="20"/>
                <w:highlight w:val="none"/>
              </w:rPr>
              <w:t>5.07</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02</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津贴补贴</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cs="宋体"/>
                <w:color w:val="auto"/>
                <w:kern w:val="0"/>
                <w:sz w:val="20"/>
                <w:szCs w:val="20"/>
                <w:highlight w:val="none"/>
              </w:rPr>
              <w:t>0.31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cs="宋体"/>
                <w:color w:val="auto"/>
                <w:kern w:val="0"/>
                <w:sz w:val="20"/>
                <w:szCs w:val="20"/>
                <w:highlight w:val="none"/>
              </w:rPr>
              <w:t>0.31</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03</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奖金</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0.23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0.23</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08</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机关事业单位基本养老保险缴费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1.1</w:t>
            </w:r>
            <w:r>
              <w:rPr>
                <w:rFonts w:hint="eastAsia" w:ascii="宋体" w:cs="宋体"/>
                <w:color w:val="auto"/>
                <w:kern w:val="0"/>
                <w:sz w:val="20"/>
                <w:szCs w:val="20"/>
                <w:highlight w:val="none"/>
              </w:rPr>
              <w:t>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1.1</w:t>
            </w:r>
            <w:r>
              <w:rPr>
                <w:rFonts w:hint="eastAsia" w:ascii="宋体" w:cs="宋体"/>
                <w:color w:val="auto"/>
                <w:kern w:val="0"/>
                <w:sz w:val="20"/>
                <w:szCs w:val="20"/>
                <w:highlight w:val="none"/>
              </w:rPr>
              <w:t>1</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rFonts w:hint="eastAsia"/>
                <w:color w:val="auto"/>
                <w:sz w:val="20"/>
                <w:szCs w:val="20"/>
                <w:highlight w:val="none"/>
              </w:rPr>
              <w:t>　</w:t>
            </w: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10</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职工基本医疗保险缴费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rFonts w:hint="eastAsia"/>
                <w:color w:val="auto"/>
                <w:sz w:val="20"/>
                <w:szCs w:val="20"/>
                <w:highlight w:val="none"/>
              </w:rPr>
              <w:t>　</w:t>
            </w: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11</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公务员医疗补助缴费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0.22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0.22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rFonts w:hint="eastAsia"/>
                <w:color w:val="auto"/>
                <w:sz w:val="20"/>
                <w:szCs w:val="20"/>
                <w:highlight w:val="none"/>
              </w:rPr>
              <w:t>　</w:t>
            </w: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12</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cs="Arial"/>
                <w:color w:val="auto"/>
                <w:sz w:val="18"/>
                <w:szCs w:val="18"/>
                <w:highlight w:val="none"/>
              </w:rPr>
              <w:t>其他社会保障缴费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cs="宋体"/>
                <w:color w:val="auto"/>
                <w:kern w:val="0"/>
                <w:sz w:val="20"/>
                <w:szCs w:val="20"/>
                <w:highlight w:val="none"/>
              </w:rPr>
              <w:t>0.04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cs="宋体"/>
                <w:color w:val="auto"/>
                <w:kern w:val="0"/>
                <w:sz w:val="20"/>
                <w:szCs w:val="20"/>
                <w:highlight w:val="none"/>
              </w:rPr>
              <w:t>0.04</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rFonts w:hint="eastAsia"/>
                <w:color w:val="auto"/>
                <w:sz w:val="20"/>
                <w:szCs w:val="20"/>
                <w:highlight w:val="none"/>
              </w:rPr>
              <w:t>　</w:t>
            </w:r>
            <w:r>
              <w:rPr>
                <w:color w:val="auto"/>
                <w:sz w:val="20"/>
                <w:szCs w:val="20"/>
                <w:highlight w:val="none"/>
              </w:rPr>
              <w:t>301</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99</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其他工资福利支出</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1.26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1.26</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302</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01</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办公费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0.12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0.12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302</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05</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0.03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0.03</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302</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06</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电费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0.05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0.05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302</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07</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邮电费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0.05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0.05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r>
              <w:rPr>
                <w:color w:val="auto"/>
                <w:sz w:val="20"/>
                <w:szCs w:val="20"/>
                <w:highlight w:val="none"/>
              </w:rPr>
              <w:t>302</w:t>
            </w: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r>
              <w:rPr>
                <w:color w:val="auto"/>
                <w:sz w:val="20"/>
                <w:szCs w:val="20"/>
                <w:highlight w:val="none"/>
              </w:rPr>
              <w:t>11</w:t>
            </w: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r>
              <w:rPr>
                <w:rFonts w:hint="eastAsia" w:ascii="Arial" w:hAnsi="Arial" w:cs="Arial"/>
                <w:color w:val="auto"/>
                <w:sz w:val="18"/>
                <w:szCs w:val="18"/>
                <w:highlight w:val="none"/>
              </w:rPr>
              <w:t>差旅费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0.3</w:t>
            </w:r>
            <w:r>
              <w:rPr>
                <w:rFonts w:hint="eastAsia" w:ascii="宋体" w:cs="宋体"/>
                <w:color w:val="auto"/>
                <w:kern w:val="0"/>
                <w:sz w:val="20"/>
                <w:szCs w:val="20"/>
                <w:highlight w:val="none"/>
              </w:rPr>
              <w:t>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ascii="宋体" w:cs="宋体"/>
                <w:color w:val="auto"/>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ascii="宋体" w:cs="宋体"/>
                <w:color w:val="auto"/>
                <w:kern w:val="0"/>
                <w:sz w:val="20"/>
                <w:szCs w:val="20"/>
                <w:highlight w:val="none"/>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cs="Arial"/>
                <w:color w:val="auto"/>
                <w:sz w:val="18"/>
                <w:szCs w:val="18"/>
                <w:highlight w:val="none"/>
              </w:rPr>
              <w:t>住房公积金</w:t>
            </w:r>
            <w:r>
              <w:rPr>
                <w:rFonts w:ascii="Arial" w:hAnsi="Arial" w:cs="Arial"/>
                <w:color w:val="auto"/>
                <w:sz w:val="18"/>
                <w:szCs w:val="18"/>
                <w:highlight w:val="none"/>
              </w:rPr>
              <w:t xml:space="preserve">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0.81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0.81</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rPr>
                <w:rFonts w:ascii="Arial" w:hAnsi="Arial" w:cs="Arial"/>
                <w:color w:val="auto"/>
                <w:sz w:val="18"/>
                <w:szCs w:val="18"/>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b/>
                <w:color w:val="auto"/>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left"/>
              <w:rPr>
                <w:rFonts w:ascii="宋体" w:cs="宋体"/>
                <w:b/>
                <w:color w:val="auto"/>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b/>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b/>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rPr>
                <w:rFonts w:ascii="宋体" w:cs="宋体"/>
                <w:color w:val="auto"/>
                <w:sz w:val="20"/>
                <w:szCs w:val="20"/>
                <w:highlight w:val="none"/>
              </w:rPr>
            </w:pPr>
          </w:p>
        </w:tc>
        <w:tc>
          <w:tcPr>
            <w:tcW w:w="577" w:type="dxa"/>
            <w:tcBorders>
              <w:top w:val="nil"/>
              <w:left w:val="nil"/>
              <w:bottom w:val="single" w:color="auto" w:sz="4" w:space="0"/>
              <w:right w:val="single" w:color="auto" w:sz="4" w:space="0"/>
            </w:tcBorders>
            <w:vAlign w:val="center"/>
          </w:tcPr>
          <w:p>
            <w:pPr>
              <w:rPr>
                <w:rFonts w:ascii="宋体" w:cs="宋体"/>
                <w:color w:val="auto"/>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Arial" w:hAnsi="Arial" w:cs="Arial"/>
                <w:color w:val="auto"/>
                <w:sz w:val="18"/>
                <w:szCs w:val="18"/>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auto"/>
                <w:kern w:val="0"/>
                <w:sz w:val="20"/>
                <w:szCs w:val="20"/>
                <w:highlight w:val="none"/>
              </w:rPr>
            </w:pPr>
            <w:r>
              <w:rPr>
                <w:rFonts w:hint="eastAsia" w:ascii="宋体" w:hAnsi="宋体" w:cs="宋体"/>
                <w:color w:val="auto"/>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center"/>
              <w:rPr>
                <w:rFonts w:ascii="宋体" w:cs="宋体"/>
                <w:color w:val="auto"/>
                <w:kern w:val="0"/>
                <w:sz w:val="20"/>
                <w:szCs w:val="20"/>
                <w:highlight w:val="none"/>
              </w:rPr>
            </w:pPr>
            <w:r>
              <w:rPr>
                <w:rFonts w:hint="eastAsia" w:ascii="宋体" w:hAnsi="宋体" w:cs="宋体"/>
                <w:b/>
                <w:bCs/>
                <w:color w:val="auto"/>
                <w:kern w:val="0"/>
                <w:sz w:val="20"/>
                <w:szCs w:val="20"/>
                <w:highlight w:val="none"/>
              </w:rPr>
              <w:t>合计</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10.1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9.5</w:t>
            </w:r>
            <w:r>
              <w:rPr>
                <w:rFonts w:hint="eastAsia" w:ascii="宋体" w:cs="宋体"/>
                <w:color w:val="auto"/>
                <w:kern w:val="0"/>
                <w:sz w:val="20"/>
                <w:szCs w:val="20"/>
                <w:highlight w:val="none"/>
              </w:rPr>
              <w:t>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auto"/>
                <w:kern w:val="0"/>
                <w:sz w:val="20"/>
                <w:szCs w:val="20"/>
                <w:highlight w:val="none"/>
              </w:rPr>
            </w:pPr>
            <w:r>
              <w:rPr>
                <w:rFonts w:ascii="宋体" w:cs="宋体"/>
                <w:color w:val="auto"/>
                <w:kern w:val="0"/>
                <w:sz w:val="20"/>
                <w:szCs w:val="20"/>
                <w:highlight w:val="none"/>
              </w:rPr>
              <w:t>0.5</w:t>
            </w:r>
            <w:r>
              <w:rPr>
                <w:rFonts w:hint="eastAsia" w:ascii="宋体" w:cs="宋体"/>
                <w:color w:val="auto"/>
                <w:kern w:val="0"/>
                <w:sz w:val="20"/>
                <w:szCs w:val="20"/>
                <w:highlight w:val="none"/>
              </w:rPr>
              <w:t>5</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备注：无内容应公开空表并说明情况。</w:t>
      </w: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表七：</w:t>
      </w:r>
    </w:p>
    <w:tbl>
      <w:tblPr>
        <w:tblStyle w:val="7"/>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569"/>
        <w:gridCol w:w="536"/>
        <w:gridCol w:w="652"/>
        <w:gridCol w:w="652"/>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7"/>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7027" w:type="dxa"/>
            <w:gridSpan w:val="11"/>
            <w:tcBorders>
              <w:top w:val="nil"/>
              <w:left w:val="nil"/>
              <w:bottom w:val="nil"/>
              <w:right w:val="nil"/>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编制部门：</w:t>
            </w:r>
            <w:r>
              <w:rPr>
                <w:rFonts w:hint="eastAsia" w:ascii="仿宋_GB2312" w:hAnsi="宋体" w:eastAsia="仿宋_GB2312"/>
                <w:color w:val="auto"/>
                <w:kern w:val="0"/>
                <w:sz w:val="24"/>
                <w:highlight w:val="none"/>
              </w:rPr>
              <w:t>阜康市人工影响天气办公室</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科</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目</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编</w:t>
            </w:r>
            <w:r>
              <w:rPr>
                <w:rFonts w:ascii="仿宋_GB2312" w:hAnsi="宋体" w:eastAsia="仿宋_GB2312"/>
                <w:b/>
                <w:color w:val="auto"/>
                <w:kern w:val="0"/>
                <w:sz w:val="18"/>
                <w:szCs w:val="18"/>
                <w:highlight w:val="none"/>
              </w:rPr>
              <w:t xml:space="preserve"> </w:t>
            </w:r>
            <w:r>
              <w:rPr>
                <w:rFonts w:hint="eastAsia" w:ascii="仿宋_GB2312" w:hAnsi="宋体" w:eastAsia="仿宋_GB2312"/>
                <w:b/>
                <w:color w:val="auto"/>
                <w:kern w:val="0"/>
                <w:sz w:val="18"/>
                <w:szCs w:val="18"/>
                <w:highlight w:val="none"/>
              </w:rPr>
              <w:t>码</w:t>
            </w:r>
          </w:p>
        </w:tc>
        <w:tc>
          <w:tcPr>
            <w:tcW w:w="851"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科目</w:t>
            </w:r>
          </w:p>
        </w:tc>
        <w:tc>
          <w:tcPr>
            <w:tcW w:w="1456" w:type="dxa"/>
            <w:vMerge w:val="restart"/>
            <w:vAlign w:val="center"/>
          </w:tcPr>
          <w:p>
            <w:pPr>
              <w:jc w:val="center"/>
              <w:rPr>
                <w:rFonts w:ascii="Calibri" w:hAnsi="Calibri"/>
                <w:color w:val="auto"/>
                <w:sz w:val="24"/>
                <w:highlight w:val="none"/>
              </w:rPr>
            </w:pPr>
            <w:r>
              <w:rPr>
                <w:rFonts w:hint="eastAsia" w:ascii="仿宋_GB2312" w:hAnsi="宋体" w:eastAsia="仿宋_GB2312"/>
                <w:b/>
                <w:color w:val="auto"/>
                <w:kern w:val="0"/>
                <w:sz w:val="24"/>
                <w:highlight w:val="none"/>
              </w:rPr>
              <w:t>项目名称</w:t>
            </w:r>
          </w:p>
        </w:tc>
        <w:tc>
          <w:tcPr>
            <w:tcW w:w="75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项目支出合计</w:t>
            </w:r>
          </w:p>
        </w:tc>
        <w:tc>
          <w:tcPr>
            <w:tcW w:w="569"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工资福利支出</w:t>
            </w:r>
          </w:p>
        </w:tc>
        <w:tc>
          <w:tcPr>
            <w:tcW w:w="536"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商品和服务支出</w:t>
            </w:r>
          </w:p>
        </w:tc>
        <w:tc>
          <w:tcPr>
            <w:tcW w:w="652"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对个人和家庭的补助</w:t>
            </w:r>
          </w:p>
        </w:tc>
        <w:tc>
          <w:tcPr>
            <w:tcW w:w="652"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债务利息及费用支出</w:t>
            </w:r>
          </w:p>
        </w:tc>
        <w:tc>
          <w:tcPr>
            <w:tcW w:w="578" w:type="dxa"/>
            <w:gridSpan w:val="2"/>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资本性支出（基本建设）</w:t>
            </w:r>
          </w:p>
        </w:tc>
        <w:tc>
          <w:tcPr>
            <w:tcW w:w="419"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资本性支出</w:t>
            </w:r>
          </w:p>
        </w:tc>
        <w:tc>
          <w:tcPr>
            <w:tcW w:w="578"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对企业补助（基本建设）</w:t>
            </w:r>
          </w:p>
        </w:tc>
        <w:tc>
          <w:tcPr>
            <w:tcW w:w="42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对企业补助</w:t>
            </w:r>
          </w:p>
        </w:tc>
        <w:tc>
          <w:tcPr>
            <w:tcW w:w="420" w:type="dxa"/>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对社会保障基金补助</w:t>
            </w:r>
          </w:p>
        </w:tc>
        <w:tc>
          <w:tcPr>
            <w:tcW w:w="397" w:type="dxa"/>
            <w:gridSpan w:val="2"/>
            <w:vMerge w:val="restart"/>
            <w:vAlign w:val="center"/>
          </w:tcPr>
          <w:p>
            <w:pPr>
              <w:widowControl/>
              <w:jc w:val="center"/>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类</w:t>
            </w:r>
          </w:p>
        </w:tc>
        <w:tc>
          <w:tcPr>
            <w:tcW w:w="397" w:type="dxa"/>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款</w:t>
            </w:r>
          </w:p>
        </w:tc>
        <w:tc>
          <w:tcPr>
            <w:tcW w:w="397" w:type="dxa"/>
            <w:vAlign w:val="center"/>
          </w:tcPr>
          <w:p>
            <w:pPr>
              <w:widowControl/>
              <w:jc w:val="left"/>
              <w:outlineLvl w:val="1"/>
              <w:rPr>
                <w:rFonts w:ascii="仿宋_GB2312" w:hAnsi="宋体" w:eastAsia="仿宋_GB2312"/>
                <w:b/>
                <w:color w:val="auto"/>
                <w:kern w:val="0"/>
                <w:sz w:val="18"/>
                <w:szCs w:val="18"/>
                <w:highlight w:val="none"/>
              </w:rPr>
            </w:pPr>
            <w:r>
              <w:rPr>
                <w:rFonts w:hint="eastAsia" w:ascii="仿宋_GB2312" w:hAnsi="宋体" w:eastAsia="仿宋_GB2312"/>
                <w:b/>
                <w:color w:val="auto"/>
                <w:kern w:val="0"/>
                <w:sz w:val="18"/>
                <w:szCs w:val="18"/>
                <w:highlight w:val="none"/>
              </w:rPr>
              <w:t>项</w:t>
            </w:r>
          </w:p>
        </w:tc>
        <w:tc>
          <w:tcPr>
            <w:tcW w:w="851" w:type="dxa"/>
            <w:vMerge w:val="continue"/>
            <w:vAlign w:val="center"/>
          </w:tcPr>
          <w:p>
            <w:pPr>
              <w:widowControl/>
              <w:jc w:val="left"/>
              <w:outlineLvl w:val="1"/>
              <w:rPr>
                <w:rFonts w:ascii="仿宋_GB2312" w:hAnsi="宋体" w:eastAsia="仿宋_GB2312"/>
                <w:b/>
                <w:color w:val="auto"/>
                <w:kern w:val="0"/>
                <w:sz w:val="18"/>
                <w:szCs w:val="18"/>
                <w:highlight w:val="none"/>
              </w:rPr>
            </w:pPr>
          </w:p>
        </w:tc>
        <w:tc>
          <w:tcPr>
            <w:tcW w:w="1456" w:type="dxa"/>
            <w:vMerge w:val="continue"/>
          </w:tcPr>
          <w:p>
            <w:pPr>
              <w:widowControl/>
              <w:jc w:val="left"/>
              <w:outlineLvl w:val="1"/>
              <w:rPr>
                <w:rFonts w:ascii="仿宋_GB2312" w:hAnsi="宋体" w:eastAsia="仿宋_GB2312"/>
                <w:b/>
                <w:color w:val="auto"/>
                <w:kern w:val="0"/>
                <w:sz w:val="18"/>
                <w:szCs w:val="18"/>
                <w:highlight w:val="none"/>
              </w:rPr>
            </w:pPr>
          </w:p>
        </w:tc>
        <w:tc>
          <w:tcPr>
            <w:tcW w:w="750" w:type="dxa"/>
            <w:vMerge w:val="continue"/>
          </w:tcPr>
          <w:p>
            <w:pPr>
              <w:widowControl/>
              <w:jc w:val="left"/>
              <w:outlineLvl w:val="1"/>
              <w:rPr>
                <w:rFonts w:ascii="仿宋_GB2312" w:hAnsi="宋体" w:eastAsia="仿宋_GB2312"/>
                <w:b/>
                <w:color w:val="auto"/>
                <w:kern w:val="0"/>
                <w:sz w:val="18"/>
                <w:szCs w:val="18"/>
                <w:highlight w:val="none"/>
              </w:rPr>
            </w:pPr>
          </w:p>
        </w:tc>
        <w:tc>
          <w:tcPr>
            <w:tcW w:w="569" w:type="dxa"/>
            <w:vMerge w:val="continue"/>
          </w:tcPr>
          <w:p>
            <w:pPr>
              <w:widowControl/>
              <w:jc w:val="left"/>
              <w:outlineLvl w:val="1"/>
              <w:rPr>
                <w:rFonts w:ascii="仿宋_GB2312" w:hAnsi="宋体" w:eastAsia="仿宋_GB2312"/>
                <w:b/>
                <w:color w:val="auto"/>
                <w:kern w:val="0"/>
                <w:sz w:val="18"/>
                <w:szCs w:val="18"/>
                <w:highlight w:val="none"/>
              </w:rPr>
            </w:pPr>
          </w:p>
        </w:tc>
        <w:tc>
          <w:tcPr>
            <w:tcW w:w="536" w:type="dxa"/>
            <w:vMerge w:val="continue"/>
          </w:tcPr>
          <w:p>
            <w:pPr>
              <w:widowControl/>
              <w:jc w:val="left"/>
              <w:outlineLvl w:val="1"/>
              <w:rPr>
                <w:rFonts w:ascii="仿宋_GB2312" w:hAnsi="宋体" w:eastAsia="仿宋_GB2312"/>
                <w:b/>
                <w:color w:val="auto"/>
                <w:kern w:val="0"/>
                <w:sz w:val="18"/>
                <w:szCs w:val="18"/>
                <w:highlight w:val="none"/>
              </w:rPr>
            </w:pPr>
          </w:p>
        </w:tc>
        <w:tc>
          <w:tcPr>
            <w:tcW w:w="652" w:type="dxa"/>
            <w:vMerge w:val="continue"/>
          </w:tcPr>
          <w:p>
            <w:pPr>
              <w:widowControl/>
              <w:jc w:val="left"/>
              <w:outlineLvl w:val="1"/>
              <w:rPr>
                <w:rFonts w:ascii="仿宋_GB2312" w:hAnsi="宋体" w:eastAsia="仿宋_GB2312"/>
                <w:b/>
                <w:color w:val="auto"/>
                <w:kern w:val="0"/>
                <w:sz w:val="18"/>
                <w:szCs w:val="18"/>
                <w:highlight w:val="none"/>
              </w:rPr>
            </w:pPr>
          </w:p>
        </w:tc>
        <w:tc>
          <w:tcPr>
            <w:tcW w:w="652" w:type="dxa"/>
            <w:vMerge w:val="continue"/>
          </w:tcPr>
          <w:p>
            <w:pPr>
              <w:widowControl/>
              <w:jc w:val="left"/>
              <w:outlineLvl w:val="1"/>
              <w:rPr>
                <w:rFonts w:ascii="仿宋_GB2312" w:hAnsi="宋体" w:eastAsia="仿宋_GB2312"/>
                <w:b/>
                <w:color w:val="auto"/>
                <w:kern w:val="0"/>
                <w:sz w:val="18"/>
                <w:szCs w:val="18"/>
                <w:highlight w:val="none"/>
              </w:rPr>
            </w:pPr>
          </w:p>
        </w:tc>
        <w:tc>
          <w:tcPr>
            <w:tcW w:w="578" w:type="dxa"/>
            <w:gridSpan w:val="2"/>
            <w:vMerge w:val="continue"/>
          </w:tcPr>
          <w:p>
            <w:pPr>
              <w:widowControl/>
              <w:jc w:val="left"/>
              <w:outlineLvl w:val="1"/>
              <w:rPr>
                <w:rFonts w:ascii="仿宋_GB2312" w:hAnsi="宋体" w:eastAsia="仿宋_GB2312"/>
                <w:b/>
                <w:color w:val="auto"/>
                <w:kern w:val="0"/>
                <w:sz w:val="18"/>
                <w:szCs w:val="18"/>
                <w:highlight w:val="none"/>
              </w:rPr>
            </w:pPr>
          </w:p>
        </w:tc>
        <w:tc>
          <w:tcPr>
            <w:tcW w:w="419" w:type="dxa"/>
            <w:vMerge w:val="continue"/>
          </w:tcPr>
          <w:p>
            <w:pPr>
              <w:widowControl/>
              <w:jc w:val="left"/>
              <w:outlineLvl w:val="1"/>
              <w:rPr>
                <w:rFonts w:ascii="仿宋_GB2312" w:hAnsi="宋体" w:eastAsia="仿宋_GB2312"/>
                <w:b/>
                <w:color w:val="auto"/>
                <w:kern w:val="0"/>
                <w:sz w:val="18"/>
                <w:szCs w:val="18"/>
                <w:highlight w:val="none"/>
              </w:rPr>
            </w:pPr>
          </w:p>
        </w:tc>
        <w:tc>
          <w:tcPr>
            <w:tcW w:w="578" w:type="dxa"/>
            <w:vMerge w:val="continue"/>
          </w:tcPr>
          <w:p>
            <w:pPr>
              <w:widowControl/>
              <w:jc w:val="left"/>
              <w:outlineLvl w:val="1"/>
              <w:rPr>
                <w:rFonts w:ascii="仿宋_GB2312" w:hAnsi="宋体" w:eastAsia="仿宋_GB2312"/>
                <w:b/>
                <w:color w:val="auto"/>
                <w:kern w:val="0"/>
                <w:sz w:val="18"/>
                <w:szCs w:val="18"/>
                <w:highlight w:val="none"/>
              </w:rPr>
            </w:pPr>
          </w:p>
        </w:tc>
        <w:tc>
          <w:tcPr>
            <w:tcW w:w="420" w:type="dxa"/>
            <w:vMerge w:val="continue"/>
          </w:tcPr>
          <w:p>
            <w:pPr>
              <w:widowControl/>
              <w:jc w:val="left"/>
              <w:outlineLvl w:val="1"/>
              <w:rPr>
                <w:rFonts w:ascii="仿宋_GB2312" w:hAnsi="宋体" w:eastAsia="仿宋_GB2312"/>
                <w:b/>
                <w:color w:val="auto"/>
                <w:kern w:val="0"/>
                <w:sz w:val="18"/>
                <w:szCs w:val="18"/>
                <w:highlight w:val="none"/>
              </w:rPr>
            </w:pPr>
          </w:p>
        </w:tc>
        <w:tc>
          <w:tcPr>
            <w:tcW w:w="420" w:type="dxa"/>
            <w:vMerge w:val="continue"/>
          </w:tcPr>
          <w:p>
            <w:pPr>
              <w:widowControl/>
              <w:jc w:val="left"/>
              <w:outlineLvl w:val="1"/>
              <w:rPr>
                <w:rFonts w:ascii="仿宋_GB2312" w:hAnsi="宋体" w:eastAsia="仿宋_GB2312"/>
                <w:b/>
                <w:color w:val="auto"/>
                <w:kern w:val="0"/>
                <w:sz w:val="18"/>
                <w:szCs w:val="18"/>
                <w:highlight w:val="none"/>
              </w:rPr>
            </w:pPr>
          </w:p>
        </w:tc>
        <w:tc>
          <w:tcPr>
            <w:tcW w:w="397" w:type="dxa"/>
            <w:gridSpan w:val="2"/>
            <w:vMerge w:val="continue"/>
          </w:tcPr>
          <w:p>
            <w:pPr>
              <w:widowControl/>
              <w:jc w:val="left"/>
              <w:outlineLvl w:val="1"/>
              <w:rPr>
                <w:rFonts w:ascii="仿宋_GB2312" w:hAnsi="宋体" w:eastAsia="仿宋_GB2312"/>
                <w:b/>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75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69" w:type="dxa"/>
          </w:tcPr>
          <w:p>
            <w:pPr>
              <w:widowControl/>
              <w:jc w:val="left"/>
              <w:outlineLvl w:val="1"/>
              <w:rPr>
                <w:rFonts w:ascii="仿宋_GB2312" w:hAnsi="宋体" w:eastAsia="仿宋_GB2312"/>
                <w:color w:val="auto"/>
                <w:kern w:val="0"/>
                <w:sz w:val="32"/>
                <w:szCs w:val="32"/>
                <w:highlight w:val="none"/>
              </w:rPr>
            </w:pPr>
          </w:p>
        </w:tc>
        <w:tc>
          <w:tcPr>
            <w:tcW w:w="536"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652"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19"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578"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420"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397"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851" w:type="dxa"/>
          </w:tcPr>
          <w:p>
            <w:pPr>
              <w:widowControl/>
              <w:jc w:val="lef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highlight w:val="none"/>
              </w:rPr>
              <w:t>　</w:t>
            </w:r>
          </w:p>
        </w:tc>
        <w:tc>
          <w:tcPr>
            <w:tcW w:w="1456" w:type="dxa"/>
            <w:vAlign w:val="center"/>
          </w:tcPr>
          <w:p>
            <w:pPr>
              <w:widowControl/>
              <w:jc w:val="center"/>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Cs w:val="21"/>
                <w:highlight w:val="none"/>
              </w:rPr>
              <w:t>合计</w:t>
            </w:r>
          </w:p>
        </w:tc>
        <w:tc>
          <w:tcPr>
            <w:tcW w:w="750" w:type="dxa"/>
            <w:vAlign w:val="center"/>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69" w:type="dxa"/>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36" w:type="dxa"/>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652" w:type="dxa"/>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652" w:type="dxa"/>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78" w:type="dxa"/>
            <w:gridSpan w:val="2"/>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419" w:type="dxa"/>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578" w:type="dxa"/>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420" w:type="dxa"/>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420" w:type="dxa"/>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c>
          <w:tcPr>
            <w:tcW w:w="397" w:type="dxa"/>
            <w:gridSpan w:val="2"/>
          </w:tcPr>
          <w:p>
            <w:pPr>
              <w:widowControl/>
              <w:jc w:val="center"/>
              <w:outlineLvl w:val="1"/>
              <w:rPr>
                <w:rFonts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0</w:t>
            </w:r>
          </w:p>
        </w:tc>
      </w:tr>
    </w:tbl>
    <w:p>
      <w:pPr>
        <w:widowControl/>
        <w:outlineLvl w:val="1"/>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备注：2019年未安排项目支出预算，因此没有使用项目支出预算拨款安排的支出，项目支出预算支出情况表为空表。</w:t>
      </w:r>
    </w:p>
    <w:p>
      <w:pPr>
        <w:widowControl/>
        <w:outlineLvl w:val="1"/>
        <w:rPr>
          <w:rFonts w:ascii="仿宋_GB2312" w:hAnsi="宋体" w:eastAsia="仿宋_GB2312"/>
          <w:b/>
          <w:color w:val="auto"/>
          <w:kern w:val="0"/>
          <w:sz w:val="28"/>
          <w:szCs w:val="32"/>
          <w:highlight w:val="none"/>
        </w:rPr>
      </w:pPr>
    </w:p>
    <w:p>
      <w:pPr>
        <w:widowControl/>
        <w:jc w:val="left"/>
        <w:outlineLvl w:val="1"/>
        <w:rPr>
          <w:rFonts w:ascii="仿宋_GB2312" w:hAnsi="宋体" w:eastAsia="仿宋_GB2312"/>
          <w:b/>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表八：</w:t>
      </w:r>
    </w:p>
    <w:p>
      <w:pPr>
        <w:widowControl/>
        <w:jc w:val="left"/>
        <w:outlineLvl w:val="1"/>
        <w:rPr>
          <w:rFonts w:ascii="仿宋_GB2312" w:hAnsi="宋体" w:eastAsia="仿宋_GB2312"/>
          <w:b/>
          <w:color w:val="auto"/>
          <w:kern w:val="0"/>
          <w:sz w:val="32"/>
          <w:szCs w:val="32"/>
          <w:highlight w:val="none"/>
        </w:rPr>
      </w:pP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一般公共预算“三公”经费支出情况表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编制单位：</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阜康市人工影响天气办公室</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r>
        <w:rPr>
          <w:rFonts w:ascii="仿宋_GB2312" w:hAnsi="宋体" w:eastAsia="仿宋_GB2312"/>
          <w:color w:val="auto"/>
          <w:kern w:val="0"/>
          <w:sz w:val="24"/>
          <w:highlight w:val="none"/>
        </w:rPr>
        <w:t xml:space="preserve">                          </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22"/>
                <w:szCs w:val="22"/>
                <w:highlight w:val="none"/>
              </w:rPr>
            </w:pPr>
            <w:r>
              <w:rPr>
                <w:rFonts w:hint="eastAsia" w:ascii="宋体" w:hAnsi="宋体" w:cs="宋体"/>
                <w:b/>
                <w:bCs/>
                <w:color w:val="auto"/>
                <w:kern w:val="0"/>
                <w:sz w:val="22"/>
                <w:szCs w:val="22"/>
                <w:highlight w:val="none"/>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highlight w:val="none"/>
              </w:rPr>
            </w:pPr>
            <w:r>
              <w:rPr>
                <w:rFonts w:hint="eastAsia" w:ascii="仿宋_GB2312" w:hAnsi="宋体" w:eastAsia="仿宋_GB2312" w:cs="宋体"/>
                <w:b/>
                <w:bCs/>
                <w:color w:val="auto"/>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auto"/>
                <w:kern w:val="0"/>
                <w:sz w:val="22"/>
                <w:szCs w:val="22"/>
                <w:highlight w:val="none"/>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r>
    </w:tbl>
    <w:p>
      <w:pPr>
        <w:widowControl/>
        <w:spacing w:line="375" w:lineRule="atLeast"/>
        <w:ind w:firstLine="480"/>
        <w:jc w:val="left"/>
        <w:rPr>
          <w:rFonts w:ascii="仿宋_GB2312" w:hAnsi="宋体" w:eastAsia="仿宋_GB2312"/>
          <w:b/>
          <w:color w:val="auto"/>
          <w:kern w:val="0"/>
          <w:sz w:val="28"/>
          <w:szCs w:val="32"/>
          <w:highlight w:val="none"/>
        </w:rPr>
      </w:pPr>
      <w:r>
        <w:rPr>
          <w:rFonts w:ascii="仿宋_GB2312" w:hAnsi="宋体" w:eastAsia="仿宋_GB2312"/>
          <w:b/>
          <w:color w:val="auto"/>
          <w:kern w:val="0"/>
          <w:sz w:val="28"/>
          <w:szCs w:val="32"/>
          <w:highlight w:val="none"/>
        </w:rPr>
        <w:t>2019</w:t>
      </w:r>
      <w:r>
        <w:rPr>
          <w:rFonts w:hint="eastAsia" w:ascii="仿宋_GB2312" w:hAnsi="宋体" w:eastAsia="仿宋_GB2312"/>
          <w:b/>
          <w:color w:val="auto"/>
          <w:kern w:val="0"/>
          <w:sz w:val="28"/>
          <w:szCs w:val="32"/>
          <w:highlight w:val="none"/>
        </w:rPr>
        <w:t>年未安排</w:t>
      </w:r>
      <w:r>
        <w:rPr>
          <w:rFonts w:hint="eastAsia" w:ascii="仿宋_GB2312" w:hAnsi="宋体" w:eastAsia="仿宋_GB2312"/>
          <w:b/>
          <w:color w:val="auto"/>
          <w:kern w:val="0"/>
          <w:sz w:val="32"/>
          <w:szCs w:val="32"/>
          <w:highlight w:val="none"/>
        </w:rPr>
        <w:t>“</w:t>
      </w:r>
      <w:r>
        <w:rPr>
          <w:rFonts w:hint="eastAsia" w:ascii="仿宋_GB2312" w:hAnsi="宋体" w:eastAsia="仿宋_GB2312"/>
          <w:b/>
          <w:color w:val="auto"/>
          <w:kern w:val="0"/>
          <w:sz w:val="28"/>
          <w:szCs w:val="32"/>
          <w:highlight w:val="none"/>
        </w:rPr>
        <w:t>三公”经费支出，因此没有使用“三公”经费支出拨款安排的支出，“三公”经费支出情况表为空表。</w:t>
      </w:r>
    </w:p>
    <w:p>
      <w:pPr>
        <w:widowControl/>
        <w:spacing w:line="375" w:lineRule="atLeast"/>
        <w:ind w:firstLine="480"/>
        <w:jc w:val="left"/>
        <w:rPr>
          <w:rFonts w:ascii="仿宋_GB2312" w:hAnsi="宋体" w:eastAsia="仿宋_GB2312"/>
          <w:b/>
          <w:color w:val="auto"/>
          <w:kern w:val="0"/>
          <w:sz w:val="28"/>
          <w:szCs w:val="32"/>
          <w:highlight w:val="none"/>
        </w:rPr>
      </w:pPr>
    </w:p>
    <w:p>
      <w:pPr>
        <w:widowControl/>
        <w:spacing w:line="375" w:lineRule="atLeast"/>
        <w:ind w:firstLine="480"/>
        <w:jc w:val="left"/>
        <w:rPr>
          <w:rFonts w:ascii="仿宋_GB2312" w:hAnsi="宋体" w:eastAsia="仿宋_GB2312"/>
          <w:b/>
          <w:color w:val="auto"/>
          <w:kern w:val="0"/>
          <w:sz w:val="28"/>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outlineLvl w:val="1"/>
        <w:rPr>
          <w:rFonts w:ascii="仿宋_GB2312" w:hAnsi="宋体" w:eastAsia="仿宋_GB2312"/>
          <w:color w:val="auto"/>
          <w:kern w:val="0"/>
          <w:sz w:val="32"/>
          <w:szCs w:val="32"/>
          <w:highlight w:val="none"/>
        </w:rPr>
      </w:pPr>
    </w:p>
    <w:p>
      <w:pPr>
        <w:widowControl/>
        <w:jc w:val="left"/>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表九：</w:t>
      </w:r>
    </w:p>
    <w:p>
      <w:pPr>
        <w:widowControl/>
        <w:jc w:val="center"/>
        <w:outlineLvl w:val="1"/>
        <w:rPr>
          <w:rFonts w:ascii="仿宋_GB2312" w:hAnsi="宋体" w:eastAsia="仿宋_GB2312"/>
          <w:b/>
          <w:color w:val="auto"/>
          <w:kern w:val="0"/>
          <w:sz w:val="32"/>
          <w:szCs w:val="32"/>
          <w:highlight w:val="none"/>
        </w:rPr>
      </w:pPr>
      <w:r>
        <w:rPr>
          <w:rFonts w:hint="eastAsia" w:ascii="仿宋_GB2312" w:hAnsi="宋体" w:eastAsia="仿宋_GB2312"/>
          <w:b/>
          <w:color w:val="auto"/>
          <w:kern w:val="0"/>
          <w:sz w:val="32"/>
          <w:szCs w:val="32"/>
          <w:highlight w:val="none"/>
        </w:rPr>
        <w:t>政府性基金预算支出情况表</w:t>
      </w:r>
    </w:p>
    <w:p>
      <w:pPr>
        <w:widowControl/>
        <w:jc w:val="left"/>
        <w:outlineLvl w:val="1"/>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编制单位：阜康市人工影响天气办公室</w:t>
      </w:r>
      <w:r>
        <w:rPr>
          <w:rFonts w:ascii="仿宋_GB2312" w:hAnsi="宋体" w:eastAsia="仿宋_GB2312"/>
          <w:color w:val="auto"/>
          <w:kern w:val="0"/>
          <w:sz w:val="24"/>
          <w:highlight w:val="none"/>
        </w:rPr>
        <w:t xml:space="preserve">                        </w:t>
      </w:r>
      <w:r>
        <w:rPr>
          <w:rFonts w:hint="eastAsia" w:ascii="仿宋_GB2312" w:hAnsi="宋体" w:eastAsia="仿宋_GB2312"/>
          <w:color w:val="auto"/>
          <w:kern w:val="0"/>
          <w:sz w:val="24"/>
          <w:highlight w:val="none"/>
        </w:rPr>
        <w:t>单位：万元</w:t>
      </w:r>
      <w:r>
        <w:rPr>
          <w:rFonts w:ascii="仿宋_GB2312" w:hAnsi="宋体" w:eastAsia="仿宋_GB2312"/>
          <w:color w:val="auto"/>
          <w:kern w:val="0"/>
          <w:sz w:val="24"/>
          <w:highlight w:val="none"/>
        </w:rPr>
        <w:t xml:space="preserve">                             </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w:t>
            </w:r>
            <w:r>
              <w:rPr>
                <w:rFonts w:ascii="仿宋_GB2312" w:hAnsi="宋体" w:eastAsia="仿宋_GB2312" w:cs="宋体"/>
                <w:b/>
                <w:bCs/>
                <w:color w:val="auto"/>
                <w:kern w:val="0"/>
                <w:sz w:val="24"/>
                <w:highlight w:val="none"/>
              </w:rPr>
              <w:t xml:space="preserve">  </w:t>
            </w:r>
            <w:r>
              <w:rPr>
                <w:rFonts w:hint="eastAsia" w:ascii="仿宋_GB2312" w:hAnsi="宋体" w:eastAsia="仿宋_GB2312" w:cs="宋体"/>
                <w:b/>
                <w:bCs/>
                <w:color w:val="auto"/>
                <w:kern w:val="0"/>
                <w:sz w:val="24"/>
                <w:highlight w:val="none"/>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18"/>
                <w:szCs w:val="18"/>
                <w:highlight w:val="none"/>
              </w:rPr>
            </w:pPr>
            <w:r>
              <w:rPr>
                <w:rFonts w:hint="eastAsia" w:ascii="仿宋_GB2312" w:hAnsi="宋体" w:eastAsia="仿宋_GB2312" w:cs="宋体"/>
                <w:b/>
                <w:bCs/>
                <w:color w:val="auto"/>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highlight w:val="none"/>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auto"/>
                <w:kern w:val="0"/>
                <w:sz w:val="24"/>
                <w:highlight w:val="none"/>
              </w:rPr>
            </w:pPr>
            <w:r>
              <w:rPr>
                <w:rFonts w:hint="eastAsia" w:ascii="宋体" w:hAnsi="宋体" w:cs="宋体"/>
                <w:color w:val="auto"/>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0　</w:t>
            </w:r>
          </w:p>
        </w:tc>
      </w:tr>
    </w:tbl>
    <w:p>
      <w:pPr>
        <w:widowControl/>
        <w:spacing w:line="375" w:lineRule="atLeast"/>
        <w:jc w:val="left"/>
        <w:rPr>
          <w:rFonts w:ascii="仿宋_GB2312" w:hAnsi="宋体" w:eastAsia="仿宋_GB2312"/>
          <w:b/>
          <w:color w:val="auto"/>
          <w:kern w:val="0"/>
          <w:sz w:val="28"/>
          <w:szCs w:val="32"/>
          <w:highlight w:val="none"/>
        </w:rPr>
      </w:pPr>
      <w:r>
        <w:rPr>
          <w:rFonts w:hint="eastAsia" w:ascii="仿宋_GB2312" w:hAnsi="宋体" w:eastAsia="仿宋_GB2312"/>
          <w:b/>
          <w:color w:val="auto"/>
          <w:kern w:val="0"/>
          <w:sz w:val="28"/>
          <w:szCs w:val="32"/>
          <w:highlight w:val="none"/>
        </w:rPr>
        <w:t>备注：</w:t>
      </w:r>
      <w:r>
        <w:rPr>
          <w:rFonts w:ascii="仿宋_GB2312" w:hAnsi="宋体" w:eastAsia="仿宋_GB2312"/>
          <w:b/>
          <w:color w:val="auto"/>
          <w:kern w:val="0"/>
          <w:sz w:val="28"/>
          <w:szCs w:val="32"/>
          <w:highlight w:val="none"/>
        </w:rPr>
        <w:t>2019</w:t>
      </w:r>
      <w:r>
        <w:rPr>
          <w:rFonts w:hint="eastAsia" w:ascii="仿宋_GB2312" w:hAnsi="宋体" w:eastAsia="仿宋_GB2312"/>
          <w:b/>
          <w:color w:val="auto"/>
          <w:kern w:val="0"/>
          <w:sz w:val="28"/>
          <w:szCs w:val="32"/>
          <w:highlight w:val="none"/>
        </w:rPr>
        <w:t>年未安排政府性基金预算，因此没有使用政府性基金预算拨款安排的支出，政府性基金预算支出情况表为空表。</w:t>
      </w:r>
    </w:p>
    <w:p>
      <w:pPr>
        <w:widowControl/>
        <w:jc w:val="left"/>
        <w:outlineLvl w:val="1"/>
        <w:rPr>
          <w:rFonts w:ascii="仿宋_GB2312" w:hAnsi="宋体" w:eastAsia="仿宋_GB2312"/>
          <w:color w:val="auto"/>
          <w:kern w:val="0"/>
          <w:sz w:val="32"/>
          <w:szCs w:val="32"/>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第三部分</w:t>
      </w:r>
      <w:r>
        <w:rPr>
          <w:rFonts w:ascii="黑体" w:hAnsi="黑体" w:eastAsia="黑体"/>
          <w:color w:val="auto"/>
          <w:kern w:val="0"/>
          <w:sz w:val="32"/>
          <w:szCs w:val="32"/>
          <w:highlight w:val="none"/>
        </w:rPr>
        <w:t xml:space="preserve">  2019</w:t>
      </w:r>
      <w:r>
        <w:rPr>
          <w:rFonts w:hint="eastAsia" w:ascii="黑体" w:hAnsi="黑体" w:eastAsia="黑体"/>
          <w:color w:val="auto"/>
          <w:kern w:val="0"/>
          <w:sz w:val="32"/>
          <w:szCs w:val="32"/>
          <w:highlight w:val="none"/>
        </w:rPr>
        <w:t>年部门预算情况说明</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黑体" w:eastAsia="黑体" w:cs="宋体"/>
          <w:bCs/>
          <w:color w:val="auto"/>
          <w:kern w:val="0"/>
          <w:sz w:val="32"/>
          <w:szCs w:val="32"/>
          <w:highlight w:val="none"/>
        </w:rPr>
        <w:t>一、</w:t>
      </w:r>
      <w:r>
        <w:rPr>
          <w:rFonts w:hint="eastAsia" w:ascii="黑体" w:hAnsi="宋体" w:eastAsia="黑体" w:cs="宋体"/>
          <w:color w:val="auto"/>
          <w:kern w:val="0"/>
          <w:sz w:val="32"/>
          <w:szCs w:val="32"/>
          <w:highlight w:val="none"/>
        </w:rPr>
        <w:t>关于市人工影响天气办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年收支预算情况的总体说明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按照全口径预算的原则，市人工影响天气办</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年所有收入和支出均纳入部门预算管理。收支总预算</w:t>
      </w:r>
      <w:r>
        <w:rPr>
          <w:rFonts w:ascii="仿宋_GB2312" w:hAnsi="宋体" w:eastAsia="仿宋_GB2312" w:cs="宋体"/>
          <w:color w:val="auto"/>
          <w:kern w:val="0"/>
          <w:sz w:val="32"/>
          <w:szCs w:val="32"/>
          <w:highlight w:val="none"/>
        </w:rPr>
        <w:t>10.1</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收入预算包括：一般公共预算10.1万元。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支出预算包括：国土资源气象等支出8.57万元、医疗卫生与计划生育支出0.72万元，住房保障支出0.81万元。</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二、关于市人工影响天气办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年收入预算情况说明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市人工影响天气办收入预算</w:t>
      </w:r>
      <w:r>
        <w:rPr>
          <w:rFonts w:ascii="仿宋_GB2312" w:hAnsi="宋体" w:eastAsia="仿宋_GB2312" w:cs="宋体"/>
          <w:color w:val="auto"/>
          <w:kern w:val="0"/>
          <w:sz w:val="32"/>
          <w:szCs w:val="32"/>
          <w:highlight w:val="none"/>
        </w:rPr>
        <w:t xml:space="preserve">10.1 </w:t>
      </w:r>
      <w:r>
        <w:rPr>
          <w:rFonts w:hint="eastAsia" w:ascii="仿宋_GB2312" w:hAnsi="宋体" w:eastAsia="仿宋_GB2312" w:cs="宋体"/>
          <w:color w:val="auto"/>
          <w:kern w:val="0"/>
          <w:sz w:val="32"/>
          <w:szCs w:val="32"/>
          <w:highlight w:val="none"/>
        </w:rPr>
        <w:t>万元，其中：</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一般公共预算</w:t>
      </w:r>
      <w:r>
        <w:rPr>
          <w:rFonts w:ascii="仿宋_GB2312" w:hAnsi="宋体" w:eastAsia="仿宋_GB2312" w:cs="宋体"/>
          <w:color w:val="auto"/>
          <w:kern w:val="0"/>
          <w:sz w:val="32"/>
          <w:szCs w:val="32"/>
          <w:highlight w:val="none"/>
        </w:rPr>
        <w:t>10.1</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100 %</w:t>
      </w:r>
      <w:r>
        <w:rPr>
          <w:rFonts w:hint="eastAsia" w:ascii="仿宋_GB2312" w:hAnsi="宋体" w:eastAsia="仿宋_GB2312" w:cs="宋体"/>
          <w:color w:val="auto"/>
          <w:kern w:val="0"/>
          <w:sz w:val="32"/>
          <w:szCs w:val="32"/>
          <w:highlight w:val="none"/>
        </w:rPr>
        <w:t>，比上年预算增加10.1万元，主要原因是2019年新成立单位。</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政府性基金预算未安排。</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三、关于市人工影响天气办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年支出预算情况说明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市人工影响天气办</w:t>
      </w:r>
      <w:r>
        <w:rPr>
          <w:rFonts w:ascii="黑体" w:hAnsi="宋体" w:eastAsia="黑体" w:cs="宋体"/>
          <w:color w:val="auto"/>
          <w:kern w:val="0"/>
          <w:sz w:val="32"/>
          <w:szCs w:val="32"/>
          <w:highlight w:val="none"/>
        </w:rPr>
        <w:t>2019</w:t>
      </w:r>
      <w:r>
        <w:rPr>
          <w:rFonts w:hint="eastAsia" w:ascii="仿宋_GB2312" w:hAnsi="宋体" w:eastAsia="仿宋_GB2312" w:cs="宋体"/>
          <w:color w:val="auto"/>
          <w:kern w:val="0"/>
          <w:sz w:val="32"/>
          <w:szCs w:val="32"/>
          <w:highlight w:val="none"/>
        </w:rPr>
        <w:t>年支出预算</w:t>
      </w:r>
      <w:r>
        <w:rPr>
          <w:rFonts w:ascii="仿宋_GB2312" w:hAnsi="宋体" w:eastAsia="仿宋_GB2312" w:cs="宋体"/>
          <w:color w:val="auto"/>
          <w:kern w:val="0"/>
          <w:sz w:val="32"/>
          <w:szCs w:val="32"/>
          <w:highlight w:val="none"/>
        </w:rPr>
        <w:t>10.1万</w:t>
      </w:r>
      <w:r>
        <w:rPr>
          <w:rFonts w:hint="eastAsia" w:ascii="仿宋_GB2312" w:hAnsi="宋体" w:eastAsia="仿宋_GB2312" w:cs="宋体"/>
          <w:color w:val="auto"/>
          <w:kern w:val="0"/>
          <w:sz w:val="32"/>
          <w:szCs w:val="32"/>
          <w:highlight w:val="none"/>
        </w:rPr>
        <w:t>元，其中：</w:t>
      </w:r>
    </w:p>
    <w:p>
      <w:pPr>
        <w:widowControl/>
        <w:spacing w:line="580" w:lineRule="exact"/>
        <w:ind w:firstLine="640"/>
        <w:jc w:val="left"/>
        <w:rPr>
          <w:rFonts w:ascii="仿宋_GB2312" w:hAnsi="宋体" w:eastAsia="仿宋_GB2312" w:cs="宋体"/>
          <w:b/>
          <w:color w:val="auto"/>
          <w:kern w:val="0"/>
          <w:sz w:val="32"/>
          <w:szCs w:val="32"/>
          <w:highlight w:val="none"/>
        </w:rPr>
      </w:pPr>
      <w:r>
        <w:rPr>
          <w:rFonts w:hint="eastAsia" w:ascii="仿宋_GB2312" w:hAnsi="宋体" w:eastAsia="仿宋_GB2312" w:cs="宋体"/>
          <w:color w:val="auto"/>
          <w:kern w:val="0"/>
          <w:sz w:val="32"/>
          <w:szCs w:val="32"/>
          <w:highlight w:val="none"/>
        </w:rPr>
        <w:t>基本支出</w:t>
      </w:r>
      <w:r>
        <w:rPr>
          <w:rFonts w:ascii="仿宋_GB2312" w:hAnsi="宋体" w:eastAsia="仿宋_GB2312" w:cs="宋体"/>
          <w:color w:val="auto"/>
          <w:kern w:val="0"/>
          <w:sz w:val="32"/>
          <w:szCs w:val="32"/>
          <w:highlight w:val="none"/>
        </w:rPr>
        <w:t xml:space="preserve">10.1 </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 xml:space="preserve"> 100 %</w:t>
      </w:r>
      <w:r>
        <w:rPr>
          <w:rFonts w:hint="eastAsia" w:ascii="仿宋_GB2312" w:hAnsi="宋体" w:eastAsia="仿宋_GB2312" w:cs="宋体"/>
          <w:color w:val="auto"/>
          <w:kern w:val="0"/>
          <w:sz w:val="32"/>
          <w:szCs w:val="32"/>
          <w:highlight w:val="none"/>
        </w:rPr>
        <w:t>，比上年预算增加10.1</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万元，主要原因是2019年新成立单位。</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项目支出</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万元。占0%，比上年增加0万元，主要原因是未安排项目支出预算。</w:t>
      </w:r>
    </w:p>
    <w:p>
      <w:pPr>
        <w:widowControl/>
        <w:spacing w:line="580" w:lineRule="exact"/>
        <w:ind w:firstLine="640"/>
        <w:jc w:val="left"/>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四、关于</w:t>
      </w:r>
      <w:r>
        <w:rPr>
          <w:rFonts w:hint="eastAsia" w:ascii="黑体" w:hAnsi="宋体" w:eastAsia="黑体" w:cs="宋体"/>
          <w:color w:val="auto"/>
          <w:kern w:val="0"/>
          <w:sz w:val="32"/>
          <w:szCs w:val="32"/>
          <w:highlight w:val="none"/>
        </w:rPr>
        <w:t>市人工影响天气办</w:t>
      </w:r>
      <w:r>
        <w:rPr>
          <w:rFonts w:ascii="黑体" w:hAnsi="宋体" w:eastAsia="黑体" w:cs="宋体"/>
          <w:color w:val="auto"/>
          <w:kern w:val="0"/>
          <w:sz w:val="32"/>
          <w:szCs w:val="32"/>
          <w:highlight w:val="none"/>
        </w:rPr>
        <w:t>2019</w:t>
      </w:r>
      <w:r>
        <w:rPr>
          <w:rFonts w:hint="eastAsia" w:ascii="黑体" w:hAnsi="黑体" w:eastAsia="黑体" w:cs="宋体"/>
          <w:bCs/>
          <w:color w:val="auto"/>
          <w:kern w:val="0"/>
          <w:sz w:val="32"/>
          <w:szCs w:val="32"/>
          <w:highlight w:val="none"/>
        </w:rPr>
        <w:t>年财政拨款收支预算情况的总体说明</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年财政拨款收支总预算</w:t>
      </w:r>
      <w:r>
        <w:rPr>
          <w:rFonts w:ascii="仿宋_GB2312" w:hAnsi="宋体" w:eastAsia="仿宋_GB2312" w:cs="宋体"/>
          <w:color w:val="auto"/>
          <w:kern w:val="0"/>
          <w:sz w:val="32"/>
          <w:szCs w:val="32"/>
          <w:highlight w:val="none"/>
        </w:rPr>
        <w:t xml:space="preserve">  10.1 </w:t>
      </w:r>
      <w:r>
        <w:rPr>
          <w:rFonts w:hint="eastAsia" w:ascii="仿宋_GB2312" w:hAnsi="宋体" w:eastAsia="仿宋_GB2312" w:cs="宋体"/>
          <w:color w:val="auto"/>
          <w:kern w:val="0"/>
          <w:sz w:val="32"/>
          <w:szCs w:val="32"/>
          <w:highlight w:val="none"/>
        </w:rPr>
        <w:t>万元。</w:t>
      </w:r>
    </w:p>
    <w:p>
      <w:pPr>
        <w:spacing w:line="580" w:lineRule="exact"/>
        <w:ind w:firstLine="640"/>
        <w:rPr>
          <w:rFonts w:ascii="仿宋_GB2312" w:hAnsi="宋体" w:eastAsia="仿宋_GB2312" w:cs="宋体"/>
          <w:b/>
          <w:color w:val="auto"/>
          <w:kern w:val="0"/>
          <w:sz w:val="32"/>
          <w:szCs w:val="32"/>
          <w:highlight w:val="none"/>
        </w:rPr>
      </w:pPr>
      <w:r>
        <w:rPr>
          <w:rFonts w:hint="eastAsia" w:ascii="仿宋_GB2312" w:hAnsi="宋体" w:eastAsia="仿宋_GB2312" w:cs="宋体"/>
          <w:color w:val="auto"/>
          <w:kern w:val="0"/>
          <w:sz w:val="32"/>
          <w:szCs w:val="32"/>
          <w:highlight w:val="none"/>
        </w:rPr>
        <w:t>收入全部为一般公共预算拨款，无政府性基金预算拨款。</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支出预算包括：国土资源气象等支出</w:t>
      </w:r>
      <w:r>
        <w:rPr>
          <w:rFonts w:ascii="仿宋_GB2312" w:hAnsi="宋体" w:eastAsia="仿宋_GB2312" w:cs="宋体"/>
          <w:color w:val="auto"/>
          <w:kern w:val="0"/>
          <w:sz w:val="32"/>
          <w:szCs w:val="32"/>
          <w:highlight w:val="none"/>
        </w:rPr>
        <w:t>8.57</w:t>
      </w:r>
      <w:r>
        <w:rPr>
          <w:rFonts w:hint="eastAsia" w:ascii="仿宋_GB2312" w:hAnsi="宋体" w:eastAsia="仿宋_GB2312" w:cs="宋体"/>
          <w:color w:val="auto"/>
          <w:kern w:val="0"/>
          <w:sz w:val="32"/>
          <w:szCs w:val="32"/>
          <w:highlight w:val="none"/>
        </w:rPr>
        <w:t>万元，主要用于</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工资及福利支出、商品及服务支出以及对个人及家庭的补助；</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医疗卫生与计划生育支出</w:t>
      </w:r>
      <w:r>
        <w:rPr>
          <w:rFonts w:ascii="仿宋_GB2312" w:hAnsi="宋体" w:eastAsia="仿宋_GB2312" w:cs="宋体"/>
          <w:color w:val="auto"/>
          <w:kern w:val="0"/>
          <w:sz w:val="32"/>
          <w:szCs w:val="32"/>
          <w:highlight w:val="none"/>
        </w:rPr>
        <w:t>0.72</w:t>
      </w:r>
      <w:r>
        <w:rPr>
          <w:rFonts w:hint="eastAsia" w:ascii="仿宋_GB2312" w:hAnsi="宋体" w:eastAsia="仿宋_GB2312" w:cs="宋体"/>
          <w:color w:val="auto"/>
          <w:kern w:val="0"/>
          <w:sz w:val="32"/>
          <w:szCs w:val="32"/>
          <w:highlight w:val="none"/>
        </w:rPr>
        <w:t>万元，主要用于个人医疗补助；</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住房公积金</w:t>
      </w:r>
      <w:r>
        <w:rPr>
          <w:rFonts w:ascii="仿宋_GB2312" w:hAnsi="宋体" w:eastAsia="仿宋_GB2312" w:cs="宋体"/>
          <w:color w:val="auto"/>
          <w:kern w:val="0"/>
          <w:sz w:val="32"/>
          <w:szCs w:val="32"/>
          <w:highlight w:val="none"/>
        </w:rPr>
        <w:t>0.81</w:t>
      </w:r>
      <w:r>
        <w:rPr>
          <w:rFonts w:hint="eastAsia" w:ascii="仿宋_GB2312" w:hAnsi="宋体" w:eastAsia="仿宋_GB2312" w:cs="宋体"/>
          <w:color w:val="auto"/>
          <w:kern w:val="0"/>
          <w:sz w:val="32"/>
          <w:szCs w:val="32"/>
          <w:highlight w:val="none"/>
        </w:rPr>
        <w:t>万元，主要用于住房公积金的单位承担部份。</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五、关于市人工影响天气办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年一般公共预算当年拨款情况说明</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（一）一般公用预算当年拨款规模变化情况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市人工影响天气办</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年一般公共预算拨款基本支出</w:t>
      </w:r>
      <w:r>
        <w:rPr>
          <w:rFonts w:ascii="仿宋_GB2312" w:hAnsi="宋体" w:eastAsia="仿宋_GB2312" w:cs="宋体"/>
          <w:color w:val="auto"/>
          <w:kern w:val="0"/>
          <w:sz w:val="32"/>
          <w:szCs w:val="32"/>
          <w:highlight w:val="none"/>
        </w:rPr>
        <w:t>10.1</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0.88</w:t>
      </w:r>
      <w:r>
        <w:rPr>
          <w:rFonts w:hint="eastAsia" w:ascii="仿宋_GB2312" w:hAnsi="宋体" w:eastAsia="仿宋_GB2312" w:cs="宋体"/>
          <w:color w:val="auto"/>
          <w:kern w:val="0"/>
          <w:sz w:val="32"/>
          <w:szCs w:val="32"/>
          <w:highlight w:val="none"/>
        </w:rPr>
        <w:t>万元，增长</w:t>
      </w:r>
      <w:r>
        <w:rPr>
          <w:rFonts w:hint="eastAsia" w:ascii="仿宋_GB2312" w:hAnsi="宋体" w:eastAsia="仿宋_GB2312" w:cs="宋体"/>
          <w:color w:val="auto"/>
          <w:kern w:val="0"/>
          <w:sz w:val="32"/>
          <w:szCs w:val="32"/>
          <w:highlight w:val="none"/>
          <w:lang w:val="en-US" w:eastAsia="zh-CN"/>
        </w:rPr>
        <w:t>9.54</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。主要原因是：人员工资增加。</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（二）一般公共预算当年拨款结构情况</w:t>
      </w:r>
    </w:p>
    <w:p>
      <w:pPr>
        <w:spacing w:line="580" w:lineRule="exact"/>
        <w:ind w:firstLine="640"/>
        <w:rPr>
          <w:rFonts w:ascii="仿宋_GB2312" w:hAnsi="宋体" w:eastAsia="仿宋_GB2312" w:cs="宋体"/>
          <w:color w:val="auto"/>
          <w:kern w:val="0"/>
          <w:sz w:val="32"/>
          <w:szCs w:val="32"/>
          <w:highlight w:val="none"/>
        </w:rPr>
      </w:pPr>
      <w:r>
        <w:rPr>
          <w:rFonts w:ascii="仿宋_GB2312" w:eastAsia="仿宋_GB2312"/>
          <w:color w:val="auto"/>
          <w:sz w:val="32"/>
          <w:szCs w:val="32"/>
          <w:highlight w:val="none"/>
        </w:rPr>
        <w:t>1.</w:t>
      </w:r>
      <w:r>
        <w:rPr>
          <w:rFonts w:hint="eastAsia" w:ascii="仿宋_GB2312" w:hAnsi="宋体" w:eastAsia="仿宋_GB2312" w:cs="宋体"/>
          <w:color w:val="auto"/>
          <w:kern w:val="0"/>
          <w:sz w:val="32"/>
          <w:szCs w:val="32"/>
          <w:highlight w:val="none"/>
        </w:rPr>
        <w:t xml:space="preserve"> 国土资源气象（类）</w:t>
      </w:r>
      <w:r>
        <w:rPr>
          <w:rFonts w:ascii="仿宋_GB2312" w:eastAsia="仿宋_GB2312"/>
          <w:color w:val="auto"/>
          <w:sz w:val="32"/>
          <w:szCs w:val="32"/>
          <w:highlight w:val="none"/>
        </w:rPr>
        <w:t xml:space="preserve">8.57 </w:t>
      </w:r>
      <w:r>
        <w:rPr>
          <w:rFonts w:hint="eastAsia" w:ascii="仿宋_GB2312" w:hAnsi="宋体" w:eastAsia="仿宋_GB2312" w:cs="宋体"/>
          <w:color w:val="auto"/>
          <w:kern w:val="0"/>
          <w:sz w:val="32"/>
          <w:szCs w:val="32"/>
          <w:highlight w:val="none"/>
        </w:rPr>
        <w:t>万元，占</w:t>
      </w:r>
      <w:r>
        <w:rPr>
          <w:rFonts w:ascii="仿宋_GB2312" w:hAnsi="宋体" w:eastAsia="仿宋_GB2312" w:cs="宋体"/>
          <w:color w:val="auto"/>
          <w:kern w:val="0"/>
          <w:sz w:val="32"/>
          <w:szCs w:val="32"/>
          <w:highlight w:val="none"/>
        </w:rPr>
        <w:t>84.85 %</w:t>
      </w:r>
      <w:r>
        <w:rPr>
          <w:rFonts w:hint="eastAsia" w:ascii="仿宋_GB2312" w:hAnsi="宋体" w:eastAsia="仿宋_GB2312" w:cs="宋体"/>
          <w:color w:val="auto"/>
          <w:kern w:val="0"/>
          <w:sz w:val="32"/>
          <w:szCs w:val="32"/>
          <w:highlight w:val="none"/>
        </w:rPr>
        <w:t>。</w:t>
      </w:r>
    </w:p>
    <w:p>
      <w:pPr>
        <w:spacing w:line="580" w:lineRule="exact"/>
        <w:ind w:firstLine="640"/>
        <w:rPr>
          <w:rFonts w:ascii="仿宋_GB2312" w:eastAsia="仿宋_GB2312"/>
          <w:color w:val="auto"/>
          <w:sz w:val="32"/>
          <w:szCs w:val="32"/>
          <w:highlight w:val="none"/>
        </w:rPr>
      </w:pPr>
      <w:r>
        <w:rPr>
          <w:rFonts w:ascii="仿宋_GB2312" w:hAnsi="宋体" w:eastAsia="仿宋_GB2312" w:cs="宋体"/>
          <w:color w:val="auto"/>
          <w:kern w:val="0"/>
          <w:sz w:val="32"/>
          <w:szCs w:val="32"/>
          <w:highlight w:val="none"/>
        </w:rPr>
        <w:t>2</w:t>
      </w: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医疗卫生与计划生育（类）</w:t>
      </w:r>
      <w:r>
        <w:rPr>
          <w:rFonts w:ascii="仿宋_GB2312" w:eastAsia="仿宋_GB2312"/>
          <w:color w:val="auto"/>
          <w:sz w:val="32"/>
          <w:szCs w:val="32"/>
          <w:highlight w:val="none"/>
        </w:rPr>
        <w:t>0.72</w:t>
      </w:r>
      <w:r>
        <w:rPr>
          <w:rFonts w:hint="eastAsia" w:ascii="仿宋_GB2312" w:eastAsia="仿宋_GB2312"/>
          <w:color w:val="auto"/>
          <w:sz w:val="32"/>
          <w:szCs w:val="32"/>
          <w:highlight w:val="none"/>
        </w:rPr>
        <w:t>万元，占</w:t>
      </w:r>
      <w:r>
        <w:rPr>
          <w:rFonts w:ascii="仿宋_GB2312" w:eastAsia="仿宋_GB2312"/>
          <w:color w:val="auto"/>
          <w:sz w:val="32"/>
          <w:szCs w:val="32"/>
          <w:highlight w:val="none"/>
        </w:rPr>
        <w:t>7.13 %</w:t>
      </w:r>
      <w:r>
        <w:rPr>
          <w:rFonts w:hint="eastAsia" w:ascii="仿宋_GB2312" w:eastAsia="仿宋_GB2312"/>
          <w:color w:val="auto"/>
          <w:sz w:val="32"/>
          <w:szCs w:val="32"/>
          <w:highlight w:val="none"/>
        </w:rPr>
        <w:t>。</w:t>
      </w:r>
    </w:p>
    <w:p>
      <w:pPr>
        <w:spacing w:line="58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、住房保障（类）</w:t>
      </w:r>
      <w:r>
        <w:rPr>
          <w:rFonts w:ascii="仿宋_GB2312" w:eastAsia="仿宋_GB2312"/>
          <w:color w:val="auto"/>
          <w:sz w:val="32"/>
          <w:szCs w:val="32"/>
          <w:highlight w:val="none"/>
        </w:rPr>
        <w:t>0.81</w:t>
      </w:r>
      <w:r>
        <w:rPr>
          <w:rFonts w:hint="eastAsia" w:ascii="仿宋_GB2312" w:eastAsia="仿宋_GB2312"/>
          <w:color w:val="auto"/>
          <w:sz w:val="32"/>
          <w:szCs w:val="32"/>
          <w:highlight w:val="none"/>
        </w:rPr>
        <w:t>万元，占</w:t>
      </w:r>
      <w:r>
        <w:rPr>
          <w:rFonts w:ascii="仿宋_GB2312" w:eastAsia="仿宋_GB2312"/>
          <w:color w:val="auto"/>
          <w:sz w:val="32"/>
          <w:szCs w:val="32"/>
          <w:highlight w:val="none"/>
        </w:rPr>
        <w:t>8.02 %</w:t>
      </w:r>
      <w:r>
        <w:rPr>
          <w:rFonts w:hint="eastAsia" w:ascii="仿宋_GB2312" w:eastAsia="仿宋_GB2312"/>
          <w:color w:val="auto"/>
          <w:sz w:val="32"/>
          <w:szCs w:val="32"/>
          <w:highlight w:val="none"/>
        </w:rPr>
        <w:t>。</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（三）一般公共预算当年拨款具体使用情况</w:t>
      </w:r>
    </w:p>
    <w:p>
      <w:pPr>
        <w:spacing w:line="580" w:lineRule="exact"/>
        <w:ind w:firstLine="640"/>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lang w:eastAsia="zh-CN"/>
        </w:rPr>
        <w:t>自然资源海洋气象等支出</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类</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气象事业（款）行政运行（项）</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8.57</w:t>
      </w:r>
      <w:r>
        <w:rPr>
          <w:rFonts w:hint="eastAsia" w:ascii="仿宋_GB2312" w:hAnsi="宋体" w:eastAsia="仿宋_GB2312" w:cs="宋体"/>
          <w:color w:val="auto"/>
          <w:kern w:val="0"/>
          <w:sz w:val="32"/>
          <w:szCs w:val="32"/>
          <w:highlight w:val="none"/>
        </w:rPr>
        <w:t>万元，比上年执行数减少</w:t>
      </w:r>
      <w:r>
        <w:rPr>
          <w:rFonts w:ascii="仿宋_GB2312" w:hAnsi="宋体" w:eastAsia="仿宋_GB2312" w:cs="宋体"/>
          <w:color w:val="auto"/>
          <w:kern w:val="0"/>
          <w:sz w:val="32"/>
          <w:szCs w:val="32"/>
          <w:highlight w:val="none"/>
        </w:rPr>
        <w:t>0.65</w:t>
      </w:r>
      <w:r>
        <w:rPr>
          <w:rFonts w:hint="eastAsia" w:ascii="仿宋_GB2312" w:hAnsi="宋体" w:eastAsia="仿宋_GB2312" w:cs="宋体"/>
          <w:color w:val="auto"/>
          <w:kern w:val="0"/>
          <w:sz w:val="32"/>
          <w:szCs w:val="32"/>
          <w:highlight w:val="none"/>
        </w:rPr>
        <w:t>万元，下降</w:t>
      </w:r>
      <w:r>
        <w:rPr>
          <w:rFonts w:ascii="仿宋_GB2312" w:hAnsi="宋体" w:eastAsia="仿宋_GB2312" w:cs="宋体"/>
          <w:color w:val="auto"/>
          <w:kern w:val="0"/>
          <w:sz w:val="32"/>
          <w:szCs w:val="32"/>
          <w:highlight w:val="none"/>
        </w:rPr>
        <w:t>7.05%</w:t>
      </w:r>
      <w:r>
        <w:rPr>
          <w:rFonts w:hint="eastAsia" w:ascii="仿宋_GB2312" w:hAnsi="宋体" w:eastAsia="仿宋_GB2312" w:cs="宋体"/>
          <w:color w:val="auto"/>
          <w:kern w:val="0"/>
          <w:sz w:val="32"/>
          <w:szCs w:val="32"/>
          <w:highlight w:val="none"/>
        </w:rPr>
        <w:t>，主要原因是：科目调整。</w:t>
      </w:r>
    </w:p>
    <w:p>
      <w:pPr>
        <w:spacing w:line="580" w:lineRule="exact"/>
        <w:ind w:firstLine="640"/>
        <w:rPr>
          <w:rFonts w:ascii="仿宋_GB2312" w:hAnsi="宋体" w:eastAsia="仿宋_GB2312" w:cs="宋体"/>
          <w:color w:val="auto"/>
          <w:kern w:val="0"/>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rPr>
        <w:t>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事业单位医疗</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0.5</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0.5</w:t>
      </w:r>
      <w:r>
        <w:rPr>
          <w:rFonts w:hint="eastAsia" w:ascii="仿宋_GB2312" w:hAnsi="宋体" w:eastAsia="仿宋_GB2312" w:cs="宋体"/>
          <w:color w:val="auto"/>
          <w:kern w:val="0"/>
          <w:sz w:val="32"/>
          <w:szCs w:val="32"/>
          <w:highlight w:val="none"/>
        </w:rPr>
        <w:t>万元，下增长</w:t>
      </w:r>
      <w:r>
        <w:rPr>
          <w:rFonts w:ascii="仿宋_GB2312" w:hAnsi="宋体" w:eastAsia="仿宋_GB2312" w:cs="宋体"/>
          <w:color w:val="auto"/>
          <w:kern w:val="0"/>
          <w:sz w:val="32"/>
          <w:szCs w:val="32"/>
          <w:highlight w:val="none"/>
        </w:rPr>
        <w:t>100 %</w:t>
      </w:r>
      <w:r>
        <w:rPr>
          <w:rFonts w:hint="eastAsia" w:ascii="仿宋_GB2312" w:hAnsi="宋体" w:eastAsia="仿宋_GB2312" w:cs="宋体"/>
          <w:color w:val="auto"/>
          <w:kern w:val="0"/>
          <w:sz w:val="32"/>
          <w:szCs w:val="32"/>
          <w:highlight w:val="none"/>
        </w:rPr>
        <w:t>，主要原因是：科目调整。</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3</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医疗卫生与计划生育</w:t>
      </w:r>
      <w:r>
        <w:rPr>
          <w:rFonts w:hint="eastAsia" w:ascii="仿宋_GB2312" w:eastAsia="仿宋_GB2312"/>
          <w:color w:val="auto"/>
          <w:sz w:val="32"/>
          <w:szCs w:val="32"/>
          <w:highlight w:val="none"/>
        </w:rPr>
        <w:t>（类）行政事业单位医疗</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公务员医疗补助</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0.22</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0.22</w:t>
      </w:r>
      <w:r>
        <w:rPr>
          <w:rFonts w:hint="eastAsia" w:ascii="仿宋_GB2312" w:hAnsi="宋体" w:eastAsia="仿宋_GB2312" w:cs="宋体"/>
          <w:color w:val="auto"/>
          <w:kern w:val="0"/>
          <w:sz w:val="32"/>
          <w:szCs w:val="32"/>
          <w:highlight w:val="none"/>
        </w:rPr>
        <w:t>万元，增长</w:t>
      </w:r>
      <w:r>
        <w:rPr>
          <w:rFonts w:ascii="仿宋_GB2312" w:hAnsi="宋体" w:eastAsia="仿宋_GB2312" w:cs="宋体"/>
          <w:color w:val="auto"/>
          <w:kern w:val="0"/>
          <w:sz w:val="32"/>
          <w:szCs w:val="32"/>
          <w:highlight w:val="none"/>
        </w:rPr>
        <w:t>100 %</w:t>
      </w:r>
      <w:r>
        <w:rPr>
          <w:rFonts w:hint="eastAsia" w:ascii="仿宋_GB2312" w:hAnsi="宋体" w:eastAsia="仿宋_GB2312" w:cs="宋体"/>
          <w:color w:val="auto"/>
          <w:kern w:val="0"/>
          <w:sz w:val="32"/>
          <w:szCs w:val="32"/>
          <w:highlight w:val="none"/>
        </w:rPr>
        <w:t>，主要原因是：科目调整。</w:t>
      </w:r>
    </w:p>
    <w:p>
      <w:pPr>
        <w:spacing w:line="580" w:lineRule="exact"/>
        <w:ind w:firstLine="64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4</w:t>
      </w:r>
      <w:r>
        <w:rPr>
          <w:rFonts w:ascii="仿宋_GB2312" w:hAnsi="宋体" w:eastAsia="仿宋_GB2312" w:cs="宋体"/>
          <w:color w:val="auto"/>
          <w:kern w:val="0"/>
          <w:sz w:val="32"/>
          <w:szCs w:val="32"/>
          <w:highlight w:val="none"/>
        </w:rPr>
        <w:t>.</w:t>
      </w:r>
      <w:r>
        <w:rPr>
          <w:rFonts w:ascii="仿宋_GB2312" w:eastAsia="仿宋_GB2312"/>
          <w:color w:val="auto"/>
          <w:sz w:val="32"/>
          <w:szCs w:val="32"/>
          <w:highlight w:val="none"/>
        </w:rPr>
        <w:t xml:space="preserve"> </w:t>
      </w:r>
      <w:r>
        <w:rPr>
          <w:rFonts w:hint="eastAsia" w:ascii="仿宋_GB2312" w:hAnsi="宋体" w:eastAsia="仿宋_GB2312" w:cs="宋体"/>
          <w:color w:val="auto"/>
          <w:kern w:val="0"/>
          <w:sz w:val="32"/>
          <w:szCs w:val="32"/>
          <w:highlight w:val="none"/>
        </w:rPr>
        <w:t>房屋保障支出</w:t>
      </w:r>
      <w:r>
        <w:rPr>
          <w:rFonts w:hint="eastAsia" w:ascii="仿宋_GB2312" w:eastAsia="仿宋_GB2312"/>
          <w:color w:val="auto"/>
          <w:sz w:val="32"/>
          <w:szCs w:val="32"/>
          <w:highlight w:val="none"/>
        </w:rPr>
        <w:t>（类）住房改革支出</w:t>
      </w:r>
      <w:r>
        <w:rPr>
          <w:rFonts w:ascii="仿宋_GB2312" w:hAnsi="宋体" w:eastAsia="仿宋_GB2312" w:cs="宋体"/>
          <w:color w:val="auto"/>
          <w:kern w:val="0"/>
          <w:sz w:val="32"/>
          <w:szCs w:val="32"/>
          <w:highlight w:val="none"/>
        </w:rPr>
        <w:t>（款）</w:t>
      </w:r>
      <w:r>
        <w:rPr>
          <w:rFonts w:hint="eastAsia" w:ascii="仿宋_GB2312" w:hAnsi="宋体" w:eastAsia="仿宋_GB2312" w:cs="宋体"/>
          <w:color w:val="auto"/>
          <w:kern w:val="0"/>
          <w:sz w:val="32"/>
          <w:szCs w:val="32"/>
          <w:highlight w:val="none"/>
        </w:rPr>
        <w:t>住房公积金</w:t>
      </w:r>
      <w:r>
        <w:rPr>
          <w:rFonts w:ascii="仿宋_GB2312" w:hAnsi="宋体" w:eastAsia="仿宋_GB2312" w:cs="宋体"/>
          <w:color w:val="auto"/>
          <w:kern w:val="0"/>
          <w:sz w:val="32"/>
          <w:szCs w:val="32"/>
          <w:highlight w:val="none"/>
        </w:rPr>
        <w:t>（项）</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年预算数为</w:t>
      </w:r>
      <w:r>
        <w:rPr>
          <w:rFonts w:ascii="仿宋_GB2312" w:hAnsi="宋体" w:eastAsia="仿宋_GB2312" w:cs="宋体"/>
          <w:color w:val="auto"/>
          <w:kern w:val="0"/>
          <w:sz w:val="32"/>
          <w:szCs w:val="32"/>
          <w:highlight w:val="none"/>
        </w:rPr>
        <w:t>0.81</w:t>
      </w:r>
      <w:r>
        <w:rPr>
          <w:rFonts w:hint="eastAsia" w:ascii="仿宋_GB2312" w:hAnsi="宋体" w:eastAsia="仿宋_GB2312" w:cs="宋体"/>
          <w:color w:val="auto"/>
          <w:kern w:val="0"/>
          <w:sz w:val="32"/>
          <w:szCs w:val="32"/>
          <w:highlight w:val="none"/>
        </w:rPr>
        <w:t>万元，比上年执行数增加</w:t>
      </w:r>
      <w:r>
        <w:rPr>
          <w:rFonts w:ascii="仿宋_GB2312" w:hAnsi="宋体" w:eastAsia="仿宋_GB2312" w:cs="宋体"/>
          <w:color w:val="auto"/>
          <w:kern w:val="0"/>
          <w:sz w:val="32"/>
          <w:szCs w:val="32"/>
          <w:highlight w:val="none"/>
        </w:rPr>
        <w:t>0.81</w:t>
      </w:r>
      <w:r>
        <w:rPr>
          <w:rFonts w:hint="eastAsia" w:ascii="仿宋_GB2312" w:hAnsi="宋体" w:eastAsia="仿宋_GB2312" w:cs="宋体"/>
          <w:color w:val="auto"/>
          <w:kern w:val="0"/>
          <w:sz w:val="32"/>
          <w:szCs w:val="32"/>
          <w:highlight w:val="none"/>
        </w:rPr>
        <w:t>万元，增长</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，主要原因是科目变动。</w:t>
      </w:r>
    </w:p>
    <w:p>
      <w:pPr>
        <w:widowControl/>
        <w:spacing w:line="580" w:lineRule="exact"/>
        <w:ind w:firstLine="642"/>
        <w:jc w:val="left"/>
        <w:rPr>
          <w:rFonts w:ascii="黑体" w:hAnsi="宋体" w:eastAsia="黑体" w:cs="宋体"/>
          <w:color w:val="auto"/>
          <w:kern w:val="0"/>
          <w:sz w:val="32"/>
          <w:szCs w:val="32"/>
          <w:highlight w:val="none"/>
        </w:rPr>
      </w:pPr>
      <w:r>
        <w:rPr>
          <w:rFonts w:ascii="仿宋_GB2312" w:hAnsi="宋体" w:eastAsia="仿宋_GB2312" w:cs="宋体"/>
          <w:color w:val="auto"/>
          <w:kern w:val="0"/>
          <w:sz w:val="32"/>
          <w:szCs w:val="32"/>
          <w:highlight w:val="none"/>
        </w:rPr>
        <w:t xml:space="preserve"> </w:t>
      </w:r>
      <w:r>
        <w:rPr>
          <w:rFonts w:hint="eastAsia" w:ascii="黑体" w:hAnsi="宋体" w:eastAsia="黑体" w:cs="宋体"/>
          <w:color w:val="auto"/>
          <w:kern w:val="0"/>
          <w:sz w:val="32"/>
          <w:szCs w:val="32"/>
          <w:highlight w:val="none"/>
        </w:rPr>
        <w:t>六、关于市人工影响天气办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年一般公共预算基本支出情况说明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市人工影响天气办</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年一般公共预算基本支出</w:t>
      </w:r>
      <w:r>
        <w:rPr>
          <w:rFonts w:ascii="仿宋_GB2312" w:hAnsi="宋体" w:eastAsia="仿宋_GB2312" w:cs="宋体"/>
          <w:color w:val="auto"/>
          <w:kern w:val="0"/>
          <w:sz w:val="32"/>
          <w:szCs w:val="32"/>
          <w:highlight w:val="none"/>
        </w:rPr>
        <w:t xml:space="preserve"> 10.1 </w:t>
      </w:r>
      <w:r>
        <w:rPr>
          <w:rFonts w:hint="eastAsia" w:ascii="仿宋_GB2312" w:hAnsi="宋体" w:eastAsia="仿宋_GB2312" w:cs="宋体"/>
          <w:color w:val="auto"/>
          <w:kern w:val="0"/>
          <w:sz w:val="32"/>
          <w:szCs w:val="32"/>
          <w:highlight w:val="none"/>
        </w:rPr>
        <w:t>万元，</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其中：</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人员经费</w:t>
      </w:r>
      <w:r>
        <w:rPr>
          <w:rFonts w:ascii="仿宋_GB2312" w:hAnsi="宋体" w:eastAsia="仿宋_GB2312" w:cs="宋体"/>
          <w:color w:val="auto"/>
          <w:kern w:val="0"/>
          <w:sz w:val="32"/>
          <w:szCs w:val="32"/>
          <w:highlight w:val="none"/>
        </w:rPr>
        <w:t>9.55</w:t>
      </w:r>
      <w:r>
        <w:rPr>
          <w:rFonts w:hint="eastAsia" w:ascii="仿宋_GB2312" w:hAnsi="宋体" w:eastAsia="仿宋_GB2312" w:cs="宋体"/>
          <w:color w:val="auto"/>
          <w:kern w:val="0"/>
          <w:sz w:val="32"/>
          <w:szCs w:val="32"/>
          <w:highlight w:val="none"/>
        </w:rPr>
        <w:t>万元，主要包括：基本工资、津贴补贴、奖金、绩效工资、机关事业单位基本养老保险缴费、职业年金缴费、职工基本医疗保险缴费、公务员医疗补助缴费、其他社会保障缴费、住房公积金、医疗费、其他工资福利支出、离休费、退休费、奖励金、其他对个人和家庭的补助等。</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公用经费</w:t>
      </w:r>
      <w:r>
        <w:rPr>
          <w:rFonts w:ascii="仿宋_GB2312" w:hAnsi="宋体" w:eastAsia="仿宋_GB2312" w:cs="宋体"/>
          <w:color w:val="auto"/>
          <w:kern w:val="0"/>
          <w:sz w:val="32"/>
          <w:szCs w:val="32"/>
          <w:highlight w:val="none"/>
        </w:rPr>
        <w:t xml:space="preserve">0.55 </w:t>
      </w:r>
      <w:r>
        <w:rPr>
          <w:rFonts w:hint="eastAsia" w:ascii="仿宋_GB2312" w:hAnsi="宋体" w:eastAsia="仿宋_GB2312" w:cs="宋体"/>
          <w:color w:val="auto"/>
          <w:kern w:val="0"/>
          <w:sz w:val="32"/>
          <w:szCs w:val="32"/>
          <w:highlight w:val="none"/>
        </w:rPr>
        <w:t>万元，主要包括：办公费、水费、电费、邮电费、差旅费、工会经费、公务用车运行维护费、其他商品和服务支出等。</w:t>
      </w:r>
    </w:p>
    <w:p>
      <w:pPr>
        <w:widowControl/>
        <w:numPr>
          <w:ilvl w:val="0"/>
          <w:numId w:val="2"/>
        </w:numPr>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关于市人工影响天气办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年项目支出情况说明</w:t>
      </w:r>
    </w:p>
    <w:p>
      <w:pPr>
        <w:widowControl/>
        <w:outlineLvl w:val="1"/>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 xml:space="preserve">     </w:t>
      </w:r>
      <w:r>
        <w:rPr>
          <w:rFonts w:hint="eastAsia" w:ascii="仿宋_GB2312" w:hAnsi="宋体" w:eastAsia="仿宋_GB2312"/>
          <w:bCs/>
          <w:color w:val="auto"/>
          <w:kern w:val="0"/>
          <w:sz w:val="32"/>
          <w:szCs w:val="32"/>
          <w:highlight w:val="none"/>
        </w:rPr>
        <w:t>2019年未安排项目支出预算，因此没有使用项目支出预算拨款安排的支出，项目支出预算支出情况表为空表。</w:t>
      </w:r>
    </w:p>
    <w:p>
      <w:pPr>
        <w:widowControl/>
        <w:spacing w:line="580" w:lineRule="exact"/>
        <w:ind w:firstLine="642"/>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八、关于市人工影响天气办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年一般公共预算“三公”经费预算情况说明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市人工影响天气办</w:t>
      </w:r>
      <w:r>
        <w:rPr>
          <w:rFonts w:ascii="黑体" w:hAnsi="宋体" w:eastAsia="黑体"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年“三公”经费财政拨款预算数为</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万元，其中：因公出国（境）费</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万元，公务用车购置</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万元，公务用车运行费</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万元，公务接待费控制数</w:t>
      </w:r>
      <w:r>
        <w:rPr>
          <w:rFonts w:ascii="仿宋_GB2312" w:hAnsi="宋体" w:eastAsia="仿宋_GB2312" w:cs="宋体"/>
          <w:color w:val="auto"/>
          <w:kern w:val="0"/>
          <w:sz w:val="32"/>
          <w:szCs w:val="32"/>
          <w:highlight w:val="none"/>
        </w:rPr>
        <w:t xml:space="preserve"> 0 </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年“三公”经费财政拨款预算比上年增加0万元，其中：因公出国（境）费增加</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万元，主要原因是无；公务用车购置费为</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万元，公务用车运行费增加0万元，主要原因是与上年无变化，公务接待费减少0万元，主要原因是与上年无变化。</w:t>
      </w:r>
    </w:p>
    <w:p>
      <w:pPr>
        <w:widowControl/>
        <w:spacing w:line="580" w:lineRule="exact"/>
        <w:ind w:firstLine="640"/>
        <w:jc w:val="left"/>
        <w:rPr>
          <w:rFonts w:ascii="仿宋_GB2312" w:hAnsi="宋体" w:eastAsia="仿宋_GB2312" w:cs="宋体"/>
          <w:color w:val="auto"/>
          <w:kern w:val="0"/>
          <w:sz w:val="32"/>
          <w:szCs w:val="32"/>
          <w:highlight w:val="none"/>
        </w:rPr>
      </w:pPr>
    </w:p>
    <w:p>
      <w:pPr>
        <w:widowControl/>
        <w:spacing w:line="580" w:lineRule="exact"/>
        <w:ind w:firstLine="642"/>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九、关于市人工影响天气办</w:t>
      </w:r>
      <w:r>
        <w:rPr>
          <w:rFonts w:ascii="黑体" w:hAnsi="宋体" w:eastAsia="黑体" w:cs="宋体"/>
          <w:color w:val="auto"/>
          <w:kern w:val="0"/>
          <w:sz w:val="32"/>
          <w:szCs w:val="32"/>
          <w:highlight w:val="none"/>
        </w:rPr>
        <w:t>2019</w:t>
      </w:r>
      <w:r>
        <w:rPr>
          <w:rFonts w:hint="eastAsia" w:ascii="黑体" w:hAnsi="宋体" w:eastAsia="黑体" w:cs="宋体"/>
          <w:color w:val="auto"/>
          <w:kern w:val="0"/>
          <w:sz w:val="32"/>
          <w:szCs w:val="32"/>
          <w:highlight w:val="none"/>
        </w:rPr>
        <w:t>年政府性基金预算拨款情况说明</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市人工影响天气办</w:t>
      </w: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年没有使用政府性基金预算拨款安排的支出，政府性基金预算支出情况表为空表。</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十、其他重要事项的情况说明</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（一）机关运行经费情况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年，市</w:t>
      </w:r>
      <w:r>
        <w:rPr>
          <w:rFonts w:hint="eastAsia" w:ascii="仿宋_GB2312" w:hAnsi="宋体" w:eastAsia="仿宋_GB2312" w:cs="宋体"/>
          <w:color w:val="auto"/>
          <w:kern w:val="0"/>
          <w:sz w:val="32"/>
          <w:szCs w:val="32"/>
          <w:highlight w:val="none"/>
        </w:rPr>
        <w:t>人工影响天气办</w:t>
      </w:r>
      <w:r>
        <w:rPr>
          <w:rFonts w:hint="eastAsia" w:ascii="仿宋_GB2312" w:hAnsi="宋体" w:eastAsia="仿宋_GB2312" w:cs="宋体"/>
          <w:color w:val="auto"/>
          <w:kern w:val="0"/>
          <w:sz w:val="32"/>
          <w:szCs w:val="32"/>
          <w:highlight w:val="none"/>
        </w:rPr>
        <w:t>本级及下属0家行政单位、0家参公管理事业单位和0家事业单位的机关运行经费财政拨款预算</w:t>
      </w:r>
      <w:r>
        <w:rPr>
          <w:rFonts w:ascii="仿宋_GB2312" w:hAnsi="宋体" w:eastAsia="仿宋_GB2312" w:cs="宋体"/>
          <w:color w:val="auto"/>
          <w:kern w:val="0"/>
          <w:sz w:val="32"/>
          <w:szCs w:val="32"/>
          <w:highlight w:val="none"/>
        </w:rPr>
        <w:t>0.55</w:t>
      </w:r>
      <w:r>
        <w:rPr>
          <w:rFonts w:hint="eastAsia" w:ascii="仿宋_GB2312" w:hAnsi="宋体" w:eastAsia="仿宋_GB2312" w:cs="宋体"/>
          <w:color w:val="auto"/>
          <w:kern w:val="0"/>
          <w:sz w:val="32"/>
          <w:szCs w:val="32"/>
          <w:highlight w:val="none"/>
        </w:rPr>
        <w:t>万元，比上年预算增加0.55</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万元，增长100</w:t>
      </w: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。主要原因是该单位于</w:t>
      </w:r>
      <w:r>
        <w:rPr>
          <w:rFonts w:ascii="仿宋_GB2312" w:hAnsi="宋体" w:eastAsia="仿宋_GB2312" w:cs="宋体"/>
          <w:color w:val="auto"/>
          <w:kern w:val="0"/>
          <w:sz w:val="32"/>
          <w:szCs w:val="32"/>
          <w:highlight w:val="none"/>
        </w:rPr>
        <w:t>2018</w:t>
      </w:r>
      <w:r>
        <w:rPr>
          <w:rFonts w:hint="eastAsia" w:ascii="仿宋_GB2312" w:hAnsi="宋体" w:eastAsia="仿宋_GB2312" w:cs="宋体"/>
          <w:color w:val="auto"/>
          <w:kern w:val="0"/>
          <w:sz w:val="32"/>
          <w:szCs w:val="32"/>
          <w:highlight w:val="none"/>
        </w:rPr>
        <w:t>年</w:t>
      </w:r>
      <w:r>
        <w:rPr>
          <w:rFonts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rPr>
        <w:t>月新成立单位。</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（二）政府采购情况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年，市人工影响天气办政府采购预算</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万元，其中：政府采购货物预算</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万元，政府采购工程预算</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万元，政府采购服务预算</w:t>
      </w:r>
      <w:r>
        <w:rPr>
          <w:rFonts w:ascii="仿宋_GB2312" w:hAnsi="宋体" w:eastAsia="仿宋_GB2312" w:cs="宋体"/>
          <w:color w:val="auto"/>
          <w:kern w:val="0"/>
          <w:sz w:val="32"/>
          <w:szCs w:val="32"/>
          <w:highlight w:val="none"/>
        </w:rPr>
        <w:t xml:space="preserve"> 0  </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仿宋_GB2312" w:eastAsia="仿宋_GB2312"/>
          <w:color w:val="auto"/>
          <w:sz w:val="32"/>
          <w:highlight w:val="none"/>
        </w:rPr>
        <w:t>2019</w:t>
      </w:r>
      <w:r>
        <w:rPr>
          <w:rFonts w:hint="eastAsia" w:ascii="仿宋_GB2312" w:hAnsi="仿宋_GB2312" w:eastAsia="仿宋_GB2312"/>
          <w:color w:val="auto"/>
          <w:sz w:val="32"/>
          <w:highlight w:val="none"/>
        </w:rPr>
        <w:t>年度本部门面向中小企业预留政府采购项目预算金额</w:t>
      </w:r>
      <w:r>
        <w:rPr>
          <w:rFonts w:ascii="仿宋_GB2312" w:hAnsi="仿宋_GB2312" w:eastAsia="仿宋_GB2312"/>
          <w:color w:val="auto"/>
          <w:sz w:val="32"/>
          <w:highlight w:val="none"/>
        </w:rPr>
        <w:t>0</w:t>
      </w:r>
      <w:r>
        <w:rPr>
          <w:rFonts w:hint="eastAsia" w:ascii="仿宋_GB2312" w:hAnsi="仿宋_GB2312" w:eastAsia="仿宋_GB2312"/>
          <w:color w:val="auto"/>
          <w:sz w:val="32"/>
          <w:highlight w:val="none"/>
        </w:rPr>
        <w:t>万元，其中：面向小微企业预留政府采购项目预算金额</w:t>
      </w:r>
      <w:r>
        <w:rPr>
          <w:rFonts w:ascii="仿宋_GB2312" w:hAnsi="仿宋_GB2312" w:eastAsia="仿宋_GB2312"/>
          <w:color w:val="auto"/>
          <w:sz w:val="32"/>
          <w:highlight w:val="none"/>
        </w:rPr>
        <w:t>0</w:t>
      </w:r>
      <w:r>
        <w:rPr>
          <w:rFonts w:hint="eastAsia" w:ascii="仿宋_GB2312" w:hAnsi="仿宋_GB2312" w:eastAsia="仿宋_GB2312"/>
          <w:color w:val="auto"/>
          <w:sz w:val="32"/>
          <w:highlight w:val="none"/>
        </w:rPr>
        <w:t>万元。</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（三）国有资产占用使用情况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截至</w:t>
      </w:r>
      <w:r>
        <w:rPr>
          <w:rFonts w:ascii="仿宋_GB2312" w:hAnsi="宋体" w:eastAsia="仿宋_GB2312" w:cs="宋体"/>
          <w:color w:val="auto"/>
          <w:kern w:val="0"/>
          <w:sz w:val="32"/>
          <w:szCs w:val="32"/>
          <w:highlight w:val="none"/>
        </w:rPr>
        <w:t>2018</w:t>
      </w:r>
      <w:r>
        <w:rPr>
          <w:rFonts w:hint="eastAsia" w:ascii="仿宋_GB2312" w:hAnsi="宋体" w:eastAsia="仿宋_GB2312" w:cs="宋体"/>
          <w:color w:val="auto"/>
          <w:kern w:val="0"/>
          <w:sz w:val="32"/>
          <w:szCs w:val="32"/>
          <w:highlight w:val="none"/>
        </w:rPr>
        <w:t>年底，市人工影响天气办占用使用国有资产总体情况为</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rPr>
        <w:t>房屋</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平方米，价值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rPr>
        <w:t>车辆</w:t>
      </w:r>
      <w:r>
        <w:rPr>
          <w:rFonts w:ascii="仿宋_GB2312" w:hAnsi="宋体" w:eastAsia="仿宋_GB2312" w:cs="宋体"/>
          <w:color w:val="auto"/>
          <w:kern w:val="0"/>
          <w:sz w:val="32"/>
          <w:szCs w:val="32"/>
          <w:highlight w:val="none"/>
        </w:rPr>
        <w:t xml:space="preserve"> 0 </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万元；其中：一般公务用车</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 xml:space="preserve"> 0 </w:t>
      </w:r>
      <w:r>
        <w:rPr>
          <w:rFonts w:hint="eastAsia" w:ascii="仿宋_GB2312" w:hAnsi="宋体" w:eastAsia="仿宋_GB2312" w:cs="宋体"/>
          <w:color w:val="auto"/>
          <w:kern w:val="0"/>
          <w:sz w:val="32"/>
          <w:szCs w:val="32"/>
          <w:highlight w:val="none"/>
        </w:rPr>
        <w:t>万元；执法执勤用车</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万元；其他车辆</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辆，价值</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rPr>
        <w:t>办公家具价值</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4.</w:t>
      </w:r>
      <w:r>
        <w:rPr>
          <w:rFonts w:hint="eastAsia" w:ascii="仿宋_GB2312" w:hAnsi="宋体" w:eastAsia="仿宋_GB2312" w:cs="宋体"/>
          <w:color w:val="auto"/>
          <w:kern w:val="0"/>
          <w:sz w:val="32"/>
          <w:szCs w:val="32"/>
          <w:highlight w:val="none"/>
        </w:rPr>
        <w:t>其他资产价值</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万元。</w:t>
      </w:r>
    </w:p>
    <w:p>
      <w:pPr>
        <w:widowControl/>
        <w:spacing w:line="58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单位价值</w:t>
      </w:r>
      <w:r>
        <w:rPr>
          <w:rFonts w:ascii="仿宋_GB2312" w:hAnsi="宋体" w:eastAsia="仿宋_GB2312" w:cs="宋体"/>
          <w:color w:val="auto"/>
          <w:kern w:val="0"/>
          <w:sz w:val="32"/>
          <w:szCs w:val="32"/>
          <w:highlight w:val="none"/>
        </w:rPr>
        <w:t>50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台（套），单位价值</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 xml:space="preserve"> 0</w:t>
      </w:r>
      <w:r>
        <w:rPr>
          <w:rFonts w:hint="eastAsia" w:ascii="仿宋_GB2312" w:hAnsi="宋体" w:eastAsia="仿宋_GB2312" w:cs="宋体"/>
          <w:color w:val="auto"/>
          <w:kern w:val="0"/>
          <w:sz w:val="32"/>
          <w:szCs w:val="32"/>
          <w:highlight w:val="none"/>
        </w:rPr>
        <w:t>台（套）。</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年部门预算未安排购置车辆经费，安排购置</w:t>
      </w:r>
      <w:r>
        <w:rPr>
          <w:rFonts w:ascii="仿宋_GB2312" w:hAnsi="宋体" w:eastAsia="仿宋_GB2312" w:cs="宋体"/>
          <w:color w:val="auto"/>
          <w:kern w:val="0"/>
          <w:sz w:val="32"/>
          <w:szCs w:val="32"/>
          <w:highlight w:val="none"/>
        </w:rPr>
        <w:t>50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台（套），单位价值</w:t>
      </w:r>
      <w:r>
        <w:rPr>
          <w:rFonts w:ascii="仿宋_GB2312" w:hAnsi="宋体" w:eastAsia="仿宋_GB2312" w:cs="宋体"/>
          <w:color w:val="auto"/>
          <w:kern w:val="0"/>
          <w:sz w:val="32"/>
          <w:szCs w:val="32"/>
          <w:highlight w:val="none"/>
        </w:rPr>
        <w:t>100</w:t>
      </w:r>
      <w:r>
        <w:rPr>
          <w:rFonts w:hint="eastAsia" w:ascii="仿宋_GB2312" w:hAnsi="宋体" w:eastAsia="仿宋_GB2312" w:cs="宋体"/>
          <w:color w:val="auto"/>
          <w:kern w:val="0"/>
          <w:sz w:val="32"/>
          <w:szCs w:val="32"/>
          <w:highlight w:val="none"/>
        </w:rPr>
        <w:t>万元以上大型设备</w:t>
      </w:r>
      <w:r>
        <w:rPr>
          <w:rFonts w:ascii="仿宋_GB2312" w:hAnsi="宋体" w:eastAsia="仿宋_GB2312" w:cs="宋体"/>
          <w:color w:val="auto"/>
          <w:kern w:val="0"/>
          <w:sz w:val="32"/>
          <w:szCs w:val="32"/>
          <w:highlight w:val="none"/>
        </w:rPr>
        <w:t>0</w:t>
      </w:r>
      <w:r>
        <w:rPr>
          <w:rFonts w:hint="eastAsia" w:ascii="仿宋_GB2312" w:hAnsi="宋体" w:eastAsia="仿宋_GB2312" w:cs="宋体"/>
          <w:color w:val="auto"/>
          <w:kern w:val="0"/>
          <w:sz w:val="32"/>
          <w:szCs w:val="32"/>
          <w:highlight w:val="none"/>
        </w:rPr>
        <w:t>台（套）。</w:t>
      </w:r>
    </w:p>
    <w:p>
      <w:pPr>
        <w:widowControl/>
        <w:spacing w:line="580" w:lineRule="exact"/>
        <w:ind w:firstLine="642"/>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（四）预算绩效情况</w:t>
      </w:r>
    </w:p>
    <w:p>
      <w:pPr>
        <w:widowControl/>
        <w:spacing w:line="580" w:lineRule="exact"/>
        <w:ind w:firstLine="640"/>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2019</w:t>
      </w:r>
      <w:r>
        <w:rPr>
          <w:rFonts w:hint="eastAsia" w:ascii="仿宋_GB2312" w:hAnsi="宋体" w:eastAsia="仿宋_GB2312" w:cs="宋体"/>
          <w:color w:val="auto"/>
          <w:kern w:val="0"/>
          <w:sz w:val="32"/>
          <w:szCs w:val="32"/>
          <w:highlight w:val="none"/>
        </w:rPr>
        <w:t>年度，本年度实行绩效管理的项目</w:t>
      </w:r>
      <w:r>
        <w:rPr>
          <w:rFonts w:ascii="仿宋_GB2312" w:hAnsi="宋体" w:eastAsia="仿宋_GB2312" w:cs="宋体"/>
          <w:color w:val="auto"/>
          <w:kern w:val="0"/>
          <w:sz w:val="32"/>
          <w:szCs w:val="32"/>
          <w:highlight w:val="none"/>
        </w:rPr>
        <w:t xml:space="preserve">0 </w:t>
      </w:r>
      <w:r>
        <w:rPr>
          <w:rFonts w:hint="eastAsia" w:ascii="仿宋_GB2312" w:hAnsi="宋体" w:eastAsia="仿宋_GB2312" w:cs="宋体"/>
          <w:color w:val="auto"/>
          <w:kern w:val="0"/>
          <w:sz w:val="32"/>
          <w:szCs w:val="32"/>
          <w:highlight w:val="none"/>
        </w:rPr>
        <w:t>个，涉及预算金额</w:t>
      </w:r>
      <w:r>
        <w:rPr>
          <w:rFonts w:ascii="仿宋_GB2312" w:hAnsi="宋体" w:eastAsia="仿宋_GB2312" w:cs="宋体"/>
          <w:color w:val="auto"/>
          <w:kern w:val="0"/>
          <w:sz w:val="32"/>
          <w:szCs w:val="32"/>
          <w:highlight w:val="none"/>
        </w:rPr>
        <w:t xml:space="preserve"> 0 </w:t>
      </w:r>
      <w:r>
        <w:rPr>
          <w:rFonts w:hint="eastAsia" w:ascii="仿宋_GB2312" w:hAnsi="宋体" w:eastAsia="仿宋_GB2312" w:cs="宋体"/>
          <w:color w:val="auto"/>
          <w:kern w:val="0"/>
          <w:sz w:val="32"/>
          <w:szCs w:val="32"/>
          <w:highlight w:val="none"/>
        </w:rPr>
        <w:t>万元。具体情况见下表（按项目分别填报）：</w:t>
      </w:r>
    </w:p>
    <w:p>
      <w:pPr>
        <w:spacing w:line="500" w:lineRule="exact"/>
        <w:rPr>
          <w:rFonts w:ascii="仿宋_GB2312" w:hAnsi="宋体" w:eastAsia="仿宋_GB2312" w:cs="宋体"/>
          <w:color w:val="auto"/>
          <w:kern w:val="0"/>
          <w:sz w:val="32"/>
          <w:szCs w:val="32"/>
          <w:highlight w:val="none"/>
        </w:rPr>
      </w:pPr>
    </w:p>
    <w:p>
      <w:pPr>
        <w:spacing w:line="500" w:lineRule="exact"/>
        <w:rPr>
          <w:rFonts w:ascii="仿宋_GB2312" w:hAnsi="宋体" w:eastAsia="仿宋_GB2312" w:cs="宋体"/>
          <w:color w:val="auto"/>
          <w:kern w:val="0"/>
          <w:sz w:val="32"/>
          <w:szCs w:val="32"/>
          <w:highlight w:val="none"/>
        </w:rPr>
      </w:pPr>
    </w:p>
    <w:p>
      <w:pPr>
        <w:spacing w:line="500" w:lineRule="exact"/>
        <w:rPr>
          <w:rFonts w:ascii="仿宋_GB2312" w:hAnsi="宋体" w:eastAsia="仿宋_GB2312" w:cs="宋体"/>
          <w:color w:val="auto"/>
          <w:kern w:val="0"/>
          <w:sz w:val="32"/>
          <w:szCs w:val="32"/>
          <w:highlight w:val="none"/>
        </w:rPr>
      </w:pPr>
    </w:p>
    <w:p>
      <w:pPr>
        <w:widowControl/>
        <w:spacing w:line="600" w:lineRule="exact"/>
        <w:rPr>
          <w:rFonts w:ascii="仿宋_GB2312" w:hAnsi="宋体" w:eastAsia="仿宋_GB2312" w:cs="宋体"/>
          <w:color w:val="auto"/>
          <w:kern w:val="0"/>
          <w:sz w:val="32"/>
          <w:szCs w:val="32"/>
          <w:highlight w:val="none"/>
        </w:rPr>
        <w:sectPr>
          <w:pgSz w:w="11906" w:h="16838"/>
          <w:pgMar w:top="1440" w:right="1800" w:bottom="1440" w:left="1800" w:header="851" w:footer="992" w:gutter="0"/>
          <w:cols w:space="720"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cs="宋体"/>
                <w:b/>
                <w:bCs/>
                <w:color w:val="auto"/>
                <w:kern w:val="0"/>
                <w:sz w:val="32"/>
                <w:szCs w:val="32"/>
                <w:highlight w:val="none"/>
              </w:rPr>
            </w:pPr>
            <w:r>
              <w:rPr>
                <w:rFonts w:hint="eastAsia" w:ascii="仿宋_GB2312" w:hAnsi="宋体" w:eastAsia="仿宋_GB2312"/>
                <w:b/>
                <w:color w:val="auto"/>
                <w:kern w:val="0"/>
                <w:sz w:val="32"/>
                <w:szCs w:val="32"/>
                <w:highlight w:val="none"/>
              </w:rPr>
              <w:t>项</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目</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支</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出</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绩</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效</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目</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标</w:t>
            </w:r>
            <w:r>
              <w:rPr>
                <w:rFonts w:ascii="仿宋_GB2312" w:hAnsi="宋体" w:eastAsia="仿宋_GB2312"/>
                <w:b/>
                <w:color w:val="auto"/>
                <w:kern w:val="0"/>
                <w:sz w:val="32"/>
                <w:szCs w:val="32"/>
                <w:highlight w:val="none"/>
              </w:rPr>
              <w:t xml:space="preserve">  </w:t>
            </w:r>
            <w:r>
              <w:rPr>
                <w:rFonts w:hint="eastAsia" w:ascii="仿宋_GB2312" w:hAnsi="宋体" w:eastAsia="仿宋_GB2312"/>
                <w:b/>
                <w:color w:val="auto"/>
                <w:kern w:val="0"/>
                <w:sz w:val="32"/>
                <w:szCs w:val="32"/>
                <w:highlight w:val="none"/>
              </w:rPr>
              <w:t>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857"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664"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664" w:type="dxa"/>
            <w:gridSpan w:val="2"/>
            <w:tcBorders>
              <w:top w:val="nil"/>
              <w:left w:val="nil"/>
              <w:bottom w:val="nil"/>
              <w:right w:val="nil"/>
            </w:tcBorders>
            <w:vAlign w:val="bottom"/>
          </w:tcPr>
          <w:p>
            <w:pPr>
              <w:widowControl/>
              <w:jc w:val="left"/>
              <w:rPr>
                <w:rFonts w:ascii="宋体" w:cs="宋体"/>
                <w:color w:val="auto"/>
                <w:kern w:val="0"/>
                <w:sz w:val="22"/>
                <w:highlight w:val="none"/>
              </w:rPr>
            </w:pPr>
          </w:p>
        </w:tc>
        <w:tc>
          <w:tcPr>
            <w:tcW w:w="323" w:type="dxa"/>
            <w:tcBorders>
              <w:top w:val="nil"/>
              <w:left w:val="nil"/>
              <w:bottom w:val="nil"/>
              <w:right w:val="nil"/>
            </w:tcBorders>
            <w:vAlign w:val="bottom"/>
          </w:tcPr>
          <w:p>
            <w:pPr>
              <w:widowControl/>
              <w:jc w:val="left"/>
              <w:rPr>
                <w:rFonts w:ascii="宋体" w:cs="宋体"/>
                <w:color w:val="auto"/>
                <w:kern w:val="0"/>
                <w:sz w:val="22"/>
                <w:highlight w:val="none"/>
              </w:rPr>
            </w:pPr>
          </w:p>
        </w:tc>
        <w:tc>
          <w:tcPr>
            <w:tcW w:w="323" w:type="dxa"/>
            <w:tcBorders>
              <w:top w:val="nil"/>
              <w:left w:val="nil"/>
              <w:bottom w:val="nil"/>
              <w:right w:val="nil"/>
            </w:tcBorders>
            <w:vAlign w:val="bottom"/>
          </w:tcPr>
          <w:p>
            <w:pPr>
              <w:widowControl/>
              <w:jc w:val="left"/>
              <w:rPr>
                <w:rFonts w:ascii="宋体" w:cs="宋体"/>
                <w:color w:val="auto"/>
                <w:kern w:val="0"/>
                <w:sz w:val="22"/>
                <w:highlight w:val="none"/>
              </w:rPr>
            </w:pPr>
          </w:p>
        </w:tc>
        <w:tc>
          <w:tcPr>
            <w:tcW w:w="1925" w:type="dxa"/>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c>
          <w:tcPr>
            <w:tcW w:w="3275" w:type="dxa"/>
            <w:gridSpan w:val="2"/>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c>
          <w:tcPr>
            <w:tcW w:w="249" w:type="dxa"/>
            <w:tcBorders>
              <w:top w:val="nil"/>
              <w:left w:val="nil"/>
              <w:bottom w:val="nil"/>
              <w:right w:val="nil"/>
            </w:tcBorders>
            <w:vAlign w:val="bottom"/>
          </w:tcPr>
          <w:p>
            <w:pPr>
              <w:widowControl/>
              <w:jc w:val="left"/>
              <w:rPr>
                <w:rFonts w:ascii="宋体" w:cs="宋体"/>
                <w:color w:val="auto"/>
                <w:kern w:val="0"/>
                <w:sz w:val="22"/>
                <w:highlight w:val="none"/>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XX</w:t>
            </w:r>
            <w:r>
              <w:rPr>
                <w:rFonts w:hint="eastAsia" w:ascii="宋体" w:hAnsi="宋体" w:cs="宋体"/>
                <w:color w:val="auto"/>
                <w:kern w:val="0"/>
                <w:sz w:val="18"/>
                <w:szCs w:val="18"/>
                <w:highlight w:val="none"/>
              </w:rPr>
              <w:t>单位</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ascii="宋体" w:hAnsi="宋体" w:cs="宋体"/>
                <w:color w:val="auto"/>
                <w:kern w:val="0"/>
                <w:sz w:val="18"/>
                <w:szCs w:val="18"/>
                <w:highlight w:val="none"/>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color w:val="auto"/>
                <w:kern w:val="0"/>
                <w:sz w:val="18"/>
                <w:szCs w:val="18"/>
                <w:highlight w:val="none"/>
              </w:rPr>
            </w:pPr>
            <w:r>
              <w:rPr>
                <w:rFonts w:hint="eastAsia" w:ascii="宋体" w:hAnsi="宋体" w:cs="宋体"/>
                <w:b/>
                <w:bCs/>
                <w:color w:val="auto"/>
                <w:kern w:val="0"/>
                <w:sz w:val="18"/>
                <w:szCs w:val="18"/>
                <w:highlight w:val="none"/>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 w:val="18"/>
                <w:szCs w:val="18"/>
                <w:highlight w:val="none"/>
              </w:rPr>
            </w:pPr>
            <w:r>
              <w:rPr>
                <w:rFonts w:hint="eastAsia" w:ascii="宋体" w:hAnsi="宋体" w:cs="宋体"/>
                <w:color w:val="auto"/>
                <w:kern w:val="0"/>
                <w:sz w:val="18"/>
                <w:szCs w:val="18"/>
                <w:highlight w:val="none"/>
              </w:rPr>
              <w:t>　</w:t>
            </w:r>
          </w:p>
        </w:tc>
      </w:tr>
    </w:tbl>
    <w:p>
      <w:pPr>
        <w:widowControl/>
        <w:spacing w:line="560" w:lineRule="exact"/>
        <w:ind w:firstLine="630" w:firstLineChars="196"/>
        <w:jc w:val="left"/>
        <w:rPr>
          <w:rFonts w:ascii="楷体_GB2312" w:hAnsi="宋体" w:eastAsia="楷体_GB2312" w:cs="宋体"/>
          <w:b/>
          <w:color w:val="auto"/>
          <w:kern w:val="0"/>
          <w:sz w:val="32"/>
          <w:szCs w:val="32"/>
          <w:highlight w:val="none"/>
        </w:rPr>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color w:val="auto"/>
          <w:kern w:val="0"/>
          <w:sz w:val="32"/>
          <w:szCs w:val="32"/>
          <w:highlight w:val="none"/>
        </w:rPr>
      </w:pPr>
      <w:r>
        <w:rPr>
          <w:rFonts w:hint="eastAsia" w:ascii="楷体_GB2312" w:hAnsi="宋体" w:eastAsia="楷体_GB2312" w:cs="宋体"/>
          <w:b/>
          <w:color w:val="auto"/>
          <w:kern w:val="0"/>
          <w:sz w:val="32"/>
          <w:szCs w:val="32"/>
          <w:highlight w:val="none"/>
        </w:rPr>
        <w:t>（五）其他需说明的事项</w:t>
      </w:r>
    </w:p>
    <w:p>
      <w:pPr>
        <w:widowControl/>
        <w:spacing w:line="560" w:lineRule="exact"/>
        <w:ind w:firstLine="640" w:firstLineChars="20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w:t>
      </w:r>
    </w:p>
    <w:p>
      <w:pPr>
        <w:widowControl/>
        <w:spacing w:line="560" w:lineRule="exact"/>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w:t>
      </w:r>
    </w:p>
    <w:p>
      <w:pPr>
        <w:widowControl/>
        <w:spacing w:beforeLines="50"/>
        <w:jc w:val="center"/>
        <w:outlineLvl w:val="1"/>
        <w:rPr>
          <w:rFonts w:ascii="黑体" w:hAnsi="黑体" w:eastAsia="黑体"/>
          <w:color w:val="auto"/>
          <w:kern w:val="0"/>
          <w:sz w:val="32"/>
          <w:szCs w:val="32"/>
          <w:highlight w:val="none"/>
        </w:rPr>
      </w:pPr>
      <w:r>
        <w:rPr>
          <w:rFonts w:hint="eastAsia" w:ascii="黑体" w:hAnsi="黑体" w:eastAsia="黑体"/>
          <w:color w:val="auto"/>
          <w:kern w:val="0"/>
          <w:sz w:val="32"/>
          <w:szCs w:val="32"/>
          <w:highlight w:val="none"/>
        </w:rPr>
        <w:t>第四部分</w:t>
      </w:r>
      <w:r>
        <w:rPr>
          <w:rFonts w:ascii="黑体" w:hAnsi="黑体" w:eastAsia="黑体"/>
          <w:color w:val="auto"/>
          <w:kern w:val="0"/>
          <w:sz w:val="32"/>
          <w:szCs w:val="32"/>
          <w:highlight w:val="none"/>
        </w:rPr>
        <w:t xml:space="preserve">  </w:t>
      </w:r>
      <w:r>
        <w:rPr>
          <w:rFonts w:hint="eastAsia" w:ascii="黑体" w:hAnsi="黑体" w:eastAsia="黑体"/>
          <w:color w:val="auto"/>
          <w:kern w:val="0"/>
          <w:sz w:val="32"/>
          <w:szCs w:val="32"/>
          <w:highlight w:val="none"/>
        </w:rPr>
        <w:t>名词解释</w:t>
      </w:r>
    </w:p>
    <w:p>
      <w:pPr>
        <w:widowControl/>
        <w:spacing w:line="560" w:lineRule="exact"/>
        <w:ind w:firstLine="640"/>
        <w:jc w:val="left"/>
        <w:rPr>
          <w:rFonts w:ascii="黑体" w:hAnsi="宋体" w:eastAsia="黑体" w:cs="宋体"/>
          <w:color w:val="auto"/>
          <w:kern w:val="0"/>
          <w:sz w:val="32"/>
          <w:szCs w:val="32"/>
          <w:highlight w:val="none"/>
        </w:rPr>
      </w:pPr>
      <w:r>
        <w:rPr>
          <w:rFonts w:hint="eastAsia" w:ascii="黑体" w:hAnsi="宋体" w:eastAsia="黑体" w:cs="宋体"/>
          <w:color w:val="auto"/>
          <w:kern w:val="0"/>
          <w:sz w:val="32"/>
          <w:szCs w:val="32"/>
          <w:highlight w:val="none"/>
        </w:rPr>
        <w:t>名词解释：</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一、财政拨款：</w:t>
      </w:r>
      <w:r>
        <w:rPr>
          <w:rFonts w:hint="eastAsia" w:ascii="仿宋_GB2312" w:eastAsia="仿宋_GB2312"/>
          <w:color w:val="auto"/>
          <w:sz w:val="32"/>
          <w:szCs w:val="32"/>
          <w:highlight w:val="none"/>
        </w:rPr>
        <w:t>指由一般公共预算、政府性基金预算安排的财政拨款数。</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二、一般公共预算：</w:t>
      </w:r>
      <w:r>
        <w:rPr>
          <w:rFonts w:hint="eastAsia" w:ascii="仿宋_GB2312" w:eastAsia="仿宋_GB2312"/>
          <w:color w:val="auto"/>
          <w:sz w:val="32"/>
          <w:szCs w:val="32"/>
          <w:highlight w:val="none"/>
        </w:rPr>
        <w:t>包括公共财政拨款（补助）资金、专项收入。</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三、财政专户管理资金：</w:t>
      </w:r>
      <w:r>
        <w:rPr>
          <w:rFonts w:hint="eastAsia" w:ascii="仿宋_GB2312" w:eastAsia="仿宋_GB2312"/>
          <w:color w:val="auto"/>
          <w:sz w:val="32"/>
          <w:szCs w:val="32"/>
          <w:highlight w:val="none"/>
        </w:rPr>
        <w:t>包括专户管理行政事业性收费（主要是教育收费）、其他非税收入。</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四、其他资金：</w:t>
      </w:r>
      <w:r>
        <w:rPr>
          <w:rFonts w:hint="eastAsia" w:ascii="仿宋_GB2312" w:eastAsia="仿宋_GB2312"/>
          <w:color w:val="auto"/>
          <w:sz w:val="32"/>
          <w:szCs w:val="32"/>
          <w:highlight w:val="none"/>
        </w:rPr>
        <w:t>包括事业收入、经营收入、其他收入等。</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五、基本支出：</w:t>
      </w:r>
      <w:r>
        <w:rPr>
          <w:rFonts w:hint="eastAsia" w:ascii="仿宋_GB2312" w:eastAsia="仿宋_GB2312"/>
          <w:color w:val="auto"/>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六、项目支出：</w:t>
      </w:r>
      <w:r>
        <w:rPr>
          <w:rFonts w:hint="eastAsia" w:ascii="仿宋_GB2312" w:eastAsia="仿宋_GB2312"/>
          <w:color w:val="auto"/>
          <w:sz w:val="32"/>
          <w:szCs w:val="32"/>
          <w:highlight w:val="none"/>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七、“三公”经费：</w:t>
      </w:r>
      <w:r>
        <w:rPr>
          <w:rFonts w:hint="eastAsia" w:ascii="仿宋_GB2312" w:eastAsia="仿宋_GB2312"/>
          <w:color w:val="auto"/>
          <w:sz w:val="32"/>
          <w:szCs w:val="32"/>
          <w:highlight w:val="none"/>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color w:val="auto"/>
          <w:sz w:val="32"/>
          <w:szCs w:val="32"/>
          <w:highlight w:val="none"/>
        </w:rPr>
      </w:pPr>
      <w:r>
        <w:rPr>
          <w:rFonts w:hint="eastAsia" w:ascii="黑体" w:hAnsi="黑体" w:eastAsia="黑体"/>
          <w:color w:val="auto"/>
          <w:sz w:val="32"/>
          <w:szCs w:val="32"/>
          <w:highlight w:val="none"/>
        </w:rPr>
        <w:t>八、机关运行经费：</w:t>
      </w:r>
      <w:r>
        <w:rPr>
          <w:rFonts w:hint="eastAsia" w:ascii="仿宋_GB2312" w:eastAsia="仿宋_GB2312"/>
          <w:color w:val="auto"/>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p>
    <w:p>
      <w:pPr>
        <w:widowControl/>
        <w:spacing w:line="560" w:lineRule="exact"/>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w:t>
      </w:r>
      <w:r>
        <w:rPr>
          <w:rFonts w:hint="eastAsia" w:ascii="仿宋_GB2312" w:hAnsi="宋体" w:eastAsia="仿宋_GB2312" w:cs="宋体"/>
          <w:color w:val="auto"/>
          <w:kern w:val="0"/>
          <w:sz w:val="32"/>
          <w:szCs w:val="32"/>
          <w:highlight w:val="none"/>
        </w:rPr>
        <w:t>阜康市人工影响天气办公室</w:t>
      </w:r>
    </w:p>
    <w:p>
      <w:pPr>
        <w:widowControl/>
        <w:spacing w:line="560" w:lineRule="exact"/>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 xml:space="preserve">                            2019 </w:t>
      </w:r>
      <w:r>
        <w:rPr>
          <w:rFonts w:hint="eastAsia" w:ascii="仿宋_GB2312" w:hAnsi="宋体" w:eastAsia="仿宋_GB2312" w:cs="宋体"/>
          <w:color w:val="auto"/>
          <w:kern w:val="0"/>
          <w:sz w:val="32"/>
          <w:szCs w:val="32"/>
          <w:highlight w:val="none"/>
        </w:rPr>
        <w:t>年</w:t>
      </w:r>
      <w:r>
        <w:rPr>
          <w:rFonts w:ascii="仿宋_GB2312" w:hAnsi="宋体" w:eastAsia="仿宋_GB2312" w:cs="宋体"/>
          <w:color w:val="auto"/>
          <w:kern w:val="0"/>
          <w:sz w:val="32"/>
          <w:szCs w:val="32"/>
          <w:highlight w:val="none"/>
        </w:rPr>
        <w:t xml:space="preserve">  2 </w:t>
      </w:r>
      <w:r>
        <w:rPr>
          <w:rFonts w:hint="eastAsia" w:ascii="仿宋_GB2312" w:hAnsi="宋体" w:eastAsia="仿宋_GB2312" w:cs="宋体"/>
          <w:color w:val="auto"/>
          <w:kern w:val="0"/>
          <w:sz w:val="32"/>
          <w:szCs w:val="32"/>
          <w:highlight w:val="none"/>
        </w:rPr>
        <w:t>月</w:t>
      </w:r>
      <w:r>
        <w:rPr>
          <w:rFonts w:ascii="仿宋_GB2312" w:hAnsi="宋体" w:eastAsia="仿宋_GB2312" w:cs="宋体"/>
          <w:color w:val="auto"/>
          <w:kern w:val="0"/>
          <w:sz w:val="32"/>
          <w:szCs w:val="32"/>
          <w:highlight w:val="none"/>
        </w:rPr>
        <w:t xml:space="preserve">  10  </w:t>
      </w:r>
      <w:r>
        <w:rPr>
          <w:rFonts w:hint="eastAsia" w:ascii="仿宋_GB2312" w:hAnsi="宋体" w:eastAsia="仿宋_GB2312" w:cs="宋体"/>
          <w:color w:val="auto"/>
          <w:kern w:val="0"/>
          <w:sz w:val="32"/>
          <w:szCs w:val="32"/>
          <w:highlight w:val="none"/>
        </w:rPr>
        <w:t>日</w:t>
      </w:r>
    </w:p>
    <w:p>
      <w:pPr>
        <w:rPr>
          <w:color w:val="auto"/>
          <w:highlight w:val="none"/>
        </w:rPr>
      </w:pPr>
    </w:p>
    <w:p>
      <w:pPr>
        <w:rPr>
          <w:color w:val="auto"/>
          <w:highlight w:val="none"/>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25B71"/>
    <w:multiLevelType w:val="multilevel"/>
    <w:tmpl w:val="2A425B71"/>
    <w:lvl w:ilvl="0" w:tentative="0">
      <w:start w:val="1"/>
      <w:numFmt w:val="japaneseCounting"/>
      <w:lvlText w:val="%1、"/>
      <w:lvlJc w:val="left"/>
      <w:pPr>
        <w:tabs>
          <w:tab w:val="left" w:pos="1350"/>
        </w:tabs>
        <w:ind w:left="1350" w:hanging="720"/>
      </w:pPr>
      <w:rPr>
        <w:rFonts w:hint="default" w:cs="Times New Roman"/>
      </w:rPr>
    </w:lvl>
    <w:lvl w:ilvl="1" w:tentative="0">
      <w:start w:val="1"/>
      <w:numFmt w:val="lowerLetter"/>
      <w:lvlText w:val="%2)"/>
      <w:lvlJc w:val="left"/>
      <w:pPr>
        <w:tabs>
          <w:tab w:val="left" w:pos="1470"/>
        </w:tabs>
        <w:ind w:left="1470" w:hanging="420"/>
      </w:pPr>
      <w:rPr>
        <w:rFonts w:cs="Times New Roman"/>
      </w:rPr>
    </w:lvl>
    <w:lvl w:ilvl="2" w:tentative="0">
      <w:start w:val="1"/>
      <w:numFmt w:val="lowerRoman"/>
      <w:lvlText w:val="%3."/>
      <w:lvlJc w:val="right"/>
      <w:pPr>
        <w:tabs>
          <w:tab w:val="left" w:pos="1890"/>
        </w:tabs>
        <w:ind w:left="1890" w:hanging="420"/>
      </w:pPr>
      <w:rPr>
        <w:rFonts w:cs="Times New Roman"/>
      </w:rPr>
    </w:lvl>
    <w:lvl w:ilvl="3" w:tentative="0">
      <w:start w:val="1"/>
      <w:numFmt w:val="decimal"/>
      <w:lvlText w:val="%4."/>
      <w:lvlJc w:val="left"/>
      <w:pPr>
        <w:tabs>
          <w:tab w:val="left" w:pos="2310"/>
        </w:tabs>
        <w:ind w:left="2310" w:hanging="420"/>
      </w:pPr>
      <w:rPr>
        <w:rFonts w:cs="Times New Roman"/>
      </w:rPr>
    </w:lvl>
    <w:lvl w:ilvl="4" w:tentative="0">
      <w:start w:val="1"/>
      <w:numFmt w:val="lowerLetter"/>
      <w:lvlText w:val="%5)"/>
      <w:lvlJc w:val="left"/>
      <w:pPr>
        <w:tabs>
          <w:tab w:val="left" w:pos="2730"/>
        </w:tabs>
        <w:ind w:left="2730" w:hanging="420"/>
      </w:pPr>
      <w:rPr>
        <w:rFonts w:cs="Times New Roman"/>
      </w:rPr>
    </w:lvl>
    <w:lvl w:ilvl="5" w:tentative="0">
      <w:start w:val="1"/>
      <w:numFmt w:val="lowerRoman"/>
      <w:lvlText w:val="%6."/>
      <w:lvlJc w:val="right"/>
      <w:pPr>
        <w:tabs>
          <w:tab w:val="left" w:pos="3150"/>
        </w:tabs>
        <w:ind w:left="3150" w:hanging="420"/>
      </w:pPr>
      <w:rPr>
        <w:rFonts w:cs="Times New Roman"/>
      </w:rPr>
    </w:lvl>
    <w:lvl w:ilvl="6" w:tentative="0">
      <w:start w:val="1"/>
      <w:numFmt w:val="decimal"/>
      <w:lvlText w:val="%7."/>
      <w:lvlJc w:val="left"/>
      <w:pPr>
        <w:tabs>
          <w:tab w:val="left" w:pos="3570"/>
        </w:tabs>
        <w:ind w:left="3570" w:hanging="420"/>
      </w:pPr>
      <w:rPr>
        <w:rFonts w:cs="Times New Roman"/>
      </w:rPr>
    </w:lvl>
    <w:lvl w:ilvl="7" w:tentative="0">
      <w:start w:val="1"/>
      <w:numFmt w:val="lowerLetter"/>
      <w:lvlText w:val="%8)"/>
      <w:lvlJc w:val="left"/>
      <w:pPr>
        <w:tabs>
          <w:tab w:val="left" w:pos="3990"/>
        </w:tabs>
        <w:ind w:left="3990" w:hanging="420"/>
      </w:pPr>
      <w:rPr>
        <w:rFonts w:cs="Times New Roman"/>
      </w:rPr>
    </w:lvl>
    <w:lvl w:ilvl="8" w:tentative="0">
      <w:start w:val="1"/>
      <w:numFmt w:val="lowerRoman"/>
      <w:lvlText w:val="%9."/>
      <w:lvlJc w:val="right"/>
      <w:pPr>
        <w:tabs>
          <w:tab w:val="left" w:pos="4410"/>
        </w:tabs>
        <w:ind w:left="4410" w:hanging="420"/>
      </w:pPr>
      <w:rPr>
        <w:rFonts w:cs="Times New Roman"/>
      </w:rPr>
    </w:lvl>
  </w:abstractNum>
  <w:abstractNum w:abstractNumId="1">
    <w:nsid w:val="5CC19B05"/>
    <w:multiLevelType w:val="singleLevel"/>
    <w:tmpl w:val="5CC19B05"/>
    <w:lvl w:ilvl="0" w:tentative="0">
      <w:start w:val="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673D34"/>
    <w:rsid w:val="00021BDB"/>
    <w:rsid w:val="00044EF2"/>
    <w:rsid w:val="00065C08"/>
    <w:rsid w:val="000954A3"/>
    <w:rsid w:val="000A7616"/>
    <w:rsid w:val="000F6F07"/>
    <w:rsid w:val="00102457"/>
    <w:rsid w:val="001100CB"/>
    <w:rsid w:val="001417E3"/>
    <w:rsid w:val="002426C8"/>
    <w:rsid w:val="0026300E"/>
    <w:rsid w:val="002A67F0"/>
    <w:rsid w:val="002B6C32"/>
    <w:rsid w:val="002D2523"/>
    <w:rsid w:val="002F18CD"/>
    <w:rsid w:val="0037190C"/>
    <w:rsid w:val="00396D10"/>
    <w:rsid w:val="003D7936"/>
    <w:rsid w:val="003F084D"/>
    <w:rsid w:val="003F3031"/>
    <w:rsid w:val="004660B6"/>
    <w:rsid w:val="00475CD6"/>
    <w:rsid w:val="004D1AA2"/>
    <w:rsid w:val="004D4C60"/>
    <w:rsid w:val="004E75CC"/>
    <w:rsid w:val="00584013"/>
    <w:rsid w:val="005B4AA4"/>
    <w:rsid w:val="005E6957"/>
    <w:rsid w:val="0060026E"/>
    <w:rsid w:val="00635546"/>
    <w:rsid w:val="006436D9"/>
    <w:rsid w:val="0066250A"/>
    <w:rsid w:val="00673D34"/>
    <w:rsid w:val="006B10BC"/>
    <w:rsid w:val="006B1739"/>
    <w:rsid w:val="00703601"/>
    <w:rsid w:val="00747650"/>
    <w:rsid w:val="007966DC"/>
    <w:rsid w:val="007A270C"/>
    <w:rsid w:val="007F5017"/>
    <w:rsid w:val="007F6049"/>
    <w:rsid w:val="008A69B9"/>
    <w:rsid w:val="008D2A8D"/>
    <w:rsid w:val="009B059C"/>
    <w:rsid w:val="009E4AED"/>
    <w:rsid w:val="00A07667"/>
    <w:rsid w:val="00A33CC5"/>
    <w:rsid w:val="00AA216D"/>
    <w:rsid w:val="00AD73E5"/>
    <w:rsid w:val="00AE0ABF"/>
    <w:rsid w:val="00B1510D"/>
    <w:rsid w:val="00B33220"/>
    <w:rsid w:val="00B37CA5"/>
    <w:rsid w:val="00B71FC2"/>
    <w:rsid w:val="00B87545"/>
    <w:rsid w:val="00B95BD7"/>
    <w:rsid w:val="00BC0E82"/>
    <w:rsid w:val="00BC4E81"/>
    <w:rsid w:val="00BF25B9"/>
    <w:rsid w:val="00C106C2"/>
    <w:rsid w:val="00C163AC"/>
    <w:rsid w:val="00C228B8"/>
    <w:rsid w:val="00CA08A7"/>
    <w:rsid w:val="00CA7EB3"/>
    <w:rsid w:val="00D13EDF"/>
    <w:rsid w:val="00D4093B"/>
    <w:rsid w:val="00D60DBB"/>
    <w:rsid w:val="00DC7E87"/>
    <w:rsid w:val="00DD729E"/>
    <w:rsid w:val="00E00202"/>
    <w:rsid w:val="00E42A6F"/>
    <w:rsid w:val="00E57E9B"/>
    <w:rsid w:val="00E6046E"/>
    <w:rsid w:val="00E96FAE"/>
    <w:rsid w:val="00E97FB2"/>
    <w:rsid w:val="00EB1EF1"/>
    <w:rsid w:val="00F02862"/>
    <w:rsid w:val="00F21B38"/>
    <w:rsid w:val="00F8549E"/>
    <w:rsid w:val="00F93E88"/>
    <w:rsid w:val="00FE08C8"/>
    <w:rsid w:val="00FE3958"/>
    <w:rsid w:val="00FE5019"/>
    <w:rsid w:val="00FF3056"/>
    <w:rsid w:val="034148CA"/>
    <w:rsid w:val="24274DD4"/>
    <w:rsid w:val="2C272E7F"/>
    <w:rsid w:val="32C75D0C"/>
    <w:rsid w:val="48DE3350"/>
    <w:rsid w:val="49DD6E76"/>
    <w:rsid w:val="4B514232"/>
    <w:rsid w:val="54A44B15"/>
    <w:rsid w:val="57572ADC"/>
    <w:rsid w:val="60F04CFE"/>
    <w:rsid w:val="68170F96"/>
    <w:rsid w:val="70E35845"/>
    <w:rsid w:val="72B718F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rFonts w:eastAsia="黑体"/>
      <w:kern w:val="0"/>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4"/>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99"/>
    <w:rPr>
      <w:rFonts w:cs="Times New Roman"/>
      <w:b/>
    </w:rPr>
  </w:style>
  <w:style w:type="character" w:styleId="10">
    <w:name w:val="page number"/>
    <w:basedOn w:val="8"/>
    <w:qFormat/>
    <w:uiPriority w:val="99"/>
    <w:rPr>
      <w:rFonts w:cs="Times New Roman"/>
    </w:rPr>
  </w:style>
  <w:style w:type="character" w:customStyle="1" w:styleId="11">
    <w:name w:val="批注框文本 Char"/>
    <w:basedOn w:val="8"/>
    <w:link w:val="2"/>
    <w:semiHidden/>
    <w:qFormat/>
    <w:locked/>
    <w:uiPriority w:val="99"/>
    <w:rPr>
      <w:rFonts w:ascii="Times New Roman" w:hAnsi="Times New Roman" w:eastAsia="宋体" w:cs="Times New Roman"/>
      <w:sz w:val="18"/>
      <w:szCs w:val="18"/>
    </w:rPr>
  </w:style>
  <w:style w:type="character" w:customStyle="1" w:styleId="12">
    <w:name w:val="页脚 Char"/>
    <w:basedOn w:val="8"/>
    <w:link w:val="3"/>
    <w:qFormat/>
    <w:locked/>
    <w:uiPriority w:val="99"/>
    <w:rPr>
      <w:rFonts w:ascii="Times New Roman" w:hAnsi="Times New Roman" w:eastAsia="黑体" w:cs="Times New Roman"/>
      <w:snapToGrid w:val="0"/>
      <w:kern w:val="0"/>
      <w:sz w:val="18"/>
      <w:szCs w:val="18"/>
    </w:rPr>
  </w:style>
  <w:style w:type="character" w:customStyle="1" w:styleId="13">
    <w:name w:val="页眉 Char"/>
    <w:basedOn w:val="8"/>
    <w:link w:val="4"/>
    <w:qFormat/>
    <w:locked/>
    <w:uiPriority w:val="99"/>
    <w:rPr>
      <w:rFonts w:ascii="Times New Roman" w:hAnsi="Times New Roman" w:eastAsia="宋体" w:cs="Times New Roman"/>
      <w:sz w:val="18"/>
      <w:szCs w:val="18"/>
    </w:rPr>
  </w:style>
  <w:style w:type="character" w:customStyle="1" w:styleId="14">
    <w:name w:val="正文文本缩进 3 Char"/>
    <w:basedOn w:val="8"/>
    <w:link w:val="5"/>
    <w:qFormat/>
    <w:locked/>
    <w:uiPriority w:val="99"/>
    <w:rPr>
      <w:rFonts w:ascii="Times New Roman" w:hAnsi="Times New Roman" w:eastAsia="仿宋_GB2312" w:cs="Times New Roman"/>
      <w:sz w:val="24"/>
      <w:szCs w:val="24"/>
    </w:rPr>
  </w:style>
  <w:style w:type="paragraph" w:customStyle="1" w:styleId="15">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6">
    <w:name w:val="List Paragraph1"/>
    <w:basedOn w:val="1"/>
    <w:qFormat/>
    <w:uiPriority w:val="99"/>
    <w:pPr>
      <w:ind w:firstLine="420" w:firstLineChars="200"/>
    </w:pPr>
    <w:rPr>
      <w:rFonts w:ascii="Calibri" w:hAnsi="Calibri"/>
      <w:szCs w:val="22"/>
    </w:rPr>
  </w:style>
  <w:style w:type="paragraph" w:customStyle="1" w:styleId="17">
    <w:name w:val="普通(网站)1"/>
    <w:basedOn w:val="1"/>
    <w:qFormat/>
    <w:uiPriority w:val="99"/>
    <w:rPr>
      <w:rFonts w:ascii="Calibri" w:hAnsi="Calibri" w:cs="黑体"/>
      <w:sz w:val="24"/>
    </w:rPr>
  </w:style>
  <w:style w:type="paragraph" w:customStyle="1" w:styleId="18">
    <w:name w:val="普通(网站)2"/>
    <w:basedOn w:val="1"/>
    <w:qFormat/>
    <w:uiPriority w:val="99"/>
    <w:rPr>
      <w:rFonts w:ascii="Calibri" w:hAnsi="Calibri" w:cs="黑体"/>
      <w:sz w:val="24"/>
    </w:rPr>
  </w:style>
  <w:style w:type="paragraph" w:customStyle="1" w:styleId="19">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1476</Words>
  <Characters>8415</Characters>
  <Lines>70</Lines>
  <Paragraphs>19</Paragraphs>
  <TotalTime>8</TotalTime>
  <ScaleCrop>false</ScaleCrop>
  <LinksUpToDate>false</LinksUpToDate>
  <CharactersWithSpaces>9872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2020-09-28T10:33:00Z</dcterms:created>
  <dc:creator>王怡</dc:creator>
  <cp:lastModifiedBy>♥夏汐</cp:lastModifiedBy>
  <dcterms:modified xsi:type="dcterms:W3CDTF">2021-07-09T05:22:53Z</dcterms:modified>
  <dc:title>新疆维吾尔自治区*部门单位2019年部门预算公开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384A5BB0EE3B487A89D807D0344D2A25</vt:lpwstr>
  </property>
</Properties>
</file>