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bookmarkStart w:id="0" w:name="_GoBack"/>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r>
        <w:rPr>
          <w:rFonts w:hint="eastAsia" w:ascii="方正小标宋_GBK" w:hAnsi="宋体" w:eastAsia="方正小标宋_GBK"/>
          <w:color w:val="auto"/>
          <w:kern w:val="0"/>
          <w:sz w:val="44"/>
          <w:szCs w:val="44"/>
          <w:highlight w:val="none"/>
        </w:rPr>
        <w:t>昌吉州阜康市梧桐沟国家沙漠公园管理中心2019年部门预算公开</w:t>
      </w: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line="500" w:lineRule="exact"/>
        <w:jc w:val="center"/>
        <w:outlineLvl w:val="1"/>
        <w:rPr>
          <w:rFonts w:ascii="黑体" w:hAnsi="黑体" w:eastAsia="黑体"/>
          <w:color w:val="auto"/>
          <w:kern w:val="0"/>
          <w:sz w:val="44"/>
          <w:szCs w:val="44"/>
          <w:highlight w:val="none"/>
        </w:rPr>
      </w:pPr>
      <w:r>
        <w:rPr>
          <w:rFonts w:hint="eastAsia" w:ascii="黑体" w:hAnsi="黑体" w:eastAsia="黑体"/>
          <w:color w:val="auto"/>
          <w:kern w:val="0"/>
          <w:sz w:val="44"/>
          <w:szCs w:val="44"/>
          <w:highlight w:val="none"/>
        </w:rPr>
        <w:t>目    录</w:t>
      </w:r>
    </w:p>
    <w:p>
      <w:pPr>
        <w:widowControl/>
        <w:spacing w:line="500" w:lineRule="exact"/>
        <w:jc w:val="center"/>
        <w:outlineLvl w:val="1"/>
        <w:rPr>
          <w:rFonts w:ascii="宋体" w:hAnsi="宋体"/>
          <w:b/>
          <w:color w:val="auto"/>
          <w:kern w:val="0"/>
          <w:sz w:val="44"/>
          <w:szCs w:val="44"/>
          <w:highlight w:val="none"/>
        </w:rPr>
      </w:pP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第一部分  2019年单位概况</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一、主要职能</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二、机构设置及人员情况</w:t>
      </w:r>
    </w:p>
    <w:p>
      <w:pPr>
        <w:widowControl/>
        <w:spacing w:line="460" w:lineRule="exact"/>
        <w:outlineLvl w:val="1"/>
        <w:rPr>
          <w:rFonts w:ascii="仿宋_GB2312" w:hAnsi="仿宋"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第二部分</w:t>
      </w:r>
      <w:r>
        <w:rPr>
          <w:rFonts w:hint="eastAsia" w:ascii="仿宋" w:hAnsi="仿宋" w:eastAsia="仿宋"/>
          <w:b/>
          <w:color w:val="auto"/>
          <w:kern w:val="0"/>
          <w:sz w:val="32"/>
          <w:szCs w:val="32"/>
          <w:highlight w:val="none"/>
        </w:rPr>
        <w:t xml:space="preserve"> </w:t>
      </w:r>
      <w:r>
        <w:rPr>
          <w:rFonts w:hint="eastAsia" w:ascii="仿宋_GB2312" w:hAnsi="仿宋" w:eastAsia="仿宋_GB2312"/>
          <w:b/>
          <w:color w:val="auto"/>
          <w:kern w:val="0"/>
          <w:sz w:val="32"/>
          <w:szCs w:val="32"/>
          <w:highlight w:val="none"/>
        </w:rPr>
        <w:t xml:space="preserve"> 2019年部门预算公开表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一、部门收支总体情况表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二、部门收入总体情况表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三、部门支出总体情况表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四、财政拨款收支总体情况表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五、一般公共预算支出情况表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六、一般公共预算基本支出情况表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w:t>
      </w:r>
      <w:r>
        <w:rPr>
          <w:rFonts w:hint="eastAsia" w:ascii="仿宋_GB2312" w:hAnsi="宋体" w:eastAsia="仿宋_GB2312"/>
          <w:bCs/>
          <w:color w:val="auto"/>
          <w:kern w:val="0"/>
          <w:sz w:val="32"/>
          <w:szCs w:val="32"/>
          <w:highlight w:val="none"/>
        </w:rPr>
        <w:t>项目支出情况表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八、一般公共预算“三公”经费支出情况表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九、政府性基金预算支出情况表</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第三部分  2019年部门预算情况说明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一、关于阜康市梧桐沟国家沙漠公园管理中心2019年收支预算情况的总体说明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二、关于阜康市梧桐沟国家沙漠公园管理中心2019年收入预算情况说明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三、关于阜康市梧桐沟国家沙漠公园管理中心2019年支出预算情况说明</w:t>
      </w:r>
    </w:p>
    <w:p>
      <w:pPr>
        <w:widowControl/>
        <w:spacing w:line="460" w:lineRule="exact"/>
        <w:outlineLvl w:val="1"/>
        <w:rPr>
          <w:rFonts w:ascii="仿宋_GB2312" w:hAnsi="宋体" w:eastAsia="仿宋_GB2312"/>
          <w:bCs/>
          <w:color w:val="auto"/>
          <w:kern w:val="0"/>
          <w:sz w:val="32"/>
          <w:szCs w:val="32"/>
          <w:highlight w:val="none"/>
        </w:rPr>
      </w:pPr>
      <w:r>
        <w:rPr>
          <w:rFonts w:hint="eastAsia" w:ascii="仿宋_GB2312" w:hAnsi="宋体" w:eastAsia="仿宋_GB2312"/>
          <w:bCs/>
          <w:color w:val="auto"/>
          <w:kern w:val="0"/>
          <w:sz w:val="32"/>
          <w:szCs w:val="32"/>
          <w:highlight w:val="none"/>
        </w:rPr>
        <w:t>四、关于</w:t>
      </w:r>
      <w:r>
        <w:rPr>
          <w:rFonts w:hint="eastAsia" w:ascii="仿宋_GB2312" w:hAnsi="宋体" w:eastAsia="仿宋_GB2312"/>
          <w:color w:val="auto"/>
          <w:kern w:val="0"/>
          <w:sz w:val="32"/>
          <w:szCs w:val="32"/>
          <w:highlight w:val="none"/>
        </w:rPr>
        <w:t>阜康市梧桐沟国家沙漠公园管理中心2019年</w:t>
      </w:r>
      <w:r>
        <w:rPr>
          <w:rFonts w:hint="eastAsia" w:ascii="仿宋_GB2312" w:hAnsi="宋体" w:eastAsia="仿宋_GB2312"/>
          <w:bCs/>
          <w:color w:val="auto"/>
          <w:kern w:val="0"/>
          <w:sz w:val="32"/>
          <w:szCs w:val="32"/>
          <w:highlight w:val="none"/>
        </w:rPr>
        <w:t>财政拨款收支预算情况的总体说明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五、关于阜康市梧桐沟国家沙漠公园管理中心2019年一般公共预算当年拨款情况说明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六、关于阜康市梧桐沟国家沙漠公园管理中心2019年一般公共预算基本支出情况说明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七、关于阜康市梧桐沟国家沙漠公园管理中心2019年项目支出情况说明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八、关于阜康市梧桐沟国家沙漠公园管理中心2019年一般公共预算“三公”经费预算情况说明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九、关于阜康市梧桐沟国家沙漠公园管理中心2019年政府性基金预算拨款情况说明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十、其他重要事项的情况说明</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第四部分  名词解释</w:t>
      </w: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spacing w:line="600" w:lineRule="exact"/>
        <w:ind w:right="-21" w:rightChars="-10"/>
        <w:jc w:val="center"/>
        <w:rPr>
          <w:rFonts w:ascii="方正大标宋_GBK" w:hAnsi="黑体" w:eastAsia="方正大标宋_GBK" w:cs="宋体"/>
          <w:color w:val="auto"/>
          <w:sz w:val="36"/>
          <w:szCs w:val="36"/>
          <w:highlight w:val="none"/>
        </w:rPr>
      </w:pPr>
    </w:p>
    <w:p>
      <w:pPr>
        <w:widowControl/>
        <w:ind w:firstLine="640" w:firstLineChars="200"/>
        <w:outlineLvl w:val="1"/>
        <w:rPr>
          <w:rFonts w:ascii="黑体" w:hAnsi="黑体" w:eastAsia="黑体" w:cs="黑体"/>
          <w:color w:val="auto"/>
          <w:kern w:val="0"/>
          <w:sz w:val="32"/>
          <w:szCs w:val="32"/>
          <w:highlight w:val="none"/>
        </w:rPr>
      </w:pPr>
    </w:p>
    <w:p>
      <w:pPr>
        <w:widowControl/>
        <w:jc w:val="center"/>
        <w:outlineLvl w:val="1"/>
        <w:rPr>
          <w:rFonts w:ascii="黑体" w:hAnsi="黑体" w:eastAsia="黑体" w:cs="黑体"/>
          <w:color w:val="auto"/>
          <w:kern w:val="0"/>
          <w:sz w:val="36"/>
          <w:szCs w:val="36"/>
          <w:highlight w:val="none"/>
        </w:rPr>
      </w:pPr>
      <w:r>
        <w:rPr>
          <w:rFonts w:hint="eastAsia" w:ascii="黑体" w:hAnsi="黑体" w:eastAsia="黑体" w:cs="黑体"/>
          <w:color w:val="auto"/>
          <w:kern w:val="0"/>
          <w:sz w:val="36"/>
          <w:szCs w:val="36"/>
          <w:highlight w:val="none"/>
        </w:rPr>
        <w:t>第一部分</w:t>
      </w:r>
      <w:r>
        <w:rPr>
          <w:rFonts w:ascii="黑体" w:hAnsi="黑体" w:eastAsia="黑体" w:cs="黑体"/>
          <w:color w:val="auto"/>
          <w:kern w:val="0"/>
          <w:sz w:val="36"/>
          <w:szCs w:val="36"/>
          <w:highlight w:val="none"/>
        </w:rPr>
        <w:t xml:space="preserve"> </w:t>
      </w:r>
      <w:r>
        <w:rPr>
          <w:rFonts w:hint="eastAsia" w:ascii="黑体" w:hAnsi="黑体" w:eastAsia="黑体" w:cs="黑体"/>
          <w:color w:val="auto"/>
          <w:kern w:val="0"/>
          <w:sz w:val="36"/>
          <w:szCs w:val="36"/>
          <w:highlight w:val="none"/>
        </w:rPr>
        <w:t>2019阜康市梧桐沟国家沙漠公园管理中心</w:t>
      </w:r>
    </w:p>
    <w:p>
      <w:pPr>
        <w:widowControl/>
        <w:ind w:firstLine="720" w:firstLineChars="200"/>
        <w:jc w:val="center"/>
        <w:outlineLvl w:val="1"/>
        <w:rPr>
          <w:rFonts w:ascii="黑体" w:hAnsi="黑体" w:eastAsia="黑体" w:cs="黑体"/>
          <w:color w:val="auto"/>
          <w:kern w:val="0"/>
          <w:sz w:val="36"/>
          <w:szCs w:val="36"/>
          <w:highlight w:val="none"/>
        </w:rPr>
      </w:pPr>
      <w:r>
        <w:rPr>
          <w:rFonts w:hint="eastAsia" w:ascii="黑体" w:hAnsi="黑体" w:eastAsia="黑体" w:cs="黑体"/>
          <w:color w:val="auto"/>
          <w:kern w:val="0"/>
          <w:sz w:val="36"/>
          <w:szCs w:val="36"/>
          <w:highlight w:val="none"/>
        </w:rPr>
        <w:t>概    况</w:t>
      </w:r>
    </w:p>
    <w:p>
      <w:pPr>
        <w:widowControl/>
        <w:spacing w:line="560" w:lineRule="exact"/>
        <w:jc w:val="left"/>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　</w:t>
      </w:r>
      <w:r>
        <w:rPr>
          <w:rFonts w:ascii="黑体" w:hAnsi="黑体" w:eastAsia="黑体" w:cs="宋体"/>
          <w:color w:val="auto"/>
          <w:kern w:val="0"/>
          <w:sz w:val="32"/>
          <w:szCs w:val="32"/>
          <w:highlight w:val="none"/>
        </w:rPr>
        <w:t xml:space="preserve">  </w:t>
      </w:r>
    </w:p>
    <w:p>
      <w:pPr>
        <w:widowControl/>
        <w:spacing w:line="560" w:lineRule="exact"/>
        <w:ind w:firstLine="640" w:firstLineChars="20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一、主要职能</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（一）明确公园管辖范围和保护对象，统一负责公园内的规划、建设、保护、恢复和合理利用及经营管理工作；</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（二）严格贯彻、宣传和执行国家保护的各项法律、法规和政策，并向主管部门汇报公园建设、保护成果和存在问题，及时总结经验教训并提出改进措施。</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（三）按照国家保护的有关规定，结合公园的实际情况，制定公园的有关保护、管理、科研、资源利用和环境建设的实施细则与年度计划。</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（四）根据管理目标，分阶段制定管理中心工作守则和各项规章制度，加强相关工作人员的法律法规、职业技能、科研技能等的培训工作。</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（五）积极开展所辖区域及其周边社区居民的宣传教育工作，强化湿地保护、管理的有关法律、法规、湿地资源可持续利用技术方法的培训与教育，增强其对湿地保护的意识和保护技能。</w:t>
      </w:r>
    </w:p>
    <w:p>
      <w:pPr>
        <w:spacing w:line="4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（六）做好与保护和管理有关的地方部门的协调工作，推动公园的保护与管理。</w:t>
      </w:r>
    </w:p>
    <w:p>
      <w:pPr>
        <w:widowControl/>
        <w:spacing w:line="560" w:lineRule="exact"/>
        <w:ind w:firstLine="640" w:firstLineChars="20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二、机构设置及人员情况</w:t>
      </w:r>
    </w:p>
    <w:p>
      <w:pPr>
        <w:widowControl/>
        <w:spacing w:line="560" w:lineRule="exact"/>
        <w:ind w:firstLine="64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阜康市梧桐沟国家沙漠管理中心无下属单位，</w:t>
      </w:r>
      <w:r>
        <w:rPr>
          <w:rFonts w:hint="eastAsia" w:ascii="仿宋_GB2312" w:hAnsi="仿宋_GB2312" w:eastAsia="仿宋_GB2312" w:cs="仿宋_GB2312"/>
          <w:bCs/>
          <w:color w:val="auto"/>
          <w:kern w:val="0"/>
          <w:sz w:val="32"/>
          <w:szCs w:val="32"/>
          <w:highlight w:val="none"/>
        </w:rPr>
        <w:t>下设2个科室，分别是：档案室、资料室</w:t>
      </w:r>
      <w:r>
        <w:rPr>
          <w:rFonts w:hint="eastAsia" w:ascii="仿宋_GB2312" w:hAnsi="仿宋_GB2312" w:eastAsia="仿宋_GB2312" w:cs="仿宋_GB2312"/>
          <w:color w:val="auto"/>
          <w:sz w:val="32"/>
          <w:szCs w:val="32"/>
          <w:highlight w:val="none"/>
        </w:rPr>
        <w:t>。</w:t>
      </w:r>
    </w:p>
    <w:p>
      <w:pPr>
        <w:widowControl/>
        <w:spacing w:line="560" w:lineRule="exact"/>
        <w:ind w:firstLine="640"/>
        <w:jc w:val="left"/>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rPr>
        <w:t>编制数7人，实有人员3人，其中：在职3人，增加0人；退休0人，增加0人；离休0人，增加0人。</w:t>
      </w: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第二部分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年部门预算公开表</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表一：</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部门收支总体情况表</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color w:val="auto"/>
          <w:kern w:val="0"/>
          <w:sz w:val="24"/>
          <w:highlight w:val="none"/>
        </w:rPr>
        <w:t>编制部门：阜康市梧桐沟国家沙漠公园管理中心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收</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支</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201 </w:t>
            </w:r>
            <w:r>
              <w:rPr>
                <w:rFonts w:hint="eastAsia" w:ascii="仿宋_GB2312" w:hAnsi="宋体" w:eastAsia="仿宋_GB2312" w:cs="宋体"/>
                <w:color w:val="auto"/>
                <w:kern w:val="0"/>
                <w:sz w:val="18"/>
                <w:szCs w:val="18"/>
                <w:highlight w:val="none"/>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202 </w:t>
            </w:r>
            <w:r>
              <w:rPr>
                <w:rFonts w:hint="eastAsia" w:ascii="仿宋_GB2312" w:hAnsi="宋体" w:eastAsia="仿宋_GB2312" w:cs="宋体"/>
                <w:color w:val="auto"/>
                <w:kern w:val="0"/>
                <w:sz w:val="18"/>
                <w:szCs w:val="18"/>
                <w:highlight w:val="none"/>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203 </w:t>
            </w:r>
            <w:r>
              <w:rPr>
                <w:rFonts w:hint="eastAsia" w:ascii="仿宋_GB2312" w:hAnsi="宋体" w:eastAsia="仿宋_GB2312" w:cs="宋体"/>
                <w:color w:val="auto"/>
                <w:kern w:val="0"/>
                <w:sz w:val="18"/>
                <w:szCs w:val="18"/>
                <w:highlight w:val="none"/>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204 </w:t>
            </w:r>
            <w:r>
              <w:rPr>
                <w:rFonts w:hint="eastAsia" w:ascii="仿宋_GB2312" w:hAnsi="宋体" w:eastAsia="仿宋_GB2312" w:cs="宋体"/>
                <w:color w:val="auto"/>
                <w:kern w:val="0"/>
                <w:sz w:val="18"/>
                <w:szCs w:val="18"/>
                <w:highlight w:val="none"/>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205 </w:t>
            </w:r>
            <w:r>
              <w:rPr>
                <w:rFonts w:hint="eastAsia" w:ascii="仿宋_GB2312" w:hAnsi="宋体" w:eastAsia="仿宋_GB2312" w:cs="宋体"/>
                <w:color w:val="auto"/>
                <w:kern w:val="0"/>
                <w:sz w:val="18"/>
                <w:szCs w:val="18"/>
                <w:highlight w:val="none"/>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206 </w:t>
            </w:r>
            <w:r>
              <w:rPr>
                <w:rFonts w:hint="eastAsia" w:ascii="仿宋_GB2312" w:hAnsi="宋体" w:eastAsia="仿宋_GB2312" w:cs="宋体"/>
                <w:color w:val="auto"/>
                <w:kern w:val="0"/>
                <w:sz w:val="18"/>
                <w:szCs w:val="18"/>
                <w:highlight w:val="none"/>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207 </w:t>
            </w:r>
            <w:r>
              <w:rPr>
                <w:rFonts w:hint="eastAsia" w:ascii="仿宋_GB2312" w:hAnsi="宋体" w:eastAsia="仿宋_GB2312" w:cs="宋体"/>
                <w:color w:val="auto"/>
                <w:kern w:val="0"/>
                <w:sz w:val="18"/>
                <w:szCs w:val="18"/>
                <w:highlight w:val="none"/>
              </w:rPr>
              <w:t>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208 </w:t>
            </w:r>
            <w:r>
              <w:rPr>
                <w:rFonts w:hint="eastAsia" w:ascii="仿宋_GB2312" w:hAnsi="宋体" w:eastAsia="仿宋_GB2312" w:cs="宋体"/>
                <w:color w:val="auto"/>
                <w:kern w:val="0"/>
                <w:sz w:val="18"/>
                <w:szCs w:val="18"/>
                <w:highlight w:val="none"/>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5.78</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209 </w:t>
            </w:r>
            <w:r>
              <w:rPr>
                <w:rFonts w:hint="eastAsia" w:ascii="仿宋_GB2312" w:hAnsi="宋体" w:eastAsia="仿宋_GB2312" w:cs="宋体"/>
                <w:color w:val="auto"/>
                <w:kern w:val="0"/>
                <w:sz w:val="18"/>
                <w:szCs w:val="18"/>
                <w:highlight w:val="none"/>
              </w:rPr>
              <w:t>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210 </w:t>
            </w:r>
            <w:r>
              <w:rPr>
                <w:rFonts w:hint="eastAsia" w:ascii="仿宋_GB2312" w:hAnsi="宋体" w:eastAsia="仿宋_GB2312" w:cs="宋体"/>
                <w:color w:val="auto"/>
                <w:kern w:val="0"/>
                <w:sz w:val="18"/>
                <w:szCs w:val="18"/>
                <w:highlight w:val="none"/>
              </w:rPr>
              <w:t>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3.78</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211 </w:t>
            </w:r>
            <w:r>
              <w:rPr>
                <w:rFonts w:hint="eastAsia" w:ascii="仿宋_GB2312" w:hAnsi="宋体" w:eastAsia="仿宋_GB2312" w:cs="宋体"/>
                <w:color w:val="auto"/>
                <w:kern w:val="0"/>
                <w:sz w:val="18"/>
                <w:szCs w:val="18"/>
                <w:highlight w:val="none"/>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212 </w:t>
            </w:r>
            <w:r>
              <w:rPr>
                <w:rFonts w:hint="eastAsia" w:ascii="仿宋_GB2312" w:hAnsi="宋体" w:eastAsia="仿宋_GB2312" w:cs="宋体"/>
                <w:color w:val="auto"/>
                <w:kern w:val="0"/>
                <w:sz w:val="18"/>
                <w:szCs w:val="18"/>
                <w:highlight w:val="none"/>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213 </w:t>
            </w:r>
            <w:r>
              <w:rPr>
                <w:rFonts w:hint="eastAsia" w:ascii="仿宋_GB2312" w:hAnsi="宋体" w:eastAsia="仿宋_GB2312" w:cs="宋体"/>
                <w:color w:val="auto"/>
                <w:kern w:val="0"/>
                <w:sz w:val="18"/>
                <w:szCs w:val="18"/>
                <w:highlight w:val="none"/>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34.80</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214 </w:t>
            </w:r>
            <w:r>
              <w:rPr>
                <w:rFonts w:hint="eastAsia" w:ascii="仿宋_GB2312" w:hAnsi="宋体" w:eastAsia="仿宋_GB2312" w:cs="宋体"/>
                <w:color w:val="auto"/>
                <w:kern w:val="0"/>
                <w:sz w:val="18"/>
                <w:szCs w:val="18"/>
                <w:highlight w:val="none"/>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215 </w:t>
            </w:r>
            <w:r>
              <w:rPr>
                <w:rFonts w:hint="eastAsia" w:ascii="仿宋_GB2312" w:hAnsi="宋体" w:eastAsia="仿宋_GB2312" w:cs="宋体"/>
                <w:color w:val="auto"/>
                <w:kern w:val="0"/>
                <w:sz w:val="18"/>
                <w:szCs w:val="18"/>
                <w:highlight w:val="none"/>
              </w:rPr>
              <w:t>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216 </w:t>
            </w:r>
            <w:r>
              <w:rPr>
                <w:rFonts w:hint="eastAsia" w:ascii="仿宋_GB2312" w:hAnsi="宋体" w:eastAsia="仿宋_GB2312" w:cs="宋体"/>
                <w:color w:val="auto"/>
                <w:kern w:val="0"/>
                <w:sz w:val="18"/>
                <w:szCs w:val="18"/>
                <w:highlight w:val="none"/>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217 </w:t>
            </w:r>
            <w:r>
              <w:rPr>
                <w:rFonts w:hint="eastAsia" w:ascii="仿宋_GB2312" w:hAnsi="宋体" w:eastAsia="仿宋_GB2312" w:cs="宋体"/>
                <w:color w:val="auto"/>
                <w:kern w:val="0"/>
                <w:sz w:val="18"/>
                <w:szCs w:val="18"/>
                <w:highlight w:val="none"/>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219 </w:t>
            </w:r>
            <w:r>
              <w:rPr>
                <w:rFonts w:hint="eastAsia" w:ascii="仿宋_GB2312" w:hAnsi="宋体" w:eastAsia="仿宋_GB2312" w:cs="宋体"/>
                <w:color w:val="auto"/>
                <w:kern w:val="0"/>
                <w:sz w:val="18"/>
                <w:szCs w:val="18"/>
                <w:highlight w:val="none"/>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220 </w:t>
            </w:r>
            <w:r>
              <w:rPr>
                <w:rFonts w:hint="eastAsia" w:ascii="仿宋_GB2312" w:hAnsi="宋体" w:eastAsia="仿宋_GB2312" w:cs="宋体"/>
                <w:color w:val="auto"/>
                <w:kern w:val="0"/>
                <w:sz w:val="18"/>
                <w:szCs w:val="18"/>
                <w:highlight w:val="none"/>
              </w:rPr>
              <w:t>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221 </w:t>
            </w:r>
            <w:r>
              <w:rPr>
                <w:rFonts w:hint="eastAsia" w:ascii="仿宋_GB2312" w:hAnsi="宋体" w:eastAsia="仿宋_GB2312" w:cs="宋体"/>
                <w:color w:val="auto"/>
                <w:kern w:val="0"/>
                <w:sz w:val="18"/>
                <w:szCs w:val="18"/>
                <w:highlight w:val="none"/>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4.07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222 </w:t>
            </w:r>
            <w:r>
              <w:rPr>
                <w:rFonts w:hint="eastAsia" w:ascii="仿宋_GB2312" w:hAnsi="宋体" w:eastAsia="仿宋_GB2312" w:cs="宋体"/>
                <w:color w:val="auto"/>
                <w:kern w:val="0"/>
                <w:sz w:val="18"/>
                <w:szCs w:val="18"/>
                <w:highlight w:val="none"/>
              </w:rPr>
              <w:t>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223 </w:t>
            </w:r>
            <w:r>
              <w:rPr>
                <w:rFonts w:hint="eastAsia" w:ascii="仿宋_GB2312" w:hAnsi="宋体" w:eastAsia="仿宋_GB2312" w:cs="宋体"/>
                <w:color w:val="auto"/>
                <w:kern w:val="0"/>
                <w:sz w:val="18"/>
                <w:szCs w:val="18"/>
                <w:highlight w:val="none"/>
              </w:rPr>
              <w:t>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227 </w:t>
            </w:r>
            <w:r>
              <w:rPr>
                <w:rFonts w:hint="eastAsia" w:ascii="仿宋_GB2312" w:hAnsi="宋体" w:eastAsia="仿宋_GB2312" w:cs="宋体"/>
                <w:color w:val="auto"/>
                <w:kern w:val="0"/>
                <w:sz w:val="18"/>
                <w:szCs w:val="18"/>
                <w:highlight w:val="none"/>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229 </w:t>
            </w:r>
            <w:r>
              <w:rPr>
                <w:rFonts w:hint="eastAsia" w:ascii="仿宋_GB2312" w:hAnsi="宋体" w:eastAsia="仿宋_GB2312" w:cs="宋体"/>
                <w:color w:val="auto"/>
                <w:kern w:val="0"/>
                <w:sz w:val="18"/>
                <w:szCs w:val="18"/>
                <w:highlight w:val="none"/>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231 </w:t>
            </w:r>
            <w:r>
              <w:rPr>
                <w:rFonts w:hint="eastAsia" w:ascii="仿宋_GB2312" w:hAnsi="宋体" w:eastAsia="仿宋_GB2312" w:cs="宋体"/>
                <w:color w:val="auto"/>
                <w:kern w:val="0"/>
                <w:sz w:val="18"/>
                <w:szCs w:val="18"/>
                <w:highlight w:val="none"/>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232 </w:t>
            </w:r>
            <w:r>
              <w:rPr>
                <w:rFonts w:hint="eastAsia" w:ascii="仿宋_GB2312" w:hAnsi="宋体" w:eastAsia="仿宋_GB2312" w:cs="宋体"/>
                <w:color w:val="auto"/>
                <w:kern w:val="0"/>
                <w:sz w:val="18"/>
                <w:szCs w:val="18"/>
                <w:highlight w:val="none"/>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233 </w:t>
            </w:r>
            <w:r>
              <w:rPr>
                <w:rFonts w:hint="eastAsia" w:ascii="仿宋_GB2312" w:hAnsi="宋体" w:eastAsia="仿宋_GB2312" w:cs="宋体"/>
                <w:color w:val="auto"/>
                <w:kern w:val="0"/>
                <w:sz w:val="18"/>
                <w:szCs w:val="18"/>
                <w:highlight w:val="none"/>
              </w:rPr>
              <w:t>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合</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48.43</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表二：</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部门收入总体情况表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填报部门：阜康市梧桐沟国家沙漠公园管理中心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654" w:type="dxa"/>
        <w:tblInd w:w="93" w:type="dxa"/>
        <w:tblLayout w:type="fixed"/>
        <w:tblCellMar>
          <w:top w:w="0" w:type="dxa"/>
          <w:left w:w="108" w:type="dxa"/>
          <w:bottom w:w="0" w:type="dxa"/>
          <w:right w:w="108" w:type="dxa"/>
        </w:tblCellMar>
      </w:tblPr>
      <w:tblGrid>
        <w:gridCol w:w="516"/>
        <w:gridCol w:w="417"/>
        <w:gridCol w:w="417"/>
        <w:gridCol w:w="2010"/>
        <w:gridCol w:w="820"/>
        <w:gridCol w:w="716"/>
        <w:gridCol w:w="680"/>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功能分类科目编码</w:t>
            </w:r>
          </w:p>
        </w:tc>
        <w:tc>
          <w:tcPr>
            <w:tcW w:w="201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总</w:t>
            </w:r>
            <w:r>
              <w:rPr>
                <w:rFonts w:ascii="仿宋_GB2312" w:eastAsia="仿宋_GB2312"/>
                <w:b/>
                <w:color w:val="auto"/>
                <w:sz w:val="20"/>
                <w:szCs w:val="20"/>
                <w:highlight w:val="none"/>
              </w:rPr>
              <w:t xml:space="preserve">  </w:t>
            </w:r>
            <w:r>
              <w:rPr>
                <w:rFonts w:hint="eastAsia" w:ascii="仿宋_GB2312" w:eastAsia="仿宋_GB2312"/>
                <w:b/>
                <w:color w:val="auto"/>
                <w:sz w:val="20"/>
                <w:szCs w:val="20"/>
                <w:highlight w:val="none"/>
              </w:rPr>
              <w:t>计</w:t>
            </w:r>
          </w:p>
        </w:tc>
        <w:tc>
          <w:tcPr>
            <w:tcW w:w="7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18"/>
                <w:szCs w:val="18"/>
                <w:highlight w:val="none"/>
              </w:rPr>
            </w:pPr>
            <w:r>
              <w:rPr>
                <w:rFonts w:hint="eastAsia" w:ascii="仿宋_GB2312" w:eastAsia="仿宋_GB2312"/>
                <w:b/>
                <w:color w:val="auto"/>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项</w:t>
            </w:r>
          </w:p>
        </w:tc>
        <w:tc>
          <w:tcPr>
            <w:tcW w:w="20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7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208</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机关事业单位基本养老保险费支出</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716"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210</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11</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213</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04</w:t>
            </w: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林业事业机构</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r>
              <w:rPr>
                <w:rFonts w:hint="eastAsia" w:ascii="仿宋_GB2312" w:eastAsia="仿宋_GB2312"/>
                <w:color w:val="auto"/>
                <w:sz w:val="20"/>
                <w:szCs w:val="20"/>
                <w:highlight w:val="none"/>
              </w:rPr>
              <w:t>0</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r>
              <w:rPr>
                <w:rFonts w:hint="eastAsia" w:ascii="仿宋_GB2312" w:eastAsia="仿宋_GB2312"/>
                <w:color w:val="auto"/>
                <w:sz w:val="20"/>
                <w:szCs w:val="20"/>
                <w:highlight w:val="none"/>
              </w:rPr>
              <w:t>0</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221</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20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48.43</w:t>
            </w:r>
            <w:r>
              <w:rPr>
                <w:rFonts w:hint="eastAsia" w:ascii="仿宋_GB2312" w:eastAsia="仿宋_GB2312"/>
                <w:color w:val="auto"/>
                <w:sz w:val="20"/>
                <w:szCs w:val="20"/>
                <w:highlight w:val="none"/>
              </w:rPr>
              <w:t>　</w:t>
            </w:r>
          </w:p>
        </w:tc>
        <w:tc>
          <w:tcPr>
            <w:tcW w:w="7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48.43</w:t>
            </w: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表三：</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部门支出总体情况表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229" w:type="dxa"/>
        <w:tblInd w:w="93" w:type="dxa"/>
        <w:tblLayout w:type="fixed"/>
        <w:tblCellMar>
          <w:top w:w="0" w:type="dxa"/>
          <w:left w:w="108" w:type="dxa"/>
          <w:bottom w:w="0" w:type="dxa"/>
          <w:right w:w="108" w:type="dxa"/>
        </w:tblCellMar>
      </w:tblPr>
      <w:tblGrid>
        <w:gridCol w:w="516"/>
        <w:gridCol w:w="416"/>
        <w:gridCol w:w="416"/>
        <w:gridCol w:w="2550"/>
        <w:gridCol w:w="1824"/>
        <w:gridCol w:w="1825"/>
        <w:gridCol w:w="1682"/>
      </w:tblGrid>
      <w:tr>
        <w:tblPrEx>
          <w:tblLayout w:type="fixed"/>
          <w:tblCellMar>
            <w:top w:w="0" w:type="dxa"/>
            <w:left w:w="108" w:type="dxa"/>
            <w:bottom w:w="0" w:type="dxa"/>
            <w:right w:w="108" w:type="dxa"/>
          </w:tblCellMar>
        </w:tblPrEx>
        <w:trPr>
          <w:trHeight w:val="345" w:hRule="atLeast"/>
        </w:trPr>
        <w:tc>
          <w:tcPr>
            <w:tcW w:w="389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w:t>
            </w:r>
          </w:p>
        </w:tc>
        <w:tc>
          <w:tcPr>
            <w:tcW w:w="5331"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支出预算</w:t>
            </w:r>
          </w:p>
        </w:tc>
      </w:tr>
      <w:tr>
        <w:tblPrEx>
          <w:tblLayout w:type="fixed"/>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功能分类科目编码</w:t>
            </w:r>
          </w:p>
        </w:tc>
        <w:tc>
          <w:tcPr>
            <w:tcW w:w="255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功能分类科目名称</w:t>
            </w:r>
          </w:p>
        </w:tc>
        <w:tc>
          <w:tcPr>
            <w:tcW w:w="182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合计</w:t>
            </w:r>
          </w:p>
        </w:tc>
        <w:tc>
          <w:tcPr>
            <w:tcW w:w="182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基本支出</w:t>
            </w:r>
          </w:p>
        </w:tc>
        <w:tc>
          <w:tcPr>
            <w:tcW w:w="168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类</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款</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项</w:t>
            </w:r>
          </w:p>
        </w:tc>
        <w:tc>
          <w:tcPr>
            <w:tcW w:w="25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68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olor w:val="auto"/>
                <w:sz w:val="20"/>
                <w:szCs w:val="20"/>
                <w:highlight w:val="none"/>
              </w:rPr>
            </w:pPr>
            <w:r>
              <w:rPr>
                <w:rFonts w:ascii="仿宋_GB2312" w:eastAsia="仿宋_GB2312"/>
                <w:color w:val="auto"/>
                <w:sz w:val="20"/>
                <w:szCs w:val="20"/>
                <w:highlight w:val="none"/>
              </w:rPr>
              <w:t>208</w:t>
            </w:r>
          </w:p>
        </w:tc>
        <w:tc>
          <w:tcPr>
            <w:tcW w:w="416" w:type="dxa"/>
            <w:tcBorders>
              <w:top w:val="nil"/>
              <w:left w:val="nil"/>
              <w:bottom w:val="single" w:color="auto" w:sz="4" w:space="0"/>
              <w:right w:val="single" w:color="auto" w:sz="4" w:space="0"/>
            </w:tcBorders>
            <w:vAlign w:val="center"/>
          </w:tcPr>
          <w:p>
            <w:pPr>
              <w:widowControl/>
              <w:jc w:val="center"/>
              <w:rPr>
                <w:rFonts w:ascii="仿宋_GB2312" w:eastAsia="仿宋_GB2312"/>
                <w:color w:val="auto"/>
                <w:sz w:val="20"/>
                <w:szCs w:val="20"/>
                <w:highlight w:val="none"/>
              </w:rPr>
            </w:pPr>
            <w:r>
              <w:rPr>
                <w:rFonts w:ascii="仿宋_GB2312" w:eastAsia="仿宋_GB2312"/>
                <w:color w:val="auto"/>
                <w:sz w:val="20"/>
                <w:szCs w:val="20"/>
                <w:highlight w:val="none"/>
              </w:rPr>
              <w:t>05</w:t>
            </w:r>
          </w:p>
        </w:tc>
        <w:tc>
          <w:tcPr>
            <w:tcW w:w="416" w:type="dxa"/>
            <w:tcBorders>
              <w:top w:val="nil"/>
              <w:left w:val="nil"/>
              <w:bottom w:val="single" w:color="auto" w:sz="4" w:space="0"/>
              <w:right w:val="single" w:color="auto" w:sz="4" w:space="0"/>
            </w:tcBorders>
            <w:vAlign w:val="center"/>
          </w:tcPr>
          <w:p>
            <w:pPr>
              <w:widowControl/>
              <w:jc w:val="center"/>
              <w:rPr>
                <w:rFonts w:ascii="仿宋_GB2312" w:eastAsia="仿宋_GB2312"/>
                <w:color w:val="auto"/>
                <w:sz w:val="20"/>
                <w:szCs w:val="20"/>
                <w:highlight w:val="none"/>
              </w:rPr>
            </w:pPr>
            <w:r>
              <w:rPr>
                <w:rFonts w:ascii="仿宋_GB2312" w:eastAsia="仿宋_GB2312"/>
                <w:color w:val="auto"/>
                <w:sz w:val="20"/>
                <w:szCs w:val="20"/>
                <w:highlight w:val="none"/>
              </w:rPr>
              <w:t>05</w:t>
            </w:r>
          </w:p>
        </w:tc>
        <w:tc>
          <w:tcPr>
            <w:tcW w:w="25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机关事业单位基本养老保险费支出</w:t>
            </w:r>
          </w:p>
        </w:tc>
        <w:tc>
          <w:tcPr>
            <w:tcW w:w="182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1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210</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11</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25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事业单位医疗</w:t>
            </w:r>
          </w:p>
        </w:tc>
        <w:tc>
          <w:tcPr>
            <w:tcW w:w="182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1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213</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04</w:t>
            </w:r>
            <w:r>
              <w:rPr>
                <w:rFonts w:hint="eastAsia" w:ascii="仿宋_GB2312" w:eastAsia="仿宋_GB2312"/>
                <w:color w:val="auto"/>
                <w:sz w:val="20"/>
                <w:szCs w:val="20"/>
                <w:highlight w:val="none"/>
              </w:rPr>
              <w:t>　</w:t>
            </w:r>
          </w:p>
        </w:tc>
        <w:tc>
          <w:tcPr>
            <w:tcW w:w="25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林业事业机构</w:t>
            </w:r>
          </w:p>
        </w:tc>
        <w:tc>
          <w:tcPr>
            <w:tcW w:w="182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p>
        </w:tc>
        <w:tc>
          <w:tcPr>
            <w:tcW w:w="1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221</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5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住房公积金</w:t>
            </w:r>
          </w:p>
        </w:tc>
        <w:tc>
          <w:tcPr>
            <w:tcW w:w="182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18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1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4"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2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682"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416" w:type="dxa"/>
            <w:tcBorders>
              <w:top w:val="nil"/>
              <w:left w:val="nil"/>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416"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2550" w:type="dxa"/>
            <w:tcBorders>
              <w:top w:val="nil"/>
              <w:left w:val="nil"/>
              <w:bottom w:val="single" w:color="auto" w:sz="4" w:space="0"/>
              <w:right w:val="single" w:color="auto" w:sz="4" w:space="0"/>
            </w:tcBorders>
            <w:vAlign w:val="center"/>
          </w:tcPr>
          <w:p>
            <w:pPr>
              <w:widowControl/>
              <w:jc w:val="center"/>
              <w:rPr>
                <w:rFonts w:ascii="宋体" w:cs="宋体"/>
                <w:color w:val="auto"/>
                <w:kern w:val="0"/>
                <w:sz w:val="22"/>
                <w:szCs w:val="22"/>
                <w:highlight w:val="none"/>
              </w:rPr>
            </w:pPr>
            <w:r>
              <w:rPr>
                <w:rFonts w:hint="eastAsia" w:ascii="宋体" w:hAnsi="宋体" w:cs="宋体"/>
                <w:color w:val="auto"/>
                <w:kern w:val="0"/>
                <w:sz w:val="22"/>
                <w:szCs w:val="22"/>
                <w:highlight w:val="none"/>
              </w:rPr>
              <w:t>合计</w:t>
            </w:r>
          </w:p>
        </w:tc>
        <w:tc>
          <w:tcPr>
            <w:tcW w:w="1824"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r>
              <w:rPr>
                <w:rFonts w:ascii="仿宋" w:hAnsi="仿宋" w:eastAsia="仿宋" w:cs="宋体"/>
                <w:color w:val="auto"/>
                <w:kern w:val="0"/>
                <w:szCs w:val="21"/>
                <w:highlight w:val="none"/>
              </w:rPr>
              <w:t>48.43</w:t>
            </w:r>
          </w:p>
        </w:tc>
        <w:tc>
          <w:tcPr>
            <w:tcW w:w="1825"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r>
              <w:rPr>
                <w:rFonts w:ascii="仿宋" w:hAnsi="仿宋" w:eastAsia="仿宋" w:cs="宋体"/>
                <w:color w:val="auto"/>
                <w:kern w:val="0"/>
                <w:szCs w:val="21"/>
                <w:highlight w:val="none"/>
              </w:rPr>
              <w:t>48.43</w:t>
            </w:r>
          </w:p>
        </w:tc>
        <w:tc>
          <w:tcPr>
            <w:tcW w:w="168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spacing w:beforeLines="50"/>
        <w:outlineLvl w:val="1"/>
        <w:rPr>
          <w:rFonts w:ascii="仿宋_GB2312" w:hAnsi="宋体" w:eastAsia="仿宋_GB2312"/>
          <w:b/>
          <w:color w:val="auto"/>
          <w:kern w:val="0"/>
          <w:sz w:val="32"/>
          <w:szCs w:val="32"/>
          <w:highlight w:val="none"/>
        </w:rPr>
      </w:pPr>
    </w:p>
    <w:p>
      <w:pPr>
        <w:widowControl/>
        <w:spacing w:beforeLines="50"/>
        <w:outlineLvl w:val="1"/>
        <w:rPr>
          <w:rFonts w:ascii="仿宋_GB2312" w:hAnsi="宋体" w:eastAsia="仿宋_GB2312"/>
          <w:b/>
          <w:color w:val="auto"/>
          <w:kern w:val="0"/>
          <w:sz w:val="32"/>
          <w:szCs w:val="32"/>
          <w:highlight w:val="none"/>
        </w:rPr>
      </w:pP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表四：</w:t>
      </w:r>
    </w:p>
    <w:p>
      <w:pPr>
        <w:widowControl/>
        <w:spacing w:beforeLines="50"/>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财政拨款收支预算总体情况表</w:t>
      </w:r>
    </w:p>
    <w:p>
      <w:pPr>
        <w:widowControl/>
        <w:spacing w:beforeLines="50"/>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能</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分</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48.43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48.43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5.78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5.78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3.78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3.78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34.8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34.8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_GB2312" w:hAnsi="仿宋" w:eastAsia="仿宋_GB2312" w:cs="宋体"/>
                <w:color w:val="auto"/>
                <w:kern w:val="0"/>
                <w:sz w:val="18"/>
                <w:szCs w:val="18"/>
                <w:highlight w:val="none"/>
              </w:rPr>
            </w:pPr>
            <w:r>
              <w:rPr>
                <w:rFonts w:hint="eastAsia" w:ascii="仿宋_GB2312" w:hAnsi="仿宋"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215 </w:t>
            </w:r>
            <w:r>
              <w:rPr>
                <w:rFonts w:hint="eastAsia" w:ascii="仿宋" w:hAnsi="仿宋" w:eastAsia="仿宋" w:cs="宋体"/>
                <w:color w:val="auto"/>
                <w:kern w:val="0"/>
                <w:sz w:val="18"/>
                <w:szCs w:val="18"/>
                <w:highlight w:val="none"/>
              </w:rPr>
              <w:t>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216 </w:t>
            </w:r>
            <w:r>
              <w:rPr>
                <w:rFonts w:hint="eastAsia" w:ascii="仿宋" w:hAnsi="仿宋" w:eastAsia="仿宋" w:cs="宋体"/>
                <w:color w:val="auto"/>
                <w:kern w:val="0"/>
                <w:sz w:val="18"/>
                <w:szCs w:val="18"/>
                <w:highlight w:val="none"/>
              </w:rPr>
              <w:t>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217 </w:t>
            </w:r>
            <w:r>
              <w:rPr>
                <w:rFonts w:hint="eastAsia" w:ascii="仿宋" w:hAnsi="仿宋" w:eastAsia="仿宋" w:cs="宋体"/>
                <w:color w:val="auto"/>
                <w:kern w:val="0"/>
                <w:sz w:val="18"/>
                <w:szCs w:val="18"/>
                <w:highlight w:val="none"/>
              </w:rPr>
              <w:t>金融支出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219 </w:t>
            </w:r>
            <w:r>
              <w:rPr>
                <w:rFonts w:hint="eastAsia" w:ascii="仿宋" w:hAnsi="仿宋" w:eastAsia="仿宋" w:cs="宋体"/>
                <w:color w:val="auto"/>
                <w:kern w:val="0"/>
                <w:sz w:val="18"/>
                <w:szCs w:val="18"/>
                <w:highlight w:val="none"/>
              </w:rPr>
              <w:t>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220 </w:t>
            </w:r>
            <w:r>
              <w:rPr>
                <w:rFonts w:hint="eastAsia" w:ascii="仿宋" w:hAnsi="仿宋" w:eastAsia="仿宋" w:cs="宋体"/>
                <w:color w:val="auto"/>
                <w:kern w:val="0"/>
                <w:sz w:val="18"/>
                <w:szCs w:val="18"/>
                <w:highlight w:val="none"/>
              </w:rPr>
              <w:t>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221 </w:t>
            </w:r>
            <w:r>
              <w:rPr>
                <w:rFonts w:hint="eastAsia" w:ascii="仿宋" w:hAnsi="仿宋" w:eastAsia="仿宋" w:cs="宋体"/>
                <w:color w:val="auto"/>
                <w:kern w:val="0"/>
                <w:sz w:val="18"/>
                <w:szCs w:val="18"/>
                <w:highlight w:val="none"/>
              </w:rPr>
              <w:t>住房保障支出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4.07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4.07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222 </w:t>
            </w:r>
            <w:r>
              <w:rPr>
                <w:rFonts w:hint="eastAsia" w:ascii="仿宋" w:hAnsi="仿宋" w:eastAsia="仿宋" w:cs="宋体"/>
                <w:color w:val="auto"/>
                <w:kern w:val="0"/>
                <w:sz w:val="18"/>
                <w:szCs w:val="18"/>
                <w:highlight w:val="none"/>
              </w:rPr>
              <w:t>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2</w:t>
            </w:r>
            <w:r>
              <w:rPr>
                <w:rFonts w:ascii="仿宋" w:hAnsi="仿宋" w:eastAsia="仿宋" w:cs="宋体"/>
                <w:color w:val="auto"/>
                <w:kern w:val="0"/>
                <w:sz w:val="18"/>
                <w:szCs w:val="18"/>
                <w:highlight w:val="none"/>
              </w:rPr>
              <w:t xml:space="preserve">23 </w:t>
            </w:r>
            <w:r>
              <w:rPr>
                <w:rFonts w:hint="eastAsia" w:ascii="仿宋" w:hAnsi="仿宋" w:eastAsia="仿宋" w:cs="宋体"/>
                <w:color w:val="auto"/>
                <w:kern w:val="0"/>
                <w:sz w:val="18"/>
                <w:szCs w:val="18"/>
                <w:highlight w:val="none"/>
              </w:rPr>
              <w:t>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227 </w:t>
            </w:r>
            <w:r>
              <w:rPr>
                <w:rFonts w:hint="eastAsia" w:ascii="仿宋" w:hAnsi="仿宋" w:eastAsia="仿宋" w:cs="宋体"/>
                <w:color w:val="auto"/>
                <w:kern w:val="0"/>
                <w:sz w:val="18"/>
                <w:szCs w:val="18"/>
                <w:highlight w:val="none"/>
              </w:rPr>
              <w:t>预备费</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 xml:space="preserve">229 </w:t>
            </w:r>
            <w:r>
              <w:rPr>
                <w:rFonts w:hint="eastAsia" w:ascii="仿宋" w:hAnsi="仿宋" w:eastAsia="仿宋" w:cs="宋体"/>
                <w:color w:val="auto"/>
                <w:kern w:val="0"/>
                <w:sz w:val="18"/>
                <w:szCs w:val="18"/>
                <w:highlight w:val="none"/>
              </w:rPr>
              <w:t>其他支出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2</w:t>
            </w:r>
            <w:r>
              <w:rPr>
                <w:rFonts w:ascii="仿宋" w:hAnsi="仿宋" w:eastAsia="仿宋" w:cs="宋体"/>
                <w:color w:val="auto"/>
                <w:kern w:val="0"/>
                <w:sz w:val="18"/>
                <w:szCs w:val="18"/>
                <w:highlight w:val="none"/>
              </w:rPr>
              <w:t xml:space="preserve">31 </w:t>
            </w:r>
            <w:r>
              <w:rPr>
                <w:rFonts w:hint="eastAsia" w:ascii="仿宋" w:hAnsi="仿宋" w:eastAsia="仿宋" w:cs="宋体"/>
                <w:color w:val="auto"/>
                <w:kern w:val="0"/>
                <w:sz w:val="18"/>
                <w:szCs w:val="18"/>
                <w:highlight w:val="none"/>
              </w:rPr>
              <w:t>债务还本支出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2</w:t>
            </w:r>
            <w:r>
              <w:rPr>
                <w:rFonts w:ascii="仿宋" w:hAnsi="仿宋" w:eastAsia="仿宋" w:cs="宋体"/>
                <w:color w:val="auto"/>
                <w:kern w:val="0"/>
                <w:sz w:val="18"/>
                <w:szCs w:val="18"/>
                <w:highlight w:val="none"/>
              </w:rPr>
              <w:t xml:space="preserve">32 </w:t>
            </w:r>
            <w:r>
              <w:rPr>
                <w:rFonts w:hint="eastAsia" w:ascii="仿宋" w:hAnsi="仿宋" w:eastAsia="仿宋" w:cs="宋体"/>
                <w:color w:val="auto"/>
                <w:kern w:val="0"/>
                <w:sz w:val="18"/>
                <w:szCs w:val="18"/>
                <w:highlight w:val="none"/>
              </w:rPr>
              <w:t>债务付息支出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233</w:t>
            </w:r>
            <w:r>
              <w:rPr>
                <w:rFonts w:ascii="仿宋" w:hAnsi="仿宋" w:eastAsia="仿宋" w:cs="宋体"/>
                <w:color w:val="auto"/>
                <w:kern w:val="0"/>
                <w:sz w:val="18"/>
                <w:szCs w:val="18"/>
                <w:highlight w:val="none"/>
              </w:rPr>
              <w:t xml:space="preserve"> </w:t>
            </w:r>
            <w:r>
              <w:rPr>
                <w:rFonts w:hint="eastAsia" w:ascii="仿宋" w:hAnsi="仿宋" w:eastAsia="仿宋" w:cs="宋体"/>
                <w:color w:val="auto"/>
                <w:kern w:val="0"/>
                <w:sz w:val="18"/>
                <w:szCs w:val="18"/>
                <w:highlight w:val="none"/>
              </w:rPr>
              <w:t>债务发行费支出</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r>
              <w:rPr>
                <w:rFonts w:ascii="仿宋" w:hAnsi="仿宋" w:eastAsia="仿宋" w:cs="宋体"/>
                <w:color w:val="auto"/>
                <w:kern w:val="0"/>
                <w:sz w:val="18"/>
                <w:szCs w:val="18"/>
                <w:highlight w:val="none"/>
              </w:rPr>
              <w:t>48.43</w:t>
            </w:r>
          </w:p>
        </w:tc>
        <w:tc>
          <w:tcPr>
            <w:tcW w:w="225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小</w:t>
            </w:r>
            <w:r>
              <w:rPr>
                <w:rFonts w:ascii="仿宋" w:hAnsi="仿宋" w:eastAsia="仿宋" w:cs="宋体"/>
                <w:color w:val="auto"/>
                <w:kern w:val="0"/>
                <w:sz w:val="18"/>
                <w:szCs w:val="18"/>
                <w:highlight w:val="none"/>
              </w:rPr>
              <w:t xml:space="preserve">           </w:t>
            </w:r>
            <w:r>
              <w:rPr>
                <w:rFonts w:hint="eastAsia" w:ascii="仿宋" w:hAnsi="仿宋" w:eastAsia="仿宋" w:cs="宋体"/>
                <w:color w:val="auto"/>
                <w:kern w:val="0"/>
                <w:sz w:val="18"/>
                <w:szCs w:val="18"/>
                <w:highlight w:val="none"/>
              </w:rPr>
              <w:t>计</w:t>
            </w:r>
          </w:p>
        </w:tc>
        <w:tc>
          <w:tcPr>
            <w:tcW w:w="1294"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48.43</w:t>
            </w:r>
            <w:r>
              <w:rPr>
                <w:rFonts w:hint="eastAsia" w:ascii="仿宋" w:hAnsi="仿宋" w:eastAsia="仿宋"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48.43</w:t>
            </w:r>
            <w:r>
              <w:rPr>
                <w:rFonts w:hint="eastAsia" w:ascii="仿宋" w:hAnsi="仿宋" w:eastAsia="仿宋"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auto"/>
                <w:kern w:val="0"/>
                <w:sz w:val="18"/>
                <w:szCs w:val="18"/>
                <w:highlight w:val="none"/>
              </w:rPr>
            </w:pPr>
            <w:r>
              <w:rPr>
                <w:rFonts w:hint="eastAsia" w:ascii="仿宋" w:hAnsi="仿宋" w:eastAsia="仿宋"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ind w:right="360"/>
              <w:jc w:val="right"/>
              <w:rPr>
                <w:rFonts w:ascii="仿宋" w:hAnsi="仿宋" w:eastAsia="仿宋" w:cs="宋体"/>
                <w:color w:val="auto"/>
                <w:kern w:val="0"/>
                <w:sz w:val="18"/>
                <w:szCs w:val="18"/>
                <w:highlight w:val="none"/>
              </w:rPr>
            </w:pPr>
            <w:r>
              <w:rPr>
                <w:rFonts w:ascii="仿宋" w:hAnsi="仿宋" w:eastAsia="仿宋" w:cs="宋体"/>
                <w:color w:val="auto"/>
                <w:kern w:val="0"/>
                <w:sz w:val="18"/>
                <w:szCs w:val="18"/>
                <w:highlight w:val="none"/>
              </w:rPr>
              <w:t>48.43</w:t>
            </w:r>
            <w:r>
              <w:rPr>
                <w:rFonts w:hint="eastAsia" w:ascii="仿宋" w:hAnsi="仿宋" w:eastAsia="仿宋"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94"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48.43　</w:t>
            </w:r>
          </w:p>
        </w:tc>
        <w:tc>
          <w:tcPr>
            <w:tcW w:w="1418"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48.43　</w:t>
            </w:r>
          </w:p>
        </w:tc>
        <w:tc>
          <w:tcPr>
            <w:tcW w:w="1417"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表五：</w:t>
      </w:r>
    </w:p>
    <w:tbl>
      <w:tblPr>
        <w:tblStyle w:val="7"/>
        <w:tblW w:w="9141" w:type="dxa"/>
        <w:tblInd w:w="93" w:type="dxa"/>
        <w:tblLayout w:type="fixed"/>
        <w:tblCellMar>
          <w:top w:w="0" w:type="dxa"/>
          <w:left w:w="108" w:type="dxa"/>
          <w:bottom w:w="0" w:type="dxa"/>
          <w:right w:w="108" w:type="dxa"/>
        </w:tblCellMar>
      </w:tblPr>
      <w:tblGrid>
        <w:gridCol w:w="516"/>
        <w:gridCol w:w="491"/>
        <w:gridCol w:w="417"/>
        <w:gridCol w:w="2490"/>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141" w:type="dxa"/>
            <w:gridSpan w:val="8"/>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一般公共预算支出情况表</w:t>
            </w:r>
          </w:p>
          <w:p>
            <w:pPr>
              <w:widowControl/>
              <w:jc w:val="center"/>
              <w:rPr>
                <w:rFonts w:ascii="仿宋_GB2312" w:hAnsi="宋体" w:eastAsia="仿宋_GB2312" w:cs="宋体"/>
                <w:b/>
                <w:bCs/>
                <w:color w:val="auto"/>
                <w:kern w:val="0"/>
                <w:sz w:val="32"/>
                <w:szCs w:val="32"/>
                <w:highlight w:val="none"/>
              </w:rPr>
            </w:pPr>
          </w:p>
        </w:tc>
      </w:tr>
      <w:tr>
        <w:tblPrEx>
          <w:tblLayout w:type="fixed"/>
          <w:tblCellMar>
            <w:top w:w="0" w:type="dxa"/>
            <w:left w:w="108" w:type="dxa"/>
            <w:bottom w:w="0" w:type="dxa"/>
            <w:right w:w="108" w:type="dxa"/>
          </w:tblCellMar>
        </w:tblPrEx>
        <w:trPr>
          <w:trHeight w:val="285" w:hRule="atLeast"/>
        </w:trPr>
        <w:tc>
          <w:tcPr>
            <w:tcW w:w="5814" w:type="dxa"/>
            <w:gridSpan w:val="6"/>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阜康市梧桐沟国家沙公园管理中心</w:t>
            </w:r>
            <w:r>
              <w:rPr>
                <w:rFonts w:ascii="仿宋_GB2312" w:hAnsi="宋体" w:eastAsia="仿宋_GB2312" w:cs="宋体"/>
                <w:color w:val="auto"/>
                <w:kern w:val="0"/>
                <w:sz w:val="24"/>
                <w:highlight w:val="none"/>
              </w:rPr>
              <w:t xml:space="preserve">              </w:t>
            </w:r>
          </w:p>
        </w:tc>
        <w:tc>
          <w:tcPr>
            <w:tcW w:w="3327" w:type="dxa"/>
            <w:gridSpan w:val="2"/>
            <w:tcBorders>
              <w:top w:val="nil"/>
              <w:left w:val="nil"/>
              <w:bottom w:val="nil"/>
              <w:right w:val="nil"/>
            </w:tcBorders>
            <w:vAlign w:val="center"/>
          </w:tcPr>
          <w:p>
            <w:pPr>
              <w:widowControl/>
              <w:ind w:firstLine="1200" w:firstLineChars="500"/>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3914"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p>
        </w:tc>
        <w:tc>
          <w:tcPr>
            <w:tcW w:w="522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42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功能分类科目编码</w:t>
            </w:r>
          </w:p>
        </w:tc>
        <w:tc>
          <w:tcPr>
            <w:tcW w:w="249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4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w:t>
            </w:r>
          </w:p>
        </w:tc>
        <w:tc>
          <w:tcPr>
            <w:tcW w:w="249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cs="宋体"/>
                <w:bCs/>
                <w:color w:val="auto"/>
                <w:kern w:val="0"/>
                <w:sz w:val="16"/>
                <w:szCs w:val="16"/>
                <w:highlight w:val="none"/>
              </w:rPr>
            </w:pPr>
            <w:r>
              <w:rPr>
                <w:rFonts w:ascii="宋体" w:hAnsi="宋体" w:cs="宋体"/>
                <w:bCs/>
                <w:color w:val="auto"/>
                <w:kern w:val="0"/>
                <w:sz w:val="16"/>
                <w:szCs w:val="16"/>
                <w:highlight w:val="none"/>
              </w:rPr>
              <w:t>208</w:t>
            </w:r>
          </w:p>
        </w:tc>
        <w:tc>
          <w:tcPr>
            <w:tcW w:w="491" w:type="dxa"/>
            <w:tcBorders>
              <w:top w:val="nil"/>
              <w:left w:val="nil"/>
              <w:bottom w:val="single" w:color="auto" w:sz="4" w:space="0"/>
              <w:right w:val="single" w:color="auto" w:sz="4" w:space="0"/>
            </w:tcBorders>
            <w:vAlign w:val="center"/>
          </w:tcPr>
          <w:p>
            <w:pPr>
              <w:widowControl/>
              <w:jc w:val="center"/>
              <w:rPr>
                <w:rFonts w:ascii="宋体" w:cs="宋体"/>
                <w:bCs/>
                <w:color w:val="auto"/>
                <w:kern w:val="0"/>
                <w:sz w:val="16"/>
                <w:szCs w:val="16"/>
                <w:highlight w:val="none"/>
              </w:rPr>
            </w:pPr>
            <w:r>
              <w:rPr>
                <w:rFonts w:ascii="宋体" w:hAnsi="宋体" w:cs="宋体"/>
                <w:bCs/>
                <w:color w:val="auto"/>
                <w:kern w:val="0"/>
                <w:sz w:val="16"/>
                <w:szCs w:val="16"/>
                <w:highlight w:val="none"/>
              </w:rPr>
              <w:t>05</w:t>
            </w:r>
          </w:p>
        </w:tc>
        <w:tc>
          <w:tcPr>
            <w:tcW w:w="417" w:type="dxa"/>
            <w:tcBorders>
              <w:top w:val="nil"/>
              <w:left w:val="nil"/>
              <w:bottom w:val="single" w:color="auto" w:sz="4" w:space="0"/>
              <w:right w:val="single" w:color="auto" w:sz="4" w:space="0"/>
            </w:tcBorders>
            <w:vAlign w:val="center"/>
          </w:tcPr>
          <w:p>
            <w:pPr>
              <w:widowControl/>
              <w:jc w:val="center"/>
              <w:rPr>
                <w:rFonts w:ascii="宋体" w:cs="宋体"/>
                <w:bCs/>
                <w:color w:val="auto"/>
                <w:kern w:val="0"/>
                <w:sz w:val="16"/>
                <w:szCs w:val="16"/>
                <w:highlight w:val="none"/>
              </w:rPr>
            </w:pPr>
            <w:r>
              <w:rPr>
                <w:rFonts w:ascii="宋体" w:hAnsi="宋体" w:cs="宋体"/>
                <w:bCs/>
                <w:color w:val="auto"/>
                <w:kern w:val="0"/>
                <w:sz w:val="16"/>
                <w:szCs w:val="16"/>
                <w:highlight w:val="none"/>
              </w:rPr>
              <w:t>05</w:t>
            </w:r>
          </w:p>
        </w:tc>
        <w:tc>
          <w:tcPr>
            <w:tcW w:w="2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机关事业单位基本养老保险费支出</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5.78</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210</w:t>
            </w:r>
            <w:r>
              <w:rPr>
                <w:rFonts w:hint="eastAsia" w:ascii="仿宋_GB2312" w:eastAsia="仿宋_GB2312"/>
                <w:color w:val="auto"/>
                <w:sz w:val="20"/>
                <w:szCs w:val="20"/>
                <w:highlight w:val="none"/>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11</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2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事业单位医疗</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3.78</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213</w:t>
            </w:r>
            <w:r>
              <w:rPr>
                <w:rFonts w:hint="eastAsia" w:ascii="仿宋_GB2312" w:eastAsia="仿宋_GB2312"/>
                <w:color w:val="auto"/>
                <w:sz w:val="20"/>
                <w:szCs w:val="20"/>
                <w:highlight w:val="none"/>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04</w:t>
            </w:r>
            <w:r>
              <w:rPr>
                <w:rFonts w:hint="eastAsia" w:ascii="仿宋_GB2312" w:eastAsia="仿宋_GB2312"/>
                <w:color w:val="auto"/>
                <w:sz w:val="20"/>
                <w:szCs w:val="20"/>
                <w:highlight w:val="none"/>
              </w:rPr>
              <w:t>　</w:t>
            </w:r>
          </w:p>
        </w:tc>
        <w:tc>
          <w:tcPr>
            <w:tcW w:w="2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林业事业机构</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34.8</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221</w:t>
            </w:r>
            <w:r>
              <w:rPr>
                <w:rFonts w:hint="eastAsia" w:ascii="仿宋_GB2312" w:eastAsia="仿宋_GB2312"/>
                <w:color w:val="auto"/>
                <w:sz w:val="20"/>
                <w:szCs w:val="20"/>
                <w:highlight w:val="none"/>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w:t>
            </w:r>
            <w:r>
              <w:rPr>
                <w:rFonts w:hint="eastAsia" w:ascii="仿宋_GB2312" w:eastAsia="仿宋_GB2312"/>
                <w:color w:val="auto"/>
                <w:sz w:val="20"/>
                <w:szCs w:val="20"/>
                <w:highlight w:val="none"/>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住房公积金</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4.0</w:t>
            </w:r>
            <w:r>
              <w:rPr>
                <w:rFonts w:hint="eastAsia" w:ascii="仿宋_GB2312" w:eastAsia="仿宋_GB2312"/>
                <w:color w:val="auto"/>
                <w:sz w:val="20"/>
                <w:szCs w:val="20"/>
                <w:highlight w:val="none"/>
              </w:rPr>
              <w:t>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9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490"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color w:val="auto"/>
                <w:kern w:val="0"/>
                <w:sz w:val="20"/>
                <w:szCs w:val="20"/>
                <w:highlight w:val="none"/>
              </w:rPr>
              <w:t>合计</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hAnsi="宋体" w:cs="宋体"/>
                <w:color w:val="auto"/>
                <w:kern w:val="0"/>
                <w:sz w:val="20"/>
                <w:szCs w:val="20"/>
                <w:highlight w:val="none"/>
              </w:rPr>
              <w:t>48.43</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hAnsi="宋体" w:cs="宋体"/>
                <w:color w:val="auto"/>
                <w:kern w:val="0"/>
                <w:sz w:val="20"/>
                <w:szCs w:val="20"/>
                <w:highlight w:val="none"/>
              </w:rPr>
              <w:t>48.43</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表六：</w:t>
      </w:r>
    </w:p>
    <w:tbl>
      <w:tblPr>
        <w:tblStyle w:val="7"/>
        <w:tblW w:w="9087" w:type="dxa"/>
        <w:tblInd w:w="93" w:type="dxa"/>
        <w:tblLayout w:type="fixed"/>
        <w:tblCellMar>
          <w:top w:w="0" w:type="dxa"/>
          <w:left w:w="108" w:type="dxa"/>
          <w:bottom w:w="0" w:type="dxa"/>
          <w:right w:w="108" w:type="dxa"/>
        </w:tblCellMar>
      </w:tblPr>
      <w:tblGrid>
        <w:gridCol w:w="516"/>
        <w:gridCol w:w="759"/>
        <w:gridCol w:w="2709"/>
        <w:gridCol w:w="1701"/>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6661" w:type="dxa"/>
            <w:gridSpan w:val="5"/>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阜康市梧桐沟国家沙漠园管理中心</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项目</w:t>
            </w:r>
          </w:p>
        </w:tc>
        <w:tc>
          <w:tcPr>
            <w:tcW w:w="510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275"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经济分类科目编码</w:t>
            </w:r>
          </w:p>
        </w:tc>
        <w:tc>
          <w:tcPr>
            <w:tcW w:w="270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75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270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01</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基本工资</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27.65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27.65</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02</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津贴补贴</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0.36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0.36</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03</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奖金</w:t>
            </w:r>
          </w:p>
        </w:tc>
        <w:tc>
          <w:tcPr>
            <w:tcW w:w="1701" w:type="dxa"/>
            <w:tcBorders>
              <w:top w:val="nil"/>
              <w:left w:val="nil"/>
              <w:bottom w:val="single" w:color="auto" w:sz="4" w:space="0"/>
              <w:right w:val="single" w:color="auto" w:sz="4" w:space="0"/>
            </w:tcBorders>
            <w:vAlign w:val="center"/>
          </w:tcPr>
          <w:p>
            <w:pPr>
              <w:widowControl/>
              <w:ind w:right="147" w:rightChars="70"/>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1.39</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1.39</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08</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机关事业单位基本养老保险缴费</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5.78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5.78</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10</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职工基本医疗保险缴费</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2.62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2.62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301</w:t>
            </w:r>
            <w:r>
              <w:rPr>
                <w:rFonts w:hint="eastAsia" w:ascii="仿宋_GB2312" w:hAnsi="宋体" w:eastAsia="仿宋_GB2312"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11</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公务员医疗补助缴费</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1.15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1.15</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12</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其他社会保障缴费</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0.35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0.35</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301</w:t>
            </w:r>
            <w:r>
              <w:rPr>
                <w:rFonts w:hint="eastAsia" w:ascii="仿宋_GB2312" w:hAnsi="宋体" w:eastAsia="仿宋_GB2312"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13</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住房公积金</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4.07</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4.07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r>
              <w:rPr>
                <w:rFonts w:ascii="仿宋_GB2312" w:hAnsi="宋体" w:eastAsia="仿宋_GB2312" w:cs="宋体"/>
                <w:color w:val="auto"/>
                <w:kern w:val="0"/>
                <w:sz w:val="20"/>
                <w:szCs w:val="20"/>
                <w:highlight w:val="none"/>
              </w:rPr>
              <w:t>301</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99</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其他工资福利支出</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5.04</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5.04</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r>
              <w:rPr>
                <w:rFonts w:ascii="仿宋_GB2312" w:hAnsi="宋体" w:eastAsia="仿宋_GB2312" w:cs="宋体"/>
                <w:color w:val="auto"/>
                <w:kern w:val="0"/>
                <w:sz w:val="20"/>
                <w:szCs w:val="20"/>
                <w:highlight w:val="none"/>
              </w:rPr>
              <w:t>303</w:t>
            </w:r>
          </w:p>
        </w:tc>
        <w:tc>
          <w:tcPr>
            <w:tcW w:w="759" w:type="dxa"/>
            <w:tcBorders>
              <w:top w:val="nil"/>
              <w:left w:val="nil"/>
              <w:bottom w:val="single" w:color="auto" w:sz="4" w:space="0"/>
              <w:right w:val="single" w:color="auto" w:sz="4" w:space="0"/>
            </w:tcBorders>
            <w:vAlign w:val="center"/>
          </w:tcPr>
          <w:p>
            <w:pPr>
              <w:widowControl/>
              <w:ind w:right="300"/>
              <w:jc w:val="right"/>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99</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其他对个人和家庭的补助支出</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0.02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0.02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auto"/>
                <w:kern w:val="0"/>
                <w:sz w:val="20"/>
                <w:szCs w:val="20"/>
                <w:highlight w:val="none"/>
              </w:rPr>
            </w:pPr>
            <w:r>
              <w:rPr>
                <w:rFonts w:hint="eastAsia" w:ascii="仿宋" w:hAnsi="仿宋" w:eastAsia="仿宋"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759"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709"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b/>
                <w:bCs/>
                <w:color w:val="auto"/>
                <w:kern w:val="0"/>
                <w:sz w:val="20"/>
                <w:szCs w:val="20"/>
                <w:highlight w:val="none"/>
              </w:rPr>
              <w:t>合计</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r>
              <w:rPr>
                <w:rFonts w:ascii="宋体" w:hAnsi="宋体" w:cs="宋体"/>
                <w:color w:val="auto"/>
                <w:kern w:val="0"/>
                <w:sz w:val="20"/>
                <w:szCs w:val="20"/>
                <w:highlight w:val="none"/>
              </w:rPr>
              <w:t>48.43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r>
              <w:rPr>
                <w:rFonts w:ascii="宋体" w:hAnsi="宋体" w:cs="宋体"/>
                <w:color w:val="auto"/>
                <w:kern w:val="0"/>
                <w:sz w:val="20"/>
                <w:szCs w:val="20"/>
                <w:highlight w:val="none"/>
              </w:rPr>
              <w:t>48.43</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阜康市梧桐沟国家沙漠公园管理中心</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 xml:space="preserve">      </w:t>
            </w:r>
          </w:p>
        </w:tc>
        <w:tc>
          <w:tcPr>
            <w:tcW w:w="2426" w:type="dxa"/>
            <w:gridSpan w:val="6"/>
            <w:tcBorders>
              <w:top w:val="nil"/>
              <w:left w:val="nil"/>
              <w:bottom w:val="nil"/>
              <w:right w:val="nil"/>
            </w:tcBorders>
            <w:vAlign w:val="center"/>
          </w:tcPr>
          <w:p>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目</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编</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码</w:t>
            </w:r>
          </w:p>
        </w:tc>
        <w:tc>
          <w:tcPr>
            <w:tcW w:w="851"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科目</w:t>
            </w:r>
          </w:p>
        </w:tc>
        <w:tc>
          <w:tcPr>
            <w:tcW w:w="1456" w:type="dxa"/>
            <w:vMerge w:val="restart"/>
            <w:vAlign w:val="center"/>
          </w:tcPr>
          <w:p>
            <w:pPr>
              <w:jc w:val="center"/>
              <w:rPr>
                <w:rFonts w:ascii="Calibri" w:hAnsi="Calibri"/>
                <w:color w:val="auto"/>
                <w:sz w:val="24"/>
                <w:highlight w:val="none"/>
              </w:rPr>
            </w:pPr>
            <w:r>
              <w:rPr>
                <w:rFonts w:hint="eastAsia" w:ascii="仿宋_GB2312" w:hAnsi="宋体" w:eastAsia="仿宋_GB2312"/>
                <w:b/>
                <w:color w:val="auto"/>
                <w:kern w:val="0"/>
                <w:sz w:val="24"/>
                <w:highlight w:val="none"/>
              </w:rPr>
              <w:t>项目名称</w:t>
            </w:r>
          </w:p>
        </w:tc>
        <w:tc>
          <w:tcPr>
            <w:tcW w:w="75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类</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款</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w:t>
            </w:r>
          </w:p>
        </w:tc>
        <w:tc>
          <w:tcPr>
            <w:tcW w:w="851" w:type="dxa"/>
            <w:vMerge w:val="continue"/>
            <w:vAlign w:val="center"/>
          </w:tcPr>
          <w:p>
            <w:pPr>
              <w:widowControl/>
              <w:jc w:val="left"/>
              <w:outlineLvl w:val="1"/>
              <w:rPr>
                <w:rFonts w:ascii="仿宋_GB2312" w:hAnsi="宋体" w:eastAsia="仿宋_GB2312"/>
                <w:b/>
                <w:color w:val="auto"/>
                <w:kern w:val="0"/>
                <w:sz w:val="18"/>
                <w:szCs w:val="18"/>
                <w:highlight w:val="none"/>
              </w:rPr>
            </w:pPr>
          </w:p>
        </w:tc>
        <w:tc>
          <w:tcPr>
            <w:tcW w:w="1456" w:type="dxa"/>
            <w:vMerge w:val="continue"/>
          </w:tcPr>
          <w:p>
            <w:pPr>
              <w:widowControl/>
              <w:jc w:val="left"/>
              <w:outlineLvl w:val="1"/>
              <w:rPr>
                <w:rFonts w:ascii="仿宋_GB2312" w:hAnsi="宋体" w:eastAsia="仿宋_GB2312"/>
                <w:b/>
                <w:color w:val="auto"/>
                <w:kern w:val="0"/>
                <w:sz w:val="18"/>
                <w:szCs w:val="18"/>
                <w:highlight w:val="none"/>
              </w:rPr>
            </w:pPr>
          </w:p>
        </w:tc>
        <w:tc>
          <w:tcPr>
            <w:tcW w:w="750" w:type="dxa"/>
            <w:vMerge w:val="continue"/>
          </w:tcPr>
          <w:p>
            <w:pPr>
              <w:widowControl/>
              <w:jc w:val="left"/>
              <w:outlineLvl w:val="1"/>
              <w:rPr>
                <w:rFonts w:ascii="仿宋_GB2312" w:hAnsi="宋体" w:eastAsia="仿宋_GB2312"/>
                <w:b/>
                <w:color w:val="auto"/>
                <w:kern w:val="0"/>
                <w:sz w:val="18"/>
                <w:szCs w:val="18"/>
                <w:highlight w:val="none"/>
              </w:rPr>
            </w:pPr>
          </w:p>
        </w:tc>
        <w:tc>
          <w:tcPr>
            <w:tcW w:w="569" w:type="dxa"/>
            <w:gridSpan w:val="2"/>
            <w:vMerge w:val="continue"/>
          </w:tcPr>
          <w:p>
            <w:pPr>
              <w:widowControl/>
              <w:jc w:val="left"/>
              <w:outlineLvl w:val="1"/>
              <w:rPr>
                <w:rFonts w:ascii="仿宋_GB2312" w:hAnsi="宋体" w:eastAsia="仿宋_GB2312"/>
                <w:b/>
                <w:color w:val="auto"/>
                <w:kern w:val="0"/>
                <w:sz w:val="18"/>
                <w:szCs w:val="18"/>
                <w:highlight w:val="none"/>
              </w:rPr>
            </w:pPr>
          </w:p>
        </w:tc>
        <w:tc>
          <w:tcPr>
            <w:tcW w:w="536"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gridSpan w:val="2"/>
            <w:vMerge w:val="continue"/>
          </w:tcPr>
          <w:p>
            <w:pPr>
              <w:widowControl/>
              <w:jc w:val="left"/>
              <w:outlineLvl w:val="1"/>
              <w:rPr>
                <w:rFonts w:ascii="仿宋_GB2312" w:hAnsi="宋体" w:eastAsia="仿宋_GB2312"/>
                <w:b/>
                <w:color w:val="auto"/>
                <w:kern w:val="0"/>
                <w:sz w:val="18"/>
                <w:szCs w:val="18"/>
                <w:highlight w:val="none"/>
              </w:rPr>
            </w:pPr>
          </w:p>
        </w:tc>
        <w:tc>
          <w:tcPr>
            <w:tcW w:w="419"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397" w:type="dxa"/>
            <w:gridSpan w:val="2"/>
            <w:vMerge w:val="continue"/>
          </w:tcPr>
          <w:p>
            <w:pPr>
              <w:widowControl/>
              <w:jc w:val="left"/>
              <w:outlineLvl w:val="1"/>
              <w:rPr>
                <w:rFonts w:ascii="仿宋_GB2312" w:hAnsi="宋体" w:eastAsia="仿宋_GB2312"/>
                <w:b/>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851"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145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75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color w:val="auto"/>
                <w:kern w:val="0"/>
                <w:sz w:val="18"/>
                <w:szCs w:val="18"/>
                <w:highlight w:val="none"/>
              </w:rPr>
            </w:pPr>
          </w:p>
        </w:tc>
        <w:tc>
          <w:tcPr>
            <w:tcW w:w="397" w:type="dxa"/>
          </w:tcPr>
          <w:p>
            <w:pPr>
              <w:widowControl/>
              <w:jc w:val="center"/>
              <w:outlineLvl w:val="1"/>
              <w:rPr>
                <w:rFonts w:ascii="仿宋_GB2312" w:hAnsi="宋体" w:eastAsia="仿宋_GB2312"/>
                <w:color w:val="auto"/>
                <w:kern w:val="0"/>
                <w:sz w:val="18"/>
                <w:szCs w:val="18"/>
                <w:highlight w:val="none"/>
              </w:rPr>
            </w:pPr>
          </w:p>
        </w:tc>
        <w:tc>
          <w:tcPr>
            <w:tcW w:w="397" w:type="dxa"/>
          </w:tcPr>
          <w:p>
            <w:pPr>
              <w:widowControl/>
              <w:jc w:val="center"/>
              <w:outlineLvl w:val="1"/>
              <w:rPr>
                <w:rFonts w:ascii="仿宋_GB2312" w:hAnsi="宋体" w:eastAsia="仿宋_GB2312"/>
                <w:color w:val="auto"/>
                <w:kern w:val="0"/>
                <w:sz w:val="18"/>
                <w:szCs w:val="18"/>
                <w:highlight w:val="none"/>
              </w:rPr>
            </w:pPr>
          </w:p>
        </w:tc>
        <w:tc>
          <w:tcPr>
            <w:tcW w:w="851" w:type="dxa"/>
          </w:tcPr>
          <w:p>
            <w:pPr>
              <w:widowControl/>
              <w:jc w:val="center"/>
              <w:outlineLvl w:val="1"/>
              <w:rPr>
                <w:rFonts w:ascii="仿宋_GB2312" w:hAnsi="宋体" w:eastAsia="仿宋_GB2312"/>
                <w:color w:val="auto"/>
                <w:kern w:val="0"/>
                <w:sz w:val="18"/>
                <w:szCs w:val="18"/>
                <w:highlight w:val="none"/>
              </w:rPr>
            </w:pPr>
          </w:p>
        </w:tc>
        <w:tc>
          <w:tcPr>
            <w:tcW w:w="1456" w:type="dxa"/>
            <w:vAlign w:val="center"/>
          </w:tcPr>
          <w:p>
            <w:pPr>
              <w:widowControl/>
              <w:jc w:val="center"/>
              <w:outlineLvl w:val="1"/>
              <w:rPr>
                <w:rFonts w:ascii="仿宋_GB2312" w:hAnsi="宋体" w:eastAsia="仿宋_GB2312"/>
                <w:color w:val="auto"/>
                <w:kern w:val="0"/>
                <w:sz w:val="18"/>
                <w:szCs w:val="18"/>
                <w:highlight w:val="none"/>
              </w:rPr>
            </w:pPr>
            <w:r>
              <w:rPr>
                <w:rFonts w:hint="eastAsia" w:ascii="仿宋_GB2312" w:hAnsi="宋体" w:eastAsia="仿宋_GB2312"/>
                <w:color w:val="auto"/>
                <w:kern w:val="0"/>
                <w:sz w:val="18"/>
                <w:szCs w:val="18"/>
                <w:highlight w:val="none"/>
              </w:rPr>
              <w:t>合计</w:t>
            </w:r>
          </w:p>
        </w:tc>
        <w:tc>
          <w:tcPr>
            <w:tcW w:w="750" w:type="dxa"/>
            <w:vAlign w:val="center"/>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69"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36"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652"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19"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578"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420" w:type="dxa"/>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c>
          <w:tcPr>
            <w:tcW w:w="397" w:type="dxa"/>
            <w:gridSpan w:val="2"/>
          </w:tcPr>
          <w:p>
            <w:pPr>
              <w:widowControl/>
              <w:jc w:val="center"/>
              <w:outlineLvl w:val="1"/>
              <w:rPr>
                <w:rFonts w:ascii="仿宋_GB2312" w:hAnsi="宋体" w:eastAsia="仿宋_GB2312"/>
                <w:color w:val="auto"/>
                <w:kern w:val="0"/>
                <w:sz w:val="18"/>
                <w:szCs w:val="18"/>
                <w:highlight w:val="none"/>
              </w:rPr>
            </w:pPr>
            <w:r>
              <w:rPr>
                <w:rFonts w:ascii="仿宋_GB2312" w:hAnsi="宋体" w:eastAsia="仿宋_GB2312"/>
                <w:color w:val="auto"/>
                <w:kern w:val="0"/>
                <w:sz w:val="18"/>
                <w:szCs w:val="18"/>
                <w:highlight w:val="none"/>
              </w:rPr>
              <w:t>0</w:t>
            </w:r>
          </w:p>
        </w:tc>
      </w:tr>
    </w:tbl>
    <w:p>
      <w:pPr>
        <w:widowControl/>
        <w:spacing w:line="375" w:lineRule="atLeast"/>
        <w:jc w:val="left"/>
        <w:rPr>
          <w:rFonts w:ascii="仿宋_GB2312" w:hAnsi="宋体" w:eastAsia="仿宋_GB2312"/>
          <w:color w:val="auto"/>
          <w:kern w:val="0"/>
          <w:sz w:val="28"/>
          <w:szCs w:val="32"/>
          <w:highlight w:val="none"/>
        </w:rPr>
      </w:pPr>
      <w:r>
        <w:rPr>
          <w:rFonts w:hint="eastAsia" w:ascii="仿宋_GB2312" w:hAnsi="宋体" w:eastAsia="仿宋_GB2312"/>
          <w:color w:val="auto"/>
          <w:kern w:val="0"/>
          <w:sz w:val="28"/>
          <w:szCs w:val="32"/>
          <w:highlight w:val="none"/>
        </w:rPr>
        <w:t>备注：阜康市梧桐沟国家沙漠公园管理中心2019年未安排项目支出预算，因此没有使用项目支出预算拨款安排的支出，项目支出情况表为空表。</w:t>
      </w:r>
    </w:p>
    <w:p>
      <w:pPr>
        <w:widowControl/>
        <w:jc w:val="left"/>
        <w:outlineLvl w:val="1"/>
        <w:rPr>
          <w:rFonts w:ascii="仿宋_GB2312" w:hAnsi="宋体" w:eastAsia="仿宋_GB2312"/>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表八：</w:t>
      </w:r>
    </w:p>
    <w:p>
      <w:pPr>
        <w:widowControl/>
        <w:jc w:val="left"/>
        <w:outlineLvl w:val="1"/>
        <w:rPr>
          <w:rFonts w:ascii="仿宋_GB2312" w:hAnsi="宋体" w:eastAsia="仿宋_GB2312"/>
          <w:b/>
          <w:color w:val="auto"/>
          <w:kern w:val="0"/>
          <w:sz w:val="32"/>
          <w:szCs w:val="32"/>
          <w:highlight w:val="none"/>
        </w:rPr>
      </w:pP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一般公共预算“三公”经费支出情况表</w:t>
      </w:r>
    </w:p>
    <w:p>
      <w:pPr>
        <w:widowControl/>
        <w:jc w:val="left"/>
        <w:outlineLvl w:val="1"/>
        <w:rPr>
          <w:rFonts w:ascii="仿宋_GB2312" w:hAnsi="宋体" w:eastAsia="仿宋_GB2312"/>
          <w:color w:val="auto"/>
          <w:kern w:val="0"/>
          <w:sz w:val="24"/>
          <w:highlight w:val="none"/>
        </w:rPr>
      </w:pP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2.12</w:t>
            </w:r>
          </w:p>
        </w:tc>
        <w:tc>
          <w:tcPr>
            <w:tcW w:w="1417"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1.62</w:t>
            </w:r>
          </w:p>
        </w:tc>
        <w:tc>
          <w:tcPr>
            <w:tcW w:w="1418"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1.62</w:t>
            </w:r>
          </w:p>
        </w:tc>
        <w:tc>
          <w:tcPr>
            <w:tcW w:w="1559" w:type="dxa"/>
            <w:tcBorders>
              <w:top w:val="nil"/>
              <w:left w:val="nil"/>
              <w:bottom w:val="single" w:color="auto" w:sz="4" w:space="0"/>
              <w:right w:val="single" w:color="auto" w:sz="4" w:space="0"/>
            </w:tcBorders>
            <w:vAlign w:val="center"/>
          </w:tcPr>
          <w:p>
            <w:pPr>
              <w:widowControl/>
              <w:jc w:val="right"/>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表九：</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政府性基金预算支出情况表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编制单位：阜康市梧桐沟国家沙漠公园管理中心</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18"/>
                <w:szCs w:val="18"/>
                <w:highlight w:val="none"/>
              </w:rPr>
            </w:pPr>
            <w:r>
              <w:rPr>
                <w:rFonts w:hint="eastAsia" w:ascii="仿宋_GB2312" w:hAnsi="宋体" w:eastAsia="仿宋_GB2312" w:cs="宋体"/>
                <w:b/>
                <w:bCs/>
                <w:color w:val="auto"/>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2896"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p>
        </w:tc>
        <w:tc>
          <w:tcPr>
            <w:tcW w:w="457" w:type="dxa"/>
            <w:tcBorders>
              <w:top w:val="nil"/>
              <w:left w:val="nil"/>
              <w:bottom w:val="single" w:color="auto" w:sz="4" w:space="0"/>
              <w:right w:val="single" w:color="auto" w:sz="4" w:space="0"/>
            </w:tcBorders>
            <w:vAlign w:val="center"/>
          </w:tcPr>
          <w:p>
            <w:pPr>
              <w:widowControl/>
              <w:jc w:val="center"/>
              <w:rPr>
                <w:rFonts w:ascii="仿宋_GB2312" w:eastAsia="仿宋_GB2312" w:cs="宋体"/>
                <w:color w:val="auto"/>
                <w:kern w:val="0"/>
                <w:sz w:val="24"/>
                <w:highlight w:val="none"/>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w:t>
            </w:r>
          </w:p>
        </w:tc>
      </w:tr>
    </w:tbl>
    <w:p>
      <w:pPr>
        <w:widowControl/>
        <w:outlineLvl w:val="1"/>
        <w:rPr>
          <w:rFonts w:ascii="仿宋_GB2312" w:hAnsi="宋体" w:eastAsia="仿宋_GB2312"/>
          <w:color w:val="auto"/>
          <w:kern w:val="0"/>
          <w:sz w:val="28"/>
          <w:szCs w:val="32"/>
          <w:highlight w:val="none"/>
        </w:rPr>
      </w:pPr>
      <w:r>
        <w:rPr>
          <w:rFonts w:hint="eastAsia" w:ascii="仿宋_GB2312" w:hAnsi="宋体" w:eastAsia="仿宋_GB2312"/>
          <w:color w:val="auto"/>
          <w:kern w:val="0"/>
          <w:sz w:val="28"/>
          <w:szCs w:val="32"/>
          <w:highlight w:val="none"/>
        </w:rPr>
        <w:t>备注：阜康市梧桐沟国家沙漠公园管理中心2019年未安排政府性基金预算，因此没有使用政府性基金预算拨款安排的支出，政府性基金预算支出情况表为空表。</w:t>
      </w:r>
    </w:p>
    <w:p>
      <w:pPr>
        <w:jc w:val="right"/>
        <w:outlineLvl w:val="1"/>
        <w:rPr>
          <w:rFonts w:ascii="仿宋_GB2312" w:hAnsi="宋体" w:eastAsia="仿宋_GB2312"/>
          <w:color w:val="auto"/>
          <w:kern w:val="0"/>
          <w:sz w:val="32"/>
          <w:szCs w:val="32"/>
          <w:highlight w:val="none"/>
        </w:rPr>
        <w:sectPr>
          <w:footerReference r:id="rId3" w:type="default"/>
          <w:footerReference r:id="rId4" w:type="even"/>
          <w:pgSz w:w="11906" w:h="16838"/>
          <w:pgMar w:top="1418" w:right="1418" w:bottom="141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第三部分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年阜康市梧桐沟国家沙漠公园管理中心</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部门预算情况说明</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黑体" w:eastAsia="黑体" w:cs="宋体"/>
          <w:bCs/>
          <w:color w:val="auto"/>
          <w:kern w:val="0"/>
          <w:sz w:val="32"/>
          <w:szCs w:val="32"/>
          <w:highlight w:val="none"/>
        </w:rPr>
        <w:t>一、</w:t>
      </w:r>
      <w:r>
        <w:rPr>
          <w:rFonts w:hint="eastAsia" w:ascii="黑体" w:hAnsi="宋体" w:eastAsia="黑体" w:cs="宋体"/>
          <w:color w:val="auto"/>
          <w:kern w:val="0"/>
          <w:sz w:val="32"/>
          <w:szCs w:val="32"/>
          <w:highlight w:val="none"/>
        </w:rPr>
        <w:t>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年收支预算情况的总体说明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按照全口径预算的原则，阜康市梧桐沟国家沙漠公园管理中心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年所有收入和支出均纳入部门预算管理。</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收支总预算</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收入预算包括：一般公共预算</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支出预算包括：社会保障和就业支出</w:t>
      </w:r>
      <w:r>
        <w:rPr>
          <w:rFonts w:ascii="仿宋_GB2312" w:hAnsi="宋体" w:eastAsia="仿宋_GB2312" w:cs="宋体"/>
          <w:color w:val="auto"/>
          <w:kern w:val="0"/>
          <w:sz w:val="32"/>
          <w:szCs w:val="32"/>
          <w:highlight w:val="none"/>
        </w:rPr>
        <w:t>5.78</w:t>
      </w:r>
      <w:r>
        <w:rPr>
          <w:rFonts w:hint="eastAsia" w:ascii="仿宋_GB2312" w:hAnsi="宋体" w:eastAsia="仿宋_GB2312" w:cs="宋体"/>
          <w:color w:val="auto"/>
          <w:kern w:val="0"/>
          <w:sz w:val="32"/>
          <w:szCs w:val="32"/>
          <w:highlight w:val="none"/>
        </w:rPr>
        <w:t>万元、医疗卫生与计划生育支出</w:t>
      </w:r>
      <w:r>
        <w:rPr>
          <w:rFonts w:ascii="仿宋_GB2312" w:hAnsi="宋体" w:eastAsia="仿宋_GB2312" w:cs="宋体"/>
          <w:color w:val="auto"/>
          <w:kern w:val="0"/>
          <w:sz w:val="32"/>
          <w:szCs w:val="32"/>
          <w:highlight w:val="none"/>
        </w:rPr>
        <w:t>3.78</w:t>
      </w:r>
      <w:r>
        <w:rPr>
          <w:rFonts w:hint="eastAsia" w:ascii="仿宋_GB2312" w:hAnsi="宋体" w:eastAsia="仿宋_GB2312" w:cs="宋体"/>
          <w:color w:val="auto"/>
          <w:kern w:val="0"/>
          <w:sz w:val="32"/>
          <w:szCs w:val="32"/>
          <w:highlight w:val="none"/>
        </w:rPr>
        <w:t>万元、农林水支出</w:t>
      </w: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4.80万元，住房保障支出4.07万元。</w:t>
      </w:r>
    </w:p>
    <w:p>
      <w:pPr>
        <w:widowControl/>
        <w:spacing w:line="580" w:lineRule="exact"/>
        <w:ind w:firstLine="640" w:firstLineChars="20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二、关于阜康市梧桐沟国家沙漠公园管理中心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年收入预算情况说明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年收入预算</w:t>
      </w:r>
      <w:r>
        <w:rPr>
          <w:rFonts w:ascii="仿宋_GB2312" w:hAnsi="宋体" w:eastAsia="仿宋_GB2312" w:cs="宋体"/>
          <w:color w:val="auto"/>
          <w:kern w:val="0"/>
          <w:sz w:val="32"/>
          <w:szCs w:val="32"/>
          <w:highlight w:val="none"/>
        </w:rPr>
        <w:t xml:space="preserve">    48.43</w:t>
      </w:r>
      <w:r>
        <w:rPr>
          <w:rFonts w:hint="eastAsia" w:ascii="仿宋_GB2312" w:hAnsi="宋体" w:eastAsia="仿宋_GB2312" w:cs="宋体"/>
          <w:color w:val="auto"/>
          <w:kern w:val="0"/>
          <w:sz w:val="32"/>
          <w:szCs w:val="32"/>
          <w:highlight w:val="none"/>
        </w:rPr>
        <w:t>万元，其中：一般公共预算</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，比上年减少</w:t>
      </w:r>
      <w:r>
        <w:rPr>
          <w:rFonts w:ascii="仿宋_GB2312" w:hAnsi="宋体" w:eastAsia="仿宋_GB2312" w:cs="宋体"/>
          <w:color w:val="auto"/>
          <w:kern w:val="0"/>
          <w:sz w:val="32"/>
          <w:szCs w:val="32"/>
          <w:highlight w:val="none"/>
        </w:rPr>
        <w:t>31.03</w:t>
      </w:r>
      <w:r>
        <w:rPr>
          <w:rFonts w:hint="eastAsia" w:ascii="仿宋_GB2312" w:hAnsi="宋体" w:eastAsia="仿宋_GB2312" w:cs="宋体"/>
          <w:color w:val="auto"/>
          <w:kern w:val="0"/>
          <w:sz w:val="32"/>
          <w:szCs w:val="32"/>
          <w:highlight w:val="none"/>
        </w:rPr>
        <w:t>万元，主要原因是项目减少。</w:t>
      </w:r>
      <w:r>
        <w:rPr>
          <w:rFonts w:ascii="仿宋_GB2312" w:hAnsi="宋体" w:eastAsia="仿宋_GB2312" w:cs="宋体"/>
          <w:color w:val="auto"/>
          <w:kern w:val="0"/>
          <w:sz w:val="32"/>
          <w:szCs w:val="32"/>
          <w:highlight w:val="none"/>
        </w:rPr>
        <w:t xml:space="preserve">    </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政府性基金预算未安排。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三、关于阜康市梧桐沟国家沙漠公园管理中心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年年支出预算情况说明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年支出预算</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万元，其中：</w:t>
      </w:r>
    </w:p>
    <w:p>
      <w:pPr>
        <w:widowControl/>
        <w:spacing w:line="580" w:lineRule="exact"/>
        <w:ind w:firstLine="640"/>
        <w:jc w:val="left"/>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基本支出</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，比上年减少</w:t>
      </w:r>
      <w:r>
        <w:rPr>
          <w:rFonts w:ascii="仿宋_GB2312" w:hAnsi="宋体" w:eastAsia="仿宋_GB2312" w:cs="宋体"/>
          <w:color w:val="auto"/>
          <w:kern w:val="0"/>
          <w:sz w:val="32"/>
          <w:szCs w:val="32"/>
          <w:highlight w:val="none"/>
        </w:rPr>
        <w:t>31.03</w:t>
      </w:r>
      <w:r>
        <w:rPr>
          <w:rFonts w:hint="eastAsia" w:ascii="仿宋_GB2312" w:hAnsi="宋体" w:eastAsia="仿宋_GB2312" w:cs="宋体"/>
          <w:color w:val="auto"/>
          <w:kern w:val="0"/>
          <w:sz w:val="32"/>
          <w:szCs w:val="32"/>
          <w:highlight w:val="none"/>
        </w:rPr>
        <w:t>万元，主要原因是项目减少。</w:t>
      </w:r>
    </w:p>
    <w:p>
      <w:pPr>
        <w:widowControl/>
        <w:spacing w:line="580" w:lineRule="exact"/>
        <w:ind w:firstLine="640"/>
        <w:jc w:val="left"/>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项目支出</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，比上年增加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万元，主要原因是无。</w:t>
      </w:r>
    </w:p>
    <w:p>
      <w:pPr>
        <w:widowControl/>
        <w:spacing w:line="580" w:lineRule="exact"/>
        <w:ind w:firstLine="64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四、关于</w:t>
      </w:r>
      <w:r>
        <w:rPr>
          <w:rFonts w:hint="eastAsia" w:ascii="黑体" w:hAnsi="宋体" w:eastAsia="黑体" w:cs="宋体"/>
          <w:color w:val="auto"/>
          <w:kern w:val="0"/>
          <w:sz w:val="32"/>
          <w:szCs w:val="32"/>
          <w:highlight w:val="none"/>
        </w:rPr>
        <w:t>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w:t>
      </w:r>
      <w:r>
        <w:rPr>
          <w:rFonts w:hint="eastAsia" w:ascii="黑体" w:hAnsi="黑体" w:eastAsia="黑体" w:cs="宋体"/>
          <w:bCs/>
          <w:color w:val="auto"/>
          <w:kern w:val="0"/>
          <w:sz w:val="32"/>
          <w:szCs w:val="32"/>
          <w:highlight w:val="none"/>
        </w:rPr>
        <w:t>财政拨款收支预算情况的总体说明</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年财政拨款收支总预算</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万元。全部为一般公共预算拨款，无政府性基金预算拨款。</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支出预算包括：社会保障和就业支出</w:t>
      </w:r>
      <w:r>
        <w:rPr>
          <w:rFonts w:ascii="仿宋_GB2312" w:hAnsi="宋体" w:eastAsia="仿宋_GB2312" w:cs="宋体"/>
          <w:color w:val="auto"/>
          <w:kern w:val="0"/>
          <w:sz w:val="32"/>
          <w:szCs w:val="32"/>
          <w:highlight w:val="none"/>
        </w:rPr>
        <w:t>5.78</w:t>
      </w:r>
      <w:r>
        <w:rPr>
          <w:rFonts w:hint="eastAsia" w:ascii="仿宋_GB2312" w:hAnsi="宋体" w:eastAsia="仿宋_GB2312" w:cs="宋体"/>
          <w:color w:val="auto"/>
          <w:kern w:val="0"/>
          <w:sz w:val="32"/>
          <w:szCs w:val="32"/>
          <w:highlight w:val="none"/>
        </w:rPr>
        <w:t>万元，主要用于单位职工机关事业单位基本养老保险费支出。</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w:t>
      </w:r>
      <w:r>
        <w:rPr>
          <w:rFonts w:ascii="仿宋_GB2312" w:hAnsi="宋体" w:eastAsia="仿宋_GB2312" w:cs="宋体"/>
          <w:color w:val="auto"/>
          <w:kern w:val="0"/>
          <w:sz w:val="32"/>
          <w:szCs w:val="32"/>
          <w:highlight w:val="none"/>
        </w:rPr>
        <w:t>3.78</w:t>
      </w:r>
      <w:r>
        <w:rPr>
          <w:rFonts w:hint="eastAsia" w:ascii="仿宋_GB2312" w:hAnsi="宋体" w:eastAsia="仿宋_GB2312" w:cs="宋体"/>
          <w:color w:val="auto"/>
          <w:kern w:val="0"/>
          <w:sz w:val="32"/>
          <w:szCs w:val="32"/>
          <w:highlight w:val="none"/>
        </w:rPr>
        <w:t>万元，主要用于单位职工事业单位医疗支出。</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农林水支出</w:t>
      </w: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4.8万元，主要用于单位职工工资津贴，冬季取暖费，生育、工伤、失业保险等。</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住房保障支出4.07万元，主要用于单位职工住房公积金。</w:t>
      </w:r>
    </w:p>
    <w:p>
      <w:pPr>
        <w:widowControl/>
        <w:spacing w:line="580" w:lineRule="exact"/>
        <w:ind w:firstLine="640" w:firstLineChars="20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五、关于阜康市梧桐沟国家沙漠公园管理中心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年一般公共预算当年拨款情况说明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年一般公共预算拨款基本支出</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万元，比上年执行数减少43.3万元，下降47.21</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。主要原因是：项目减少。</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（二）一般公共预算当年拨款结构情况</w:t>
      </w:r>
    </w:p>
    <w:p>
      <w:pPr>
        <w:spacing w:line="580" w:lineRule="exact"/>
        <w:ind w:firstLine="640"/>
        <w:rPr>
          <w:rFonts w:ascii="仿宋_GB2312" w:hAnsi="宋体" w:eastAsia="仿宋_GB2312" w:cs="宋体"/>
          <w:color w:val="auto"/>
          <w:kern w:val="0"/>
          <w:sz w:val="32"/>
          <w:szCs w:val="32"/>
          <w:highlight w:val="none"/>
        </w:rPr>
      </w:pPr>
      <w:r>
        <w:rPr>
          <w:rFonts w:ascii="仿宋_GB2312" w:eastAsia="仿宋_GB2312"/>
          <w:color w:val="auto"/>
          <w:sz w:val="32"/>
          <w:szCs w:val="32"/>
          <w:highlight w:val="none"/>
        </w:rPr>
        <w:t>1.</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社会保障和就业支出</w:t>
      </w:r>
      <w:r>
        <w:rPr>
          <w:rFonts w:ascii="仿宋_GB2312" w:hAnsi="宋体" w:eastAsia="仿宋_GB2312" w:cs="宋体"/>
          <w:color w:val="auto"/>
          <w:kern w:val="0"/>
          <w:sz w:val="32"/>
          <w:szCs w:val="32"/>
          <w:highlight w:val="none"/>
        </w:rPr>
        <w:t>5.78</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1.94</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2. </w:t>
      </w:r>
      <w:r>
        <w:rPr>
          <w:rFonts w:hint="eastAsia" w:ascii="仿宋_GB2312" w:hAnsi="宋体" w:eastAsia="仿宋_GB2312" w:cs="宋体"/>
          <w:color w:val="auto"/>
          <w:kern w:val="0"/>
          <w:sz w:val="32"/>
          <w:szCs w:val="32"/>
          <w:highlight w:val="none"/>
        </w:rPr>
        <w:t>医疗卫生与计划生育支出</w:t>
      </w:r>
      <w:r>
        <w:rPr>
          <w:rFonts w:ascii="仿宋_GB2312" w:hAnsi="宋体" w:eastAsia="仿宋_GB2312" w:cs="宋体"/>
          <w:color w:val="auto"/>
          <w:kern w:val="0"/>
          <w:sz w:val="32"/>
          <w:szCs w:val="32"/>
          <w:highlight w:val="none"/>
        </w:rPr>
        <w:t>3.78</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7.8</w:t>
      </w:r>
      <w:r>
        <w:rPr>
          <w:rFonts w:hint="eastAsia" w:ascii="仿宋_GB2312" w:hAnsi="宋体" w:eastAsia="仿宋_GB2312" w:cs="宋体"/>
          <w:color w:val="auto"/>
          <w:kern w:val="0"/>
          <w:sz w:val="32"/>
          <w:szCs w:val="32"/>
          <w:highlight w:val="none"/>
        </w:rPr>
        <w:t>1</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、农林水支出</w:t>
      </w:r>
      <w:r>
        <w:rPr>
          <w:rFonts w:hint="eastAsia" w:ascii="仿宋_GB2312" w:hAnsi="宋体" w:eastAsia="仿宋_GB2312" w:cs="宋体"/>
          <w:color w:val="auto"/>
          <w:kern w:val="0"/>
          <w:sz w:val="32"/>
          <w:szCs w:val="32"/>
          <w:highlight w:val="none"/>
          <w:lang w:val="en-US" w:eastAsia="zh-CN"/>
        </w:rPr>
        <w:t>34.8</w:t>
      </w:r>
      <w:r>
        <w:rPr>
          <w:rFonts w:hint="eastAsia" w:ascii="仿宋_GB2312" w:hAnsi="宋体" w:eastAsia="仿宋_GB2312" w:cs="宋体"/>
          <w:color w:val="auto"/>
          <w:kern w:val="0"/>
          <w:sz w:val="32"/>
          <w:szCs w:val="32"/>
          <w:highlight w:val="none"/>
        </w:rPr>
        <w:t>万</w:t>
      </w:r>
      <w:r>
        <w:rPr>
          <w:rFonts w:hint="eastAsia" w:ascii="仿宋_GB2312" w:hAnsi="宋体" w:eastAsia="仿宋_GB2312" w:cs="宋体"/>
          <w:color w:val="auto"/>
          <w:kern w:val="0"/>
          <w:sz w:val="32"/>
          <w:szCs w:val="32"/>
          <w:highlight w:val="none"/>
        </w:rPr>
        <w:t>元，</w:t>
      </w:r>
      <w:r>
        <w:rPr>
          <w:rFonts w:hint="eastAsia" w:ascii="仿宋_GB2312" w:hAnsi="宋体" w:eastAsia="仿宋_GB2312" w:cs="宋体"/>
          <w:color w:val="auto"/>
          <w:kern w:val="0"/>
          <w:sz w:val="32"/>
          <w:szCs w:val="32"/>
          <w:highlight w:val="none"/>
        </w:rPr>
        <w:t>占71.86</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w:t>
      </w:r>
      <w:r>
        <w:rPr>
          <w:rFonts w:hint="eastAsia" w:ascii="仿宋_GB2312" w:eastAsia="仿宋_GB2312"/>
          <w:color w:val="auto"/>
          <w:sz w:val="32"/>
          <w:szCs w:val="32"/>
          <w:highlight w:val="none"/>
        </w:rPr>
        <w:t>住房公积金支出4.07</w:t>
      </w:r>
      <w:r>
        <w:rPr>
          <w:rFonts w:hint="eastAsia" w:ascii="仿宋_GB2312" w:hAnsi="宋体" w:eastAsia="仿宋_GB2312" w:cs="宋体"/>
          <w:color w:val="auto"/>
          <w:kern w:val="0"/>
          <w:sz w:val="32"/>
          <w:szCs w:val="32"/>
          <w:highlight w:val="none"/>
        </w:rPr>
        <w:t>万元，占一般公共预算支出8.41%。</w:t>
      </w:r>
    </w:p>
    <w:p>
      <w:pPr>
        <w:widowControl/>
        <w:spacing w:line="580" w:lineRule="exact"/>
        <w:ind w:firstLine="643" w:firstLineChars="200"/>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（三）一般公共预算当年拨款具体使用情况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社会保障和就业支出（类）行政事业单位离退休（款）</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机关事业单位基本养老保险缴费支出（项）</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5.78</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4.28</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285</w:t>
      </w:r>
      <w:r>
        <w:rPr>
          <w:rFonts w:hint="eastAsia" w:ascii="仿宋_GB2312" w:hAnsi="宋体" w:eastAsia="仿宋_GB2312" w:cs="宋体"/>
          <w:color w:val="auto"/>
          <w:kern w:val="0"/>
          <w:sz w:val="32"/>
          <w:szCs w:val="32"/>
          <w:highlight w:val="none"/>
        </w:rPr>
        <w:t>.34</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，主要原因是：增加</w:t>
      </w: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人。</w:t>
      </w:r>
    </w:p>
    <w:p>
      <w:pPr>
        <w:widowControl/>
        <w:spacing w:line="580" w:lineRule="exact"/>
        <w:ind w:firstLine="640"/>
        <w:jc w:val="left"/>
        <w:rPr>
          <w:rFonts w:ascii="仿宋_GB2312" w:hAnsi="宋体" w:eastAsia="仿宋_GB2312" w:cs="宋体"/>
          <w:color w:val="auto"/>
          <w:kern w:val="0"/>
          <w:sz w:val="32"/>
          <w:szCs w:val="32"/>
          <w:highlight w:val="none"/>
        </w:rPr>
      </w:pPr>
      <w:r>
        <w:rPr>
          <w:rFonts w:ascii="楷体_GB2312" w:hAnsi="宋体" w:eastAsia="楷体_GB2312" w:cs="宋体"/>
          <w:color w:val="auto"/>
          <w:kern w:val="0"/>
          <w:sz w:val="32"/>
          <w:szCs w:val="32"/>
          <w:highlight w:val="none"/>
        </w:rPr>
        <w:t>2.</w:t>
      </w:r>
      <w:r>
        <w:rPr>
          <w:color w:val="auto"/>
          <w:highlight w:val="none"/>
        </w:rPr>
        <w:t xml:space="preserve"> </w:t>
      </w:r>
      <w:r>
        <w:rPr>
          <w:rFonts w:hint="eastAsia" w:ascii="仿宋_GB2312" w:hAnsi="宋体" w:eastAsia="仿宋_GB2312" w:cs="宋体"/>
          <w:color w:val="auto"/>
          <w:kern w:val="0"/>
          <w:sz w:val="32"/>
          <w:szCs w:val="32"/>
          <w:highlight w:val="none"/>
        </w:rPr>
        <w:t>医疗卫生与计划生育支出（类）行政事业单位医疗（款）事业单位医疗（项）</w:t>
      </w:r>
      <w:r>
        <w:rPr>
          <w:rFonts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ab/>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3.78</w:t>
      </w:r>
      <w:r>
        <w:rPr>
          <w:rFonts w:hint="eastAsia" w:ascii="仿宋_GB2312" w:hAnsi="宋体" w:eastAsia="仿宋_GB2312" w:cs="宋体"/>
          <w:color w:val="auto"/>
          <w:kern w:val="0"/>
          <w:sz w:val="32"/>
          <w:szCs w:val="32"/>
          <w:highlight w:val="none"/>
        </w:rPr>
        <w:t>万元，比上年执行数增加2.8万元，增长</w:t>
      </w:r>
      <w:r>
        <w:rPr>
          <w:rFonts w:ascii="仿宋_GB2312" w:hAnsi="宋体" w:eastAsia="仿宋_GB2312" w:cs="宋体"/>
          <w:color w:val="auto"/>
          <w:kern w:val="0"/>
          <w:sz w:val="32"/>
          <w:szCs w:val="32"/>
          <w:highlight w:val="none"/>
        </w:rPr>
        <w:t>285</w:t>
      </w:r>
      <w:r>
        <w:rPr>
          <w:rFonts w:hint="eastAsia" w:ascii="仿宋_GB2312" w:hAnsi="宋体" w:eastAsia="仿宋_GB2312" w:cs="宋体"/>
          <w:color w:val="auto"/>
          <w:kern w:val="0"/>
          <w:sz w:val="32"/>
          <w:szCs w:val="32"/>
          <w:highlight w:val="none"/>
        </w:rPr>
        <w:t>.72</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，主要原因是：增加</w:t>
      </w: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人。</w:t>
      </w:r>
    </w:p>
    <w:p>
      <w:pPr>
        <w:widowControl/>
        <w:spacing w:line="580" w:lineRule="exact"/>
        <w:ind w:firstLine="640"/>
        <w:jc w:val="left"/>
        <w:rPr>
          <w:rFonts w:ascii="仿宋_GB2312" w:hAnsi="宋体" w:eastAsia="仿宋_GB2312" w:cs="宋体"/>
          <w:color w:val="auto"/>
          <w:kern w:val="0"/>
          <w:sz w:val="32"/>
          <w:szCs w:val="32"/>
          <w:highlight w:val="none"/>
        </w:rPr>
      </w:pPr>
      <w:r>
        <w:rPr>
          <w:rFonts w:ascii="楷体_GB2312" w:hAnsi="宋体" w:eastAsia="楷体_GB2312" w:cs="宋体"/>
          <w:color w:val="auto"/>
          <w:kern w:val="0"/>
          <w:sz w:val="32"/>
          <w:szCs w:val="32"/>
          <w:highlight w:val="none"/>
        </w:rPr>
        <w:t>3.</w:t>
      </w:r>
      <w:r>
        <w:rPr>
          <w:color w:val="auto"/>
          <w:highlight w:val="none"/>
        </w:rPr>
        <w:t xml:space="preserve"> </w:t>
      </w:r>
      <w:r>
        <w:rPr>
          <w:rFonts w:hint="eastAsia" w:ascii="仿宋_GB2312" w:hAnsi="宋体" w:eastAsia="仿宋_GB2312" w:cs="宋体"/>
          <w:color w:val="auto"/>
          <w:kern w:val="0"/>
          <w:sz w:val="32"/>
          <w:szCs w:val="32"/>
          <w:highlight w:val="none"/>
        </w:rPr>
        <w:t>农林水支出（类）林业（款）林业事业机构（项）</w:t>
      </w:r>
      <w:r>
        <w:rPr>
          <w:rFonts w:ascii="仿宋_GB2312" w:hAnsi="宋体" w:eastAsia="仿宋_GB2312" w:cs="宋体"/>
          <w:color w:val="auto"/>
          <w:kern w:val="0"/>
          <w:sz w:val="32"/>
          <w:szCs w:val="32"/>
          <w:highlight w:val="none"/>
        </w:rPr>
        <w:t>: 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34.8</w:t>
      </w:r>
      <w:r>
        <w:rPr>
          <w:rFonts w:hint="eastAsia" w:ascii="仿宋_GB2312" w:hAnsi="宋体" w:eastAsia="仿宋_GB2312" w:cs="宋体"/>
          <w:color w:val="auto"/>
          <w:kern w:val="0"/>
          <w:sz w:val="32"/>
          <w:szCs w:val="32"/>
          <w:highlight w:val="none"/>
        </w:rPr>
        <w:t>万元，比上年执行数减少32.59万元，减少48.36</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，主要原因是：业务费减少。</w:t>
      </w:r>
    </w:p>
    <w:p>
      <w:pPr>
        <w:widowControl/>
        <w:spacing w:line="580" w:lineRule="exact"/>
        <w:ind w:firstLine="640"/>
        <w:jc w:val="left"/>
        <w:rPr>
          <w:rFonts w:ascii="仿宋_GB2312" w:hAnsi="宋体" w:eastAsia="仿宋_GB2312" w:cs="宋体"/>
          <w:color w:val="auto"/>
          <w:kern w:val="0"/>
          <w:sz w:val="32"/>
          <w:szCs w:val="32"/>
          <w:highlight w:val="none"/>
        </w:rPr>
      </w:pPr>
      <w:r>
        <w:rPr>
          <w:rFonts w:ascii="楷体_GB2312" w:hAnsi="宋体" w:eastAsia="楷体_GB2312" w:cs="宋体"/>
          <w:color w:val="auto"/>
          <w:kern w:val="0"/>
          <w:sz w:val="32"/>
          <w:szCs w:val="32"/>
          <w:highlight w:val="none"/>
        </w:rPr>
        <w:t>4.</w:t>
      </w:r>
      <w:r>
        <w:rPr>
          <w:color w:val="auto"/>
          <w:highlight w:val="none"/>
        </w:rPr>
        <w:t xml:space="preserve"> </w:t>
      </w:r>
      <w:r>
        <w:rPr>
          <w:rFonts w:hint="eastAsia" w:ascii="仿宋_GB2312" w:hAnsi="宋体" w:eastAsia="仿宋_GB2312" w:cs="宋体"/>
          <w:color w:val="auto"/>
          <w:kern w:val="0"/>
          <w:sz w:val="32"/>
          <w:szCs w:val="32"/>
          <w:highlight w:val="none"/>
        </w:rPr>
        <w:t>住房保障支出（类）住房改革支出（款）住房公积金支出（项）</w:t>
      </w:r>
      <w:r>
        <w:rPr>
          <w:rFonts w:ascii="仿宋_GB2312" w:hAnsi="宋体" w:eastAsia="仿宋_GB2312" w:cs="宋体"/>
          <w:color w:val="auto"/>
          <w:kern w:val="0"/>
          <w:sz w:val="32"/>
          <w:szCs w:val="32"/>
          <w:highlight w:val="none"/>
        </w:rPr>
        <w:t>: 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4.0</w:t>
      </w:r>
      <w:r>
        <w:rPr>
          <w:rFonts w:hint="eastAsia" w:ascii="仿宋_GB2312" w:hAnsi="宋体" w:eastAsia="仿宋_GB2312" w:cs="宋体"/>
          <w:color w:val="auto"/>
          <w:kern w:val="0"/>
          <w:sz w:val="32"/>
          <w:szCs w:val="32"/>
          <w:highlight w:val="none"/>
        </w:rPr>
        <w:t>7万元，比上年执行数增加</w:t>
      </w:r>
      <w:r>
        <w:rPr>
          <w:rFonts w:ascii="仿宋_GB2312" w:hAnsi="宋体" w:eastAsia="仿宋_GB2312" w:cs="宋体"/>
          <w:color w:val="auto"/>
          <w:kern w:val="0"/>
          <w:sz w:val="32"/>
          <w:szCs w:val="32"/>
          <w:highlight w:val="none"/>
        </w:rPr>
        <w:t>4.0</w:t>
      </w:r>
      <w:r>
        <w:rPr>
          <w:rFonts w:hint="eastAsia" w:ascii="仿宋_GB2312" w:hAnsi="宋体" w:eastAsia="仿宋_GB2312" w:cs="宋体"/>
          <w:color w:val="auto"/>
          <w:kern w:val="0"/>
          <w:sz w:val="32"/>
          <w:szCs w:val="32"/>
          <w:highlight w:val="none"/>
        </w:rPr>
        <w:t>7万元，增长</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，主要原因是：科目增加。</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六、关于阜康市梧桐沟国家沙漠公园管理中心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年一般公共预算基本支出情况说明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年一般公共预算基本支出</w:t>
      </w:r>
      <w:r>
        <w:rPr>
          <w:rFonts w:ascii="仿宋_GB2312" w:hAnsi="宋体" w:eastAsia="仿宋_GB2312" w:cs="宋体"/>
          <w:color w:val="auto"/>
          <w:kern w:val="0"/>
          <w:sz w:val="32"/>
          <w:szCs w:val="32"/>
          <w:highlight w:val="none"/>
        </w:rPr>
        <w:t>48.43</w:t>
      </w:r>
      <w:r>
        <w:rPr>
          <w:rFonts w:hint="eastAsia" w:ascii="仿宋_GB2312" w:hAnsi="宋体" w:eastAsia="仿宋_GB2312" w:cs="宋体"/>
          <w:color w:val="auto"/>
          <w:kern w:val="0"/>
          <w:sz w:val="32"/>
          <w:szCs w:val="32"/>
          <w:highlight w:val="none"/>
        </w:rPr>
        <w:t>万元，</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人员经费</w:t>
      </w:r>
      <w:r>
        <w:rPr>
          <w:rFonts w:ascii="仿宋_GB2312" w:hAnsi="宋体" w:eastAsia="仿宋_GB2312" w:cs="宋体"/>
          <w:color w:val="auto"/>
          <w:kern w:val="0"/>
          <w:sz w:val="32"/>
          <w:szCs w:val="32"/>
          <w:highlight w:val="none"/>
        </w:rPr>
        <w:t xml:space="preserve"> 48.43</w:t>
      </w:r>
      <w:r>
        <w:rPr>
          <w:rFonts w:hint="eastAsia" w:ascii="仿宋_GB2312" w:hAnsi="宋体" w:eastAsia="仿宋_GB2312" w:cs="宋体"/>
          <w:color w:val="auto"/>
          <w:kern w:val="0"/>
          <w:sz w:val="32"/>
          <w:szCs w:val="32"/>
          <w:highlight w:val="none"/>
        </w:rPr>
        <w:t>万元，主要包括：基本工资</w:t>
      </w:r>
      <w:r>
        <w:rPr>
          <w:rFonts w:ascii="仿宋_GB2312" w:hAnsi="宋体" w:eastAsia="仿宋_GB2312" w:cs="宋体"/>
          <w:color w:val="auto"/>
          <w:kern w:val="0"/>
          <w:sz w:val="32"/>
          <w:szCs w:val="32"/>
          <w:highlight w:val="none"/>
        </w:rPr>
        <w:t>27.6</w:t>
      </w:r>
      <w:r>
        <w:rPr>
          <w:rFonts w:hint="eastAsia" w:ascii="仿宋_GB2312" w:hAnsi="宋体" w:eastAsia="仿宋_GB2312" w:cs="宋体"/>
          <w:color w:val="auto"/>
          <w:kern w:val="0"/>
          <w:sz w:val="32"/>
          <w:szCs w:val="32"/>
          <w:highlight w:val="none"/>
        </w:rPr>
        <w:t>5万元、津贴补贴</w:t>
      </w:r>
      <w:r>
        <w:rPr>
          <w:rFonts w:ascii="仿宋_GB2312" w:hAnsi="宋体" w:eastAsia="仿宋_GB2312" w:cs="宋体"/>
          <w:color w:val="auto"/>
          <w:kern w:val="0"/>
          <w:sz w:val="32"/>
          <w:szCs w:val="32"/>
          <w:highlight w:val="none"/>
        </w:rPr>
        <w:t>0.36</w:t>
      </w:r>
      <w:r>
        <w:rPr>
          <w:rFonts w:hint="eastAsia" w:ascii="仿宋_GB2312" w:hAnsi="宋体" w:eastAsia="仿宋_GB2312" w:cs="宋体"/>
          <w:color w:val="auto"/>
          <w:kern w:val="0"/>
          <w:sz w:val="32"/>
          <w:szCs w:val="32"/>
          <w:highlight w:val="none"/>
        </w:rPr>
        <w:t>万元、奖金</w:t>
      </w:r>
      <w:r>
        <w:rPr>
          <w:rFonts w:ascii="仿宋_GB2312" w:hAnsi="宋体" w:eastAsia="仿宋_GB2312" w:cs="宋体"/>
          <w:color w:val="auto"/>
          <w:kern w:val="0"/>
          <w:sz w:val="32"/>
          <w:szCs w:val="32"/>
          <w:highlight w:val="none"/>
        </w:rPr>
        <w:t>1.39</w:t>
      </w:r>
      <w:r>
        <w:rPr>
          <w:rFonts w:hint="eastAsia" w:ascii="仿宋_GB2312" w:hAnsi="宋体" w:eastAsia="仿宋_GB2312" w:cs="宋体"/>
          <w:color w:val="auto"/>
          <w:kern w:val="0"/>
          <w:sz w:val="32"/>
          <w:szCs w:val="32"/>
          <w:highlight w:val="none"/>
        </w:rPr>
        <w:t>万元、机关事业单位基本养老保险缴费</w:t>
      </w:r>
      <w:r>
        <w:rPr>
          <w:rFonts w:ascii="仿宋_GB2312" w:hAnsi="宋体" w:eastAsia="仿宋_GB2312" w:cs="宋体"/>
          <w:color w:val="auto"/>
          <w:kern w:val="0"/>
          <w:sz w:val="32"/>
          <w:szCs w:val="32"/>
          <w:highlight w:val="none"/>
        </w:rPr>
        <w:t>5.78</w:t>
      </w:r>
      <w:r>
        <w:rPr>
          <w:rFonts w:hint="eastAsia" w:ascii="仿宋_GB2312" w:hAnsi="宋体" w:eastAsia="仿宋_GB2312" w:cs="宋体"/>
          <w:color w:val="auto"/>
          <w:kern w:val="0"/>
          <w:sz w:val="32"/>
          <w:szCs w:val="32"/>
          <w:highlight w:val="none"/>
        </w:rPr>
        <w:t>万元、职工基本医疗保险缴费</w:t>
      </w:r>
      <w:r>
        <w:rPr>
          <w:rFonts w:ascii="仿宋_GB2312" w:hAnsi="宋体" w:eastAsia="仿宋_GB2312" w:cs="宋体"/>
          <w:color w:val="auto"/>
          <w:kern w:val="0"/>
          <w:sz w:val="32"/>
          <w:szCs w:val="32"/>
          <w:highlight w:val="none"/>
        </w:rPr>
        <w:t>2.62</w:t>
      </w:r>
      <w:r>
        <w:rPr>
          <w:rFonts w:hint="eastAsia" w:ascii="仿宋_GB2312" w:hAnsi="宋体" w:eastAsia="仿宋_GB2312" w:cs="宋体"/>
          <w:color w:val="auto"/>
          <w:kern w:val="0"/>
          <w:sz w:val="32"/>
          <w:szCs w:val="32"/>
          <w:highlight w:val="none"/>
        </w:rPr>
        <w:t>万元、公务员医疗补助缴费</w:t>
      </w:r>
      <w:r>
        <w:rPr>
          <w:rFonts w:ascii="仿宋_GB2312" w:hAnsi="宋体" w:eastAsia="仿宋_GB2312" w:cs="宋体"/>
          <w:color w:val="auto"/>
          <w:kern w:val="0"/>
          <w:sz w:val="32"/>
          <w:szCs w:val="32"/>
          <w:highlight w:val="none"/>
        </w:rPr>
        <w:t>1.15</w:t>
      </w:r>
      <w:r>
        <w:rPr>
          <w:rFonts w:hint="eastAsia" w:ascii="仿宋_GB2312" w:hAnsi="宋体" w:eastAsia="仿宋_GB2312" w:cs="宋体"/>
          <w:color w:val="auto"/>
          <w:kern w:val="0"/>
          <w:sz w:val="32"/>
          <w:szCs w:val="32"/>
          <w:highlight w:val="none"/>
        </w:rPr>
        <w:t>万元、其他社会保障缴费</w:t>
      </w:r>
      <w:r>
        <w:rPr>
          <w:rFonts w:ascii="仿宋_GB2312" w:hAnsi="宋体" w:eastAsia="仿宋_GB2312" w:cs="宋体"/>
          <w:color w:val="auto"/>
          <w:kern w:val="0"/>
          <w:sz w:val="32"/>
          <w:szCs w:val="32"/>
          <w:highlight w:val="none"/>
        </w:rPr>
        <w:t>0.35</w:t>
      </w:r>
      <w:r>
        <w:rPr>
          <w:rFonts w:hint="eastAsia" w:ascii="仿宋_GB2312" w:hAnsi="宋体" w:eastAsia="仿宋_GB2312" w:cs="宋体"/>
          <w:color w:val="auto"/>
          <w:kern w:val="0"/>
          <w:sz w:val="32"/>
          <w:szCs w:val="32"/>
          <w:highlight w:val="none"/>
        </w:rPr>
        <w:t>万元、住房公积金</w:t>
      </w:r>
      <w:r>
        <w:rPr>
          <w:rFonts w:ascii="仿宋_GB2312" w:hAnsi="宋体" w:eastAsia="仿宋_GB2312" w:cs="宋体"/>
          <w:color w:val="auto"/>
          <w:kern w:val="0"/>
          <w:sz w:val="32"/>
          <w:szCs w:val="32"/>
          <w:highlight w:val="none"/>
        </w:rPr>
        <w:t>4.07</w:t>
      </w:r>
      <w:r>
        <w:rPr>
          <w:rFonts w:hint="eastAsia" w:ascii="仿宋_GB2312" w:hAnsi="宋体" w:eastAsia="仿宋_GB2312" w:cs="宋体"/>
          <w:color w:val="auto"/>
          <w:kern w:val="0"/>
          <w:sz w:val="32"/>
          <w:szCs w:val="32"/>
          <w:highlight w:val="none"/>
        </w:rPr>
        <w:t>万元、其他工资福利支出</w:t>
      </w:r>
      <w:r>
        <w:rPr>
          <w:rFonts w:ascii="仿宋_GB2312" w:hAnsi="宋体" w:eastAsia="仿宋_GB2312" w:cs="宋体"/>
          <w:color w:val="auto"/>
          <w:kern w:val="0"/>
          <w:sz w:val="32"/>
          <w:szCs w:val="32"/>
          <w:highlight w:val="none"/>
        </w:rPr>
        <w:t>5.04</w:t>
      </w:r>
      <w:r>
        <w:rPr>
          <w:rFonts w:hint="eastAsia" w:ascii="仿宋_GB2312" w:hAnsi="宋体" w:eastAsia="仿宋_GB2312" w:cs="宋体"/>
          <w:color w:val="auto"/>
          <w:kern w:val="0"/>
          <w:sz w:val="32"/>
          <w:szCs w:val="32"/>
          <w:highlight w:val="none"/>
        </w:rPr>
        <w:t>万元、其他对个人和家庭的补助</w:t>
      </w:r>
      <w:r>
        <w:rPr>
          <w:rFonts w:ascii="仿宋_GB2312" w:hAnsi="宋体" w:eastAsia="仿宋_GB2312" w:cs="宋体"/>
          <w:color w:val="auto"/>
          <w:kern w:val="0"/>
          <w:sz w:val="32"/>
          <w:szCs w:val="32"/>
          <w:highlight w:val="none"/>
        </w:rPr>
        <w:t>0.0</w:t>
      </w:r>
      <w:r>
        <w:rPr>
          <w:rFonts w:hint="eastAsia" w:ascii="仿宋_GB2312" w:hAnsi="宋体" w:eastAsia="仿宋_GB2312" w:cs="宋体"/>
          <w:color w:val="auto"/>
          <w:kern w:val="0"/>
          <w:sz w:val="32"/>
          <w:szCs w:val="32"/>
          <w:highlight w:val="none"/>
        </w:rPr>
        <w:t>2万元等。</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公用经费</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七、关于阜康市梧桐沟国家沙漠公园管理中心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年项目支出情况说明</w:t>
      </w:r>
    </w:p>
    <w:p>
      <w:pPr>
        <w:widowControl/>
        <w:spacing w:line="580" w:lineRule="exact"/>
        <w:ind w:firstLine="642"/>
        <w:jc w:val="left"/>
        <w:rPr>
          <w:rFonts w:ascii="仿宋_GB2312" w:hAnsi="宋体" w:eastAsia="仿宋_GB2312"/>
          <w:bCs/>
          <w:color w:val="auto"/>
          <w:kern w:val="0"/>
          <w:sz w:val="32"/>
          <w:szCs w:val="32"/>
          <w:highlight w:val="none"/>
        </w:rPr>
      </w:pPr>
      <w:r>
        <w:rPr>
          <w:rFonts w:hint="eastAsia" w:ascii="仿宋_GB2312" w:hAnsi="宋体" w:eastAsia="仿宋_GB2312"/>
          <w:bCs/>
          <w:color w:val="auto"/>
          <w:kern w:val="0"/>
          <w:sz w:val="32"/>
          <w:szCs w:val="32"/>
          <w:highlight w:val="none"/>
        </w:rPr>
        <w:t xml:space="preserve"> 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八、关于阜康市梧桐沟国家沙漠公园管理中心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年一般公共预算“三公”经费预算情况说明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阜康市梧桐沟国家沙漠公园管理中心</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年“三公”经费财政拨款预算数为</w:t>
      </w:r>
      <w:r>
        <w:rPr>
          <w:rFonts w:ascii="仿宋_GB2312" w:hAnsi="宋体" w:eastAsia="仿宋_GB2312" w:cs="宋体"/>
          <w:color w:val="auto"/>
          <w:kern w:val="0"/>
          <w:sz w:val="32"/>
          <w:szCs w:val="32"/>
          <w:highlight w:val="none"/>
        </w:rPr>
        <w:t>2.12</w:t>
      </w:r>
      <w:r>
        <w:rPr>
          <w:rFonts w:hint="eastAsia" w:ascii="仿宋_GB2312" w:hAnsi="宋体" w:eastAsia="仿宋_GB2312" w:cs="宋体"/>
          <w:color w:val="auto"/>
          <w:kern w:val="0"/>
          <w:sz w:val="32"/>
          <w:szCs w:val="32"/>
          <w:highlight w:val="none"/>
        </w:rPr>
        <w:t>万元，其中：因公出国（境）费</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万元，公务用车运行费</w:t>
      </w:r>
      <w:r>
        <w:rPr>
          <w:rFonts w:ascii="仿宋_GB2312" w:hAnsi="宋体" w:eastAsia="仿宋_GB2312" w:cs="宋体"/>
          <w:color w:val="auto"/>
          <w:kern w:val="0"/>
          <w:sz w:val="32"/>
          <w:szCs w:val="32"/>
          <w:highlight w:val="none"/>
        </w:rPr>
        <w:t xml:space="preserve"> 1.62</w:t>
      </w:r>
      <w:r>
        <w:rPr>
          <w:rFonts w:hint="eastAsia" w:ascii="仿宋_GB2312" w:hAnsi="宋体" w:eastAsia="仿宋_GB2312" w:cs="宋体"/>
          <w:color w:val="auto"/>
          <w:kern w:val="0"/>
          <w:sz w:val="32"/>
          <w:szCs w:val="32"/>
          <w:highlight w:val="none"/>
        </w:rPr>
        <w:t>万元，公务接待费预算控制数</w:t>
      </w:r>
      <w:r>
        <w:rPr>
          <w:rFonts w:ascii="仿宋_GB2312" w:hAnsi="宋体" w:eastAsia="仿宋_GB2312" w:cs="宋体"/>
          <w:color w:val="auto"/>
          <w:kern w:val="0"/>
          <w:sz w:val="32"/>
          <w:szCs w:val="32"/>
          <w:highlight w:val="none"/>
        </w:rPr>
        <w:t xml:space="preserve"> 0.5</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年“三公”经费财政拨款预算比上年增加</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万元，其中：因公出国（境）费增加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万元，主要原因是无；公务用车购置费为</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万元，未安排预算。</w:t>
      </w: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九、关于阜康市梧桐沟国家沙漠公园管理中心</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年政府性基金预算拨款情况说明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阜康市梧桐沟国家沙漠公园管理中心2019年没有使用政府性基金预算拨款安排的支出，政府性基金预算支出情况表为空表。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十、其他重要事项的情况说明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（一）机关运行经费情况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年阜康市梧桐沟国家沙漠公园管理中心本级及下属</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家行政单位、</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家参公管理事业单位和</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家事业单位的机关运行经费财政拨款预算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万元，比上年预算增加</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0 %</w:t>
      </w:r>
      <w:r>
        <w:rPr>
          <w:rFonts w:hint="eastAsia" w:ascii="仿宋_GB2312" w:hAnsi="宋体" w:eastAsia="仿宋_GB2312" w:cs="宋体"/>
          <w:color w:val="auto"/>
          <w:kern w:val="0"/>
          <w:sz w:val="32"/>
          <w:szCs w:val="32"/>
          <w:highlight w:val="none"/>
        </w:rPr>
        <w:t>。主要原因是本单位为事业单位。</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（二）政府采购情况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年，阜康市梧桐沟国家沙漠公园管理中心本级及下属单位政府采购预算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万元，其中：政府采购货物预算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万元，政府采购工程预算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万元，政府采购服务预算</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仿宋_GB2312" w:eastAsia="仿宋_GB2312"/>
          <w:color w:val="auto"/>
          <w:sz w:val="32"/>
          <w:highlight w:val="none"/>
        </w:rPr>
        <w:t>2019</w:t>
      </w:r>
      <w:r>
        <w:rPr>
          <w:rFonts w:hint="eastAsia" w:ascii="仿宋_GB2312" w:hAnsi="仿宋_GB2312" w:eastAsia="仿宋_GB2312"/>
          <w:color w:val="auto"/>
          <w:sz w:val="32"/>
          <w:highlight w:val="none"/>
        </w:rPr>
        <w:t>年度本部门面向中小企业预留政府采购项目预算金额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万元，其中：面向小微企业预留政府采购项目预算金额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（三）国有资产占用使用情况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截至</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年底，阜康市梧桐沟国家沙漠公园管理中心本级及下属各预算单位占用使用国有资产总体情况为：</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房屋</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平方米，价值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车辆</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万元；其中：一般公务用车</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万元；执法执勤用车</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万元；其他车辆</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办公家具价值</w:t>
      </w:r>
      <w:r>
        <w:rPr>
          <w:rFonts w:ascii="仿宋_GB2312" w:hAnsi="宋体" w:eastAsia="仿宋_GB2312" w:cs="宋体"/>
          <w:color w:val="auto"/>
          <w:kern w:val="0"/>
          <w:sz w:val="32"/>
          <w:szCs w:val="32"/>
          <w:highlight w:val="none"/>
        </w:rPr>
        <w:t>4.2</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其他资产价值</w:t>
      </w:r>
      <w:r>
        <w:rPr>
          <w:rFonts w:ascii="仿宋_GB2312" w:hAnsi="宋体" w:eastAsia="仿宋_GB2312" w:cs="宋体"/>
          <w:color w:val="auto"/>
          <w:kern w:val="0"/>
          <w:sz w:val="32"/>
          <w:szCs w:val="32"/>
          <w:highlight w:val="none"/>
        </w:rPr>
        <w:t>7.89</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单位价值</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年部门预算未安排购置车辆经费，安排购置</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（四）预算绩效情况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年度，本年度实行绩效管理的项目</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个，涉及预算金额</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万元。具体情况见下表（按项目分别填报）：</w:t>
      </w: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widowControl/>
        <w:spacing w:line="600" w:lineRule="exact"/>
        <w:rPr>
          <w:rFonts w:ascii="仿宋_GB2312" w:hAnsi="宋体" w:eastAsia="仿宋_GB2312" w:cs="宋体"/>
          <w:color w:val="auto"/>
          <w:kern w:val="0"/>
          <w:sz w:val="32"/>
          <w:szCs w:val="32"/>
          <w:highlight w:val="none"/>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cs="宋体"/>
                <w:b/>
                <w:bCs/>
                <w:color w:val="auto"/>
                <w:kern w:val="0"/>
                <w:sz w:val="32"/>
                <w:szCs w:val="32"/>
                <w:highlight w:val="none"/>
              </w:rPr>
            </w:pPr>
            <w:r>
              <w:rPr>
                <w:rFonts w:hint="eastAsia" w:ascii="仿宋_GB2312" w:hAnsi="宋体" w:eastAsia="仿宋_GB2312"/>
                <w:b/>
                <w:color w:val="auto"/>
                <w:kern w:val="0"/>
                <w:sz w:val="32"/>
                <w:szCs w:val="32"/>
                <w:highlight w:val="none"/>
              </w:rPr>
              <w:t>项</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支</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出</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绩</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效</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标</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857"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92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75"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阜康市梧桐沟国家沙漠公园管理中心本级</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r>
              <w:rPr>
                <w:rFonts w:ascii="宋体" w:hAnsi="宋体" w:cs="宋体"/>
                <w:color w:val="auto"/>
                <w:kern w:val="0"/>
                <w:sz w:val="18"/>
                <w:szCs w:val="18"/>
                <w:highlight w:val="none"/>
              </w:rPr>
              <w:t>0</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r>
              <w:rPr>
                <w:rFonts w:ascii="宋体" w:hAnsi="宋体" w:cs="宋体"/>
                <w:color w:val="auto"/>
                <w:kern w:val="0"/>
                <w:sz w:val="18"/>
                <w:szCs w:val="18"/>
                <w:highlight w:val="none"/>
              </w:rPr>
              <w:t>0</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0</w:t>
            </w:r>
            <w:r>
              <w:rPr>
                <w:rFonts w:hint="eastAsia" w:ascii="宋体" w:hAnsi="宋体" w:cs="宋体"/>
                <w:color w:val="auto"/>
                <w:kern w:val="0"/>
                <w:sz w:val="18"/>
                <w:szCs w:val="18"/>
                <w:highlight w:val="none"/>
              </w:rPr>
              <w:t>　</w:t>
            </w:r>
          </w:p>
        </w:tc>
      </w:tr>
    </w:tbl>
    <w:p>
      <w:pPr>
        <w:widowControl/>
        <w:spacing w:line="560" w:lineRule="exact"/>
        <w:ind w:firstLine="630" w:firstLineChars="196"/>
        <w:jc w:val="left"/>
        <w:rPr>
          <w:rFonts w:ascii="楷体_GB2312" w:hAnsi="宋体" w:eastAsia="楷体_GB2312" w:cs="宋体"/>
          <w:b/>
          <w:color w:val="auto"/>
          <w:kern w:val="0"/>
          <w:sz w:val="32"/>
          <w:szCs w:val="32"/>
          <w:highlight w:val="none"/>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640" w:firstLineChars="2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无</w:t>
      </w: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第四部分</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名词解释</w:t>
      </w:r>
    </w:p>
    <w:p>
      <w:pPr>
        <w:widowControl/>
        <w:spacing w:line="56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名词解释：</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一、财政拨款：</w:t>
      </w:r>
      <w:r>
        <w:rPr>
          <w:rFonts w:hint="eastAsia" w:ascii="仿宋_GB2312" w:eastAsia="仿宋_GB2312"/>
          <w:color w:val="auto"/>
          <w:sz w:val="32"/>
          <w:szCs w:val="32"/>
          <w:highlight w:val="none"/>
        </w:rPr>
        <w:t>指由一般公共预算、政府性基金预算安排的财政拨款数。</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二、一般公共预算：</w:t>
      </w:r>
      <w:r>
        <w:rPr>
          <w:rFonts w:hint="eastAsia" w:ascii="仿宋_GB2312" w:eastAsia="仿宋_GB2312"/>
          <w:color w:val="auto"/>
          <w:sz w:val="32"/>
          <w:szCs w:val="32"/>
          <w:highlight w:val="none"/>
        </w:rPr>
        <w:t>包括公共财政拨款（补助）资金、专项收入。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三、财政专户管理资金：</w:t>
      </w:r>
      <w:r>
        <w:rPr>
          <w:rFonts w:hint="eastAsia" w:ascii="仿宋_GB2312" w:eastAsia="仿宋_GB2312"/>
          <w:color w:val="auto"/>
          <w:sz w:val="32"/>
          <w:szCs w:val="32"/>
          <w:highlight w:val="none"/>
        </w:rPr>
        <w:t>包括专户管理行政事业性收费（主要是教育收费）、其他非税收入。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四、其他资金：</w:t>
      </w:r>
      <w:r>
        <w:rPr>
          <w:rFonts w:hint="eastAsia" w:ascii="仿宋_GB2312" w:eastAsia="仿宋_GB2312"/>
          <w:color w:val="auto"/>
          <w:sz w:val="32"/>
          <w:szCs w:val="32"/>
          <w:highlight w:val="none"/>
        </w:rPr>
        <w:t>包括事业收入、经营收入、其他收入等。</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五、基本支出：</w:t>
      </w:r>
      <w:r>
        <w:rPr>
          <w:rFonts w:hint="eastAsia" w:ascii="仿宋_GB2312" w:eastAsia="仿宋_GB2312"/>
          <w:color w:val="auto"/>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六、项目支出：</w:t>
      </w:r>
      <w:r>
        <w:rPr>
          <w:rFonts w:hint="eastAsia" w:ascii="仿宋_GB2312" w:eastAsia="仿宋_GB2312"/>
          <w:color w:val="auto"/>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七、“三公”经费：</w:t>
      </w:r>
      <w:r>
        <w:rPr>
          <w:rFonts w:hint="eastAsia" w:ascii="仿宋_GB2312" w:eastAsia="仿宋_GB2312"/>
          <w:color w:val="auto"/>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八、机关运行经费：</w:t>
      </w:r>
      <w:r>
        <w:rPr>
          <w:rFonts w:hint="eastAsia" w:ascii="仿宋_GB2312" w:eastAsia="仿宋_GB2312"/>
          <w:color w:val="auto"/>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spacing w:val="-20"/>
          <w:kern w:val="0"/>
          <w:sz w:val="32"/>
          <w:szCs w:val="32"/>
          <w:highlight w:val="none"/>
        </w:rPr>
      </w:pPr>
      <w:r>
        <w:rPr>
          <w:rFonts w:ascii="仿宋_GB2312" w:hAnsi="宋体" w:eastAsia="仿宋_GB2312" w:cs="宋体"/>
          <w:color w:val="auto"/>
          <w:kern w:val="0"/>
          <w:sz w:val="32"/>
          <w:szCs w:val="32"/>
          <w:highlight w:val="none"/>
        </w:rPr>
        <w:t xml:space="preserve">                </w:t>
      </w:r>
      <w:r>
        <w:rPr>
          <w:rFonts w:ascii="仿宋_GB2312" w:hAnsi="宋体" w:eastAsia="仿宋_GB2312" w:cs="宋体"/>
          <w:color w:val="auto"/>
          <w:spacing w:val="-20"/>
          <w:kern w:val="0"/>
          <w:sz w:val="32"/>
          <w:szCs w:val="32"/>
          <w:highlight w:val="none"/>
        </w:rPr>
        <w:t xml:space="preserve">   </w:t>
      </w:r>
      <w:r>
        <w:rPr>
          <w:rFonts w:hint="eastAsia" w:ascii="仿宋_GB2312" w:hAnsi="宋体" w:eastAsia="仿宋_GB2312" w:cs="宋体"/>
          <w:color w:val="auto"/>
          <w:spacing w:val="-20"/>
          <w:kern w:val="0"/>
          <w:sz w:val="32"/>
          <w:szCs w:val="32"/>
          <w:highlight w:val="none"/>
        </w:rPr>
        <w:t xml:space="preserve">      阜康市梧桐沟国家沙漠公园管理中心</w:t>
      </w:r>
      <w:r>
        <w:rPr>
          <w:rFonts w:ascii="仿宋_GB2312" w:hAnsi="宋体" w:eastAsia="仿宋_GB2312" w:cs="宋体"/>
          <w:color w:val="auto"/>
          <w:spacing w:val="-20"/>
          <w:kern w:val="0"/>
          <w:sz w:val="32"/>
          <w:szCs w:val="32"/>
          <w:highlight w:val="none"/>
        </w:rPr>
        <w:t xml:space="preserve"> </w:t>
      </w: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 xml:space="preserve">    </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w:t>
      </w: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月</w:t>
      </w:r>
      <w:r>
        <w:rPr>
          <w:rFonts w:ascii="仿宋_GB2312" w:hAnsi="宋体" w:eastAsia="仿宋_GB2312" w:cs="宋体"/>
          <w:color w:val="auto"/>
          <w:kern w:val="0"/>
          <w:sz w:val="32"/>
          <w:szCs w:val="32"/>
          <w:highlight w:val="none"/>
        </w:rPr>
        <w:t>10</w:t>
      </w:r>
      <w:r>
        <w:rPr>
          <w:rFonts w:hint="eastAsia" w:ascii="仿宋_GB2312" w:hAnsi="宋体" w:eastAsia="仿宋_GB2312" w:cs="宋体"/>
          <w:color w:val="auto"/>
          <w:kern w:val="0"/>
          <w:sz w:val="32"/>
          <w:szCs w:val="32"/>
          <w:highlight w:val="none"/>
        </w:rPr>
        <w:t>日</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144"/>
    <w:rsid w:val="0001113A"/>
    <w:rsid w:val="0001286C"/>
    <w:rsid w:val="00027FCC"/>
    <w:rsid w:val="000967B8"/>
    <w:rsid w:val="000B7CAC"/>
    <w:rsid w:val="000C25A1"/>
    <w:rsid w:val="000F6D7A"/>
    <w:rsid w:val="00104D3F"/>
    <w:rsid w:val="00150019"/>
    <w:rsid w:val="00154A54"/>
    <w:rsid w:val="00162712"/>
    <w:rsid w:val="001833B0"/>
    <w:rsid w:val="001A44C6"/>
    <w:rsid w:val="002254B8"/>
    <w:rsid w:val="0023522E"/>
    <w:rsid w:val="002439D3"/>
    <w:rsid w:val="002446AC"/>
    <w:rsid w:val="00267139"/>
    <w:rsid w:val="00271A6F"/>
    <w:rsid w:val="00292C09"/>
    <w:rsid w:val="002A101B"/>
    <w:rsid w:val="002A59D6"/>
    <w:rsid w:val="002B5144"/>
    <w:rsid w:val="002B5A48"/>
    <w:rsid w:val="002C1114"/>
    <w:rsid w:val="002C2E1A"/>
    <w:rsid w:val="00305D05"/>
    <w:rsid w:val="00325B17"/>
    <w:rsid w:val="0034433F"/>
    <w:rsid w:val="0035245A"/>
    <w:rsid w:val="00360F66"/>
    <w:rsid w:val="003833BF"/>
    <w:rsid w:val="00385B5C"/>
    <w:rsid w:val="00387592"/>
    <w:rsid w:val="003E39B3"/>
    <w:rsid w:val="004003C7"/>
    <w:rsid w:val="00407C14"/>
    <w:rsid w:val="004467DD"/>
    <w:rsid w:val="004A31F8"/>
    <w:rsid w:val="004A766E"/>
    <w:rsid w:val="004B4AD3"/>
    <w:rsid w:val="004C66A9"/>
    <w:rsid w:val="004D2A5B"/>
    <w:rsid w:val="004D71E1"/>
    <w:rsid w:val="00520233"/>
    <w:rsid w:val="00535F94"/>
    <w:rsid w:val="00544797"/>
    <w:rsid w:val="00580049"/>
    <w:rsid w:val="005A369B"/>
    <w:rsid w:val="005F2DEE"/>
    <w:rsid w:val="00643145"/>
    <w:rsid w:val="0065665D"/>
    <w:rsid w:val="00696B08"/>
    <w:rsid w:val="006F5641"/>
    <w:rsid w:val="00757310"/>
    <w:rsid w:val="00772A7D"/>
    <w:rsid w:val="00793791"/>
    <w:rsid w:val="007A1986"/>
    <w:rsid w:val="007C48D6"/>
    <w:rsid w:val="007D1D42"/>
    <w:rsid w:val="00817E6D"/>
    <w:rsid w:val="00841512"/>
    <w:rsid w:val="0085445E"/>
    <w:rsid w:val="00884E0D"/>
    <w:rsid w:val="008B17BC"/>
    <w:rsid w:val="008B7393"/>
    <w:rsid w:val="008C3E3C"/>
    <w:rsid w:val="008C6E47"/>
    <w:rsid w:val="0091030A"/>
    <w:rsid w:val="00991632"/>
    <w:rsid w:val="009A4CB8"/>
    <w:rsid w:val="009B48AF"/>
    <w:rsid w:val="009C00F7"/>
    <w:rsid w:val="009C5A8B"/>
    <w:rsid w:val="009D30A7"/>
    <w:rsid w:val="00A3343C"/>
    <w:rsid w:val="00AB3C38"/>
    <w:rsid w:val="00AC3427"/>
    <w:rsid w:val="00AC55B7"/>
    <w:rsid w:val="00AE252D"/>
    <w:rsid w:val="00AF68C7"/>
    <w:rsid w:val="00B34C9D"/>
    <w:rsid w:val="00B4695E"/>
    <w:rsid w:val="00B95B65"/>
    <w:rsid w:val="00BC7262"/>
    <w:rsid w:val="00C02B8D"/>
    <w:rsid w:val="00C24608"/>
    <w:rsid w:val="00C35C56"/>
    <w:rsid w:val="00C92F33"/>
    <w:rsid w:val="00CB67B7"/>
    <w:rsid w:val="00CD5729"/>
    <w:rsid w:val="00D1408C"/>
    <w:rsid w:val="00D21498"/>
    <w:rsid w:val="00D6002A"/>
    <w:rsid w:val="00D754B6"/>
    <w:rsid w:val="00D91767"/>
    <w:rsid w:val="00D95B2F"/>
    <w:rsid w:val="00DA6C62"/>
    <w:rsid w:val="00E026AD"/>
    <w:rsid w:val="00E151E3"/>
    <w:rsid w:val="00E642E5"/>
    <w:rsid w:val="00E87A38"/>
    <w:rsid w:val="00EC62B2"/>
    <w:rsid w:val="00ED46D2"/>
    <w:rsid w:val="00EE458B"/>
    <w:rsid w:val="00F10459"/>
    <w:rsid w:val="00F32050"/>
    <w:rsid w:val="00F376D9"/>
    <w:rsid w:val="00F457EC"/>
    <w:rsid w:val="00F75E2F"/>
    <w:rsid w:val="00F959D4"/>
    <w:rsid w:val="00F95AE9"/>
    <w:rsid w:val="00FB0ACD"/>
    <w:rsid w:val="00FC6ABD"/>
    <w:rsid w:val="00FF7E9E"/>
    <w:rsid w:val="06E11C83"/>
    <w:rsid w:val="15A56D21"/>
    <w:rsid w:val="18576C81"/>
    <w:rsid w:val="18746A49"/>
    <w:rsid w:val="29192E26"/>
    <w:rsid w:val="2A362378"/>
    <w:rsid w:val="2D0C0923"/>
    <w:rsid w:val="446F180E"/>
    <w:rsid w:val="4B211A69"/>
    <w:rsid w:val="6C1A6E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eastAsia="黑体"/>
      <w:kern w:val="0"/>
      <w:sz w:val="18"/>
      <w:szCs w:val="18"/>
    </w:rPr>
  </w:style>
  <w:style w:type="paragraph" w:styleId="4">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99"/>
    <w:rPr>
      <w:rFonts w:cs="Times New Roman"/>
      <w:b/>
    </w:rPr>
  </w:style>
  <w:style w:type="character" w:styleId="11">
    <w:name w:val="page number"/>
    <w:basedOn w:val="9"/>
    <w:qFormat/>
    <w:uiPriority w:val="99"/>
    <w:rPr>
      <w:rFonts w:cs="Times New Roman"/>
    </w:rPr>
  </w:style>
  <w:style w:type="character" w:customStyle="1" w:styleId="12">
    <w:name w:val="页脚 Char"/>
    <w:basedOn w:val="9"/>
    <w:link w:val="3"/>
    <w:qFormat/>
    <w:locked/>
    <w:uiPriority w:val="99"/>
    <w:rPr>
      <w:rFonts w:ascii="Times New Roman" w:hAnsi="Times New Roman" w:eastAsia="黑体" w:cs="Times New Roman"/>
      <w:snapToGrid w:val="0"/>
      <w:kern w:val="0"/>
      <w:sz w:val="18"/>
      <w:szCs w:val="18"/>
    </w:rPr>
  </w:style>
  <w:style w:type="paragraph" w:customStyle="1" w:styleId="13">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locked/>
    <w:uiPriority w:val="99"/>
    <w:rPr>
      <w:rFonts w:ascii="Times New Roman" w:hAnsi="Times New Roman" w:eastAsia="宋体" w:cs="Times New Roman"/>
      <w:sz w:val="18"/>
      <w:szCs w:val="18"/>
    </w:rPr>
  </w:style>
  <w:style w:type="character" w:customStyle="1" w:styleId="15">
    <w:name w:val="页眉 Char"/>
    <w:basedOn w:val="9"/>
    <w:link w:val="4"/>
    <w:qFormat/>
    <w:locked/>
    <w:uiPriority w:val="99"/>
    <w:rPr>
      <w:rFonts w:ascii="Times New Roman" w:hAnsi="Times New Roman" w:eastAsia="宋体" w:cs="Times New Roman"/>
      <w:sz w:val="18"/>
      <w:szCs w:val="18"/>
    </w:rPr>
  </w:style>
  <w:style w:type="character" w:customStyle="1" w:styleId="16">
    <w:name w:val="正文文本缩进 3 Char"/>
    <w:basedOn w:val="9"/>
    <w:link w:val="5"/>
    <w:qFormat/>
    <w:locked/>
    <w:uiPriority w:val="99"/>
    <w:rPr>
      <w:rFonts w:ascii="Times New Roman" w:hAnsi="Times New Roman" w:eastAsia="仿宋_GB2312" w:cs="Times New Roman"/>
      <w:sz w:val="24"/>
      <w:szCs w:val="24"/>
    </w:rPr>
  </w:style>
  <w:style w:type="paragraph" w:customStyle="1" w:styleId="17">
    <w:name w:val="列出段落1"/>
    <w:basedOn w:val="1"/>
    <w:qFormat/>
    <w:uiPriority w:val="99"/>
    <w:pPr>
      <w:ind w:firstLine="420" w:firstLineChars="200"/>
    </w:pPr>
    <w:rPr>
      <w:rFonts w:ascii="Calibri" w:hAnsi="Calibri"/>
      <w:szCs w:val="22"/>
    </w:rPr>
  </w:style>
  <w:style w:type="paragraph" w:customStyle="1" w:styleId="18">
    <w:name w:val="普通(网站)1"/>
    <w:basedOn w:val="1"/>
    <w:qFormat/>
    <w:uiPriority w:val="99"/>
    <w:rPr>
      <w:rFonts w:ascii="Calibri" w:hAnsi="Calibri" w:cs="黑体"/>
      <w:sz w:val="24"/>
    </w:rPr>
  </w:style>
  <w:style w:type="paragraph" w:customStyle="1" w:styleId="19">
    <w:name w:val="普通(网站)2"/>
    <w:basedOn w:val="1"/>
    <w:qFormat/>
    <w:uiPriority w:val="99"/>
    <w:rPr>
      <w:rFonts w:ascii="Calibri" w:hAnsi="Calibri" w:cs="黑体"/>
      <w:sz w:val="24"/>
    </w:rPr>
  </w:style>
  <w:style w:type="paragraph" w:customStyle="1" w:styleId="20">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1562</Words>
  <Characters>8908</Characters>
  <Lines>74</Lines>
  <Paragraphs>20</Paragraphs>
  <TotalTime>6</TotalTime>
  <ScaleCrop>false</ScaleCrop>
  <LinksUpToDate>false</LinksUpToDate>
  <CharactersWithSpaces>10450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2019-04-22T13:55:00Z</dcterms:created>
  <dc:creator>王怡</dc:creator>
  <cp:lastModifiedBy>♥夏汐</cp:lastModifiedBy>
  <cp:lastPrinted>2019-04-23T04:55:00Z</cp:lastPrinted>
  <dcterms:modified xsi:type="dcterms:W3CDTF">2021-07-09T05:22:31Z</dcterms:modified>
  <dc:title>阜康市梧桐沟国家沙漠公园管理中心2019年部门预算及“三公”经费预算信息公开报告</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65F4670E581D4C97984ECAC9207F75CF</vt:lpwstr>
  </property>
</Properties>
</file>