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hAns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昌吉州阜康市农村能源办公室2019年部门</w:t>
      </w: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预算公开</w:t>
      </w: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line="500" w:lineRule="exact"/>
        <w:jc w:val="center"/>
        <w:outlineLvl w:val="1"/>
        <w:rPr>
          <w:rFonts w:ascii="黑体" w:hAnsi="黑体" w:eastAsia="黑体"/>
          <w:kern w:val="0"/>
          <w:sz w:val="44"/>
          <w:szCs w:val="44"/>
        </w:rPr>
      </w:pPr>
      <w:r>
        <w:rPr>
          <w:rFonts w:hint="eastAsia" w:ascii="黑体" w:hAnsi="黑体" w:eastAsia="黑体"/>
          <w:kern w:val="0"/>
          <w:sz w:val="44"/>
          <w:szCs w:val="44"/>
        </w:rPr>
        <w:t>目录</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阜康市农村能源办公室单位概况</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第二部分  </w:t>
      </w:r>
      <w:r>
        <w:rPr>
          <w:rFonts w:hint="eastAsia" w:ascii="宋体" w:hAnsi="宋体" w:eastAsia="仿宋_GB2312"/>
          <w:b/>
          <w:kern w:val="0"/>
          <w:sz w:val="32"/>
          <w:szCs w:val="32"/>
        </w:rPr>
        <w:t>2019</w:t>
      </w:r>
      <w:r>
        <w:rPr>
          <w:rFonts w:hint="eastAsia" w:ascii="仿宋_GB2312" w:hAnsi="宋体" w:eastAsia="仿宋_GB2312"/>
          <w:b/>
          <w:kern w:val="0"/>
          <w:sz w:val="32"/>
          <w:szCs w:val="32"/>
        </w:rPr>
        <w:t>年部门预算公开表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第三部分  </w:t>
      </w:r>
      <w:r>
        <w:rPr>
          <w:rFonts w:hint="eastAsia" w:ascii="宋体" w:hAnsi="宋体" w:eastAsia="仿宋_GB2312"/>
          <w:b/>
          <w:kern w:val="0"/>
          <w:sz w:val="32"/>
          <w:szCs w:val="32"/>
        </w:rPr>
        <w:t>2019</w:t>
      </w:r>
      <w:r>
        <w:rPr>
          <w:rFonts w:hint="eastAsia" w:ascii="仿宋_GB2312" w:hAnsi="宋体" w:eastAsia="仿宋_GB2312"/>
          <w:b/>
          <w:kern w:val="0"/>
          <w:sz w:val="32"/>
          <w:szCs w:val="32"/>
        </w:rPr>
        <w:t>年部门预算情况说明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一、关于阜康市农村能源办公室2019年收支预算情况的总体说明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二、关于阜康市农村能源办公室2019年收入预算情况说明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三、关于阜康市农村能源办公室2019年年支出预算情况说明</w:t>
      </w:r>
    </w:p>
    <w:p>
      <w:pPr>
        <w:widowControl/>
        <w:spacing w:line="460" w:lineRule="exact"/>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w:t>
      </w:r>
      <w:r>
        <w:rPr>
          <w:rFonts w:hint="eastAsia" w:ascii="仿宋_GB2312" w:hAnsi="宋体" w:eastAsia="仿宋_GB2312"/>
          <w:kern w:val="0"/>
          <w:sz w:val="32"/>
          <w:szCs w:val="32"/>
        </w:rPr>
        <w:t>阜康市农村能源办公室2019年</w:t>
      </w:r>
      <w:r>
        <w:rPr>
          <w:rFonts w:hint="eastAsia" w:ascii="仿宋_GB2312" w:hAnsi="宋体" w:eastAsia="仿宋_GB2312"/>
          <w:bCs/>
          <w:kern w:val="0"/>
          <w:sz w:val="32"/>
          <w:szCs w:val="32"/>
        </w:rPr>
        <w:t>年财政拨款收支预算情况的总体说明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五、关于阜康市农村能源办公室2019年一般公共预算当年拨款情况说明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六、关于阜康市农村能源办公室2019年一般公共预算基本支出情况说明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七、关于阜康市农村能源办公室2019年项目支出情况说明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八、关于阜康市农村能源办公室2019年一般公共预算“三公”经费预算情况说明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九、关于阜康市农村能源办公室2019年政府性基金预算拨款情况说明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jc w:val="center"/>
        <w:outlineLvl w:val="1"/>
        <w:rPr>
          <w:rFonts w:ascii="黑体" w:hAnsi="黑体" w:eastAsia="黑体"/>
          <w:kern w:val="0"/>
          <w:sz w:val="32"/>
          <w:szCs w:val="32"/>
        </w:rPr>
      </w:pPr>
      <w:r>
        <w:rPr>
          <w:rFonts w:hint="eastAsia" w:ascii="黑体" w:hAnsi="黑体" w:eastAsia="黑体"/>
          <w:kern w:val="0"/>
          <w:sz w:val="32"/>
          <w:szCs w:val="32"/>
        </w:rPr>
        <w:t>第一部分  阜康市农村能源办公室概况</w:t>
      </w:r>
    </w:p>
    <w:p>
      <w:pPr>
        <w:widowControl/>
        <w:jc w:val="center"/>
        <w:outlineLvl w:val="1"/>
        <w:rPr>
          <w:rFonts w:ascii="宋体" w:hAnsi="宋体"/>
          <w:b/>
          <w:kern w:val="0"/>
          <w:sz w:val="32"/>
          <w:szCs w:val="32"/>
        </w:rPr>
      </w:pPr>
    </w:p>
    <w:p>
      <w:pPr>
        <w:widowControl/>
        <w:numPr>
          <w:ilvl w:val="0"/>
          <w:numId w:val="1"/>
        </w:numPr>
        <w:spacing w:line="560" w:lineRule="exact"/>
        <w:jc w:val="left"/>
        <w:rPr>
          <w:rFonts w:ascii="仿宋_GB2312" w:hAnsi="宋体" w:eastAsia="仿宋_GB2312" w:cs="宋体"/>
          <w:kern w:val="0"/>
          <w:sz w:val="32"/>
          <w:szCs w:val="32"/>
        </w:rPr>
      </w:pPr>
      <w:r>
        <w:rPr>
          <w:rFonts w:hint="eastAsia" w:ascii="黑体" w:hAnsi="黑体" w:eastAsia="黑体" w:cs="宋体"/>
          <w:bCs/>
          <w:kern w:val="0"/>
          <w:sz w:val="32"/>
          <w:szCs w:val="32"/>
        </w:rPr>
        <w:t>主要职能</w:t>
      </w:r>
    </w:p>
    <w:p>
      <w:pPr>
        <w:widowControl/>
        <w:spacing w:line="560" w:lineRule="exact"/>
        <w:ind w:left="640"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贯彻落实党和国家关于农村能源政策法规、条例、标准，制定农村能源环保中长期发展规划并组织实施。对农村能源的发展、利用进行调查研究，制定切实可行的措施保护农村环境不受污染和破坏。负责农村能源的合理开发和利用作。负责组织和实施农村能源环保科研项目的引进、试验、示范</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和推广工作。</w:t>
      </w: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二、机构设置及人员情况</w:t>
      </w:r>
    </w:p>
    <w:p>
      <w:pPr>
        <w:widowControl/>
        <w:spacing w:line="560" w:lineRule="exact"/>
        <w:ind w:left="319" w:leftChars="152" w:firstLine="652" w:firstLineChars="204"/>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阜康市农村能源办公室无下属预算单位，无下设处室。</w:t>
      </w:r>
    </w:p>
    <w:p>
      <w:pPr>
        <w:widowControl/>
        <w:spacing w:line="560" w:lineRule="exact"/>
        <w:ind w:firstLine="960" w:firstLineChars="3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阜康市农村能源办公室编制数10名，实有人数5人，其中：在职5人，减少1人； 退休10人，增加0人；离休0人，增加0人。</w:t>
      </w:r>
    </w:p>
    <w:p>
      <w:pPr>
        <w:widowControl/>
        <w:spacing w:beforeLines="50"/>
        <w:ind w:firstLine="1600" w:firstLineChars="500"/>
        <w:outlineLvl w:val="1"/>
        <w:rPr>
          <w:rFonts w:ascii="黑体" w:hAnsi="黑体" w:eastAsia="黑体"/>
          <w:kern w:val="0"/>
          <w:sz w:val="32"/>
          <w:szCs w:val="32"/>
        </w:rPr>
      </w:pPr>
    </w:p>
    <w:p>
      <w:pPr>
        <w:widowControl/>
        <w:spacing w:beforeLines="50"/>
        <w:ind w:firstLine="1600" w:firstLineChars="500"/>
        <w:outlineLvl w:val="1"/>
        <w:rPr>
          <w:rFonts w:ascii="黑体" w:hAnsi="黑体" w:eastAsia="黑体"/>
          <w:kern w:val="0"/>
          <w:sz w:val="32"/>
          <w:szCs w:val="32"/>
        </w:rPr>
      </w:pPr>
    </w:p>
    <w:p>
      <w:pPr>
        <w:widowControl/>
        <w:spacing w:beforeLines="50"/>
        <w:ind w:firstLine="1600" w:firstLineChars="500"/>
        <w:outlineLvl w:val="1"/>
        <w:rPr>
          <w:rFonts w:ascii="黑体" w:hAnsi="黑体" w:eastAsia="黑体"/>
          <w:kern w:val="0"/>
          <w:sz w:val="32"/>
          <w:szCs w:val="32"/>
        </w:rPr>
      </w:pPr>
    </w:p>
    <w:p>
      <w:pPr>
        <w:widowControl/>
        <w:spacing w:beforeLines="50"/>
        <w:ind w:firstLine="960" w:firstLineChars="300"/>
        <w:outlineLvl w:val="1"/>
        <w:rPr>
          <w:rFonts w:ascii="黑体" w:hAnsi="黑体" w:eastAsia="黑体"/>
          <w:kern w:val="0"/>
          <w:sz w:val="32"/>
          <w:szCs w:val="32"/>
        </w:rPr>
      </w:pPr>
      <w:r>
        <w:rPr>
          <w:rFonts w:hint="eastAsia" w:ascii="黑体" w:hAnsi="黑体" w:eastAsia="黑体"/>
          <w:kern w:val="0"/>
          <w:sz w:val="32"/>
          <w:szCs w:val="32"/>
        </w:rPr>
        <w:t>第二部分  2019年阜康市农村能源办公室预算公开表</w:t>
      </w:r>
    </w:p>
    <w:p>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outlineLvl w:val="1"/>
        <w:rPr>
          <w:rFonts w:ascii="仿宋_GB2312" w:hAnsi="宋体" w:eastAsia="仿宋_GB2312"/>
          <w:color w:val="auto"/>
          <w:kern w:val="0"/>
          <w:sz w:val="24"/>
        </w:rPr>
      </w:pPr>
      <w:r>
        <w:rPr>
          <w:rFonts w:hint="eastAsia" w:ascii="仿宋_GB2312" w:hAnsi="宋体" w:eastAsia="仿宋_GB2312"/>
          <w:color w:val="auto"/>
          <w:kern w:val="0"/>
          <w:sz w:val="24"/>
        </w:rPr>
        <w:t>编制部门：  阜康市农村能源办公室                        单位：万元</w:t>
      </w:r>
    </w:p>
    <w:tbl>
      <w:tblPr>
        <w:tblStyle w:val="7"/>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shd w:val="clear" w:color="auto" w:fill="auto"/>
            <w:vAlign w:val="bottom"/>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收     入</w:t>
            </w:r>
          </w:p>
        </w:tc>
        <w:tc>
          <w:tcPr>
            <w:tcW w:w="4394" w:type="dxa"/>
            <w:gridSpan w:val="2"/>
            <w:tcBorders>
              <w:top w:val="single" w:color="auto" w:sz="4" w:space="0"/>
              <w:left w:val="nil"/>
              <w:bottom w:val="single" w:color="auto" w:sz="4" w:space="0"/>
              <w:right w:val="single" w:color="auto" w:sz="4" w:space="0"/>
            </w:tcBorders>
            <w:shd w:val="clear" w:color="auto" w:fill="auto"/>
            <w:vAlign w:val="bottom"/>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支     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项     目</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预算数</w:t>
            </w:r>
          </w:p>
        </w:tc>
        <w:tc>
          <w:tcPr>
            <w:tcW w:w="2693"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功能分类</w:t>
            </w:r>
          </w:p>
        </w:tc>
        <w:tc>
          <w:tcPr>
            <w:tcW w:w="1701"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财政拨款（补助）</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71.44</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201 一般公共服务支出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xml:space="preserve">    一般公共预算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71.44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202 外交支出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xml:space="preserve">    政府性基金预算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203 国防支出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教育收费（财政专户）</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204 公共安全支出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事业收入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205 教育支出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事业单位经营收入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206 科学技术支出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其他收入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207 文化体育与传媒支出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用事业基金弥补收支差额</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6.82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209 社会保险基金支出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210 医疗卫生与计划生育支出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11.72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211 节能环保支出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212 城乡社区支出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213 农林水支出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48.05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214 交通运输支出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215 资源勘探信息等支出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216 商业服务业等支出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217 金融支出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219 援助其他地区支出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220 国土资源气象等支出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221 住房保障支出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4.85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222 粮油物资管理支出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223 国有资本经营预算支出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227 预备费</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229 其他支出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231 债务还本支出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232 债务付息支出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233 债务发行费支出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20"/>
                <w:szCs w:val="20"/>
              </w:rPr>
              <w:t>小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71.44</w:t>
            </w:r>
          </w:p>
        </w:tc>
        <w:tc>
          <w:tcPr>
            <w:tcW w:w="2693"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20"/>
                <w:szCs w:val="20"/>
              </w:rPr>
              <w:t>小           计</w:t>
            </w:r>
          </w:p>
        </w:tc>
        <w:tc>
          <w:tcPr>
            <w:tcW w:w="1701"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71.44</w:t>
            </w: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color w:val="auto"/>
                <w:kern w:val="0"/>
                <w:sz w:val="18"/>
                <w:szCs w:val="18"/>
              </w:rPr>
            </w:pPr>
          </w:p>
        </w:tc>
        <w:tc>
          <w:tcPr>
            <w:tcW w:w="2693" w:type="dxa"/>
            <w:tcBorders>
              <w:top w:val="nil"/>
              <w:left w:val="nil"/>
              <w:bottom w:val="single" w:color="auto" w:sz="4" w:space="0"/>
              <w:right w:val="nil"/>
            </w:tcBorders>
            <w:shd w:val="clear" w:color="auto" w:fill="auto"/>
            <w:vAlign w:val="center"/>
          </w:tcPr>
          <w:p>
            <w:pPr>
              <w:widowControl/>
              <w:spacing w:line="30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230 转移性支出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color w:val="auto"/>
                <w:kern w:val="0"/>
                <w:sz w:val="18"/>
                <w:szCs w:val="18"/>
              </w:rPr>
            </w:pP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20"/>
                <w:szCs w:val="20"/>
              </w:rPr>
              <w:t>收  入  总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71.44</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支  出  合  计</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71.44</w:t>
            </w:r>
          </w:p>
        </w:tc>
      </w:tr>
    </w:tbl>
    <w:p>
      <w:pPr>
        <w:widowControl/>
        <w:outlineLvl w:val="1"/>
        <w:rPr>
          <w:rFonts w:ascii="仿宋_GB2312" w:hAnsi="宋体" w:eastAsia="仿宋_GB2312"/>
          <w:b/>
          <w:color w:val="auto"/>
          <w:kern w:val="0"/>
          <w:sz w:val="28"/>
          <w:szCs w:val="32"/>
        </w:rPr>
      </w:pPr>
      <w:r>
        <w:rPr>
          <w:rFonts w:hint="eastAsia" w:ascii="仿宋_GB2312" w:hAnsi="宋体" w:eastAsia="仿宋_GB2312"/>
          <w:b/>
          <w:color w:val="auto"/>
          <w:kern w:val="0"/>
          <w:sz w:val="28"/>
          <w:szCs w:val="32"/>
        </w:rPr>
        <w:t>备注：无内容应公开空表并说明情况。</w:t>
      </w:r>
    </w:p>
    <w:p>
      <w:pPr>
        <w:widowControl/>
        <w:jc w:val="left"/>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表二：</w:t>
      </w:r>
    </w:p>
    <w:p>
      <w:pPr>
        <w:widowControl/>
        <w:jc w:val="center"/>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部门收入总体情况表</w:t>
      </w:r>
    </w:p>
    <w:p>
      <w:pPr>
        <w:widowControl/>
        <w:jc w:val="left"/>
        <w:outlineLvl w:val="1"/>
        <w:rPr>
          <w:rFonts w:ascii="仿宋_GB2312" w:hAnsi="宋体" w:eastAsia="仿宋_GB2312"/>
          <w:color w:val="auto"/>
          <w:kern w:val="0"/>
          <w:sz w:val="24"/>
        </w:rPr>
      </w:pPr>
      <w:r>
        <w:rPr>
          <w:rFonts w:hint="eastAsia" w:ascii="仿宋_GB2312" w:hAnsi="宋体" w:eastAsia="仿宋_GB2312"/>
          <w:color w:val="auto"/>
          <w:kern w:val="0"/>
          <w:sz w:val="24"/>
        </w:rPr>
        <w:t>填报部门：阜康市农村能源办公室                                  单位：万元</w:t>
      </w:r>
    </w:p>
    <w:tbl>
      <w:tblPr>
        <w:tblStyle w:val="7"/>
        <w:tblW w:w="9740" w:type="dxa"/>
        <w:tblInd w:w="7" w:type="dxa"/>
        <w:tblLayout w:type="fixed"/>
        <w:tblCellMar>
          <w:top w:w="0" w:type="dxa"/>
          <w:left w:w="108" w:type="dxa"/>
          <w:bottom w:w="0" w:type="dxa"/>
          <w:right w:w="108" w:type="dxa"/>
        </w:tblCellMar>
      </w:tblPr>
      <w:tblGrid>
        <w:gridCol w:w="503"/>
        <w:gridCol w:w="417"/>
        <w:gridCol w:w="417"/>
        <w:gridCol w:w="2145"/>
        <w:gridCol w:w="820"/>
        <w:gridCol w:w="784"/>
        <w:gridCol w:w="576"/>
        <w:gridCol w:w="680"/>
        <w:gridCol w:w="680"/>
        <w:gridCol w:w="680"/>
        <w:gridCol w:w="680"/>
        <w:gridCol w:w="680"/>
        <w:gridCol w:w="678"/>
      </w:tblGrid>
      <w:tr>
        <w:tblPrEx>
          <w:tblLayout w:type="fixed"/>
          <w:tblCellMar>
            <w:top w:w="0" w:type="dxa"/>
            <w:left w:w="108" w:type="dxa"/>
            <w:bottom w:w="0" w:type="dxa"/>
            <w:right w:w="108" w:type="dxa"/>
          </w:tblCellMar>
        </w:tblPrEx>
        <w:trPr>
          <w:trHeight w:val="510" w:hRule="atLeast"/>
        </w:trPr>
        <w:tc>
          <w:tcPr>
            <w:tcW w:w="133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b/>
                <w:color w:val="auto"/>
                <w:sz w:val="20"/>
                <w:szCs w:val="20"/>
              </w:rPr>
            </w:pPr>
            <w:r>
              <w:rPr>
                <w:rFonts w:hint="eastAsia" w:ascii="仿宋_GB2312" w:eastAsia="仿宋_GB2312"/>
                <w:b/>
                <w:color w:val="auto"/>
                <w:sz w:val="20"/>
                <w:szCs w:val="20"/>
              </w:rPr>
              <w:t>功能分类科目编码</w:t>
            </w:r>
          </w:p>
        </w:tc>
        <w:tc>
          <w:tcPr>
            <w:tcW w:w="214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auto"/>
                <w:sz w:val="20"/>
                <w:szCs w:val="20"/>
              </w:rPr>
            </w:pPr>
            <w:r>
              <w:rPr>
                <w:rFonts w:hint="eastAsia" w:ascii="仿宋_GB2312" w:eastAsia="仿宋_GB2312"/>
                <w:b/>
                <w:color w:val="auto"/>
                <w:sz w:val="20"/>
                <w:szCs w:val="20"/>
              </w:rPr>
              <w:t>功能分类科目名称</w:t>
            </w:r>
          </w:p>
        </w:tc>
        <w:tc>
          <w:tcPr>
            <w:tcW w:w="82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auto"/>
                <w:sz w:val="20"/>
                <w:szCs w:val="20"/>
              </w:rPr>
            </w:pPr>
            <w:r>
              <w:rPr>
                <w:rFonts w:hint="eastAsia" w:ascii="仿宋_GB2312" w:eastAsia="仿宋_GB2312"/>
                <w:b/>
                <w:color w:val="auto"/>
                <w:sz w:val="20"/>
                <w:szCs w:val="20"/>
              </w:rPr>
              <w:t>总  计</w:t>
            </w:r>
          </w:p>
        </w:tc>
        <w:tc>
          <w:tcPr>
            <w:tcW w:w="784"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auto"/>
                <w:sz w:val="20"/>
                <w:szCs w:val="20"/>
              </w:rPr>
            </w:pPr>
            <w:r>
              <w:rPr>
                <w:rFonts w:hint="eastAsia" w:ascii="仿宋_GB2312" w:eastAsia="仿宋_GB2312"/>
                <w:b/>
                <w:color w:val="auto"/>
                <w:sz w:val="20"/>
                <w:szCs w:val="20"/>
              </w:rPr>
              <w:t>一般公共预算拨款</w:t>
            </w:r>
          </w:p>
        </w:tc>
        <w:tc>
          <w:tcPr>
            <w:tcW w:w="576"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auto"/>
                <w:sz w:val="20"/>
                <w:szCs w:val="20"/>
              </w:rPr>
            </w:pPr>
            <w:r>
              <w:rPr>
                <w:rFonts w:hint="eastAsia" w:ascii="仿宋_GB2312" w:eastAsia="仿宋_GB2312"/>
                <w:b/>
                <w:color w:val="auto"/>
                <w:sz w:val="20"/>
                <w:szCs w:val="20"/>
              </w:rPr>
              <w:t>政府性基金预算拨款</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auto"/>
                <w:sz w:val="20"/>
                <w:szCs w:val="20"/>
              </w:rPr>
            </w:pPr>
            <w:r>
              <w:rPr>
                <w:rFonts w:hint="eastAsia" w:ascii="仿宋_GB2312" w:eastAsia="仿宋_GB2312"/>
                <w:b/>
                <w:color w:val="auto"/>
                <w:sz w:val="20"/>
                <w:szCs w:val="20"/>
              </w:rPr>
              <w:t>财政专户管理资金</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auto"/>
                <w:sz w:val="20"/>
                <w:szCs w:val="20"/>
              </w:rPr>
            </w:pPr>
            <w:r>
              <w:rPr>
                <w:rFonts w:hint="eastAsia" w:ascii="仿宋_GB2312" w:eastAsia="仿宋_GB2312"/>
                <w:b/>
                <w:color w:val="auto"/>
                <w:sz w:val="20"/>
                <w:szCs w:val="20"/>
              </w:rPr>
              <w:t>事业收入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auto"/>
                <w:sz w:val="20"/>
                <w:szCs w:val="20"/>
              </w:rPr>
            </w:pPr>
            <w:r>
              <w:rPr>
                <w:rFonts w:hint="eastAsia" w:ascii="仿宋_GB2312" w:eastAsia="仿宋_GB2312"/>
                <w:b/>
                <w:color w:val="auto"/>
                <w:sz w:val="20"/>
                <w:szCs w:val="20"/>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auto"/>
                <w:sz w:val="20"/>
                <w:szCs w:val="20"/>
              </w:rPr>
            </w:pPr>
            <w:r>
              <w:rPr>
                <w:rFonts w:hint="eastAsia" w:ascii="仿宋_GB2312" w:eastAsia="仿宋_GB2312"/>
                <w:b/>
                <w:color w:val="auto"/>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auto"/>
                <w:sz w:val="20"/>
                <w:szCs w:val="20"/>
              </w:rPr>
            </w:pPr>
            <w:r>
              <w:rPr>
                <w:rFonts w:hint="eastAsia" w:ascii="仿宋_GB2312" w:eastAsia="仿宋_GB2312"/>
                <w:b/>
                <w:color w:val="auto"/>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auto"/>
                <w:sz w:val="18"/>
                <w:szCs w:val="18"/>
              </w:rPr>
            </w:pPr>
            <w:r>
              <w:rPr>
                <w:rFonts w:hint="eastAsia" w:ascii="仿宋_GB2312" w:eastAsia="仿宋_GB2312"/>
                <w:b/>
                <w:color w:val="auto"/>
                <w:sz w:val="18"/>
                <w:szCs w:val="18"/>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b/>
                <w:color w:val="auto"/>
                <w:sz w:val="20"/>
                <w:szCs w:val="20"/>
              </w:rPr>
            </w:pPr>
            <w:r>
              <w:rPr>
                <w:rFonts w:hint="eastAsia" w:ascii="仿宋_GB2312" w:eastAsia="仿宋_GB2312"/>
                <w:b/>
                <w:color w:val="auto"/>
                <w:sz w:val="20"/>
                <w:szCs w:val="20"/>
              </w:rPr>
              <w:t>类</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auto"/>
                <w:sz w:val="20"/>
                <w:szCs w:val="20"/>
              </w:rPr>
            </w:pPr>
            <w:r>
              <w:rPr>
                <w:rFonts w:hint="eastAsia" w:ascii="仿宋_GB2312" w:eastAsia="仿宋_GB2312"/>
                <w:b/>
                <w:color w:val="auto"/>
                <w:sz w:val="20"/>
                <w:szCs w:val="20"/>
              </w:rPr>
              <w:t>款</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auto"/>
                <w:sz w:val="20"/>
                <w:szCs w:val="20"/>
              </w:rPr>
            </w:pPr>
            <w:r>
              <w:rPr>
                <w:rFonts w:hint="eastAsia" w:ascii="仿宋_GB2312" w:eastAsia="仿宋_GB2312"/>
                <w:b/>
                <w:color w:val="auto"/>
                <w:sz w:val="20"/>
                <w:szCs w:val="20"/>
              </w:rPr>
              <w:t>项</w:t>
            </w:r>
          </w:p>
        </w:tc>
        <w:tc>
          <w:tcPr>
            <w:tcW w:w="214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rPr>
            </w:pPr>
          </w:p>
        </w:tc>
        <w:tc>
          <w:tcPr>
            <w:tcW w:w="82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rPr>
            </w:pPr>
          </w:p>
        </w:tc>
        <w:tc>
          <w:tcPr>
            <w:tcW w:w="784"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rPr>
            </w:pPr>
          </w:p>
        </w:tc>
        <w:tc>
          <w:tcPr>
            <w:tcW w:w="576"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rPr>
            </w:pP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208</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05</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05</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机关事业单位基本养老保险缴费支出</w:t>
            </w:r>
          </w:p>
        </w:tc>
        <w:tc>
          <w:tcPr>
            <w:tcW w:w="82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6.82</w:t>
            </w:r>
          </w:p>
        </w:tc>
        <w:tc>
          <w:tcPr>
            <w:tcW w:w="784"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6.82</w:t>
            </w:r>
          </w:p>
        </w:tc>
        <w:tc>
          <w:tcPr>
            <w:tcW w:w="576"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7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210</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11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01</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行政单位医疗</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8.14</w:t>
            </w: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8.14</w:t>
            </w: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210</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11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03</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公务员医疗</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3.58</w:t>
            </w: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3.58</w:t>
            </w: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213</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01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01</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行政运行</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48.05</w:t>
            </w: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48.05</w:t>
            </w: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221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02</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01</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住房公积金</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4.85</w:t>
            </w: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4.85</w:t>
            </w: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合计</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71.44</w:t>
            </w: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71.44</w:t>
            </w: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r>
    </w:tbl>
    <w:p>
      <w:pPr>
        <w:widowControl/>
        <w:outlineLvl w:val="1"/>
        <w:rPr>
          <w:rFonts w:ascii="仿宋_GB2312" w:hAnsi="宋体" w:eastAsia="仿宋_GB2312"/>
          <w:b/>
          <w:color w:val="auto"/>
          <w:kern w:val="0"/>
          <w:sz w:val="28"/>
          <w:szCs w:val="32"/>
        </w:rPr>
      </w:pPr>
      <w:r>
        <w:rPr>
          <w:rFonts w:hint="eastAsia" w:ascii="仿宋_GB2312" w:hAnsi="宋体" w:eastAsia="仿宋_GB2312"/>
          <w:b/>
          <w:color w:val="auto"/>
          <w:kern w:val="0"/>
          <w:sz w:val="28"/>
          <w:szCs w:val="32"/>
        </w:rPr>
        <w:t>备注：无内容应公开空表并说明情况。</w:t>
      </w:r>
    </w:p>
    <w:p>
      <w:pPr>
        <w:widowControl/>
        <w:jc w:val="left"/>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表三：</w:t>
      </w:r>
    </w:p>
    <w:p>
      <w:pPr>
        <w:widowControl/>
        <w:jc w:val="center"/>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部门支出总体情况表</w:t>
      </w:r>
    </w:p>
    <w:p>
      <w:pPr>
        <w:widowControl/>
        <w:jc w:val="left"/>
        <w:outlineLvl w:val="1"/>
        <w:rPr>
          <w:rFonts w:ascii="仿宋_GB2312" w:hAnsi="宋体" w:eastAsia="仿宋_GB2312"/>
          <w:color w:val="auto"/>
          <w:kern w:val="0"/>
          <w:sz w:val="24"/>
        </w:rPr>
      </w:pPr>
      <w:r>
        <w:rPr>
          <w:rFonts w:hint="eastAsia" w:ascii="仿宋_GB2312" w:hAnsi="宋体" w:eastAsia="仿宋_GB2312"/>
          <w:color w:val="auto"/>
          <w:kern w:val="0"/>
          <w:sz w:val="24"/>
        </w:rPr>
        <w:t>编制部门：  阜康市农村能源办公室                            单位：万元</w:t>
      </w:r>
    </w:p>
    <w:tbl>
      <w:tblPr>
        <w:tblStyle w:val="7"/>
        <w:tblW w:w="9258" w:type="dxa"/>
        <w:tblInd w:w="93" w:type="dxa"/>
        <w:tblLayout w:type="fixed"/>
        <w:tblCellMar>
          <w:top w:w="0" w:type="dxa"/>
          <w:left w:w="108" w:type="dxa"/>
          <w:bottom w:w="0" w:type="dxa"/>
          <w:right w:w="108" w:type="dxa"/>
        </w:tblCellMar>
      </w:tblPr>
      <w:tblGrid>
        <w:gridCol w:w="514"/>
        <w:gridCol w:w="480"/>
        <w:gridCol w:w="529"/>
        <w:gridCol w:w="2282"/>
        <w:gridCol w:w="29"/>
        <w:gridCol w:w="1826"/>
        <w:gridCol w:w="29"/>
        <w:gridCol w:w="1827"/>
        <w:gridCol w:w="29"/>
        <w:gridCol w:w="1684"/>
        <w:gridCol w:w="29"/>
      </w:tblGrid>
      <w:tr>
        <w:tblPrEx>
          <w:tblLayout w:type="fixed"/>
          <w:tblCellMar>
            <w:top w:w="0" w:type="dxa"/>
            <w:left w:w="108" w:type="dxa"/>
            <w:bottom w:w="0" w:type="dxa"/>
            <w:right w:w="108" w:type="dxa"/>
          </w:tblCellMar>
        </w:tblPrEx>
        <w:trPr>
          <w:gridAfter w:val="1"/>
          <w:wAfter w:w="29" w:type="dxa"/>
          <w:trHeight w:val="345" w:hRule="atLeast"/>
        </w:trPr>
        <w:tc>
          <w:tcPr>
            <w:tcW w:w="380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0"/>
                <w:szCs w:val="20"/>
              </w:rPr>
            </w:pPr>
            <w:r>
              <w:rPr>
                <w:rFonts w:hint="eastAsia" w:ascii="宋体" w:hAnsi="宋体" w:cs="宋体"/>
                <w:b/>
                <w:bCs/>
                <w:color w:val="auto"/>
                <w:kern w:val="0"/>
                <w:sz w:val="20"/>
                <w:szCs w:val="20"/>
              </w:rPr>
              <w:t>项目</w:t>
            </w:r>
          </w:p>
        </w:tc>
        <w:tc>
          <w:tcPr>
            <w:tcW w:w="5424" w:type="dxa"/>
            <w:gridSpan w:val="6"/>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b/>
                <w:bCs/>
                <w:color w:val="auto"/>
                <w:kern w:val="0"/>
                <w:sz w:val="20"/>
                <w:szCs w:val="20"/>
              </w:rPr>
            </w:pPr>
            <w:r>
              <w:rPr>
                <w:rFonts w:hint="eastAsia" w:ascii="宋体" w:hAnsi="宋体" w:cs="宋体"/>
                <w:b/>
                <w:bCs/>
                <w:color w:val="auto"/>
                <w:kern w:val="0"/>
                <w:sz w:val="20"/>
                <w:szCs w:val="20"/>
              </w:rPr>
              <w:t>支出预算</w:t>
            </w:r>
          </w:p>
        </w:tc>
      </w:tr>
      <w:tr>
        <w:tblPrEx>
          <w:tblLayout w:type="fixed"/>
          <w:tblCellMar>
            <w:top w:w="0" w:type="dxa"/>
            <w:left w:w="108" w:type="dxa"/>
            <w:bottom w:w="0" w:type="dxa"/>
            <w:right w:w="108" w:type="dxa"/>
          </w:tblCellMar>
        </w:tblPrEx>
        <w:trPr>
          <w:gridAfter w:val="1"/>
          <w:wAfter w:w="29" w:type="dxa"/>
          <w:trHeight w:val="480" w:hRule="atLeast"/>
        </w:trPr>
        <w:tc>
          <w:tcPr>
            <w:tcW w:w="152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0"/>
                <w:szCs w:val="20"/>
              </w:rPr>
            </w:pPr>
            <w:r>
              <w:rPr>
                <w:rFonts w:hint="eastAsia" w:ascii="宋体" w:hAnsi="宋体" w:cs="宋体"/>
                <w:b/>
                <w:bCs/>
                <w:color w:val="auto"/>
                <w:kern w:val="0"/>
                <w:sz w:val="20"/>
                <w:szCs w:val="20"/>
              </w:rPr>
              <w:t>功能分类科目编码</w:t>
            </w:r>
          </w:p>
        </w:tc>
        <w:tc>
          <w:tcPr>
            <w:tcW w:w="2282"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auto"/>
                <w:kern w:val="0"/>
                <w:sz w:val="20"/>
                <w:szCs w:val="20"/>
              </w:rPr>
            </w:pPr>
            <w:r>
              <w:rPr>
                <w:rFonts w:hint="eastAsia" w:ascii="宋体" w:hAnsi="宋体" w:cs="宋体"/>
                <w:b/>
                <w:bCs/>
                <w:color w:val="auto"/>
                <w:kern w:val="0"/>
                <w:sz w:val="20"/>
                <w:szCs w:val="20"/>
              </w:rPr>
              <w:t>功能分类科目名称</w:t>
            </w:r>
          </w:p>
        </w:tc>
        <w:tc>
          <w:tcPr>
            <w:tcW w:w="1855" w:type="dxa"/>
            <w:gridSpan w:val="2"/>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auto"/>
                <w:kern w:val="0"/>
                <w:sz w:val="20"/>
                <w:szCs w:val="20"/>
              </w:rPr>
            </w:pPr>
            <w:r>
              <w:rPr>
                <w:rFonts w:hint="eastAsia" w:ascii="宋体" w:hAnsi="宋体" w:cs="宋体"/>
                <w:b/>
                <w:bCs/>
                <w:color w:val="auto"/>
                <w:kern w:val="0"/>
                <w:sz w:val="20"/>
                <w:szCs w:val="20"/>
              </w:rPr>
              <w:t>合计</w:t>
            </w:r>
          </w:p>
        </w:tc>
        <w:tc>
          <w:tcPr>
            <w:tcW w:w="1856" w:type="dxa"/>
            <w:gridSpan w:val="2"/>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auto"/>
                <w:kern w:val="0"/>
                <w:sz w:val="20"/>
                <w:szCs w:val="20"/>
              </w:rPr>
            </w:pPr>
            <w:r>
              <w:rPr>
                <w:rFonts w:hint="eastAsia" w:ascii="宋体" w:hAnsi="宋体" w:cs="宋体"/>
                <w:b/>
                <w:bCs/>
                <w:color w:val="auto"/>
                <w:kern w:val="0"/>
                <w:sz w:val="20"/>
                <w:szCs w:val="20"/>
              </w:rPr>
              <w:t>基本支出</w:t>
            </w:r>
          </w:p>
        </w:tc>
        <w:tc>
          <w:tcPr>
            <w:tcW w:w="1713" w:type="dxa"/>
            <w:gridSpan w:val="2"/>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auto"/>
                <w:kern w:val="0"/>
                <w:sz w:val="20"/>
                <w:szCs w:val="20"/>
              </w:rPr>
            </w:pPr>
            <w:r>
              <w:rPr>
                <w:rFonts w:hint="eastAsia" w:ascii="宋体" w:hAnsi="宋体" w:cs="宋体"/>
                <w:b/>
                <w:bCs/>
                <w:color w:val="auto"/>
                <w:kern w:val="0"/>
                <w:sz w:val="20"/>
                <w:szCs w:val="20"/>
              </w:rPr>
              <w:t>项目支出</w:t>
            </w:r>
          </w:p>
        </w:tc>
      </w:tr>
      <w:tr>
        <w:tblPrEx>
          <w:tblLayout w:type="fixed"/>
          <w:tblCellMar>
            <w:top w:w="0" w:type="dxa"/>
            <w:left w:w="108" w:type="dxa"/>
            <w:bottom w:w="0" w:type="dxa"/>
            <w:right w:w="108" w:type="dxa"/>
          </w:tblCellMar>
        </w:tblPrEx>
        <w:trPr>
          <w:trHeight w:val="270"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类</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款</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项</w:t>
            </w:r>
          </w:p>
        </w:tc>
        <w:tc>
          <w:tcPr>
            <w:tcW w:w="2311" w:type="dxa"/>
            <w:gridSpan w:val="2"/>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auto"/>
                <w:kern w:val="0"/>
                <w:sz w:val="20"/>
                <w:szCs w:val="20"/>
              </w:rPr>
            </w:pPr>
          </w:p>
        </w:tc>
        <w:tc>
          <w:tcPr>
            <w:tcW w:w="1855" w:type="dxa"/>
            <w:gridSpan w:val="2"/>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auto"/>
                <w:kern w:val="0"/>
                <w:sz w:val="20"/>
                <w:szCs w:val="20"/>
              </w:rPr>
            </w:pPr>
          </w:p>
        </w:tc>
        <w:tc>
          <w:tcPr>
            <w:tcW w:w="1856" w:type="dxa"/>
            <w:gridSpan w:val="2"/>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auto"/>
                <w:kern w:val="0"/>
                <w:sz w:val="20"/>
                <w:szCs w:val="20"/>
              </w:rPr>
            </w:pPr>
          </w:p>
        </w:tc>
        <w:tc>
          <w:tcPr>
            <w:tcW w:w="1713" w:type="dxa"/>
            <w:gridSpan w:val="2"/>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auto"/>
                <w:kern w:val="0"/>
                <w:sz w:val="20"/>
                <w:szCs w:val="20"/>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208</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05</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05</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eastAsia="仿宋_GB2312"/>
                <w:color w:val="auto"/>
                <w:sz w:val="18"/>
                <w:szCs w:val="18"/>
              </w:rPr>
              <w:t>机关事业单位基本养老保险缴费支出</w:t>
            </w:r>
          </w:p>
        </w:tc>
        <w:tc>
          <w:tcPr>
            <w:tcW w:w="1855"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eastAsia="仿宋_GB2312"/>
                <w:color w:val="auto"/>
                <w:sz w:val="20"/>
                <w:szCs w:val="20"/>
              </w:rPr>
              <w:t>6.82</w:t>
            </w:r>
          </w:p>
        </w:tc>
        <w:tc>
          <w:tcPr>
            <w:tcW w:w="1856"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eastAsia="仿宋_GB2312"/>
                <w:color w:val="auto"/>
                <w:sz w:val="20"/>
                <w:szCs w:val="20"/>
              </w:rPr>
              <w:t>6.82</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210</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11</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01</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eastAsia="仿宋_GB2312"/>
                <w:color w:val="auto"/>
                <w:sz w:val="18"/>
                <w:szCs w:val="18"/>
              </w:rPr>
              <w:t>行政单位医疗</w:t>
            </w:r>
          </w:p>
        </w:tc>
        <w:tc>
          <w:tcPr>
            <w:tcW w:w="1855"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eastAsia="仿宋_GB2312"/>
                <w:color w:val="auto"/>
                <w:sz w:val="20"/>
                <w:szCs w:val="20"/>
              </w:rPr>
              <w:t>8.14</w:t>
            </w:r>
          </w:p>
        </w:tc>
        <w:tc>
          <w:tcPr>
            <w:tcW w:w="1856"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eastAsia="仿宋_GB2312"/>
                <w:color w:val="auto"/>
                <w:sz w:val="20"/>
                <w:szCs w:val="20"/>
              </w:rPr>
              <w:t>8.14</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210</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11</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03</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eastAsia="仿宋_GB2312"/>
                <w:color w:val="auto"/>
                <w:sz w:val="18"/>
                <w:szCs w:val="18"/>
              </w:rPr>
              <w:t>公务员医疗</w:t>
            </w:r>
          </w:p>
        </w:tc>
        <w:tc>
          <w:tcPr>
            <w:tcW w:w="1855"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eastAsia="仿宋_GB2312"/>
                <w:color w:val="auto"/>
                <w:sz w:val="20"/>
                <w:szCs w:val="20"/>
              </w:rPr>
              <w:t>3.58</w:t>
            </w:r>
          </w:p>
        </w:tc>
        <w:tc>
          <w:tcPr>
            <w:tcW w:w="1856"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eastAsia="仿宋_GB2312"/>
                <w:color w:val="auto"/>
                <w:sz w:val="20"/>
                <w:szCs w:val="20"/>
              </w:rPr>
              <w:t>3.58</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213</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01</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01</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eastAsia="仿宋_GB2312"/>
                <w:color w:val="auto"/>
                <w:sz w:val="18"/>
                <w:szCs w:val="18"/>
              </w:rPr>
              <w:t>行政运行</w:t>
            </w:r>
          </w:p>
        </w:tc>
        <w:tc>
          <w:tcPr>
            <w:tcW w:w="1855"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eastAsia="仿宋_GB2312"/>
                <w:color w:val="auto"/>
                <w:sz w:val="20"/>
                <w:szCs w:val="20"/>
              </w:rPr>
              <w:t>48.05</w:t>
            </w:r>
          </w:p>
        </w:tc>
        <w:tc>
          <w:tcPr>
            <w:tcW w:w="1856"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eastAsia="仿宋_GB2312"/>
                <w:color w:val="auto"/>
                <w:sz w:val="20"/>
                <w:szCs w:val="20"/>
              </w:rPr>
              <w:t>48.05</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221</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02</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01</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eastAsia="仿宋_GB2312"/>
                <w:color w:val="auto"/>
                <w:sz w:val="18"/>
                <w:szCs w:val="18"/>
              </w:rPr>
              <w:t>住房公积金</w:t>
            </w:r>
          </w:p>
        </w:tc>
        <w:tc>
          <w:tcPr>
            <w:tcW w:w="1855"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eastAsia="仿宋_GB2312"/>
                <w:color w:val="auto"/>
                <w:sz w:val="20"/>
                <w:szCs w:val="20"/>
              </w:rPr>
              <w:t>4.85</w:t>
            </w:r>
          </w:p>
        </w:tc>
        <w:tc>
          <w:tcPr>
            <w:tcW w:w="1856"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eastAsia="仿宋_GB2312"/>
                <w:color w:val="auto"/>
                <w:sz w:val="20"/>
                <w:szCs w:val="20"/>
              </w:rPr>
              <w:t>4.85</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2"/>
                <w:szCs w:val="22"/>
              </w:rPr>
            </w:pPr>
            <w:r>
              <w:rPr>
                <w:rFonts w:hint="eastAsia" w:ascii="宋体" w:hAnsi="宋体" w:cs="宋体"/>
                <w:color w:val="auto"/>
                <w:kern w:val="0"/>
                <w:sz w:val="22"/>
                <w:szCs w:val="22"/>
              </w:rPr>
              <w:t>　</w:t>
            </w:r>
          </w:p>
        </w:tc>
        <w:tc>
          <w:tcPr>
            <w:tcW w:w="4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2"/>
                <w:szCs w:val="22"/>
              </w:rPr>
            </w:pPr>
            <w:r>
              <w:rPr>
                <w:rFonts w:hint="eastAsia" w:ascii="宋体" w:hAnsi="宋体" w:cs="宋体"/>
                <w:color w:val="auto"/>
                <w:kern w:val="0"/>
                <w:sz w:val="22"/>
                <w:szCs w:val="22"/>
              </w:rPr>
              <w:t>　</w:t>
            </w:r>
          </w:p>
        </w:tc>
        <w:tc>
          <w:tcPr>
            <w:tcW w:w="52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2"/>
                <w:szCs w:val="22"/>
              </w:rPr>
            </w:pPr>
            <w:r>
              <w:rPr>
                <w:rFonts w:hint="eastAsia" w:ascii="宋体" w:hAnsi="宋体" w:cs="宋体"/>
                <w:color w:val="auto"/>
                <w:kern w:val="0"/>
                <w:sz w:val="22"/>
                <w:szCs w:val="22"/>
              </w:rPr>
              <w:t>合计</w:t>
            </w:r>
          </w:p>
        </w:tc>
        <w:tc>
          <w:tcPr>
            <w:tcW w:w="1855"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4"/>
              </w:rPr>
            </w:pPr>
            <w:r>
              <w:rPr>
                <w:rFonts w:hint="eastAsia" w:ascii="仿宋_GB2312" w:eastAsia="仿宋_GB2312"/>
                <w:color w:val="auto"/>
                <w:sz w:val="20"/>
                <w:szCs w:val="20"/>
              </w:rPr>
              <w:t>71.44</w:t>
            </w:r>
          </w:p>
        </w:tc>
        <w:tc>
          <w:tcPr>
            <w:tcW w:w="1856"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4"/>
              </w:rPr>
            </w:pPr>
            <w:r>
              <w:rPr>
                <w:rFonts w:hint="eastAsia" w:ascii="仿宋_GB2312" w:eastAsia="仿宋_GB2312"/>
                <w:color w:val="auto"/>
                <w:sz w:val="20"/>
                <w:szCs w:val="20"/>
              </w:rPr>
              <w:t>71.44</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r>
    </w:tbl>
    <w:p>
      <w:pPr>
        <w:widowControl/>
        <w:outlineLvl w:val="1"/>
        <w:rPr>
          <w:rFonts w:ascii="仿宋_GB2312" w:hAnsi="宋体" w:eastAsia="仿宋_GB2312"/>
          <w:b/>
          <w:color w:val="auto"/>
          <w:kern w:val="0"/>
          <w:sz w:val="28"/>
          <w:szCs w:val="32"/>
        </w:rPr>
      </w:pPr>
      <w:r>
        <w:rPr>
          <w:rFonts w:hint="eastAsia" w:ascii="仿宋_GB2312" w:hAnsi="宋体" w:eastAsia="仿宋_GB2312"/>
          <w:b/>
          <w:color w:val="auto"/>
          <w:kern w:val="0"/>
          <w:sz w:val="28"/>
          <w:szCs w:val="32"/>
        </w:rPr>
        <w:t>备注：无内容应公开空表并说明情况。</w:t>
      </w:r>
    </w:p>
    <w:p>
      <w:pPr>
        <w:widowControl/>
        <w:spacing w:beforeLines="50"/>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表四：</w:t>
      </w:r>
    </w:p>
    <w:p>
      <w:pPr>
        <w:widowControl/>
        <w:spacing w:beforeLines="50"/>
        <w:outlineLvl w:val="1"/>
        <w:rPr>
          <w:rFonts w:ascii="仿宋_GB2312" w:hAnsi="宋体" w:eastAsia="仿宋_GB2312"/>
          <w:b/>
          <w:color w:val="auto"/>
          <w:kern w:val="0"/>
          <w:sz w:val="32"/>
          <w:szCs w:val="32"/>
        </w:rPr>
      </w:pPr>
    </w:p>
    <w:p>
      <w:pPr>
        <w:widowControl/>
        <w:spacing w:beforeLines="50"/>
        <w:jc w:val="center"/>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财政拨款收支预算总体情况表</w:t>
      </w:r>
    </w:p>
    <w:p>
      <w:pPr>
        <w:widowControl/>
        <w:spacing w:beforeLines="50"/>
        <w:outlineLvl w:val="1"/>
        <w:rPr>
          <w:rFonts w:ascii="仿宋_GB2312" w:hAnsi="宋体" w:eastAsia="仿宋_GB2312"/>
          <w:color w:val="auto"/>
          <w:kern w:val="0"/>
          <w:sz w:val="28"/>
          <w:szCs w:val="28"/>
        </w:rPr>
      </w:pPr>
      <w:r>
        <w:rPr>
          <w:rFonts w:hint="eastAsia" w:ascii="仿宋_GB2312" w:hAnsi="宋体" w:eastAsia="仿宋_GB2312"/>
          <w:color w:val="auto"/>
          <w:kern w:val="0"/>
          <w:sz w:val="28"/>
          <w:szCs w:val="28"/>
        </w:rPr>
        <w:t>编制部门： 阜康市农村能源办公室                  单位：万元</w:t>
      </w:r>
    </w:p>
    <w:tbl>
      <w:tblPr>
        <w:tblStyle w:val="7"/>
        <w:tblW w:w="9229" w:type="dxa"/>
        <w:tblInd w:w="93" w:type="dxa"/>
        <w:tblLayout w:type="fixed"/>
        <w:tblCellMar>
          <w:top w:w="0" w:type="dxa"/>
          <w:left w:w="108" w:type="dxa"/>
          <w:bottom w:w="0" w:type="dxa"/>
          <w:right w:w="108" w:type="dxa"/>
        </w:tblCellMar>
      </w:tblPr>
      <w:tblGrid>
        <w:gridCol w:w="1620"/>
        <w:gridCol w:w="1230"/>
        <w:gridCol w:w="2250"/>
        <w:gridCol w:w="1294"/>
        <w:gridCol w:w="1418"/>
        <w:gridCol w:w="1417"/>
      </w:tblGrid>
      <w:tr>
        <w:tblPrEx>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财政拨款收入</w:t>
            </w:r>
          </w:p>
        </w:tc>
        <w:tc>
          <w:tcPr>
            <w:tcW w:w="6379"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财政拨款支出</w:t>
            </w:r>
          </w:p>
        </w:tc>
      </w:tr>
      <w:tr>
        <w:tblPrEx>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项    目</w:t>
            </w:r>
          </w:p>
        </w:tc>
        <w:tc>
          <w:tcPr>
            <w:tcW w:w="12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合计</w:t>
            </w:r>
          </w:p>
        </w:tc>
        <w:tc>
          <w:tcPr>
            <w:tcW w:w="22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功  能  分  类</w:t>
            </w:r>
          </w:p>
        </w:tc>
        <w:tc>
          <w:tcPr>
            <w:tcW w:w="12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合计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一般公共预算</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政府性基金预算</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财政拨款（补助）</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71.44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201 一般公共服务支出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xml:space="preserve"> 一般公共预算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71.44</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202 外交支出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xml:space="preserve"> 政府性基金预算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203 国防支出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204 公共安全支出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205 教育支出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206 科学技术支出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207 文化体育与传媒支出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208 社会保障和就业支出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6.82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6.82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209 社会保险基金支出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5"/>
                <w:szCs w:val="15"/>
              </w:rPr>
            </w:pPr>
            <w:r>
              <w:rPr>
                <w:rFonts w:hint="eastAsia" w:ascii="仿宋_GB2312" w:hAnsi="宋体" w:eastAsia="仿宋_GB2312" w:cs="宋体"/>
                <w:color w:val="auto"/>
                <w:kern w:val="0"/>
                <w:sz w:val="15"/>
                <w:szCs w:val="15"/>
              </w:rPr>
              <w:t>210 医疗卫生与计划生育支出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11.72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11.72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211 节能环保支出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212 城乡社区支出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213 农林水支出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48.05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48.05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214 交通运输支出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215 资源勘探信息等支出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216 商业服务业等支出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217 金融支出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219 援助其他地区支出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220 国土资源气象等支出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221 住房保障支出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4.85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4.85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222 粮油物资管理支出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5"/>
                <w:szCs w:val="15"/>
              </w:rPr>
            </w:pPr>
            <w:r>
              <w:rPr>
                <w:rFonts w:hint="eastAsia" w:ascii="仿宋_GB2312" w:hAnsi="宋体" w:eastAsia="仿宋_GB2312" w:cs="宋体"/>
                <w:color w:val="auto"/>
                <w:kern w:val="0"/>
                <w:sz w:val="15"/>
                <w:szCs w:val="15"/>
              </w:rPr>
              <w:t>223 国有资本经营预算支出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227 预备费</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229 其他支出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231 债务还本支出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2"/>
                <w:szCs w:val="22"/>
              </w:rPr>
            </w:pPr>
            <w:r>
              <w:rPr>
                <w:rFonts w:hint="eastAsia" w:ascii="宋体" w:hAnsi="宋体" w:cs="宋体"/>
                <w:color w:val="auto"/>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2"/>
                <w:szCs w:val="22"/>
              </w:rPr>
            </w:pPr>
            <w:r>
              <w:rPr>
                <w:rFonts w:hint="eastAsia" w:ascii="宋体" w:hAnsi="宋体" w:cs="宋体"/>
                <w:color w:val="auto"/>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2"/>
                <w:szCs w:val="22"/>
              </w:rPr>
            </w:pPr>
            <w:r>
              <w:rPr>
                <w:rFonts w:hint="eastAsia" w:ascii="宋体" w:hAnsi="宋体" w:cs="宋体"/>
                <w:color w:val="auto"/>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232 债务付息支出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2"/>
                <w:szCs w:val="22"/>
              </w:rPr>
            </w:pPr>
            <w:r>
              <w:rPr>
                <w:rFonts w:hint="eastAsia" w:ascii="宋体" w:hAnsi="宋体" w:cs="宋体"/>
                <w:color w:val="auto"/>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2"/>
                <w:szCs w:val="22"/>
              </w:rPr>
            </w:pPr>
            <w:r>
              <w:rPr>
                <w:rFonts w:hint="eastAsia" w:ascii="宋体" w:hAnsi="宋体" w:cs="宋体"/>
                <w:color w:val="auto"/>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2"/>
                <w:szCs w:val="22"/>
              </w:rPr>
            </w:pPr>
            <w:r>
              <w:rPr>
                <w:rFonts w:hint="eastAsia" w:ascii="宋体" w:hAnsi="宋体" w:cs="宋体"/>
                <w:color w:val="auto"/>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233 债务发行费支出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auto"/>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auto"/>
                <w:kern w:val="0"/>
                <w:sz w:val="18"/>
                <w:szCs w:val="18"/>
              </w:rPr>
            </w:pPr>
            <w:r>
              <w:rPr>
                <w:rFonts w:hint="eastAsia" w:ascii="宋体" w:hAnsi="宋体" w:cs="宋体"/>
                <w:b/>
                <w:bCs/>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0"/>
                <w:szCs w:val="20"/>
              </w:rPr>
              <w:t>小       计</w:t>
            </w:r>
          </w:p>
        </w:tc>
        <w:tc>
          <w:tcPr>
            <w:tcW w:w="123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71.44</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20"/>
                <w:szCs w:val="20"/>
              </w:rPr>
              <w:t>小           计</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22"/>
                <w:szCs w:val="22"/>
              </w:rPr>
              <w:t>71.44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22"/>
                <w:szCs w:val="22"/>
              </w:rPr>
              <w:t>71.44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230 转移性支出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2"/>
                <w:szCs w:val="22"/>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2"/>
                <w:szCs w:val="22"/>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53"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收  入  总  计</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71.44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支  出  总  计</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22"/>
                <w:szCs w:val="22"/>
              </w:rPr>
              <w:t>71.44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22"/>
                <w:szCs w:val="22"/>
              </w:rPr>
              <w:t>71.44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bl>
    <w:p>
      <w:pPr>
        <w:widowControl/>
        <w:outlineLvl w:val="1"/>
        <w:rPr>
          <w:rFonts w:ascii="仿宋_GB2312" w:hAnsi="宋体" w:eastAsia="仿宋_GB2312"/>
          <w:b/>
          <w:color w:val="auto"/>
          <w:kern w:val="0"/>
          <w:sz w:val="28"/>
          <w:szCs w:val="32"/>
        </w:rPr>
      </w:pPr>
      <w:r>
        <w:rPr>
          <w:rFonts w:hint="eastAsia" w:ascii="仿宋_GB2312" w:hAnsi="宋体" w:eastAsia="仿宋_GB2312"/>
          <w:b/>
          <w:color w:val="auto"/>
          <w:kern w:val="0"/>
          <w:sz w:val="28"/>
          <w:szCs w:val="32"/>
        </w:rPr>
        <w:t>备注：无内容应公开空表并说明情况。</w:t>
      </w:r>
    </w:p>
    <w:p>
      <w:pPr>
        <w:widowControl/>
        <w:jc w:val="left"/>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表五：</w:t>
      </w:r>
    </w:p>
    <w:tbl>
      <w:tblPr>
        <w:tblStyle w:val="7"/>
        <w:tblW w:w="9087" w:type="dxa"/>
        <w:tblInd w:w="93" w:type="dxa"/>
        <w:tblLayout w:type="fixed"/>
        <w:tblCellMar>
          <w:top w:w="0" w:type="dxa"/>
          <w:left w:w="108" w:type="dxa"/>
          <w:bottom w:w="0" w:type="dxa"/>
          <w:right w:w="108" w:type="dxa"/>
        </w:tblCellMar>
      </w:tblPr>
      <w:tblGrid>
        <w:gridCol w:w="583"/>
        <w:gridCol w:w="436"/>
        <w:gridCol w:w="450"/>
        <w:gridCol w:w="2391"/>
        <w:gridCol w:w="660"/>
        <w:gridCol w:w="1024"/>
        <w:gridCol w:w="216"/>
        <w:gridCol w:w="1626"/>
        <w:gridCol w:w="1701"/>
      </w:tblGrid>
      <w:tr>
        <w:tblPrEx>
          <w:tblLayout w:type="fixed"/>
          <w:tblCellMar>
            <w:top w:w="0" w:type="dxa"/>
            <w:left w:w="108" w:type="dxa"/>
            <w:bottom w:w="0" w:type="dxa"/>
            <w:right w:w="108" w:type="dxa"/>
          </w:tblCellMar>
        </w:tblPrEx>
        <w:trPr>
          <w:trHeight w:val="450" w:hRule="atLeast"/>
        </w:trPr>
        <w:tc>
          <w:tcPr>
            <w:tcW w:w="9087" w:type="dxa"/>
            <w:gridSpan w:val="9"/>
            <w:tcBorders>
              <w:top w:val="nil"/>
              <w:left w:val="nil"/>
              <w:bottom w:val="nil"/>
              <w:right w:val="nil"/>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一般公共预算支出情况表</w:t>
            </w:r>
          </w:p>
        </w:tc>
      </w:tr>
      <w:tr>
        <w:tblPrEx>
          <w:tblLayout w:type="fixed"/>
          <w:tblCellMar>
            <w:top w:w="0" w:type="dxa"/>
            <w:left w:w="108" w:type="dxa"/>
            <w:bottom w:w="0" w:type="dxa"/>
            <w:right w:w="108" w:type="dxa"/>
          </w:tblCellMar>
        </w:tblPrEx>
        <w:trPr>
          <w:trHeight w:val="285" w:hRule="atLeast"/>
        </w:trPr>
        <w:tc>
          <w:tcPr>
            <w:tcW w:w="3860" w:type="dxa"/>
            <w:gridSpan w:val="4"/>
            <w:tcBorders>
              <w:top w:val="nil"/>
              <w:left w:val="nil"/>
              <w:bottom w:val="nil"/>
              <w:right w:val="nil"/>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编制部门：</w:t>
            </w:r>
          </w:p>
        </w:tc>
        <w:tc>
          <w:tcPr>
            <w:tcW w:w="660" w:type="dxa"/>
            <w:tcBorders>
              <w:top w:val="nil"/>
              <w:left w:val="nil"/>
              <w:bottom w:val="nil"/>
              <w:right w:val="nil"/>
            </w:tcBorders>
            <w:shd w:val="clear" w:color="auto" w:fill="auto"/>
            <w:vAlign w:val="center"/>
          </w:tcPr>
          <w:p>
            <w:pPr>
              <w:widowControl/>
              <w:jc w:val="left"/>
              <w:rPr>
                <w:rFonts w:ascii="仿宋_GB2312" w:hAnsi="宋体" w:eastAsia="仿宋_GB2312" w:cs="宋体"/>
                <w:color w:val="auto"/>
                <w:kern w:val="0"/>
                <w:sz w:val="24"/>
              </w:rPr>
            </w:pPr>
          </w:p>
        </w:tc>
        <w:tc>
          <w:tcPr>
            <w:tcW w:w="1240"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xml:space="preserve">  </w:t>
            </w:r>
          </w:p>
        </w:tc>
        <w:tc>
          <w:tcPr>
            <w:tcW w:w="3327" w:type="dxa"/>
            <w:gridSpan w:val="2"/>
            <w:tcBorders>
              <w:top w:val="nil"/>
              <w:left w:val="nil"/>
              <w:bottom w:val="nil"/>
              <w:right w:val="nil"/>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单位：万元</w:t>
            </w:r>
          </w:p>
        </w:tc>
      </w:tr>
      <w:tr>
        <w:tblPrEx>
          <w:tblLayout w:type="fixed"/>
          <w:tblCellMar>
            <w:top w:w="0" w:type="dxa"/>
            <w:left w:w="108" w:type="dxa"/>
            <w:bottom w:w="0" w:type="dxa"/>
            <w:right w:w="108" w:type="dxa"/>
          </w:tblCellMar>
        </w:tblPrEx>
        <w:trPr>
          <w:trHeight w:val="405" w:hRule="atLeast"/>
        </w:trPr>
        <w:tc>
          <w:tcPr>
            <w:tcW w:w="3860"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auto"/>
                <w:kern w:val="0"/>
                <w:sz w:val="22"/>
                <w:szCs w:val="22"/>
              </w:rPr>
            </w:pPr>
            <w:r>
              <w:rPr>
                <w:rFonts w:hint="eastAsia" w:ascii="仿宋_GB2312" w:hAnsi="宋体" w:eastAsia="仿宋_GB2312" w:cs="宋体"/>
                <w:b/>
                <w:bCs/>
                <w:color w:val="auto"/>
                <w:kern w:val="0"/>
                <w:sz w:val="22"/>
                <w:szCs w:val="22"/>
              </w:rPr>
              <w:t>项目</w:t>
            </w:r>
          </w:p>
        </w:tc>
        <w:tc>
          <w:tcPr>
            <w:tcW w:w="5227"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auto"/>
                <w:kern w:val="0"/>
                <w:sz w:val="22"/>
                <w:szCs w:val="22"/>
              </w:rPr>
            </w:pPr>
            <w:r>
              <w:rPr>
                <w:rFonts w:hint="eastAsia" w:ascii="仿宋_GB2312" w:hAnsi="宋体" w:eastAsia="仿宋_GB2312" w:cs="宋体"/>
                <w:b/>
                <w:bCs/>
                <w:color w:val="auto"/>
                <w:kern w:val="0"/>
                <w:sz w:val="22"/>
                <w:szCs w:val="22"/>
              </w:rPr>
              <w:t>一般公共预算支出</w:t>
            </w:r>
          </w:p>
        </w:tc>
      </w:tr>
      <w:tr>
        <w:tblPrEx>
          <w:tblLayout w:type="fixed"/>
          <w:tblCellMar>
            <w:top w:w="0" w:type="dxa"/>
            <w:left w:w="108" w:type="dxa"/>
            <w:bottom w:w="0" w:type="dxa"/>
            <w:right w:w="108" w:type="dxa"/>
          </w:tblCellMar>
        </w:tblPrEx>
        <w:trPr>
          <w:trHeight w:val="465" w:hRule="atLeast"/>
        </w:trPr>
        <w:tc>
          <w:tcPr>
            <w:tcW w:w="1469"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功能分类科目编码</w:t>
            </w:r>
          </w:p>
        </w:tc>
        <w:tc>
          <w:tcPr>
            <w:tcW w:w="239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功能分类科目名称</w:t>
            </w:r>
          </w:p>
        </w:tc>
        <w:tc>
          <w:tcPr>
            <w:tcW w:w="1684"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项目支出</w:t>
            </w:r>
          </w:p>
        </w:tc>
      </w:tr>
      <w:tr>
        <w:tblPrEx>
          <w:tblLayout w:type="fixed"/>
          <w:tblCellMar>
            <w:top w:w="0" w:type="dxa"/>
            <w:left w:w="108" w:type="dxa"/>
            <w:bottom w:w="0" w:type="dxa"/>
            <w:right w:w="108" w:type="dxa"/>
          </w:tblCellMar>
        </w:tblPrEx>
        <w:trPr>
          <w:trHeight w:val="300" w:hRule="atLeast"/>
        </w:trPr>
        <w:tc>
          <w:tcPr>
            <w:tcW w:w="58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类</w:t>
            </w:r>
          </w:p>
        </w:tc>
        <w:tc>
          <w:tcPr>
            <w:tcW w:w="43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款</w:t>
            </w:r>
          </w:p>
        </w:tc>
        <w:tc>
          <w:tcPr>
            <w:tcW w:w="4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项</w:t>
            </w:r>
          </w:p>
        </w:tc>
        <w:tc>
          <w:tcPr>
            <w:tcW w:w="23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0"/>
                <w:szCs w:val="20"/>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0"/>
                <w:szCs w:val="20"/>
              </w:rPr>
            </w:pPr>
          </w:p>
        </w:tc>
      </w:tr>
      <w:tr>
        <w:tblPrEx>
          <w:tblLayout w:type="fixed"/>
          <w:tblCellMar>
            <w:top w:w="0" w:type="dxa"/>
            <w:left w:w="108" w:type="dxa"/>
            <w:bottom w:w="0" w:type="dxa"/>
            <w:right w:w="108" w:type="dxa"/>
          </w:tblCellMar>
        </w:tblPrEx>
        <w:trPr>
          <w:trHeight w:val="450" w:hRule="atLeast"/>
        </w:trPr>
        <w:tc>
          <w:tcPr>
            <w:tcW w:w="58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b/>
                <w:color w:val="auto"/>
                <w:kern w:val="0"/>
                <w:sz w:val="20"/>
                <w:szCs w:val="20"/>
              </w:rPr>
            </w:pPr>
            <w:r>
              <w:rPr>
                <w:rFonts w:hint="eastAsia" w:ascii="仿宋_GB2312" w:eastAsia="仿宋_GB2312"/>
                <w:color w:val="auto"/>
                <w:sz w:val="18"/>
                <w:szCs w:val="18"/>
              </w:rPr>
              <w:t>208</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05</w:t>
            </w: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05</w:t>
            </w:r>
          </w:p>
        </w:tc>
        <w:tc>
          <w:tcPr>
            <w:tcW w:w="239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机关事业单位基本养老保险缴费支出</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6.82</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6.82</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　</w:t>
            </w:r>
          </w:p>
        </w:tc>
      </w:tr>
      <w:tr>
        <w:tblPrEx>
          <w:tblLayout w:type="fixed"/>
          <w:tblCellMar>
            <w:top w:w="0" w:type="dxa"/>
            <w:left w:w="108" w:type="dxa"/>
            <w:bottom w:w="0" w:type="dxa"/>
            <w:right w:w="108" w:type="dxa"/>
          </w:tblCellMar>
        </w:tblPrEx>
        <w:trPr>
          <w:trHeight w:val="450" w:hRule="atLeast"/>
        </w:trPr>
        <w:tc>
          <w:tcPr>
            <w:tcW w:w="58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210</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11</w:t>
            </w: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01</w:t>
            </w:r>
          </w:p>
        </w:tc>
        <w:tc>
          <w:tcPr>
            <w:tcW w:w="239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行政单位医疗</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8.14</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8.14</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r>
      <w:tr>
        <w:tblPrEx>
          <w:tblLayout w:type="fixed"/>
          <w:tblCellMar>
            <w:top w:w="0" w:type="dxa"/>
            <w:left w:w="108" w:type="dxa"/>
            <w:bottom w:w="0" w:type="dxa"/>
            <w:right w:w="108" w:type="dxa"/>
          </w:tblCellMar>
        </w:tblPrEx>
        <w:trPr>
          <w:trHeight w:val="450" w:hRule="atLeast"/>
        </w:trPr>
        <w:tc>
          <w:tcPr>
            <w:tcW w:w="58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210</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11</w:t>
            </w: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03</w:t>
            </w:r>
          </w:p>
        </w:tc>
        <w:tc>
          <w:tcPr>
            <w:tcW w:w="239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公务员医疗</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3.58</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3.58</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r>
      <w:tr>
        <w:tblPrEx>
          <w:tblLayout w:type="fixed"/>
          <w:tblCellMar>
            <w:top w:w="0" w:type="dxa"/>
            <w:left w:w="108" w:type="dxa"/>
            <w:bottom w:w="0" w:type="dxa"/>
            <w:right w:w="108" w:type="dxa"/>
          </w:tblCellMar>
        </w:tblPrEx>
        <w:trPr>
          <w:trHeight w:val="450" w:hRule="atLeast"/>
        </w:trPr>
        <w:tc>
          <w:tcPr>
            <w:tcW w:w="58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213</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01</w:t>
            </w: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01</w:t>
            </w:r>
          </w:p>
        </w:tc>
        <w:tc>
          <w:tcPr>
            <w:tcW w:w="239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行政运行</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48.05</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48.05</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r>
      <w:tr>
        <w:tblPrEx>
          <w:tblLayout w:type="fixed"/>
          <w:tblCellMar>
            <w:top w:w="0" w:type="dxa"/>
            <w:left w:w="108" w:type="dxa"/>
            <w:bottom w:w="0" w:type="dxa"/>
            <w:right w:w="108" w:type="dxa"/>
          </w:tblCellMar>
        </w:tblPrEx>
        <w:trPr>
          <w:trHeight w:val="450" w:hRule="atLeast"/>
        </w:trPr>
        <w:tc>
          <w:tcPr>
            <w:tcW w:w="58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221</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02</w:t>
            </w: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01</w:t>
            </w:r>
          </w:p>
        </w:tc>
        <w:tc>
          <w:tcPr>
            <w:tcW w:w="239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住房公积金</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4.85</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4.85</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r>
      <w:tr>
        <w:tblPrEx>
          <w:tblLayout w:type="fixed"/>
          <w:tblCellMar>
            <w:top w:w="0" w:type="dxa"/>
            <w:left w:w="108" w:type="dxa"/>
            <w:bottom w:w="0" w:type="dxa"/>
            <w:right w:w="108" w:type="dxa"/>
          </w:tblCellMar>
        </w:tblPrEx>
        <w:trPr>
          <w:trHeight w:val="450" w:hRule="atLeast"/>
        </w:trPr>
        <w:tc>
          <w:tcPr>
            <w:tcW w:w="58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208</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05</w:t>
            </w: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05</w:t>
            </w:r>
          </w:p>
        </w:tc>
        <w:tc>
          <w:tcPr>
            <w:tcW w:w="239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机关事业单位基本养老保险缴费支出</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6.82</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6.82</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r>
      <w:tr>
        <w:tblPrEx>
          <w:tblLayout w:type="fixed"/>
          <w:tblCellMar>
            <w:top w:w="0" w:type="dxa"/>
            <w:left w:w="108" w:type="dxa"/>
            <w:bottom w:w="0" w:type="dxa"/>
            <w:right w:w="108" w:type="dxa"/>
          </w:tblCellMar>
        </w:tblPrEx>
        <w:trPr>
          <w:trHeight w:val="450" w:hRule="atLeast"/>
        </w:trPr>
        <w:tc>
          <w:tcPr>
            <w:tcW w:w="58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eastAsia="仿宋_GB2312"/>
                <w:color w:val="auto"/>
                <w:sz w:val="18"/>
                <w:szCs w:val="18"/>
              </w:rPr>
            </w:pPr>
            <w:r>
              <w:rPr>
                <w:rFonts w:hint="eastAsia" w:ascii="宋体" w:hAnsi="宋体" w:cs="宋体"/>
                <w:color w:val="auto"/>
                <w:kern w:val="0"/>
                <w:sz w:val="20"/>
                <w:szCs w:val="20"/>
              </w:rPr>
              <w:t>　</w:t>
            </w:r>
          </w:p>
        </w:tc>
        <w:tc>
          <w:tcPr>
            <w:tcW w:w="2391" w:type="dxa"/>
            <w:tcBorders>
              <w:top w:val="nil"/>
              <w:left w:val="nil"/>
              <w:bottom w:val="single" w:color="auto" w:sz="4" w:space="0"/>
              <w:right w:val="single" w:color="auto" w:sz="4" w:space="0"/>
            </w:tcBorders>
            <w:shd w:val="clear" w:color="auto" w:fill="auto"/>
            <w:vAlign w:val="center"/>
          </w:tcPr>
          <w:p>
            <w:pPr>
              <w:jc w:val="center"/>
              <w:rPr>
                <w:rFonts w:hint="eastAsia" w:ascii="仿宋_GB2312" w:eastAsia="仿宋_GB2312"/>
                <w:color w:val="auto"/>
                <w:sz w:val="18"/>
                <w:szCs w:val="18"/>
              </w:rPr>
            </w:pPr>
            <w:r>
              <w:rPr>
                <w:rFonts w:hint="eastAsia" w:ascii="仿宋_GB2312" w:eastAsia="仿宋_GB2312"/>
                <w:color w:val="auto"/>
                <w:sz w:val="18"/>
                <w:szCs w:val="18"/>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r>
      <w:tr>
        <w:tblPrEx>
          <w:tblLayout w:type="fixed"/>
          <w:tblCellMar>
            <w:top w:w="0" w:type="dxa"/>
            <w:left w:w="108" w:type="dxa"/>
            <w:bottom w:w="0" w:type="dxa"/>
            <w:right w:w="108" w:type="dxa"/>
          </w:tblCellMar>
        </w:tblPrEx>
        <w:trPr>
          <w:trHeight w:val="450" w:hRule="atLeast"/>
        </w:trPr>
        <w:tc>
          <w:tcPr>
            <w:tcW w:w="58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23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r>
      <w:tr>
        <w:tblPrEx>
          <w:tblLayout w:type="fixed"/>
          <w:tblCellMar>
            <w:top w:w="0" w:type="dxa"/>
            <w:left w:w="108" w:type="dxa"/>
            <w:bottom w:w="0" w:type="dxa"/>
            <w:right w:w="108" w:type="dxa"/>
          </w:tblCellMar>
        </w:tblPrEx>
        <w:trPr>
          <w:trHeight w:val="450" w:hRule="atLeast"/>
        </w:trPr>
        <w:tc>
          <w:tcPr>
            <w:tcW w:w="58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23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r>
      <w:tr>
        <w:tblPrEx>
          <w:tblLayout w:type="fixed"/>
          <w:tblCellMar>
            <w:top w:w="0" w:type="dxa"/>
            <w:left w:w="108" w:type="dxa"/>
            <w:bottom w:w="0" w:type="dxa"/>
            <w:right w:w="108" w:type="dxa"/>
          </w:tblCellMar>
        </w:tblPrEx>
        <w:trPr>
          <w:trHeight w:val="450" w:hRule="atLeast"/>
        </w:trPr>
        <w:tc>
          <w:tcPr>
            <w:tcW w:w="58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23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r>
      <w:tr>
        <w:tblPrEx>
          <w:tblLayout w:type="fixed"/>
          <w:tblCellMar>
            <w:top w:w="0" w:type="dxa"/>
            <w:left w:w="108" w:type="dxa"/>
            <w:bottom w:w="0" w:type="dxa"/>
            <w:right w:w="108" w:type="dxa"/>
          </w:tblCellMar>
        </w:tblPrEx>
        <w:trPr>
          <w:trHeight w:val="450" w:hRule="atLeast"/>
        </w:trPr>
        <w:tc>
          <w:tcPr>
            <w:tcW w:w="58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23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r>
      <w:tr>
        <w:tblPrEx>
          <w:tblLayout w:type="fixed"/>
          <w:tblCellMar>
            <w:top w:w="0" w:type="dxa"/>
            <w:left w:w="108" w:type="dxa"/>
            <w:bottom w:w="0" w:type="dxa"/>
            <w:right w:w="108" w:type="dxa"/>
          </w:tblCellMar>
        </w:tblPrEx>
        <w:trPr>
          <w:trHeight w:val="450" w:hRule="atLeast"/>
        </w:trPr>
        <w:tc>
          <w:tcPr>
            <w:tcW w:w="58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23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r>
      <w:tr>
        <w:tblPrEx>
          <w:tblLayout w:type="fixed"/>
          <w:tblCellMar>
            <w:top w:w="0" w:type="dxa"/>
            <w:left w:w="108" w:type="dxa"/>
            <w:bottom w:w="0" w:type="dxa"/>
            <w:right w:w="108" w:type="dxa"/>
          </w:tblCellMar>
        </w:tblPrEx>
        <w:trPr>
          <w:trHeight w:val="450" w:hRule="atLeast"/>
        </w:trPr>
        <w:tc>
          <w:tcPr>
            <w:tcW w:w="58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23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r>
      <w:tr>
        <w:tblPrEx>
          <w:tblLayout w:type="fixed"/>
          <w:tblCellMar>
            <w:top w:w="0" w:type="dxa"/>
            <w:left w:w="108" w:type="dxa"/>
            <w:bottom w:w="0" w:type="dxa"/>
            <w:right w:w="108" w:type="dxa"/>
          </w:tblCellMar>
        </w:tblPrEx>
        <w:trPr>
          <w:trHeight w:val="450" w:hRule="atLeast"/>
        </w:trPr>
        <w:tc>
          <w:tcPr>
            <w:tcW w:w="58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23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r>
      <w:tr>
        <w:tblPrEx>
          <w:tblLayout w:type="fixed"/>
          <w:tblCellMar>
            <w:top w:w="0" w:type="dxa"/>
            <w:left w:w="108" w:type="dxa"/>
            <w:bottom w:w="0" w:type="dxa"/>
            <w:right w:w="108" w:type="dxa"/>
          </w:tblCellMar>
        </w:tblPrEx>
        <w:trPr>
          <w:trHeight w:val="450" w:hRule="atLeast"/>
        </w:trPr>
        <w:tc>
          <w:tcPr>
            <w:tcW w:w="58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23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r>
      <w:tr>
        <w:tblPrEx>
          <w:tblLayout w:type="fixed"/>
          <w:tblCellMar>
            <w:top w:w="0" w:type="dxa"/>
            <w:left w:w="108" w:type="dxa"/>
            <w:bottom w:w="0" w:type="dxa"/>
            <w:right w:w="108" w:type="dxa"/>
          </w:tblCellMar>
        </w:tblPrEx>
        <w:trPr>
          <w:trHeight w:val="450" w:hRule="atLeast"/>
        </w:trPr>
        <w:tc>
          <w:tcPr>
            <w:tcW w:w="58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23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r>
      <w:tr>
        <w:tblPrEx>
          <w:tblLayout w:type="fixed"/>
          <w:tblCellMar>
            <w:top w:w="0" w:type="dxa"/>
            <w:left w:w="108" w:type="dxa"/>
            <w:bottom w:w="0" w:type="dxa"/>
            <w:right w:w="108" w:type="dxa"/>
          </w:tblCellMar>
        </w:tblPrEx>
        <w:trPr>
          <w:trHeight w:val="450" w:hRule="atLeast"/>
        </w:trPr>
        <w:tc>
          <w:tcPr>
            <w:tcW w:w="58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23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r>
      <w:tr>
        <w:tblPrEx>
          <w:tblLayout w:type="fixed"/>
          <w:tblCellMar>
            <w:top w:w="0" w:type="dxa"/>
            <w:left w:w="108" w:type="dxa"/>
            <w:bottom w:w="0" w:type="dxa"/>
            <w:right w:w="108" w:type="dxa"/>
          </w:tblCellMar>
        </w:tblPrEx>
        <w:trPr>
          <w:trHeight w:val="450" w:hRule="atLeast"/>
        </w:trPr>
        <w:tc>
          <w:tcPr>
            <w:tcW w:w="58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23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r>
      <w:tr>
        <w:tblPrEx>
          <w:tblLayout w:type="fixed"/>
          <w:tblCellMar>
            <w:top w:w="0" w:type="dxa"/>
            <w:left w:w="108" w:type="dxa"/>
            <w:bottom w:w="0" w:type="dxa"/>
            <w:right w:w="108" w:type="dxa"/>
          </w:tblCellMar>
        </w:tblPrEx>
        <w:trPr>
          <w:trHeight w:val="450" w:hRule="atLeast"/>
        </w:trPr>
        <w:tc>
          <w:tcPr>
            <w:tcW w:w="58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23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r>
      <w:tr>
        <w:tblPrEx>
          <w:tblLayout w:type="fixed"/>
          <w:tblCellMar>
            <w:top w:w="0" w:type="dxa"/>
            <w:left w:w="108" w:type="dxa"/>
            <w:bottom w:w="0" w:type="dxa"/>
            <w:right w:w="108" w:type="dxa"/>
          </w:tblCellMar>
        </w:tblPrEx>
        <w:trPr>
          <w:trHeight w:val="450" w:hRule="atLeast"/>
        </w:trPr>
        <w:tc>
          <w:tcPr>
            <w:tcW w:w="58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c>
          <w:tcPr>
            <w:tcW w:w="4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c>
          <w:tcPr>
            <w:tcW w:w="4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c>
          <w:tcPr>
            <w:tcW w:w="23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r>
      <w:tr>
        <w:tblPrEx>
          <w:tblLayout w:type="fixed"/>
          <w:tblCellMar>
            <w:top w:w="0" w:type="dxa"/>
            <w:left w:w="108" w:type="dxa"/>
            <w:bottom w:w="0" w:type="dxa"/>
            <w:right w:w="108" w:type="dxa"/>
          </w:tblCellMar>
        </w:tblPrEx>
        <w:trPr>
          <w:trHeight w:val="450" w:hRule="atLeast"/>
        </w:trPr>
        <w:tc>
          <w:tcPr>
            <w:tcW w:w="583"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c>
          <w:tcPr>
            <w:tcW w:w="4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c>
          <w:tcPr>
            <w:tcW w:w="4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c>
          <w:tcPr>
            <w:tcW w:w="23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合计</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71.44</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71.44</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r>
    </w:tbl>
    <w:p>
      <w:pPr>
        <w:widowControl/>
        <w:outlineLvl w:val="1"/>
        <w:rPr>
          <w:rFonts w:ascii="仿宋_GB2312" w:hAnsi="宋体" w:eastAsia="仿宋_GB2312"/>
          <w:b/>
          <w:color w:val="auto"/>
          <w:kern w:val="0"/>
          <w:sz w:val="28"/>
          <w:szCs w:val="32"/>
        </w:rPr>
      </w:pPr>
      <w:r>
        <w:rPr>
          <w:rFonts w:hint="eastAsia" w:ascii="仿宋_GB2312" w:hAnsi="宋体" w:eastAsia="仿宋_GB2312"/>
          <w:b/>
          <w:color w:val="auto"/>
          <w:kern w:val="0"/>
          <w:sz w:val="28"/>
          <w:szCs w:val="32"/>
        </w:rPr>
        <w:t>备注：无内容应公开空表并说明情况。</w:t>
      </w:r>
    </w:p>
    <w:p>
      <w:pPr>
        <w:widowControl/>
        <w:jc w:val="left"/>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表六：</w:t>
      </w:r>
    </w:p>
    <w:tbl>
      <w:tblPr>
        <w:tblStyle w:val="7"/>
        <w:tblW w:w="9087" w:type="dxa"/>
        <w:tblInd w:w="93" w:type="dxa"/>
        <w:tblLayout w:type="fixed"/>
        <w:tblCellMar>
          <w:top w:w="0" w:type="dxa"/>
          <w:left w:w="108" w:type="dxa"/>
          <w:bottom w:w="0" w:type="dxa"/>
          <w:right w:w="108" w:type="dxa"/>
        </w:tblCellMar>
      </w:tblPr>
      <w:tblGrid>
        <w:gridCol w:w="516"/>
        <w:gridCol w:w="577"/>
        <w:gridCol w:w="2891"/>
        <w:gridCol w:w="995"/>
        <w:gridCol w:w="706"/>
        <w:gridCol w:w="976"/>
        <w:gridCol w:w="725"/>
        <w:gridCol w:w="1701"/>
      </w:tblGrid>
      <w:tr>
        <w:tblPrEx>
          <w:tblLayout w:type="fixed"/>
          <w:tblCellMar>
            <w:top w:w="0" w:type="dxa"/>
            <w:left w:w="108" w:type="dxa"/>
            <w:bottom w:w="0" w:type="dxa"/>
            <w:right w:w="108" w:type="dxa"/>
          </w:tblCellMar>
        </w:tblPrEx>
        <w:trPr>
          <w:trHeight w:val="375" w:hRule="atLeast"/>
        </w:trPr>
        <w:tc>
          <w:tcPr>
            <w:tcW w:w="9087" w:type="dxa"/>
            <w:gridSpan w:val="8"/>
            <w:tcBorders>
              <w:top w:val="nil"/>
              <w:left w:val="nil"/>
              <w:bottom w:val="nil"/>
              <w:right w:val="nil"/>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一般公共预算基本支出情况表</w:t>
            </w:r>
          </w:p>
        </w:tc>
      </w:tr>
      <w:tr>
        <w:tblPrEx>
          <w:tblLayout w:type="fixed"/>
          <w:tblCellMar>
            <w:top w:w="0" w:type="dxa"/>
            <w:left w:w="108" w:type="dxa"/>
            <w:bottom w:w="0" w:type="dxa"/>
            <w:right w:w="108" w:type="dxa"/>
          </w:tblCellMar>
        </w:tblPrEx>
        <w:trPr>
          <w:trHeight w:val="405" w:hRule="atLeast"/>
        </w:trPr>
        <w:tc>
          <w:tcPr>
            <w:tcW w:w="3984" w:type="dxa"/>
            <w:gridSpan w:val="3"/>
            <w:tcBorders>
              <w:top w:val="nil"/>
              <w:left w:val="nil"/>
              <w:bottom w:val="nil"/>
              <w:right w:val="nil"/>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编制部门：</w:t>
            </w:r>
          </w:p>
        </w:tc>
        <w:tc>
          <w:tcPr>
            <w:tcW w:w="995" w:type="dxa"/>
            <w:tcBorders>
              <w:top w:val="nil"/>
              <w:left w:val="nil"/>
              <w:bottom w:val="nil"/>
              <w:right w:val="nil"/>
            </w:tcBorders>
            <w:shd w:val="clear" w:color="auto" w:fill="auto"/>
            <w:vAlign w:val="center"/>
          </w:tcPr>
          <w:p>
            <w:pPr>
              <w:widowControl/>
              <w:jc w:val="left"/>
              <w:rPr>
                <w:rFonts w:ascii="仿宋_GB2312" w:hAnsi="宋体" w:eastAsia="仿宋_GB2312" w:cs="宋体"/>
                <w:color w:val="auto"/>
                <w:kern w:val="0"/>
                <w:sz w:val="24"/>
              </w:rPr>
            </w:pPr>
          </w:p>
        </w:tc>
        <w:tc>
          <w:tcPr>
            <w:tcW w:w="1682"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xml:space="preserve">          </w:t>
            </w:r>
          </w:p>
        </w:tc>
        <w:tc>
          <w:tcPr>
            <w:tcW w:w="2426" w:type="dxa"/>
            <w:gridSpan w:val="2"/>
            <w:tcBorders>
              <w:top w:val="nil"/>
              <w:left w:val="nil"/>
              <w:bottom w:val="nil"/>
              <w:right w:val="nil"/>
            </w:tcBorders>
            <w:shd w:val="clear" w:color="auto" w:fill="auto"/>
            <w:vAlign w:val="center"/>
          </w:tcPr>
          <w:p>
            <w:pPr>
              <w:widowControl/>
              <w:ind w:firstLine="720" w:firstLineChars="300"/>
              <w:rPr>
                <w:rFonts w:ascii="仿宋_GB2312" w:hAnsi="宋体" w:eastAsia="仿宋_GB2312" w:cs="宋体"/>
                <w:color w:val="auto"/>
                <w:kern w:val="0"/>
                <w:sz w:val="24"/>
              </w:rPr>
            </w:pPr>
            <w:r>
              <w:rPr>
                <w:rFonts w:hint="eastAsia" w:ascii="仿宋_GB2312" w:hAnsi="宋体" w:eastAsia="仿宋_GB2312" w:cs="宋体"/>
                <w:color w:val="auto"/>
                <w:kern w:val="0"/>
                <w:sz w:val="24"/>
              </w:rPr>
              <w:t>单位：万元</w:t>
            </w:r>
          </w:p>
        </w:tc>
      </w:tr>
      <w:tr>
        <w:tblPrEx>
          <w:tblLayout w:type="fixed"/>
          <w:tblCellMar>
            <w:top w:w="0" w:type="dxa"/>
            <w:left w:w="108" w:type="dxa"/>
            <w:bottom w:w="0" w:type="dxa"/>
            <w:right w:w="108" w:type="dxa"/>
          </w:tblCellMar>
        </w:tblPrEx>
        <w:trPr>
          <w:trHeight w:val="390" w:hRule="atLeast"/>
        </w:trPr>
        <w:tc>
          <w:tcPr>
            <w:tcW w:w="3984"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auto"/>
                <w:kern w:val="0"/>
                <w:szCs w:val="21"/>
              </w:rPr>
            </w:pPr>
            <w:r>
              <w:rPr>
                <w:rFonts w:hint="eastAsia" w:ascii="仿宋_GB2312" w:hAnsi="宋体" w:eastAsia="仿宋_GB2312" w:cs="宋体"/>
                <w:b/>
                <w:bCs/>
                <w:color w:val="auto"/>
                <w:kern w:val="0"/>
                <w:szCs w:val="21"/>
              </w:rPr>
              <w:t>项目</w:t>
            </w:r>
          </w:p>
        </w:tc>
        <w:tc>
          <w:tcPr>
            <w:tcW w:w="5103"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auto"/>
                <w:kern w:val="0"/>
                <w:szCs w:val="21"/>
              </w:rPr>
            </w:pPr>
            <w:r>
              <w:rPr>
                <w:rFonts w:hint="eastAsia" w:ascii="仿宋_GB2312" w:hAnsi="宋体" w:eastAsia="仿宋_GB2312" w:cs="宋体"/>
                <w:b/>
                <w:bCs/>
                <w:color w:val="auto"/>
                <w:kern w:val="0"/>
                <w:szCs w:val="21"/>
              </w:rPr>
              <w:t>一般公共预算基本支出</w:t>
            </w:r>
          </w:p>
        </w:tc>
      </w:tr>
      <w:tr>
        <w:tblPrEx>
          <w:tblLayout w:type="fixed"/>
          <w:tblCellMar>
            <w:top w:w="0" w:type="dxa"/>
            <w:left w:w="108" w:type="dxa"/>
            <w:bottom w:w="0" w:type="dxa"/>
            <w:right w:w="108" w:type="dxa"/>
          </w:tblCellMar>
        </w:tblPrEx>
        <w:trPr>
          <w:trHeight w:val="495" w:hRule="atLeast"/>
        </w:trPr>
        <w:tc>
          <w:tcPr>
            <w:tcW w:w="1093"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b/>
                <w:bCs/>
                <w:color w:val="auto"/>
                <w:kern w:val="0"/>
                <w:szCs w:val="21"/>
              </w:rPr>
            </w:pPr>
            <w:r>
              <w:rPr>
                <w:rFonts w:hint="eastAsia" w:ascii="仿宋_GB2312" w:hAnsi="宋体" w:eastAsia="仿宋_GB2312" w:cs="宋体"/>
                <w:b/>
                <w:bCs/>
                <w:color w:val="auto"/>
                <w:kern w:val="0"/>
                <w:szCs w:val="21"/>
              </w:rPr>
              <w:t>经济分类科目编码</w:t>
            </w:r>
          </w:p>
        </w:tc>
        <w:tc>
          <w:tcPr>
            <w:tcW w:w="289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Cs w:val="21"/>
              </w:rPr>
            </w:pPr>
            <w:r>
              <w:rPr>
                <w:rFonts w:hint="eastAsia" w:ascii="仿宋_GB2312" w:hAnsi="宋体" w:eastAsia="仿宋_GB2312" w:cs="宋体"/>
                <w:b/>
                <w:bCs/>
                <w:color w:val="auto"/>
                <w:kern w:val="0"/>
                <w:szCs w:val="21"/>
              </w:rPr>
              <w:t>经济分类科目名称</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Cs w:val="21"/>
              </w:rPr>
            </w:pPr>
            <w:r>
              <w:rPr>
                <w:rFonts w:hint="eastAsia" w:ascii="仿宋_GB2312" w:hAnsi="宋体" w:eastAsia="仿宋_GB2312" w:cs="宋体"/>
                <w:b/>
                <w:bCs/>
                <w:color w:val="auto"/>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Cs w:val="21"/>
              </w:rPr>
            </w:pPr>
            <w:r>
              <w:rPr>
                <w:rFonts w:hint="eastAsia" w:ascii="仿宋_GB2312" w:hAnsi="宋体" w:eastAsia="仿宋_GB2312" w:cs="宋体"/>
                <w:b/>
                <w:bCs/>
                <w:color w:val="auto"/>
                <w:kern w:val="0"/>
                <w:szCs w:val="21"/>
              </w:rPr>
              <w:t>人员经费</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Cs w:val="21"/>
              </w:rPr>
            </w:pPr>
            <w:r>
              <w:rPr>
                <w:rFonts w:hint="eastAsia" w:ascii="仿宋_GB2312" w:hAnsi="宋体" w:eastAsia="仿宋_GB2312" w:cs="宋体"/>
                <w:b/>
                <w:bCs/>
                <w:color w:val="auto"/>
                <w:kern w:val="0"/>
                <w:szCs w:val="21"/>
              </w:rPr>
              <w:t>公用经费</w:t>
            </w:r>
          </w:p>
        </w:tc>
      </w:tr>
      <w:tr>
        <w:tblPrEx>
          <w:tblLayout w:type="fixed"/>
          <w:tblCellMar>
            <w:top w:w="0" w:type="dxa"/>
            <w:left w:w="108" w:type="dxa"/>
            <w:bottom w:w="0" w:type="dxa"/>
            <w:right w:w="108" w:type="dxa"/>
          </w:tblCellMar>
        </w:tblPrEx>
        <w:trPr>
          <w:trHeight w:val="27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类</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auto"/>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auto"/>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auto"/>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01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基本工资</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32.62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32.62</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02</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津贴补贴</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0.45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0.45</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03</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奖金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1.55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1.55</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08</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机关事业基本养老保险缴费支出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6.82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6.82</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10</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职工基本医疗保险缴费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3.15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3.15</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11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公务员医疗补助经费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ind w:firstLine="600" w:firstLineChars="300"/>
              <w:rPr>
                <w:rFonts w:ascii="宋体" w:hAnsi="宋体" w:cs="宋体"/>
                <w:color w:val="auto"/>
                <w:kern w:val="0"/>
                <w:sz w:val="20"/>
                <w:szCs w:val="20"/>
              </w:rPr>
            </w:pPr>
            <w:r>
              <w:rPr>
                <w:rFonts w:hint="eastAsia" w:ascii="宋体" w:hAnsi="宋体" w:cs="宋体"/>
                <w:color w:val="auto"/>
                <w:kern w:val="0"/>
                <w:sz w:val="20"/>
                <w:szCs w:val="20"/>
              </w:rPr>
              <w:t>1.36</w:t>
            </w:r>
          </w:p>
        </w:tc>
        <w:tc>
          <w:tcPr>
            <w:tcW w:w="1701" w:type="dxa"/>
            <w:gridSpan w:val="2"/>
            <w:tcBorders>
              <w:top w:val="nil"/>
              <w:left w:val="nil"/>
              <w:bottom w:val="single" w:color="auto" w:sz="4" w:space="0"/>
              <w:right w:val="single" w:color="auto" w:sz="4" w:space="0"/>
            </w:tcBorders>
            <w:shd w:val="clear" w:color="auto" w:fill="auto"/>
            <w:vAlign w:val="center"/>
          </w:tcPr>
          <w:p>
            <w:pPr>
              <w:widowControl/>
              <w:ind w:firstLine="600" w:firstLineChars="300"/>
              <w:rPr>
                <w:rFonts w:ascii="宋体" w:hAnsi="宋体" w:cs="宋体"/>
                <w:color w:val="auto"/>
                <w:kern w:val="0"/>
                <w:sz w:val="20"/>
                <w:szCs w:val="20"/>
              </w:rPr>
            </w:pPr>
            <w:r>
              <w:rPr>
                <w:rFonts w:hint="eastAsia" w:ascii="宋体" w:hAnsi="宋体" w:cs="宋体"/>
                <w:color w:val="auto"/>
                <w:kern w:val="0"/>
                <w:sz w:val="20"/>
                <w:szCs w:val="20"/>
              </w:rPr>
              <w:t>1.36</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12</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其他社会保障缴费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0.23</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0.23</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13</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住房公积金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4.85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4.85</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99</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其他工资福利支出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6.3</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6.3</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办公费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0.6</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05</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0.15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0.15</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06</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电费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0.25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0.25</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07</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邮电费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0.25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0.25</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08</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公用取暖费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11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差旅费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1.5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1.5</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28</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工会经费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0.33</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0.33</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公务车运行维护费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2.25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2.25</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02</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退休费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8.77</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8.77</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99</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奖励金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0.01</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0.01</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b/>
                <w:bCs/>
                <w:color w:val="auto"/>
                <w:kern w:val="0"/>
                <w:sz w:val="20"/>
                <w:szCs w:val="20"/>
              </w:rPr>
              <w:t>合计</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71.44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66.11</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5.33</w:t>
            </w:r>
          </w:p>
        </w:tc>
      </w:tr>
    </w:tbl>
    <w:p>
      <w:pPr>
        <w:widowControl/>
        <w:outlineLvl w:val="1"/>
        <w:rPr>
          <w:rFonts w:ascii="仿宋_GB2312" w:hAnsi="宋体" w:eastAsia="仿宋_GB2312"/>
          <w:b/>
          <w:color w:val="auto"/>
          <w:kern w:val="0"/>
          <w:sz w:val="28"/>
          <w:szCs w:val="32"/>
        </w:rPr>
      </w:pPr>
      <w:r>
        <w:rPr>
          <w:rFonts w:hint="eastAsia" w:ascii="仿宋_GB2312" w:hAnsi="宋体" w:eastAsia="仿宋_GB2312"/>
          <w:b/>
          <w:color w:val="auto"/>
          <w:kern w:val="0"/>
          <w:sz w:val="28"/>
          <w:szCs w:val="32"/>
        </w:rPr>
        <w:t>备注：无内容应公开空表并说明情况。</w:t>
      </w:r>
    </w:p>
    <w:p>
      <w:pPr>
        <w:widowControl/>
        <w:jc w:val="left"/>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表七：</w:t>
      </w:r>
    </w:p>
    <w:tbl>
      <w:tblPr>
        <w:tblStyle w:val="7"/>
        <w:tblW w:w="9469" w:type="dxa"/>
        <w:tblInd w:w="93" w:type="dxa"/>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8"/>
      </w:tblGrid>
      <w:tr>
        <w:tblPrEx>
          <w:tblLayout w:type="fixed"/>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8"/>
            <w:tcBorders>
              <w:top w:val="nil"/>
              <w:left w:val="nil"/>
              <w:bottom w:val="nil"/>
              <w:right w:val="nil"/>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项目支出情况表</w:t>
            </w:r>
          </w:p>
        </w:tc>
      </w:tr>
      <w:tr>
        <w:tblPrEx>
          <w:tblLayout w:type="fixed"/>
          <w:tblCellMar>
            <w:top w:w="0" w:type="dxa"/>
            <w:left w:w="108" w:type="dxa"/>
            <w:bottom w:w="0" w:type="dxa"/>
            <w:right w:w="108" w:type="dxa"/>
          </w:tblCellMar>
        </w:tblPrEx>
        <w:trPr>
          <w:gridBefore w:val="1"/>
          <w:gridAfter w:val="1"/>
          <w:wBefore w:w="8" w:type="dxa"/>
          <w:wAfter w:w="8" w:type="dxa"/>
          <w:trHeight w:val="405" w:hRule="atLeast"/>
        </w:trPr>
        <w:tc>
          <w:tcPr>
            <w:tcW w:w="4350" w:type="dxa"/>
            <w:gridSpan w:val="7"/>
            <w:tcBorders>
              <w:top w:val="nil"/>
              <w:left w:val="nil"/>
              <w:bottom w:val="nil"/>
              <w:right w:val="nil"/>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编制部门：阜康市农村能源办公室</w:t>
            </w:r>
          </w:p>
        </w:tc>
        <w:tc>
          <w:tcPr>
            <w:tcW w:w="995"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auto"/>
                <w:kern w:val="0"/>
                <w:sz w:val="24"/>
              </w:rPr>
            </w:pPr>
          </w:p>
        </w:tc>
        <w:tc>
          <w:tcPr>
            <w:tcW w:w="1682" w:type="dxa"/>
            <w:gridSpan w:val="3"/>
            <w:tcBorders>
              <w:top w:val="nil"/>
              <w:left w:val="nil"/>
              <w:bottom w:val="nil"/>
              <w:right w:val="nil"/>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xml:space="preserve">      </w:t>
            </w:r>
          </w:p>
        </w:tc>
        <w:tc>
          <w:tcPr>
            <w:tcW w:w="2426" w:type="dxa"/>
            <w:gridSpan w:val="6"/>
            <w:tcBorders>
              <w:top w:val="nil"/>
              <w:left w:val="nil"/>
              <w:bottom w:val="nil"/>
              <w:right w:val="nil"/>
            </w:tcBorders>
            <w:shd w:val="clear" w:color="auto" w:fill="auto"/>
            <w:vAlign w:val="center"/>
          </w:tcPr>
          <w:p>
            <w:pPr>
              <w:widowControl/>
              <w:rPr>
                <w:rFonts w:ascii="仿宋_GB2312" w:hAnsi="宋体" w:eastAsia="仿宋_GB2312" w:cs="宋体"/>
                <w:color w:val="auto"/>
                <w:kern w:val="0"/>
                <w:sz w:val="24"/>
              </w:rPr>
            </w:pPr>
            <w:r>
              <w:rPr>
                <w:rFonts w:hint="eastAsia" w:ascii="仿宋_GB2312" w:hAnsi="宋体" w:eastAsia="仿宋_GB2312" w:cs="宋体"/>
                <w:color w:val="auto"/>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shd w:val="clear" w:color="auto" w:fill="auto"/>
            <w:vAlign w:val="center"/>
          </w:tcPr>
          <w:p>
            <w:pPr>
              <w:widowControl/>
              <w:jc w:val="center"/>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科 目 编 码</w:t>
            </w:r>
          </w:p>
        </w:tc>
        <w:tc>
          <w:tcPr>
            <w:tcW w:w="851" w:type="dxa"/>
            <w:vMerge w:val="restart"/>
            <w:shd w:val="clear" w:color="auto" w:fill="auto"/>
            <w:vAlign w:val="center"/>
          </w:tcPr>
          <w:p>
            <w:pPr>
              <w:widowControl/>
              <w:jc w:val="center"/>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科目</w:t>
            </w:r>
          </w:p>
        </w:tc>
        <w:tc>
          <w:tcPr>
            <w:tcW w:w="1456" w:type="dxa"/>
            <w:vMerge w:val="restart"/>
            <w:shd w:val="clear" w:color="auto" w:fill="auto"/>
            <w:vAlign w:val="center"/>
          </w:tcPr>
          <w:p>
            <w:pPr>
              <w:jc w:val="center"/>
              <w:rPr>
                <w:rFonts w:ascii="Calibri" w:hAnsi="Calibri"/>
                <w:color w:val="auto"/>
                <w:sz w:val="24"/>
              </w:rPr>
            </w:pPr>
            <w:r>
              <w:rPr>
                <w:rFonts w:hint="eastAsia" w:ascii="仿宋_GB2312" w:hAnsi="宋体" w:eastAsia="仿宋_GB2312"/>
                <w:b/>
                <w:color w:val="auto"/>
                <w:kern w:val="0"/>
                <w:sz w:val="24"/>
              </w:rPr>
              <w:t>项目名称</w:t>
            </w:r>
          </w:p>
        </w:tc>
        <w:tc>
          <w:tcPr>
            <w:tcW w:w="750" w:type="dxa"/>
            <w:vMerge w:val="restart"/>
            <w:shd w:val="clear" w:color="auto" w:fill="auto"/>
            <w:vAlign w:val="center"/>
          </w:tcPr>
          <w:p>
            <w:pPr>
              <w:widowControl/>
              <w:jc w:val="center"/>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项目支出合计</w:t>
            </w:r>
          </w:p>
        </w:tc>
        <w:tc>
          <w:tcPr>
            <w:tcW w:w="569" w:type="dxa"/>
            <w:gridSpan w:val="2"/>
            <w:vMerge w:val="restart"/>
            <w:shd w:val="clear" w:color="auto" w:fill="auto"/>
            <w:vAlign w:val="center"/>
          </w:tcPr>
          <w:p>
            <w:pPr>
              <w:widowControl/>
              <w:jc w:val="center"/>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工资福利支出</w:t>
            </w:r>
          </w:p>
        </w:tc>
        <w:tc>
          <w:tcPr>
            <w:tcW w:w="536" w:type="dxa"/>
            <w:vMerge w:val="restart"/>
            <w:shd w:val="clear" w:color="auto" w:fill="auto"/>
            <w:vAlign w:val="center"/>
          </w:tcPr>
          <w:p>
            <w:pPr>
              <w:widowControl/>
              <w:jc w:val="center"/>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商品和服务支出</w:t>
            </w:r>
          </w:p>
        </w:tc>
        <w:tc>
          <w:tcPr>
            <w:tcW w:w="652" w:type="dxa"/>
            <w:vMerge w:val="restart"/>
            <w:shd w:val="clear" w:color="auto" w:fill="auto"/>
            <w:vAlign w:val="center"/>
          </w:tcPr>
          <w:p>
            <w:pPr>
              <w:widowControl/>
              <w:jc w:val="center"/>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对个人和家庭的补助</w:t>
            </w:r>
          </w:p>
        </w:tc>
        <w:tc>
          <w:tcPr>
            <w:tcW w:w="652" w:type="dxa"/>
            <w:vMerge w:val="restart"/>
            <w:shd w:val="clear" w:color="auto" w:fill="auto"/>
            <w:vAlign w:val="center"/>
          </w:tcPr>
          <w:p>
            <w:pPr>
              <w:widowControl/>
              <w:jc w:val="center"/>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债务利息及费用支出</w:t>
            </w:r>
          </w:p>
        </w:tc>
        <w:tc>
          <w:tcPr>
            <w:tcW w:w="578" w:type="dxa"/>
            <w:gridSpan w:val="2"/>
            <w:vMerge w:val="restart"/>
            <w:shd w:val="clear" w:color="auto" w:fill="auto"/>
            <w:vAlign w:val="center"/>
          </w:tcPr>
          <w:p>
            <w:pPr>
              <w:widowControl/>
              <w:jc w:val="center"/>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资本性支出（基本建设）</w:t>
            </w:r>
          </w:p>
        </w:tc>
        <w:tc>
          <w:tcPr>
            <w:tcW w:w="419" w:type="dxa"/>
            <w:vMerge w:val="restart"/>
            <w:shd w:val="clear" w:color="auto" w:fill="auto"/>
            <w:vAlign w:val="center"/>
          </w:tcPr>
          <w:p>
            <w:pPr>
              <w:widowControl/>
              <w:jc w:val="center"/>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资本性支出</w:t>
            </w:r>
          </w:p>
        </w:tc>
        <w:tc>
          <w:tcPr>
            <w:tcW w:w="578" w:type="dxa"/>
            <w:vMerge w:val="restart"/>
            <w:shd w:val="clear" w:color="auto" w:fill="auto"/>
            <w:vAlign w:val="center"/>
          </w:tcPr>
          <w:p>
            <w:pPr>
              <w:widowControl/>
              <w:jc w:val="center"/>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对企业补助（基本建设）</w:t>
            </w:r>
          </w:p>
        </w:tc>
        <w:tc>
          <w:tcPr>
            <w:tcW w:w="420" w:type="dxa"/>
            <w:vMerge w:val="restart"/>
            <w:shd w:val="clear" w:color="auto" w:fill="auto"/>
            <w:vAlign w:val="center"/>
          </w:tcPr>
          <w:p>
            <w:pPr>
              <w:widowControl/>
              <w:jc w:val="center"/>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对企业补助</w:t>
            </w:r>
          </w:p>
        </w:tc>
        <w:tc>
          <w:tcPr>
            <w:tcW w:w="420" w:type="dxa"/>
            <w:vMerge w:val="restart"/>
            <w:shd w:val="clear" w:color="auto" w:fill="auto"/>
            <w:vAlign w:val="center"/>
          </w:tcPr>
          <w:p>
            <w:pPr>
              <w:widowControl/>
              <w:jc w:val="center"/>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对社会保障基金补助</w:t>
            </w:r>
          </w:p>
        </w:tc>
        <w:tc>
          <w:tcPr>
            <w:tcW w:w="397" w:type="dxa"/>
            <w:gridSpan w:val="2"/>
            <w:vMerge w:val="restart"/>
            <w:shd w:val="clear" w:color="auto" w:fill="auto"/>
            <w:vAlign w:val="center"/>
          </w:tcPr>
          <w:p>
            <w:pPr>
              <w:widowControl/>
              <w:jc w:val="center"/>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tcBorders>
              <w:bottom w:val="single" w:color="auto" w:sz="4" w:space="0"/>
            </w:tcBorders>
            <w:shd w:val="clear" w:color="auto" w:fill="auto"/>
            <w:vAlign w:val="center"/>
          </w:tcPr>
          <w:p>
            <w:pPr>
              <w:widowControl/>
              <w:jc w:val="left"/>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类</w:t>
            </w:r>
          </w:p>
        </w:tc>
        <w:tc>
          <w:tcPr>
            <w:tcW w:w="397" w:type="dxa"/>
            <w:tcBorders>
              <w:bottom w:val="single" w:color="auto" w:sz="4" w:space="0"/>
            </w:tcBorders>
            <w:shd w:val="clear" w:color="auto" w:fill="auto"/>
            <w:vAlign w:val="center"/>
          </w:tcPr>
          <w:p>
            <w:pPr>
              <w:widowControl/>
              <w:jc w:val="left"/>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款</w:t>
            </w:r>
          </w:p>
        </w:tc>
        <w:tc>
          <w:tcPr>
            <w:tcW w:w="397" w:type="dxa"/>
            <w:tcBorders>
              <w:bottom w:val="single" w:color="auto" w:sz="4" w:space="0"/>
            </w:tcBorders>
            <w:shd w:val="clear" w:color="auto" w:fill="auto"/>
            <w:vAlign w:val="center"/>
          </w:tcPr>
          <w:p>
            <w:pPr>
              <w:widowControl/>
              <w:jc w:val="left"/>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项</w:t>
            </w:r>
          </w:p>
        </w:tc>
        <w:tc>
          <w:tcPr>
            <w:tcW w:w="851" w:type="dxa"/>
            <w:vMerge w:val="continue"/>
            <w:tcBorders>
              <w:bottom w:val="single" w:color="auto" w:sz="4" w:space="0"/>
            </w:tcBorders>
            <w:shd w:val="clear" w:color="auto" w:fill="auto"/>
            <w:vAlign w:val="center"/>
          </w:tcPr>
          <w:p>
            <w:pPr>
              <w:widowControl/>
              <w:jc w:val="left"/>
              <w:outlineLvl w:val="1"/>
              <w:rPr>
                <w:rFonts w:ascii="仿宋_GB2312" w:hAnsi="宋体" w:eastAsia="仿宋_GB2312"/>
                <w:b/>
                <w:color w:val="auto"/>
                <w:kern w:val="0"/>
                <w:sz w:val="18"/>
                <w:szCs w:val="18"/>
              </w:rPr>
            </w:pPr>
          </w:p>
        </w:tc>
        <w:tc>
          <w:tcPr>
            <w:tcW w:w="1456" w:type="dxa"/>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rPr>
            </w:pPr>
          </w:p>
        </w:tc>
        <w:tc>
          <w:tcPr>
            <w:tcW w:w="750" w:type="dxa"/>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rPr>
            </w:pPr>
          </w:p>
        </w:tc>
        <w:tc>
          <w:tcPr>
            <w:tcW w:w="569"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rPr>
            </w:pPr>
          </w:p>
        </w:tc>
        <w:tc>
          <w:tcPr>
            <w:tcW w:w="536" w:type="dxa"/>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rPr>
            </w:pPr>
          </w:p>
        </w:tc>
        <w:tc>
          <w:tcPr>
            <w:tcW w:w="578"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rPr>
            </w:pPr>
          </w:p>
        </w:tc>
        <w:tc>
          <w:tcPr>
            <w:tcW w:w="419" w:type="dxa"/>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rPr>
            </w:pPr>
          </w:p>
        </w:tc>
        <w:tc>
          <w:tcPr>
            <w:tcW w:w="578" w:type="dxa"/>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rPr>
            </w:pPr>
          </w:p>
        </w:tc>
        <w:tc>
          <w:tcPr>
            <w:tcW w:w="397"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75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3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19"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75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3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19"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75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3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19"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75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3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19"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75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3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19"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75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3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19"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75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3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19"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75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3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19"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75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3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19"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75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3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19"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75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3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19"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rPr>
            </w:pPr>
          </w:p>
        </w:tc>
        <w:tc>
          <w:tcPr>
            <w:tcW w:w="397" w:type="dxa"/>
            <w:shd w:val="clear" w:color="auto" w:fill="auto"/>
          </w:tcPr>
          <w:p>
            <w:pPr>
              <w:widowControl/>
              <w:jc w:val="left"/>
              <w:outlineLvl w:val="1"/>
              <w:rPr>
                <w:rFonts w:ascii="仿宋_GB2312" w:hAnsi="宋体" w:eastAsia="仿宋_GB2312"/>
                <w:color w:val="auto"/>
                <w:kern w:val="0"/>
                <w:sz w:val="32"/>
                <w:szCs w:val="32"/>
              </w:rPr>
            </w:pPr>
          </w:p>
        </w:tc>
        <w:tc>
          <w:tcPr>
            <w:tcW w:w="397" w:type="dxa"/>
            <w:shd w:val="clear" w:color="auto" w:fill="auto"/>
          </w:tcPr>
          <w:p>
            <w:pPr>
              <w:widowControl/>
              <w:jc w:val="left"/>
              <w:outlineLvl w:val="1"/>
              <w:rPr>
                <w:rFonts w:ascii="仿宋_GB2312" w:hAnsi="宋体" w:eastAsia="仿宋_GB2312"/>
                <w:color w:val="auto"/>
                <w:kern w:val="0"/>
                <w:sz w:val="32"/>
                <w:szCs w:val="32"/>
              </w:rPr>
            </w:pPr>
          </w:p>
        </w:tc>
        <w:tc>
          <w:tcPr>
            <w:tcW w:w="851" w:type="dxa"/>
            <w:shd w:val="clear" w:color="auto" w:fill="auto"/>
          </w:tcPr>
          <w:p>
            <w:pPr>
              <w:widowControl/>
              <w:jc w:val="left"/>
              <w:outlineLvl w:val="1"/>
              <w:rPr>
                <w:rFonts w:ascii="仿宋_GB2312" w:hAnsi="宋体" w:eastAsia="仿宋_GB2312"/>
                <w:color w:val="auto"/>
                <w:kern w:val="0"/>
                <w:sz w:val="32"/>
                <w:szCs w:val="32"/>
              </w:rPr>
            </w:pPr>
          </w:p>
        </w:tc>
        <w:tc>
          <w:tcPr>
            <w:tcW w:w="1456" w:type="dxa"/>
            <w:shd w:val="clear" w:color="auto" w:fill="auto"/>
          </w:tcPr>
          <w:p>
            <w:pPr>
              <w:widowControl/>
              <w:jc w:val="left"/>
              <w:outlineLvl w:val="1"/>
              <w:rPr>
                <w:rFonts w:ascii="仿宋_GB2312" w:hAnsi="宋体" w:eastAsia="仿宋_GB2312"/>
                <w:color w:val="auto"/>
                <w:kern w:val="0"/>
                <w:sz w:val="32"/>
                <w:szCs w:val="32"/>
              </w:rPr>
            </w:pPr>
          </w:p>
        </w:tc>
        <w:tc>
          <w:tcPr>
            <w:tcW w:w="750" w:type="dxa"/>
            <w:shd w:val="clear" w:color="auto" w:fill="auto"/>
          </w:tcPr>
          <w:p>
            <w:pPr>
              <w:widowControl/>
              <w:jc w:val="left"/>
              <w:outlineLvl w:val="1"/>
              <w:rPr>
                <w:rFonts w:ascii="仿宋_GB2312" w:hAnsi="宋体" w:eastAsia="仿宋_GB2312"/>
                <w:color w:val="auto"/>
                <w:kern w:val="0"/>
                <w:sz w:val="32"/>
                <w:szCs w:val="32"/>
              </w:rPr>
            </w:pPr>
          </w:p>
        </w:tc>
        <w:tc>
          <w:tcPr>
            <w:tcW w:w="569" w:type="dxa"/>
            <w:gridSpan w:val="2"/>
            <w:shd w:val="clear" w:color="auto" w:fill="auto"/>
          </w:tcPr>
          <w:p>
            <w:pPr>
              <w:widowControl/>
              <w:jc w:val="left"/>
              <w:outlineLvl w:val="1"/>
              <w:rPr>
                <w:rFonts w:ascii="仿宋_GB2312" w:hAnsi="宋体" w:eastAsia="仿宋_GB2312"/>
                <w:color w:val="auto"/>
                <w:kern w:val="0"/>
                <w:sz w:val="32"/>
                <w:szCs w:val="32"/>
              </w:rPr>
            </w:pPr>
          </w:p>
        </w:tc>
        <w:tc>
          <w:tcPr>
            <w:tcW w:w="536" w:type="dxa"/>
            <w:shd w:val="clear" w:color="auto" w:fill="auto"/>
          </w:tcPr>
          <w:p>
            <w:pPr>
              <w:widowControl/>
              <w:jc w:val="left"/>
              <w:outlineLvl w:val="1"/>
              <w:rPr>
                <w:rFonts w:ascii="仿宋_GB2312" w:hAnsi="宋体" w:eastAsia="仿宋_GB2312"/>
                <w:color w:val="auto"/>
                <w:kern w:val="0"/>
                <w:sz w:val="32"/>
                <w:szCs w:val="32"/>
              </w:rPr>
            </w:pPr>
          </w:p>
        </w:tc>
        <w:tc>
          <w:tcPr>
            <w:tcW w:w="652" w:type="dxa"/>
            <w:shd w:val="clear" w:color="auto" w:fill="auto"/>
          </w:tcPr>
          <w:p>
            <w:pPr>
              <w:widowControl/>
              <w:jc w:val="left"/>
              <w:outlineLvl w:val="1"/>
              <w:rPr>
                <w:rFonts w:ascii="仿宋_GB2312" w:hAnsi="宋体" w:eastAsia="仿宋_GB2312"/>
                <w:color w:val="auto"/>
                <w:kern w:val="0"/>
                <w:sz w:val="32"/>
                <w:szCs w:val="32"/>
              </w:rPr>
            </w:pPr>
          </w:p>
        </w:tc>
        <w:tc>
          <w:tcPr>
            <w:tcW w:w="652" w:type="dxa"/>
            <w:shd w:val="clear" w:color="auto" w:fill="auto"/>
          </w:tcPr>
          <w:p>
            <w:pPr>
              <w:widowControl/>
              <w:jc w:val="left"/>
              <w:outlineLvl w:val="1"/>
              <w:rPr>
                <w:rFonts w:ascii="仿宋_GB2312" w:hAnsi="宋体" w:eastAsia="仿宋_GB2312"/>
                <w:color w:val="auto"/>
                <w:kern w:val="0"/>
                <w:sz w:val="32"/>
                <w:szCs w:val="32"/>
              </w:rPr>
            </w:pPr>
          </w:p>
        </w:tc>
        <w:tc>
          <w:tcPr>
            <w:tcW w:w="578" w:type="dxa"/>
            <w:gridSpan w:val="2"/>
            <w:shd w:val="clear" w:color="auto" w:fill="auto"/>
          </w:tcPr>
          <w:p>
            <w:pPr>
              <w:widowControl/>
              <w:jc w:val="left"/>
              <w:outlineLvl w:val="1"/>
              <w:rPr>
                <w:rFonts w:ascii="仿宋_GB2312" w:hAnsi="宋体" w:eastAsia="仿宋_GB2312"/>
                <w:color w:val="auto"/>
                <w:kern w:val="0"/>
                <w:sz w:val="32"/>
                <w:szCs w:val="32"/>
              </w:rPr>
            </w:pPr>
          </w:p>
        </w:tc>
        <w:tc>
          <w:tcPr>
            <w:tcW w:w="419" w:type="dxa"/>
            <w:shd w:val="clear" w:color="auto" w:fill="auto"/>
          </w:tcPr>
          <w:p>
            <w:pPr>
              <w:widowControl/>
              <w:jc w:val="left"/>
              <w:outlineLvl w:val="1"/>
              <w:rPr>
                <w:rFonts w:ascii="仿宋_GB2312" w:hAnsi="宋体" w:eastAsia="仿宋_GB2312"/>
                <w:color w:val="auto"/>
                <w:kern w:val="0"/>
                <w:sz w:val="32"/>
                <w:szCs w:val="32"/>
              </w:rPr>
            </w:pPr>
          </w:p>
        </w:tc>
        <w:tc>
          <w:tcPr>
            <w:tcW w:w="578" w:type="dxa"/>
            <w:shd w:val="clear" w:color="auto" w:fill="auto"/>
          </w:tcPr>
          <w:p>
            <w:pPr>
              <w:widowControl/>
              <w:jc w:val="left"/>
              <w:outlineLvl w:val="1"/>
              <w:rPr>
                <w:rFonts w:ascii="仿宋_GB2312" w:hAnsi="宋体" w:eastAsia="仿宋_GB2312"/>
                <w:color w:val="auto"/>
                <w:kern w:val="0"/>
                <w:sz w:val="32"/>
                <w:szCs w:val="32"/>
              </w:rPr>
            </w:pPr>
          </w:p>
        </w:tc>
        <w:tc>
          <w:tcPr>
            <w:tcW w:w="420" w:type="dxa"/>
            <w:shd w:val="clear" w:color="auto" w:fill="auto"/>
          </w:tcPr>
          <w:p>
            <w:pPr>
              <w:widowControl/>
              <w:jc w:val="left"/>
              <w:outlineLvl w:val="1"/>
              <w:rPr>
                <w:rFonts w:ascii="仿宋_GB2312" w:hAnsi="宋体" w:eastAsia="仿宋_GB2312"/>
                <w:color w:val="auto"/>
                <w:kern w:val="0"/>
                <w:sz w:val="32"/>
                <w:szCs w:val="32"/>
              </w:rPr>
            </w:pPr>
          </w:p>
        </w:tc>
        <w:tc>
          <w:tcPr>
            <w:tcW w:w="420" w:type="dxa"/>
            <w:shd w:val="clear" w:color="auto" w:fill="auto"/>
          </w:tcPr>
          <w:p>
            <w:pPr>
              <w:widowControl/>
              <w:jc w:val="left"/>
              <w:outlineLvl w:val="1"/>
              <w:rPr>
                <w:rFonts w:ascii="仿宋_GB2312" w:hAnsi="宋体" w:eastAsia="仿宋_GB2312"/>
                <w:color w:val="auto"/>
                <w:kern w:val="0"/>
                <w:sz w:val="32"/>
                <w:szCs w:val="32"/>
              </w:rPr>
            </w:pPr>
          </w:p>
        </w:tc>
        <w:tc>
          <w:tcPr>
            <w:tcW w:w="397" w:type="dxa"/>
            <w:gridSpan w:val="2"/>
            <w:shd w:val="clear" w:color="auto" w:fill="auto"/>
          </w:tcPr>
          <w:p>
            <w:pPr>
              <w:widowControl/>
              <w:jc w:val="left"/>
              <w:outlineLvl w:val="1"/>
              <w:rPr>
                <w:rFonts w:ascii="仿宋_GB2312" w:hAnsi="宋体" w:eastAsia="仿宋_GB2312"/>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75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3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19"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75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3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19"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shd w:val="clear" w:color="auto" w:fill="auto"/>
            <w:vAlign w:val="center"/>
          </w:tcPr>
          <w:p>
            <w:pPr>
              <w:widowControl/>
              <w:jc w:val="center"/>
              <w:outlineLvl w:val="1"/>
              <w:rPr>
                <w:rFonts w:ascii="仿宋_GB2312" w:hAnsi="宋体" w:eastAsia="仿宋_GB2312"/>
                <w:color w:val="auto"/>
                <w:kern w:val="0"/>
                <w:szCs w:val="21"/>
              </w:rPr>
            </w:pPr>
            <w:r>
              <w:rPr>
                <w:rFonts w:hint="eastAsia" w:ascii="仿宋_GB2312" w:hAnsi="宋体" w:eastAsia="仿宋_GB2312"/>
                <w:color w:val="auto"/>
                <w:kern w:val="0"/>
                <w:szCs w:val="21"/>
              </w:rPr>
              <w:t>合计</w:t>
            </w:r>
          </w:p>
        </w:tc>
        <w:tc>
          <w:tcPr>
            <w:tcW w:w="750" w:type="dxa"/>
            <w:shd w:val="clear" w:color="auto" w:fill="auto"/>
            <w:vAlign w:val="center"/>
          </w:tcPr>
          <w:p>
            <w:pPr>
              <w:widowControl/>
              <w:jc w:val="center"/>
              <w:outlineLvl w:val="1"/>
              <w:rPr>
                <w:rFonts w:ascii="仿宋_GB2312" w:hAnsi="宋体" w:eastAsia="仿宋_GB2312"/>
                <w:color w:val="auto"/>
                <w:kern w:val="0"/>
                <w:szCs w:val="21"/>
              </w:rPr>
            </w:pPr>
            <w:r>
              <w:rPr>
                <w:rFonts w:hint="eastAsia" w:ascii="仿宋_GB2312" w:hAnsi="宋体" w:eastAsia="仿宋_GB2312"/>
                <w:color w:val="auto"/>
                <w:kern w:val="0"/>
                <w:szCs w:val="21"/>
              </w:rPr>
              <w:t>0</w:t>
            </w:r>
          </w:p>
        </w:tc>
        <w:tc>
          <w:tcPr>
            <w:tcW w:w="569" w:type="dxa"/>
            <w:gridSpan w:val="2"/>
            <w:shd w:val="clear" w:color="auto" w:fill="auto"/>
          </w:tcPr>
          <w:p>
            <w:pPr>
              <w:widowControl/>
              <w:jc w:val="center"/>
              <w:outlineLvl w:val="1"/>
              <w:rPr>
                <w:rFonts w:ascii="仿宋_GB2312" w:hAnsi="宋体" w:eastAsia="仿宋_GB2312"/>
                <w:color w:val="auto"/>
                <w:kern w:val="0"/>
                <w:szCs w:val="21"/>
              </w:rPr>
            </w:pPr>
            <w:r>
              <w:rPr>
                <w:rFonts w:hint="eastAsia" w:ascii="仿宋_GB2312" w:hAnsi="宋体" w:eastAsia="仿宋_GB2312"/>
                <w:color w:val="auto"/>
                <w:kern w:val="0"/>
                <w:szCs w:val="21"/>
              </w:rPr>
              <w:t>0</w:t>
            </w:r>
          </w:p>
        </w:tc>
        <w:tc>
          <w:tcPr>
            <w:tcW w:w="536" w:type="dxa"/>
            <w:shd w:val="clear" w:color="auto" w:fill="auto"/>
          </w:tcPr>
          <w:p>
            <w:pPr>
              <w:widowControl/>
              <w:jc w:val="center"/>
              <w:outlineLvl w:val="1"/>
              <w:rPr>
                <w:rFonts w:ascii="仿宋_GB2312" w:hAnsi="宋体" w:eastAsia="仿宋_GB2312"/>
                <w:color w:val="auto"/>
                <w:kern w:val="0"/>
                <w:szCs w:val="21"/>
              </w:rPr>
            </w:pPr>
            <w:r>
              <w:rPr>
                <w:rFonts w:hint="eastAsia" w:ascii="仿宋_GB2312" w:hAnsi="宋体" w:eastAsia="仿宋_GB2312"/>
                <w:color w:val="auto"/>
                <w:kern w:val="0"/>
                <w:szCs w:val="21"/>
              </w:rPr>
              <w:t>0</w:t>
            </w:r>
          </w:p>
        </w:tc>
        <w:tc>
          <w:tcPr>
            <w:tcW w:w="652" w:type="dxa"/>
            <w:shd w:val="clear" w:color="auto" w:fill="auto"/>
          </w:tcPr>
          <w:p>
            <w:pPr>
              <w:widowControl/>
              <w:jc w:val="center"/>
              <w:outlineLvl w:val="1"/>
              <w:rPr>
                <w:rFonts w:ascii="仿宋_GB2312" w:hAnsi="宋体" w:eastAsia="仿宋_GB2312"/>
                <w:color w:val="auto"/>
                <w:kern w:val="0"/>
                <w:szCs w:val="21"/>
              </w:rPr>
            </w:pPr>
            <w:r>
              <w:rPr>
                <w:rFonts w:hint="eastAsia" w:ascii="仿宋_GB2312" w:hAnsi="宋体" w:eastAsia="仿宋_GB2312"/>
                <w:color w:val="auto"/>
                <w:kern w:val="0"/>
                <w:szCs w:val="21"/>
              </w:rPr>
              <w:t>0</w:t>
            </w:r>
          </w:p>
        </w:tc>
        <w:tc>
          <w:tcPr>
            <w:tcW w:w="652" w:type="dxa"/>
            <w:shd w:val="clear" w:color="auto" w:fill="auto"/>
          </w:tcPr>
          <w:p>
            <w:pPr>
              <w:widowControl/>
              <w:jc w:val="center"/>
              <w:outlineLvl w:val="1"/>
              <w:rPr>
                <w:rFonts w:ascii="仿宋_GB2312" w:hAnsi="宋体" w:eastAsia="仿宋_GB2312"/>
                <w:color w:val="auto"/>
                <w:kern w:val="0"/>
                <w:szCs w:val="21"/>
              </w:rPr>
            </w:pPr>
            <w:r>
              <w:rPr>
                <w:rFonts w:hint="eastAsia" w:ascii="仿宋_GB2312" w:hAnsi="宋体" w:eastAsia="仿宋_GB2312"/>
                <w:color w:val="auto"/>
                <w:kern w:val="0"/>
                <w:szCs w:val="21"/>
              </w:rPr>
              <w:t>0</w:t>
            </w:r>
          </w:p>
        </w:tc>
        <w:tc>
          <w:tcPr>
            <w:tcW w:w="578" w:type="dxa"/>
            <w:gridSpan w:val="2"/>
            <w:shd w:val="clear" w:color="auto" w:fill="auto"/>
          </w:tcPr>
          <w:p>
            <w:pPr>
              <w:widowControl/>
              <w:jc w:val="center"/>
              <w:outlineLvl w:val="1"/>
              <w:rPr>
                <w:rFonts w:ascii="仿宋_GB2312" w:hAnsi="宋体" w:eastAsia="仿宋_GB2312"/>
                <w:color w:val="auto"/>
                <w:kern w:val="0"/>
                <w:szCs w:val="21"/>
              </w:rPr>
            </w:pPr>
            <w:r>
              <w:rPr>
                <w:rFonts w:hint="eastAsia" w:ascii="仿宋_GB2312" w:hAnsi="宋体" w:eastAsia="仿宋_GB2312"/>
                <w:color w:val="auto"/>
                <w:kern w:val="0"/>
                <w:szCs w:val="21"/>
              </w:rPr>
              <w:t>0</w:t>
            </w:r>
          </w:p>
        </w:tc>
        <w:tc>
          <w:tcPr>
            <w:tcW w:w="419" w:type="dxa"/>
            <w:shd w:val="clear" w:color="auto" w:fill="auto"/>
          </w:tcPr>
          <w:p>
            <w:pPr>
              <w:widowControl/>
              <w:jc w:val="center"/>
              <w:outlineLvl w:val="1"/>
              <w:rPr>
                <w:rFonts w:ascii="仿宋_GB2312" w:hAnsi="宋体" w:eastAsia="仿宋_GB2312"/>
                <w:color w:val="auto"/>
                <w:kern w:val="0"/>
                <w:szCs w:val="21"/>
              </w:rPr>
            </w:pPr>
            <w:r>
              <w:rPr>
                <w:rFonts w:hint="eastAsia" w:ascii="仿宋_GB2312" w:hAnsi="宋体" w:eastAsia="仿宋_GB2312"/>
                <w:color w:val="auto"/>
                <w:kern w:val="0"/>
                <w:szCs w:val="21"/>
              </w:rPr>
              <w:t>0</w:t>
            </w:r>
          </w:p>
        </w:tc>
        <w:tc>
          <w:tcPr>
            <w:tcW w:w="578" w:type="dxa"/>
            <w:shd w:val="clear" w:color="auto" w:fill="auto"/>
          </w:tcPr>
          <w:p>
            <w:pPr>
              <w:widowControl/>
              <w:jc w:val="center"/>
              <w:outlineLvl w:val="1"/>
              <w:rPr>
                <w:rFonts w:ascii="仿宋_GB2312" w:hAnsi="宋体" w:eastAsia="仿宋_GB2312"/>
                <w:color w:val="auto"/>
                <w:kern w:val="0"/>
                <w:szCs w:val="21"/>
              </w:rPr>
            </w:pPr>
            <w:r>
              <w:rPr>
                <w:rFonts w:hint="eastAsia" w:ascii="仿宋_GB2312" w:hAnsi="宋体" w:eastAsia="仿宋_GB2312"/>
                <w:color w:val="auto"/>
                <w:kern w:val="0"/>
                <w:szCs w:val="21"/>
              </w:rPr>
              <w:t>0</w:t>
            </w:r>
          </w:p>
        </w:tc>
        <w:tc>
          <w:tcPr>
            <w:tcW w:w="420" w:type="dxa"/>
            <w:shd w:val="clear" w:color="auto" w:fill="auto"/>
          </w:tcPr>
          <w:p>
            <w:pPr>
              <w:widowControl/>
              <w:jc w:val="center"/>
              <w:outlineLvl w:val="1"/>
              <w:rPr>
                <w:rFonts w:ascii="仿宋_GB2312" w:hAnsi="宋体" w:eastAsia="仿宋_GB2312"/>
                <w:color w:val="auto"/>
                <w:kern w:val="0"/>
                <w:szCs w:val="21"/>
              </w:rPr>
            </w:pPr>
            <w:r>
              <w:rPr>
                <w:rFonts w:hint="eastAsia" w:ascii="仿宋_GB2312" w:hAnsi="宋体" w:eastAsia="仿宋_GB2312"/>
                <w:color w:val="auto"/>
                <w:kern w:val="0"/>
                <w:szCs w:val="21"/>
              </w:rPr>
              <w:t>0</w:t>
            </w:r>
          </w:p>
        </w:tc>
        <w:tc>
          <w:tcPr>
            <w:tcW w:w="420" w:type="dxa"/>
            <w:shd w:val="clear" w:color="auto" w:fill="auto"/>
          </w:tcPr>
          <w:p>
            <w:pPr>
              <w:widowControl/>
              <w:jc w:val="center"/>
              <w:outlineLvl w:val="1"/>
              <w:rPr>
                <w:rFonts w:ascii="仿宋_GB2312" w:hAnsi="宋体" w:eastAsia="仿宋_GB2312"/>
                <w:color w:val="auto"/>
                <w:kern w:val="0"/>
                <w:szCs w:val="21"/>
              </w:rPr>
            </w:pPr>
            <w:r>
              <w:rPr>
                <w:rFonts w:hint="eastAsia" w:ascii="仿宋_GB2312" w:hAnsi="宋体" w:eastAsia="仿宋_GB2312"/>
                <w:color w:val="auto"/>
                <w:kern w:val="0"/>
                <w:szCs w:val="21"/>
              </w:rPr>
              <w:t>0</w:t>
            </w:r>
          </w:p>
        </w:tc>
        <w:tc>
          <w:tcPr>
            <w:tcW w:w="397" w:type="dxa"/>
            <w:gridSpan w:val="2"/>
            <w:shd w:val="clear" w:color="auto" w:fill="auto"/>
          </w:tcPr>
          <w:p>
            <w:pPr>
              <w:widowControl/>
              <w:jc w:val="center"/>
              <w:outlineLvl w:val="1"/>
              <w:rPr>
                <w:rFonts w:ascii="仿宋_GB2312" w:hAnsi="宋体" w:eastAsia="仿宋_GB2312"/>
                <w:color w:val="auto"/>
                <w:kern w:val="0"/>
                <w:szCs w:val="21"/>
              </w:rPr>
            </w:pPr>
            <w:r>
              <w:rPr>
                <w:rFonts w:hint="eastAsia" w:ascii="仿宋_GB2312" w:hAnsi="宋体" w:eastAsia="仿宋_GB2312"/>
                <w:color w:val="auto"/>
                <w:kern w:val="0"/>
                <w:szCs w:val="21"/>
              </w:rPr>
              <w:t>0</w:t>
            </w:r>
          </w:p>
        </w:tc>
      </w:tr>
    </w:tbl>
    <w:p>
      <w:pPr>
        <w:widowControl/>
        <w:outlineLvl w:val="1"/>
        <w:rPr>
          <w:rFonts w:ascii="仿宋_GB2312" w:hAnsi="宋体" w:eastAsia="仿宋_GB2312"/>
          <w:b/>
          <w:color w:val="auto"/>
          <w:kern w:val="0"/>
          <w:sz w:val="28"/>
          <w:szCs w:val="32"/>
        </w:rPr>
      </w:pPr>
      <w:r>
        <w:rPr>
          <w:rFonts w:hint="eastAsia" w:ascii="仿宋_GB2312" w:hAnsi="宋体" w:eastAsia="仿宋_GB2312"/>
          <w:b/>
          <w:color w:val="auto"/>
          <w:kern w:val="0"/>
          <w:sz w:val="28"/>
          <w:szCs w:val="32"/>
        </w:rPr>
        <w:t>备注：2019年未安排项目支出预算，因此没有使用项目支出预算拨款安排的支出，项目支出预算支出情况表为空表。</w:t>
      </w:r>
    </w:p>
    <w:p>
      <w:pPr>
        <w:widowControl/>
        <w:jc w:val="left"/>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表八：</w:t>
      </w:r>
    </w:p>
    <w:p>
      <w:pPr>
        <w:widowControl/>
        <w:jc w:val="left"/>
        <w:outlineLvl w:val="1"/>
        <w:rPr>
          <w:rFonts w:ascii="仿宋_GB2312" w:hAnsi="宋体" w:eastAsia="仿宋_GB2312"/>
          <w:b/>
          <w:color w:val="auto"/>
          <w:kern w:val="0"/>
          <w:sz w:val="32"/>
          <w:szCs w:val="32"/>
        </w:rPr>
      </w:pPr>
    </w:p>
    <w:p>
      <w:pPr>
        <w:widowControl/>
        <w:jc w:val="center"/>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一般公共预算“三公”经费支出情况表</w:t>
      </w:r>
    </w:p>
    <w:p>
      <w:pPr>
        <w:widowControl/>
        <w:jc w:val="left"/>
        <w:outlineLvl w:val="1"/>
        <w:rPr>
          <w:rFonts w:ascii="仿宋_GB2312" w:hAnsi="宋体" w:eastAsia="仿宋_GB2312"/>
          <w:color w:val="auto"/>
          <w:kern w:val="0"/>
          <w:sz w:val="24"/>
        </w:rPr>
      </w:pPr>
      <w:r>
        <w:rPr>
          <w:rFonts w:hint="eastAsia" w:ascii="仿宋_GB2312" w:hAnsi="宋体" w:eastAsia="仿宋_GB2312"/>
          <w:color w:val="auto"/>
          <w:kern w:val="0"/>
          <w:sz w:val="24"/>
        </w:rPr>
        <w:t>编制单位：阜康市农村能源办公室                               单位：万元</w:t>
      </w:r>
    </w:p>
    <w:tbl>
      <w:tblPr>
        <w:tblStyle w:val="7"/>
        <w:tblW w:w="9087" w:type="dxa"/>
        <w:tblInd w:w="93" w:type="dxa"/>
        <w:tblLayout w:type="fixed"/>
        <w:tblCellMar>
          <w:top w:w="0" w:type="dxa"/>
          <w:left w:w="108" w:type="dxa"/>
          <w:bottom w:w="0" w:type="dxa"/>
          <w:right w:w="108" w:type="dxa"/>
        </w:tblCellMar>
      </w:tblPr>
      <w:tblGrid>
        <w:gridCol w:w="1575"/>
        <w:gridCol w:w="1417"/>
        <w:gridCol w:w="1559"/>
        <w:gridCol w:w="1418"/>
        <w:gridCol w:w="1559"/>
        <w:gridCol w:w="1559"/>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2"/>
                <w:szCs w:val="22"/>
              </w:rPr>
            </w:pPr>
            <w:r>
              <w:rPr>
                <w:rFonts w:hint="eastAsia" w:ascii="仿宋_GB2312" w:hAnsi="宋体" w:eastAsia="仿宋_GB2312" w:cs="宋体"/>
                <w:b/>
                <w:bCs/>
                <w:color w:val="auto"/>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2"/>
                <w:szCs w:val="22"/>
              </w:rPr>
            </w:pPr>
            <w:r>
              <w:rPr>
                <w:rFonts w:hint="eastAsia" w:ascii="仿宋_GB2312" w:hAnsi="宋体" w:eastAsia="仿宋_GB2312" w:cs="宋体"/>
                <w:b/>
                <w:bCs/>
                <w:color w:val="auto"/>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2"/>
                <w:szCs w:val="22"/>
              </w:rPr>
            </w:pPr>
            <w:r>
              <w:rPr>
                <w:rFonts w:hint="eastAsia" w:ascii="仿宋_GB2312" w:hAnsi="宋体" w:eastAsia="仿宋_GB2312" w:cs="宋体"/>
                <w:b/>
                <w:bCs/>
                <w:color w:val="auto"/>
                <w:kern w:val="0"/>
                <w:sz w:val="22"/>
                <w:szCs w:val="22"/>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 w:val="22"/>
                <w:szCs w:val="2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2"/>
                <w:szCs w:val="22"/>
              </w:rPr>
            </w:pPr>
            <w:r>
              <w:rPr>
                <w:rFonts w:hint="eastAsia" w:ascii="仿宋_GB2312" w:hAnsi="宋体" w:eastAsia="仿宋_GB2312" w:cs="宋体"/>
                <w:b/>
                <w:bCs/>
                <w:color w:val="auto"/>
                <w:kern w:val="0"/>
                <w:sz w:val="22"/>
                <w:szCs w:val="22"/>
              </w:rPr>
              <w:t>小计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2"/>
                <w:szCs w:val="22"/>
              </w:rPr>
            </w:pPr>
            <w:r>
              <w:rPr>
                <w:rFonts w:hint="eastAsia" w:ascii="仿宋_GB2312" w:hAnsi="宋体" w:eastAsia="仿宋_GB2312" w:cs="宋体"/>
                <w:b/>
                <w:bCs/>
                <w:color w:val="auto"/>
                <w:kern w:val="0"/>
                <w:sz w:val="22"/>
                <w:szCs w:val="22"/>
              </w:rPr>
              <w:t>公务用车购置费</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2"/>
                <w:szCs w:val="22"/>
              </w:rPr>
            </w:pPr>
            <w:r>
              <w:rPr>
                <w:rFonts w:hint="eastAsia" w:ascii="仿宋_GB2312" w:hAnsi="宋体" w:eastAsia="仿宋_GB2312" w:cs="宋体"/>
                <w:b/>
                <w:bCs/>
                <w:color w:val="auto"/>
                <w:kern w:val="0"/>
                <w:sz w:val="22"/>
                <w:szCs w:val="22"/>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auto"/>
                <w:kern w:val="0"/>
                <w:sz w:val="22"/>
                <w:szCs w:val="22"/>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2.36</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0</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2.25</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0</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2.25</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0.11</w:t>
            </w: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r>
      <w:tr>
        <w:tblPrEx>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r>
      <w:tr>
        <w:tblPrEx>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r>
      <w:tr>
        <w:tblPrEx>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r>
    </w:tbl>
    <w:p>
      <w:pPr>
        <w:widowControl/>
        <w:outlineLvl w:val="1"/>
        <w:rPr>
          <w:rFonts w:ascii="仿宋_GB2312" w:hAnsi="宋体" w:eastAsia="仿宋_GB2312"/>
          <w:b/>
          <w:color w:val="auto"/>
          <w:kern w:val="0"/>
          <w:sz w:val="32"/>
          <w:szCs w:val="32"/>
        </w:rPr>
      </w:pPr>
      <w:r>
        <w:rPr>
          <w:rFonts w:hint="eastAsia" w:ascii="仿宋_GB2312" w:hAnsi="宋体" w:eastAsia="仿宋_GB2312"/>
          <w:b/>
          <w:color w:val="auto"/>
          <w:kern w:val="0"/>
          <w:sz w:val="28"/>
          <w:szCs w:val="32"/>
        </w:rPr>
        <w:t>备注：无内容应公开空表并说明情况。</w:t>
      </w:r>
    </w:p>
    <w:p>
      <w:pPr>
        <w:widowControl/>
        <w:outlineLvl w:val="1"/>
        <w:rPr>
          <w:rFonts w:ascii="仿宋_GB2312" w:hAnsi="宋体" w:eastAsia="仿宋_GB2312"/>
          <w:color w:val="auto"/>
          <w:kern w:val="0"/>
          <w:sz w:val="32"/>
          <w:szCs w:val="32"/>
        </w:rPr>
      </w:pPr>
    </w:p>
    <w:p>
      <w:pPr>
        <w:widowControl/>
        <w:outlineLvl w:val="1"/>
        <w:rPr>
          <w:rFonts w:ascii="仿宋_GB2312" w:hAnsi="宋体" w:eastAsia="仿宋_GB2312"/>
          <w:color w:val="auto"/>
          <w:kern w:val="0"/>
          <w:sz w:val="32"/>
          <w:szCs w:val="32"/>
        </w:rPr>
      </w:pPr>
    </w:p>
    <w:p>
      <w:pPr>
        <w:widowControl/>
        <w:outlineLvl w:val="1"/>
        <w:rPr>
          <w:rFonts w:ascii="仿宋_GB2312" w:hAnsi="宋体" w:eastAsia="仿宋_GB2312"/>
          <w:color w:val="auto"/>
          <w:kern w:val="0"/>
          <w:sz w:val="32"/>
          <w:szCs w:val="32"/>
        </w:rPr>
      </w:pPr>
    </w:p>
    <w:p>
      <w:pPr>
        <w:widowControl/>
        <w:outlineLvl w:val="1"/>
        <w:rPr>
          <w:rFonts w:ascii="仿宋_GB2312" w:hAnsi="宋体" w:eastAsia="仿宋_GB2312"/>
          <w:color w:val="auto"/>
          <w:kern w:val="0"/>
          <w:sz w:val="32"/>
          <w:szCs w:val="32"/>
        </w:rPr>
      </w:pPr>
    </w:p>
    <w:p>
      <w:pPr>
        <w:widowControl/>
        <w:outlineLvl w:val="1"/>
        <w:rPr>
          <w:rFonts w:ascii="仿宋_GB2312" w:hAnsi="宋体" w:eastAsia="仿宋_GB2312"/>
          <w:color w:val="auto"/>
          <w:kern w:val="0"/>
          <w:sz w:val="32"/>
          <w:szCs w:val="32"/>
        </w:rPr>
      </w:pPr>
    </w:p>
    <w:p>
      <w:pPr>
        <w:widowControl/>
        <w:outlineLvl w:val="1"/>
        <w:rPr>
          <w:rFonts w:ascii="仿宋_GB2312" w:hAnsi="宋体" w:eastAsia="仿宋_GB2312"/>
          <w:color w:val="auto"/>
          <w:kern w:val="0"/>
          <w:sz w:val="32"/>
          <w:szCs w:val="32"/>
        </w:rPr>
      </w:pPr>
    </w:p>
    <w:p>
      <w:pPr>
        <w:widowControl/>
        <w:outlineLvl w:val="1"/>
        <w:rPr>
          <w:rFonts w:ascii="仿宋_GB2312" w:hAnsi="宋体" w:eastAsia="仿宋_GB2312"/>
          <w:color w:val="auto"/>
          <w:kern w:val="0"/>
          <w:sz w:val="32"/>
          <w:szCs w:val="32"/>
        </w:rPr>
      </w:pPr>
    </w:p>
    <w:p>
      <w:pPr>
        <w:widowControl/>
        <w:outlineLvl w:val="1"/>
        <w:rPr>
          <w:rFonts w:ascii="仿宋_GB2312" w:hAnsi="宋体" w:eastAsia="仿宋_GB2312"/>
          <w:color w:val="auto"/>
          <w:kern w:val="0"/>
          <w:sz w:val="32"/>
          <w:szCs w:val="32"/>
        </w:rPr>
      </w:pPr>
    </w:p>
    <w:p>
      <w:pPr>
        <w:widowControl/>
        <w:outlineLvl w:val="1"/>
        <w:rPr>
          <w:rFonts w:ascii="仿宋_GB2312" w:hAnsi="宋体" w:eastAsia="仿宋_GB2312"/>
          <w:color w:val="auto"/>
          <w:kern w:val="0"/>
          <w:sz w:val="32"/>
          <w:szCs w:val="32"/>
        </w:rPr>
      </w:pPr>
    </w:p>
    <w:p>
      <w:pPr>
        <w:widowControl/>
        <w:outlineLvl w:val="1"/>
        <w:rPr>
          <w:rFonts w:ascii="仿宋_GB2312" w:hAnsi="宋体" w:eastAsia="仿宋_GB2312"/>
          <w:color w:val="auto"/>
          <w:kern w:val="0"/>
          <w:sz w:val="32"/>
          <w:szCs w:val="32"/>
        </w:rPr>
      </w:pPr>
    </w:p>
    <w:p>
      <w:pPr>
        <w:widowControl/>
        <w:outlineLvl w:val="1"/>
        <w:rPr>
          <w:rFonts w:ascii="仿宋_GB2312" w:hAnsi="宋体" w:eastAsia="仿宋_GB2312"/>
          <w:color w:val="auto"/>
          <w:kern w:val="0"/>
          <w:sz w:val="32"/>
          <w:szCs w:val="32"/>
        </w:rPr>
      </w:pPr>
    </w:p>
    <w:p>
      <w:pPr>
        <w:widowControl/>
        <w:outlineLvl w:val="1"/>
        <w:rPr>
          <w:rFonts w:ascii="仿宋_GB2312" w:hAnsi="宋体" w:eastAsia="仿宋_GB2312"/>
          <w:color w:val="auto"/>
          <w:kern w:val="0"/>
          <w:sz w:val="32"/>
          <w:szCs w:val="32"/>
        </w:rPr>
      </w:pPr>
    </w:p>
    <w:p>
      <w:pPr>
        <w:widowControl/>
        <w:outlineLvl w:val="1"/>
        <w:rPr>
          <w:rFonts w:ascii="仿宋_GB2312" w:hAnsi="宋体" w:eastAsia="仿宋_GB2312"/>
          <w:color w:val="auto"/>
          <w:kern w:val="0"/>
          <w:sz w:val="32"/>
          <w:szCs w:val="32"/>
        </w:rPr>
      </w:pPr>
    </w:p>
    <w:p>
      <w:pPr>
        <w:widowControl/>
        <w:outlineLvl w:val="1"/>
        <w:rPr>
          <w:rFonts w:ascii="仿宋_GB2312" w:hAnsi="宋体" w:eastAsia="仿宋_GB2312"/>
          <w:color w:val="auto"/>
          <w:kern w:val="0"/>
          <w:sz w:val="32"/>
          <w:szCs w:val="32"/>
        </w:rPr>
      </w:pPr>
    </w:p>
    <w:p>
      <w:pPr>
        <w:widowControl/>
        <w:outlineLvl w:val="1"/>
        <w:rPr>
          <w:rFonts w:ascii="仿宋_GB2312" w:hAnsi="宋体" w:eastAsia="仿宋_GB2312"/>
          <w:color w:val="auto"/>
          <w:kern w:val="0"/>
          <w:sz w:val="32"/>
          <w:szCs w:val="32"/>
        </w:rPr>
      </w:pPr>
    </w:p>
    <w:p>
      <w:pPr>
        <w:widowControl/>
        <w:jc w:val="left"/>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表九：</w:t>
      </w:r>
    </w:p>
    <w:p>
      <w:pPr>
        <w:widowControl/>
        <w:jc w:val="center"/>
        <w:outlineLvl w:val="1"/>
        <w:rPr>
          <w:rFonts w:hint="eastAsia" w:ascii="仿宋_GB2312" w:hAnsi="宋体" w:eastAsia="仿宋_GB2312"/>
          <w:b/>
          <w:color w:val="auto"/>
          <w:kern w:val="0"/>
          <w:sz w:val="32"/>
          <w:szCs w:val="32"/>
        </w:rPr>
      </w:pPr>
      <w:r>
        <w:rPr>
          <w:rFonts w:hint="eastAsia" w:ascii="仿宋_GB2312" w:hAnsi="宋体" w:eastAsia="仿宋_GB2312"/>
          <w:b/>
          <w:color w:val="auto"/>
          <w:kern w:val="0"/>
          <w:sz w:val="32"/>
          <w:szCs w:val="32"/>
        </w:rPr>
        <w:t>政府性基金预算支出情况表</w:t>
      </w:r>
    </w:p>
    <w:p>
      <w:pPr>
        <w:widowControl/>
        <w:jc w:val="left"/>
        <w:outlineLvl w:val="1"/>
        <w:rPr>
          <w:rFonts w:hint="eastAsia" w:ascii="仿宋_GB2312" w:hAnsi="宋体" w:eastAsia="仿宋_GB2312"/>
          <w:b/>
          <w:color w:val="auto"/>
          <w:kern w:val="0"/>
          <w:sz w:val="32"/>
          <w:szCs w:val="32"/>
        </w:rPr>
      </w:pPr>
      <w:r>
        <w:rPr>
          <w:rFonts w:hint="eastAsia" w:ascii="仿宋_GB2312" w:hAnsi="宋体" w:eastAsia="仿宋_GB2312"/>
          <w:color w:val="auto"/>
          <w:kern w:val="0"/>
          <w:sz w:val="24"/>
        </w:rPr>
        <w:t>编制单位：阜康市农村能源办公室                               单位：万元</w:t>
      </w:r>
    </w:p>
    <w:tbl>
      <w:tblPr>
        <w:tblStyle w:val="7"/>
        <w:tblW w:w="9087" w:type="dxa"/>
        <w:tblInd w:w="93" w:type="dxa"/>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Layout w:type="fixed"/>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项  目</w:t>
            </w:r>
          </w:p>
        </w:tc>
        <w:tc>
          <w:tcPr>
            <w:tcW w:w="481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政府性基金预算支出</w:t>
            </w:r>
          </w:p>
        </w:tc>
      </w:tr>
      <w:tr>
        <w:tblPrEx>
          <w:tblLayout w:type="fixed"/>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18"/>
                <w:szCs w:val="18"/>
              </w:rPr>
            </w:pPr>
            <w:r>
              <w:rPr>
                <w:rFonts w:hint="eastAsia" w:ascii="仿宋_GB2312" w:hAnsi="宋体" w:eastAsia="仿宋_GB2312" w:cs="宋体"/>
                <w:b/>
                <w:bCs/>
                <w:color w:val="auto"/>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小计</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基本支出</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项目支出</w:t>
            </w:r>
          </w:p>
        </w:tc>
      </w:tr>
      <w:tr>
        <w:tblPrEx>
          <w:tblLayout w:type="fixed"/>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类</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款</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4"/>
              </w:rPr>
            </w:pP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合计</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0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0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r>
    </w:tbl>
    <w:p>
      <w:pPr>
        <w:widowControl/>
        <w:outlineLvl w:val="1"/>
        <w:rPr>
          <w:rFonts w:ascii="仿宋_GB2312" w:hAnsi="宋体" w:eastAsia="仿宋_GB2312"/>
          <w:b/>
          <w:color w:val="auto"/>
          <w:kern w:val="0"/>
          <w:sz w:val="28"/>
          <w:szCs w:val="32"/>
        </w:rPr>
      </w:pPr>
      <w:r>
        <w:rPr>
          <w:rFonts w:hint="eastAsia" w:ascii="仿宋_GB2312" w:hAnsi="宋体" w:eastAsia="仿宋_GB2312"/>
          <w:b/>
          <w:color w:val="auto"/>
          <w:kern w:val="0"/>
          <w:sz w:val="28"/>
          <w:szCs w:val="32"/>
        </w:rPr>
        <w:t>备注：2019年未安排</w:t>
      </w:r>
      <w:r>
        <w:rPr>
          <w:rFonts w:hint="eastAsia" w:ascii="仿宋_GB2312" w:hAnsi="宋体" w:eastAsia="仿宋_GB2312"/>
          <w:b/>
          <w:color w:val="auto"/>
          <w:kern w:val="0"/>
          <w:sz w:val="32"/>
          <w:szCs w:val="32"/>
        </w:rPr>
        <w:t>政府性基金</w:t>
      </w:r>
      <w:r>
        <w:rPr>
          <w:rFonts w:hint="eastAsia" w:ascii="仿宋_GB2312" w:hAnsi="宋体" w:eastAsia="仿宋_GB2312"/>
          <w:b/>
          <w:color w:val="auto"/>
          <w:kern w:val="0"/>
          <w:sz w:val="28"/>
          <w:szCs w:val="32"/>
        </w:rPr>
        <w:t>预算，因此没有使用</w:t>
      </w:r>
      <w:r>
        <w:rPr>
          <w:rFonts w:hint="eastAsia" w:ascii="仿宋_GB2312" w:hAnsi="宋体" w:eastAsia="仿宋_GB2312"/>
          <w:b/>
          <w:color w:val="auto"/>
          <w:kern w:val="0"/>
          <w:sz w:val="32"/>
          <w:szCs w:val="32"/>
        </w:rPr>
        <w:t>政府性基金</w:t>
      </w:r>
      <w:r>
        <w:rPr>
          <w:rFonts w:hint="eastAsia" w:ascii="仿宋_GB2312" w:hAnsi="宋体" w:eastAsia="仿宋_GB2312"/>
          <w:b/>
          <w:color w:val="auto"/>
          <w:kern w:val="0"/>
          <w:sz w:val="28"/>
          <w:szCs w:val="32"/>
        </w:rPr>
        <w:t>预算拨款安排的支出，</w:t>
      </w:r>
      <w:r>
        <w:rPr>
          <w:rFonts w:hint="eastAsia" w:ascii="仿宋_GB2312" w:hAnsi="宋体" w:eastAsia="仿宋_GB2312"/>
          <w:b/>
          <w:color w:val="auto"/>
          <w:kern w:val="0"/>
          <w:sz w:val="32"/>
          <w:szCs w:val="32"/>
        </w:rPr>
        <w:t>政府性基金</w:t>
      </w:r>
      <w:r>
        <w:rPr>
          <w:rFonts w:hint="eastAsia" w:ascii="仿宋_GB2312" w:hAnsi="宋体" w:eastAsia="仿宋_GB2312"/>
          <w:b/>
          <w:color w:val="auto"/>
          <w:kern w:val="0"/>
          <w:sz w:val="28"/>
          <w:szCs w:val="32"/>
        </w:rPr>
        <w:t>预算支出情况表为空表。</w:t>
      </w:r>
    </w:p>
    <w:p>
      <w:pPr>
        <w:widowControl/>
        <w:outlineLvl w:val="1"/>
        <w:rPr>
          <w:rFonts w:ascii="仿宋_GB2312" w:hAnsi="宋体" w:eastAsia="仿宋_GB2312"/>
          <w:b/>
          <w:color w:val="auto"/>
          <w:kern w:val="0"/>
          <w:sz w:val="28"/>
          <w:szCs w:val="32"/>
        </w:rPr>
      </w:pPr>
    </w:p>
    <w:p>
      <w:pPr>
        <w:widowControl/>
        <w:jc w:val="left"/>
        <w:outlineLvl w:val="1"/>
        <w:rPr>
          <w:rFonts w:ascii="仿宋_GB2312" w:hAnsi="宋体" w:eastAsia="仿宋_GB2312"/>
          <w:color w:val="auto"/>
          <w:kern w:val="0"/>
          <w:sz w:val="32"/>
          <w:szCs w:val="32"/>
        </w:rPr>
        <w:sectPr>
          <w:footerReference r:id="rId3" w:type="default"/>
          <w:footerReference r:id="rId4" w:type="even"/>
          <w:pgSz w:w="11906" w:h="16838"/>
          <w:pgMar w:top="2098" w:right="1418" w:bottom="1928" w:left="1588" w:header="851" w:footer="992" w:gutter="0"/>
          <w:pgNumType w:fmt="numberInDash"/>
          <w:cols w:space="720" w:num="1"/>
          <w:docGrid w:linePitch="312" w:charSpace="0"/>
        </w:sectPr>
      </w:pPr>
    </w:p>
    <w:p>
      <w:pPr>
        <w:widowControl/>
        <w:spacing w:beforeLines="50"/>
        <w:jc w:val="center"/>
        <w:outlineLvl w:val="1"/>
        <w:rPr>
          <w:rFonts w:ascii="黑体" w:hAnsi="黑体" w:eastAsia="黑体"/>
          <w:color w:val="auto"/>
          <w:kern w:val="0"/>
          <w:sz w:val="32"/>
          <w:szCs w:val="32"/>
        </w:rPr>
      </w:pPr>
      <w:r>
        <w:rPr>
          <w:rFonts w:hint="eastAsia" w:ascii="黑体" w:hAnsi="黑体" w:eastAsia="黑体"/>
          <w:color w:val="auto"/>
          <w:kern w:val="0"/>
          <w:sz w:val="32"/>
          <w:szCs w:val="32"/>
        </w:rPr>
        <w:t>第三部分  2019年部门预算情况说明</w:t>
      </w:r>
    </w:p>
    <w:p>
      <w:pPr>
        <w:widowControl/>
        <w:spacing w:line="580" w:lineRule="exact"/>
        <w:ind w:firstLine="640"/>
        <w:jc w:val="left"/>
        <w:rPr>
          <w:rFonts w:ascii="黑体" w:hAnsi="宋体" w:eastAsia="黑体" w:cs="宋体"/>
          <w:color w:val="auto"/>
          <w:kern w:val="0"/>
          <w:sz w:val="32"/>
          <w:szCs w:val="32"/>
        </w:rPr>
      </w:pPr>
      <w:r>
        <w:rPr>
          <w:rFonts w:hint="eastAsia" w:ascii="黑体" w:hAnsi="黑体" w:eastAsia="黑体" w:cs="宋体"/>
          <w:bCs/>
          <w:color w:val="auto"/>
          <w:kern w:val="0"/>
          <w:sz w:val="32"/>
          <w:szCs w:val="32"/>
        </w:rPr>
        <w:t>一、</w:t>
      </w:r>
      <w:r>
        <w:rPr>
          <w:rFonts w:hint="eastAsia" w:ascii="黑体" w:hAnsi="宋体" w:eastAsia="黑体" w:cs="宋体"/>
          <w:color w:val="auto"/>
          <w:kern w:val="0"/>
          <w:sz w:val="32"/>
          <w:szCs w:val="32"/>
        </w:rPr>
        <w:t>关于阜康市农村能源办公室收支预算情况的总体说明</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按照全口径预算的原则，阜康市农村能源办公室所有收入和支出均纳入部门预算管理。收支总预算71.44万元。</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收入预算包括：一般公共预算71.44万元。</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支出预算包括：社会保障和就业支出6.82万元、医疗卫生与计划生育支出11.72万元、农林水支出48.05万元、住房保障支出4.85万元等。</w:t>
      </w:r>
    </w:p>
    <w:p>
      <w:pPr>
        <w:widowControl/>
        <w:spacing w:line="580" w:lineRule="exact"/>
        <w:ind w:firstLine="640"/>
        <w:jc w:val="left"/>
        <w:rPr>
          <w:rFonts w:ascii="黑体" w:hAnsi="宋体" w:eastAsia="黑体" w:cs="宋体"/>
          <w:color w:val="auto"/>
          <w:kern w:val="0"/>
          <w:sz w:val="32"/>
          <w:szCs w:val="32"/>
        </w:rPr>
      </w:pPr>
      <w:r>
        <w:rPr>
          <w:rFonts w:hint="eastAsia" w:ascii="黑体" w:hAnsi="宋体" w:eastAsia="黑体" w:cs="宋体"/>
          <w:color w:val="auto"/>
          <w:kern w:val="0"/>
          <w:sz w:val="32"/>
          <w:szCs w:val="32"/>
        </w:rPr>
        <w:t>二、关于阜康市农村能源办公室2019年收入预算情况说明</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阜康市农村能源办公室收入预算71.44万元，其中：</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 xml:space="preserve">一般公共预算71.44万元，占100%，比上年减少31.03万元，主要原因是2019年人员减少变动导致的工资减少、没有奖金及业务费的预算； </w:t>
      </w:r>
    </w:p>
    <w:p>
      <w:pPr>
        <w:widowControl/>
        <w:spacing w:line="580" w:lineRule="exact"/>
        <w:ind w:firstLine="640" w:firstLineChars="20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政府性基金预算未安排。</w:t>
      </w:r>
    </w:p>
    <w:p>
      <w:pPr>
        <w:widowControl/>
        <w:spacing w:line="580" w:lineRule="exact"/>
        <w:ind w:firstLine="640"/>
        <w:jc w:val="left"/>
        <w:rPr>
          <w:rFonts w:ascii="黑体" w:hAnsi="宋体" w:eastAsia="黑体" w:cs="宋体"/>
          <w:color w:val="auto"/>
          <w:kern w:val="0"/>
          <w:sz w:val="32"/>
          <w:szCs w:val="32"/>
        </w:rPr>
      </w:pPr>
      <w:r>
        <w:rPr>
          <w:rFonts w:hint="eastAsia" w:ascii="黑体" w:hAnsi="宋体" w:eastAsia="黑体" w:cs="宋体"/>
          <w:color w:val="auto"/>
          <w:kern w:val="0"/>
          <w:sz w:val="32"/>
          <w:szCs w:val="32"/>
        </w:rPr>
        <w:t>三、关于阜康市农村能源办公室2019年支出预算情况说明</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阜康市农村能源办公室2019年支出预算71.44万元，其中：</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基本支出71.44万元，占100 %，比上年减少31.03万元，主要原因是2019年人员减少变动导致的工资减少、没有奖金及业务费的预算。</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项目支出0万元，占0%，比上年增加0万元，主要原因是预算未安排。</w:t>
      </w:r>
    </w:p>
    <w:p>
      <w:pPr>
        <w:widowControl/>
        <w:spacing w:line="580" w:lineRule="exact"/>
        <w:ind w:firstLine="640"/>
        <w:jc w:val="left"/>
        <w:rPr>
          <w:rFonts w:ascii="黑体" w:hAnsi="黑体" w:eastAsia="黑体" w:cs="宋体"/>
          <w:bCs/>
          <w:color w:val="auto"/>
          <w:kern w:val="0"/>
          <w:sz w:val="32"/>
          <w:szCs w:val="32"/>
        </w:rPr>
      </w:pPr>
      <w:r>
        <w:rPr>
          <w:rFonts w:hint="eastAsia" w:ascii="黑体" w:hAnsi="黑体" w:eastAsia="黑体" w:cs="宋体"/>
          <w:bCs/>
          <w:color w:val="auto"/>
          <w:kern w:val="0"/>
          <w:sz w:val="32"/>
          <w:szCs w:val="32"/>
        </w:rPr>
        <w:t>四、关于阜康市农村能源办公室2019年财政拨款收支预算情况的总体说明</w:t>
      </w:r>
    </w:p>
    <w:p>
      <w:pPr>
        <w:spacing w:line="580" w:lineRule="exact"/>
        <w:ind w:firstLine="64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2017年财政拨款收支总预算71.44万元。</w:t>
      </w:r>
    </w:p>
    <w:p>
      <w:pPr>
        <w:spacing w:line="580" w:lineRule="exact"/>
        <w:ind w:firstLine="64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收入全部为一般公共预算拨款，无政府性基金预算拨款。</w:t>
      </w:r>
    </w:p>
    <w:p>
      <w:pPr>
        <w:spacing w:line="580" w:lineRule="exact"/>
        <w:ind w:firstLine="64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支出预算包括：社会保障和就业支出6.82万元</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主要用于年金、养老缴纳及退休人员经费。</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医疗卫生与计划生育支出11.72万元</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主要用于人员医疗金缴纳。</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农林水支出48.05万元</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主要用于办公经费、业务费、人员工资等经费开支。</w:t>
      </w:r>
    </w:p>
    <w:p>
      <w:pPr>
        <w:spacing w:line="580" w:lineRule="exact"/>
        <w:ind w:firstLine="640"/>
        <w:rPr>
          <w:rFonts w:hint="eastAsia" w:ascii="仿宋_GB2312" w:hAnsi="宋体" w:eastAsia="仿宋_GB2312" w:cs="宋体"/>
          <w:color w:val="auto"/>
          <w:kern w:val="0"/>
          <w:sz w:val="32"/>
          <w:szCs w:val="32"/>
          <w:highlight w:val="none"/>
          <w:lang w:eastAsia="zh-CN"/>
        </w:rPr>
      </w:pPr>
      <w:r>
        <w:rPr>
          <w:rFonts w:hint="eastAsia" w:ascii="仿宋_GB2312" w:hAnsi="宋体" w:eastAsia="仿宋_GB2312" w:cs="宋体"/>
          <w:color w:val="auto"/>
          <w:kern w:val="0"/>
          <w:sz w:val="32"/>
          <w:szCs w:val="32"/>
          <w:highlight w:val="none"/>
        </w:rPr>
        <w:t>住房保障支出4.85万元</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主要用于公积金经费开支</w:t>
      </w:r>
      <w:r>
        <w:rPr>
          <w:rFonts w:hint="eastAsia" w:ascii="仿宋_GB2312" w:hAnsi="宋体" w:eastAsia="仿宋_GB2312" w:cs="宋体"/>
          <w:color w:val="auto"/>
          <w:kern w:val="0"/>
          <w:sz w:val="32"/>
          <w:szCs w:val="32"/>
          <w:highlight w:val="none"/>
          <w:lang w:eastAsia="zh-CN"/>
        </w:rPr>
        <w:t>。</w:t>
      </w:r>
    </w:p>
    <w:p>
      <w:pPr>
        <w:widowControl/>
        <w:spacing w:line="580" w:lineRule="exact"/>
        <w:ind w:firstLine="640"/>
        <w:jc w:val="left"/>
        <w:rPr>
          <w:rFonts w:ascii="黑体" w:hAnsi="宋体" w:eastAsia="黑体" w:cs="宋体"/>
          <w:color w:val="auto"/>
          <w:kern w:val="0"/>
          <w:sz w:val="32"/>
          <w:szCs w:val="32"/>
        </w:rPr>
      </w:pPr>
    </w:p>
    <w:p>
      <w:pPr>
        <w:widowControl/>
        <w:spacing w:line="580" w:lineRule="exact"/>
        <w:ind w:firstLine="640"/>
        <w:jc w:val="left"/>
        <w:rPr>
          <w:rFonts w:ascii="黑体" w:hAnsi="宋体" w:eastAsia="黑体" w:cs="宋体"/>
          <w:color w:val="auto"/>
          <w:kern w:val="0"/>
          <w:sz w:val="32"/>
          <w:szCs w:val="32"/>
        </w:rPr>
      </w:pPr>
      <w:r>
        <w:rPr>
          <w:rFonts w:hint="eastAsia" w:ascii="黑体" w:hAnsi="宋体" w:eastAsia="黑体" w:cs="宋体"/>
          <w:color w:val="auto"/>
          <w:kern w:val="0"/>
          <w:sz w:val="32"/>
          <w:szCs w:val="32"/>
        </w:rPr>
        <w:t>五、关于阜康市农村能源办公室2019年年一般公共预算当年拨款情况说明</w:t>
      </w:r>
    </w:p>
    <w:p>
      <w:pPr>
        <w:widowControl/>
        <w:spacing w:line="580" w:lineRule="exact"/>
        <w:ind w:firstLine="642"/>
        <w:jc w:val="left"/>
        <w:rPr>
          <w:rFonts w:ascii="楷体_GB2312" w:hAnsi="宋体" w:eastAsia="楷体_GB2312" w:cs="宋体"/>
          <w:b/>
          <w:color w:val="auto"/>
          <w:kern w:val="0"/>
          <w:sz w:val="32"/>
          <w:szCs w:val="32"/>
        </w:rPr>
      </w:pPr>
      <w:r>
        <w:rPr>
          <w:rFonts w:hint="eastAsia" w:ascii="楷体_GB2312" w:hAnsi="宋体" w:eastAsia="楷体_GB2312" w:cs="宋体"/>
          <w:b/>
          <w:color w:val="auto"/>
          <w:kern w:val="0"/>
          <w:sz w:val="32"/>
          <w:szCs w:val="32"/>
        </w:rPr>
        <w:t>（一）一般公用预算当年拨款规模变化情况</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阜康市农村能源办公室2019年一般公共预算拨款基本支出71.44 万元，比上年执行数减少31.03万元，</w:t>
      </w:r>
      <w:r>
        <w:rPr>
          <w:rFonts w:hint="eastAsia" w:ascii="仿宋_GB2312" w:hAnsi="宋体" w:eastAsia="仿宋_GB2312" w:cs="宋体"/>
          <w:color w:val="auto"/>
          <w:kern w:val="0"/>
          <w:sz w:val="32"/>
          <w:szCs w:val="32"/>
          <w:lang w:val="en-US" w:eastAsia="zh-CN"/>
        </w:rPr>
        <w:t>下降76.79%。</w:t>
      </w:r>
      <w:r>
        <w:rPr>
          <w:rFonts w:hint="eastAsia" w:ascii="仿宋_GB2312" w:hAnsi="宋体" w:eastAsia="仿宋_GB2312" w:cs="宋体"/>
          <w:color w:val="auto"/>
          <w:kern w:val="0"/>
          <w:sz w:val="32"/>
          <w:szCs w:val="32"/>
        </w:rPr>
        <w:t>主要原因是2019年人员减少变动导致的工资减少、没有奖金及业务费的预算。</w:t>
      </w:r>
    </w:p>
    <w:p>
      <w:pPr>
        <w:widowControl/>
        <w:spacing w:line="580" w:lineRule="exact"/>
        <w:ind w:firstLine="643" w:firstLineChars="200"/>
        <w:jc w:val="left"/>
        <w:rPr>
          <w:rFonts w:ascii="仿宋_GB2312" w:hAnsi="宋体" w:eastAsia="仿宋_GB2312" w:cs="宋体"/>
          <w:color w:val="auto"/>
          <w:kern w:val="0"/>
          <w:sz w:val="32"/>
          <w:szCs w:val="32"/>
        </w:rPr>
      </w:pPr>
      <w:r>
        <w:rPr>
          <w:rFonts w:hint="eastAsia" w:ascii="楷体_GB2312" w:hAnsi="宋体" w:eastAsia="楷体_GB2312" w:cs="宋体"/>
          <w:b/>
          <w:color w:val="auto"/>
          <w:kern w:val="0"/>
          <w:sz w:val="32"/>
          <w:szCs w:val="32"/>
        </w:rPr>
        <w:t>（二）一般公共预算当年拨款结构情况</w:t>
      </w:r>
    </w:p>
    <w:p>
      <w:pPr>
        <w:spacing w:line="580" w:lineRule="exact"/>
        <w:ind w:firstLine="64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 xml:space="preserve">  1、社会保障和就业支出6.82万元。占9.55%</w:t>
      </w:r>
    </w:p>
    <w:p>
      <w:pPr>
        <w:spacing w:line="580" w:lineRule="exact"/>
        <w:ind w:firstLine="960" w:firstLineChars="30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2、医疗卫生与计划生育支出11.72万元。占16.4%</w:t>
      </w:r>
    </w:p>
    <w:p>
      <w:pPr>
        <w:spacing w:line="580" w:lineRule="exact"/>
        <w:ind w:firstLine="960" w:firstLineChars="30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3、农林水支出48.05万元。占67.26%</w:t>
      </w:r>
    </w:p>
    <w:p>
      <w:pPr>
        <w:spacing w:line="580" w:lineRule="exact"/>
        <w:ind w:firstLine="960" w:firstLineChars="30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4、住房保障支出4.85万元。占6.79%</w:t>
      </w:r>
    </w:p>
    <w:p>
      <w:pPr>
        <w:widowControl/>
        <w:numPr>
          <w:ilvl w:val="0"/>
          <w:numId w:val="2"/>
        </w:numPr>
        <w:spacing w:line="580" w:lineRule="exact"/>
        <w:ind w:firstLine="642"/>
        <w:jc w:val="left"/>
        <w:rPr>
          <w:rFonts w:ascii="楷体_GB2312" w:hAnsi="宋体" w:eastAsia="楷体_GB2312" w:cs="宋体"/>
          <w:b/>
          <w:color w:val="auto"/>
          <w:kern w:val="0"/>
          <w:sz w:val="32"/>
          <w:szCs w:val="32"/>
        </w:rPr>
      </w:pPr>
      <w:r>
        <w:rPr>
          <w:rFonts w:hint="eastAsia" w:ascii="楷体_GB2312" w:hAnsi="宋体" w:eastAsia="楷体_GB2312" w:cs="宋体"/>
          <w:b/>
          <w:color w:val="auto"/>
          <w:kern w:val="0"/>
          <w:sz w:val="32"/>
          <w:szCs w:val="32"/>
        </w:rPr>
        <w:t>一般公共预算当年拨款具体使用情况</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1、社会保障和就业</w:t>
      </w:r>
      <w:r>
        <w:rPr>
          <w:rFonts w:hint="eastAsia" w:ascii="仿宋_GB2312" w:eastAsia="仿宋_GB2312"/>
          <w:color w:val="auto"/>
          <w:sz w:val="32"/>
          <w:szCs w:val="32"/>
        </w:rPr>
        <w:t>（类）行政事业单位单位离退休</w:t>
      </w:r>
      <w:r>
        <w:rPr>
          <w:rFonts w:ascii="仿宋_GB2312" w:hAnsi="宋体" w:eastAsia="仿宋_GB2312" w:cs="宋体"/>
          <w:color w:val="auto"/>
          <w:kern w:val="0"/>
          <w:sz w:val="32"/>
          <w:szCs w:val="32"/>
        </w:rPr>
        <w:t>（款）</w:t>
      </w:r>
      <w:r>
        <w:rPr>
          <w:rFonts w:hint="eastAsia" w:ascii="仿宋_GB2312" w:hAnsi="宋体" w:eastAsia="仿宋_GB2312" w:cs="宋体"/>
          <w:color w:val="auto"/>
          <w:kern w:val="0"/>
          <w:sz w:val="32"/>
          <w:szCs w:val="32"/>
        </w:rPr>
        <w:t>机关事业单位基本养老保险缴费</w:t>
      </w:r>
      <w:r>
        <w:rPr>
          <w:rFonts w:ascii="仿宋_GB2312" w:hAnsi="宋体" w:eastAsia="仿宋_GB2312" w:cs="宋体"/>
          <w:color w:val="auto"/>
          <w:kern w:val="0"/>
          <w:sz w:val="32"/>
          <w:szCs w:val="32"/>
        </w:rPr>
        <w:t>（项</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：2019 年预算数为 6.82 万元，比上年执行数减少0.97万元，下降12%。下降原因为人员减少变动及独生子女奖励金科目调整至2130101款项。</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w:t>
      </w:r>
      <w:r>
        <w:rPr>
          <w:rFonts w:hint="eastAsia" w:ascii="仿宋_GB2312" w:hAnsi="宋体" w:eastAsia="仿宋_GB2312" w:cs="宋体"/>
          <w:color w:val="auto"/>
          <w:kern w:val="0"/>
          <w:sz w:val="32"/>
          <w:szCs w:val="32"/>
          <w:highlight w:val="none"/>
        </w:rPr>
        <w:t>医疗卫生与计划生育</w:t>
      </w:r>
      <w:r>
        <w:rPr>
          <w:rFonts w:hint="eastAsia" w:ascii="仿宋_GB2312" w:eastAsia="仿宋_GB2312"/>
          <w:color w:val="auto"/>
          <w:sz w:val="32"/>
          <w:szCs w:val="32"/>
          <w:highlight w:val="none"/>
        </w:rPr>
        <w:t>（类）行政事业单位医疗</w:t>
      </w:r>
      <w:r>
        <w:rPr>
          <w:rFonts w:ascii="仿宋_GB2312" w:hAnsi="宋体" w:eastAsia="仿宋_GB2312" w:cs="宋体"/>
          <w:color w:val="auto"/>
          <w:kern w:val="0"/>
          <w:sz w:val="32"/>
          <w:szCs w:val="32"/>
          <w:highlight w:val="none"/>
        </w:rPr>
        <w:t>（款）</w:t>
      </w:r>
      <w:r>
        <w:rPr>
          <w:rFonts w:hint="eastAsia" w:ascii="仿宋_GB2312" w:hAnsi="宋体" w:eastAsia="仿宋_GB2312" w:cs="宋体"/>
          <w:color w:val="auto"/>
          <w:kern w:val="0"/>
          <w:sz w:val="32"/>
          <w:szCs w:val="32"/>
          <w:highlight w:val="none"/>
          <w:lang w:val="en-US" w:eastAsia="zh-CN"/>
        </w:rPr>
        <w:t>事业</w:t>
      </w:r>
      <w:r>
        <w:rPr>
          <w:rFonts w:hint="eastAsia" w:ascii="仿宋_GB2312" w:hAnsi="宋体" w:eastAsia="仿宋_GB2312" w:cs="宋体"/>
          <w:color w:val="auto"/>
          <w:kern w:val="0"/>
          <w:sz w:val="32"/>
          <w:szCs w:val="32"/>
          <w:highlight w:val="none"/>
        </w:rPr>
        <w:t>单位医疗</w:t>
      </w:r>
      <w:r>
        <w:rPr>
          <w:rFonts w:ascii="仿宋_GB2312" w:hAnsi="宋体" w:eastAsia="仿宋_GB2312" w:cs="宋体"/>
          <w:color w:val="auto"/>
          <w:kern w:val="0"/>
          <w:sz w:val="32"/>
          <w:szCs w:val="32"/>
          <w:highlight w:val="none"/>
        </w:rPr>
        <w:t>（项）</w:t>
      </w:r>
      <w:r>
        <w:rPr>
          <w:rFonts w:hint="eastAsia" w:ascii="仿宋_GB2312" w:hAnsi="宋体" w:eastAsia="仿宋_GB2312" w:cs="宋体"/>
          <w:color w:val="auto"/>
          <w:kern w:val="0"/>
          <w:sz w:val="32"/>
          <w:szCs w:val="32"/>
        </w:rPr>
        <w:t xml:space="preserve">:2019年预算数为 </w:t>
      </w:r>
      <w:r>
        <w:rPr>
          <w:rFonts w:hint="eastAsia" w:ascii="仿宋_GB2312" w:hAnsi="宋体" w:eastAsia="仿宋_GB2312" w:cs="宋体"/>
          <w:color w:val="auto"/>
          <w:kern w:val="0"/>
          <w:sz w:val="32"/>
          <w:szCs w:val="32"/>
          <w:highlight w:val="none"/>
        </w:rPr>
        <w:t>8.14万元，比上</w:t>
      </w:r>
      <w:r>
        <w:rPr>
          <w:rFonts w:hint="eastAsia" w:ascii="仿宋_GB2312" w:hAnsi="宋体" w:eastAsia="仿宋_GB2312" w:cs="宋体"/>
          <w:color w:val="auto"/>
          <w:kern w:val="0"/>
          <w:sz w:val="32"/>
          <w:szCs w:val="32"/>
        </w:rPr>
        <w:t>年执行数减少</w:t>
      </w:r>
      <w:r>
        <w:rPr>
          <w:rFonts w:hint="eastAsia" w:ascii="仿宋_GB2312" w:hAnsi="宋体" w:eastAsia="仿宋_GB2312" w:cs="宋体"/>
          <w:color w:val="auto"/>
          <w:kern w:val="0"/>
          <w:sz w:val="32"/>
          <w:szCs w:val="32"/>
          <w:lang w:val="en-US" w:eastAsia="zh-CN"/>
        </w:rPr>
        <w:t>1.62</w:t>
      </w:r>
      <w:r>
        <w:rPr>
          <w:rFonts w:hint="eastAsia" w:ascii="仿宋_GB2312" w:hAnsi="宋体" w:eastAsia="仿宋_GB2312" w:cs="宋体"/>
          <w:color w:val="auto"/>
          <w:kern w:val="0"/>
          <w:sz w:val="32"/>
          <w:szCs w:val="32"/>
        </w:rPr>
        <w:t>万元，下降</w:t>
      </w:r>
      <w:r>
        <w:rPr>
          <w:rFonts w:hint="eastAsia" w:ascii="仿宋_GB2312" w:hAnsi="宋体" w:eastAsia="仿宋_GB2312" w:cs="宋体"/>
          <w:color w:val="auto"/>
          <w:kern w:val="0"/>
          <w:sz w:val="32"/>
          <w:szCs w:val="32"/>
          <w:lang w:val="en-US" w:eastAsia="zh-CN"/>
        </w:rPr>
        <w:t>16.6</w:t>
      </w:r>
      <w:r>
        <w:rPr>
          <w:rFonts w:hint="eastAsia" w:ascii="仿宋_GB2312" w:hAnsi="宋体" w:eastAsia="仿宋_GB2312" w:cs="宋体"/>
          <w:color w:val="auto"/>
          <w:kern w:val="0"/>
          <w:sz w:val="32"/>
          <w:szCs w:val="32"/>
        </w:rPr>
        <w:t>%。下降原因为人员减少。</w:t>
      </w:r>
    </w:p>
    <w:p>
      <w:pPr>
        <w:widowControl/>
        <w:spacing w:line="580" w:lineRule="exact"/>
        <w:ind w:firstLine="640"/>
        <w:jc w:val="left"/>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3、</w:t>
      </w:r>
      <w:r>
        <w:rPr>
          <w:rFonts w:hint="eastAsia" w:ascii="仿宋_GB2312" w:hAnsi="宋体" w:eastAsia="仿宋_GB2312" w:cs="宋体"/>
          <w:color w:val="auto"/>
          <w:kern w:val="0"/>
          <w:sz w:val="32"/>
          <w:szCs w:val="32"/>
          <w:highlight w:val="none"/>
        </w:rPr>
        <w:t>医疗卫生与计划生育</w:t>
      </w:r>
      <w:r>
        <w:rPr>
          <w:rFonts w:hint="eastAsia" w:ascii="仿宋_GB2312" w:eastAsia="仿宋_GB2312"/>
          <w:color w:val="auto"/>
          <w:sz w:val="32"/>
          <w:szCs w:val="32"/>
          <w:highlight w:val="none"/>
        </w:rPr>
        <w:t>（类）行政事业单位医疗</w:t>
      </w:r>
      <w:r>
        <w:rPr>
          <w:rFonts w:ascii="仿宋_GB2312" w:hAnsi="宋体" w:eastAsia="仿宋_GB2312" w:cs="宋体"/>
          <w:color w:val="auto"/>
          <w:kern w:val="0"/>
          <w:sz w:val="32"/>
          <w:szCs w:val="32"/>
          <w:highlight w:val="none"/>
        </w:rPr>
        <w:t>（款）</w:t>
      </w:r>
      <w:r>
        <w:rPr>
          <w:rFonts w:hint="eastAsia" w:ascii="仿宋_GB2312" w:hAnsi="宋体" w:eastAsia="仿宋_GB2312" w:cs="宋体"/>
          <w:color w:val="auto"/>
          <w:kern w:val="0"/>
          <w:sz w:val="32"/>
          <w:szCs w:val="32"/>
          <w:highlight w:val="none"/>
        </w:rPr>
        <w:t>务员医疗补助</w:t>
      </w:r>
      <w:r>
        <w:rPr>
          <w:rFonts w:ascii="仿宋_GB2312" w:hAnsi="宋体" w:eastAsia="仿宋_GB2312" w:cs="宋体"/>
          <w:color w:val="auto"/>
          <w:kern w:val="0"/>
          <w:sz w:val="32"/>
          <w:szCs w:val="32"/>
          <w:highlight w:val="none"/>
        </w:rPr>
        <w:t>（项）</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lang w:val="en-US" w:eastAsia="zh-CN"/>
        </w:rPr>
        <w:t>2019年预算数为3.58</w:t>
      </w:r>
      <w:r>
        <w:rPr>
          <w:rFonts w:hint="eastAsia" w:ascii="仿宋_GB2312" w:hAnsi="宋体" w:eastAsia="仿宋_GB2312" w:cs="宋体"/>
          <w:color w:val="auto"/>
          <w:kern w:val="0"/>
          <w:sz w:val="32"/>
          <w:szCs w:val="32"/>
          <w:highlight w:val="none"/>
        </w:rPr>
        <w:t>万元。比上年执行数增加</w:t>
      </w:r>
      <w:r>
        <w:rPr>
          <w:rFonts w:hint="eastAsia" w:ascii="仿宋_GB2312" w:hAnsi="宋体" w:eastAsia="仿宋_GB2312" w:cs="宋体"/>
          <w:color w:val="auto"/>
          <w:kern w:val="0"/>
          <w:sz w:val="32"/>
          <w:szCs w:val="32"/>
          <w:highlight w:val="none"/>
          <w:lang w:val="en-US" w:eastAsia="zh-CN"/>
        </w:rPr>
        <w:t>0.65</w:t>
      </w:r>
      <w:r>
        <w:rPr>
          <w:rFonts w:hint="eastAsia" w:ascii="仿宋_GB2312" w:hAnsi="宋体" w:eastAsia="仿宋_GB2312" w:cs="宋体"/>
          <w:color w:val="auto"/>
          <w:kern w:val="0"/>
          <w:sz w:val="32"/>
          <w:szCs w:val="32"/>
          <w:highlight w:val="none"/>
        </w:rPr>
        <w:t>万元，增长</w:t>
      </w:r>
      <w:r>
        <w:rPr>
          <w:rFonts w:hint="eastAsia" w:ascii="仿宋_GB2312" w:hAnsi="宋体" w:eastAsia="仿宋_GB2312" w:cs="宋体"/>
          <w:color w:val="auto"/>
          <w:kern w:val="0"/>
          <w:sz w:val="32"/>
          <w:szCs w:val="32"/>
          <w:highlight w:val="none"/>
          <w:lang w:val="en-US" w:eastAsia="zh-CN"/>
        </w:rPr>
        <w:t>22.18</w:t>
      </w:r>
      <w:r>
        <w:rPr>
          <w:rFonts w:hint="eastAsia" w:ascii="仿宋_GB2312" w:hAnsi="宋体" w:eastAsia="仿宋_GB2312" w:cs="宋体"/>
          <w:color w:val="auto"/>
          <w:kern w:val="0"/>
          <w:sz w:val="32"/>
          <w:szCs w:val="32"/>
          <w:highlight w:val="none"/>
        </w:rPr>
        <w:t>%。增加原因人员工资增</w:t>
      </w:r>
      <w:r>
        <w:rPr>
          <w:rFonts w:hint="eastAsia" w:ascii="仿宋_GB2312" w:hAnsi="宋体" w:eastAsia="仿宋_GB2312" w:cs="宋体"/>
          <w:color w:val="auto"/>
          <w:kern w:val="0"/>
          <w:sz w:val="32"/>
          <w:szCs w:val="32"/>
        </w:rPr>
        <w:t>加，导致缴费基数增大</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highlight w:val="none"/>
          <w:lang w:val="en-US" w:eastAsia="zh-CN"/>
        </w:rPr>
        <w:t>4、</w:t>
      </w:r>
      <w:r>
        <w:rPr>
          <w:rFonts w:hint="eastAsia" w:ascii="仿宋_GB2312" w:hAnsi="宋体" w:eastAsia="仿宋_GB2312" w:cs="宋体"/>
          <w:color w:val="auto"/>
          <w:kern w:val="0"/>
          <w:sz w:val="32"/>
          <w:szCs w:val="32"/>
          <w:highlight w:val="none"/>
        </w:rPr>
        <w:t>农林水支出</w:t>
      </w:r>
      <w:r>
        <w:rPr>
          <w:rFonts w:hint="eastAsia" w:ascii="仿宋_GB2312" w:eastAsia="仿宋_GB2312"/>
          <w:color w:val="auto"/>
          <w:sz w:val="32"/>
          <w:szCs w:val="32"/>
          <w:highlight w:val="none"/>
        </w:rPr>
        <w:t>（类）水利</w:t>
      </w:r>
      <w:r>
        <w:rPr>
          <w:rFonts w:ascii="仿宋_GB2312" w:hAnsi="宋体" w:eastAsia="仿宋_GB2312" w:cs="宋体"/>
          <w:color w:val="auto"/>
          <w:kern w:val="0"/>
          <w:sz w:val="32"/>
          <w:szCs w:val="32"/>
          <w:highlight w:val="none"/>
        </w:rPr>
        <w:t>（款）行政运行（项）</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rPr>
        <w:t>2019年预算数为 48.05万元</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比上年执行数减少23.63万元，减少 32.97%，减少原因为人员减少及2019年绩效奖金及业务费未纳入预算及公积金调整科目。</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4、</w:t>
      </w:r>
      <w:r>
        <w:rPr>
          <w:rFonts w:hint="eastAsia" w:ascii="仿宋_GB2312" w:hAnsi="宋体" w:eastAsia="仿宋_GB2312" w:cs="宋体"/>
          <w:color w:val="auto"/>
          <w:kern w:val="0"/>
          <w:sz w:val="32"/>
          <w:szCs w:val="32"/>
          <w:highlight w:val="none"/>
        </w:rPr>
        <w:t>房屋保障支出</w:t>
      </w:r>
      <w:r>
        <w:rPr>
          <w:rFonts w:hint="eastAsia" w:ascii="仿宋_GB2312" w:eastAsia="仿宋_GB2312"/>
          <w:color w:val="auto"/>
          <w:sz w:val="32"/>
          <w:szCs w:val="32"/>
          <w:highlight w:val="none"/>
        </w:rPr>
        <w:t>（类）住房改革支出</w:t>
      </w:r>
      <w:r>
        <w:rPr>
          <w:rFonts w:ascii="仿宋_GB2312" w:hAnsi="宋体" w:eastAsia="仿宋_GB2312" w:cs="宋体"/>
          <w:color w:val="auto"/>
          <w:kern w:val="0"/>
          <w:sz w:val="32"/>
          <w:szCs w:val="32"/>
          <w:highlight w:val="none"/>
        </w:rPr>
        <w:t>（款）</w:t>
      </w:r>
      <w:r>
        <w:rPr>
          <w:rFonts w:hint="eastAsia" w:ascii="仿宋_GB2312" w:hAnsi="宋体" w:eastAsia="仿宋_GB2312" w:cs="宋体"/>
          <w:color w:val="auto"/>
          <w:kern w:val="0"/>
          <w:sz w:val="32"/>
          <w:szCs w:val="32"/>
          <w:highlight w:val="none"/>
        </w:rPr>
        <w:t>住房公积金</w:t>
      </w:r>
      <w:r>
        <w:rPr>
          <w:rFonts w:ascii="仿宋_GB2312" w:hAnsi="宋体" w:eastAsia="仿宋_GB2312" w:cs="宋体"/>
          <w:color w:val="auto"/>
          <w:kern w:val="0"/>
          <w:sz w:val="32"/>
          <w:szCs w:val="32"/>
          <w:highlight w:val="none"/>
        </w:rPr>
        <w:t>（项）</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rPr>
        <w:t>2019年预算数为4.85万元</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比上年执行数增加4.85万元。增长100%。增加原因2019年调整了预算科目。</w:t>
      </w:r>
    </w:p>
    <w:p>
      <w:pPr>
        <w:widowControl/>
        <w:spacing w:line="580" w:lineRule="exact"/>
        <w:jc w:val="left"/>
        <w:rPr>
          <w:rFonts w:ascii="楷体_GB2312" w:hAnsi="宋体" w:eastAsia="楷体_GB2312" w:cs="宋体"/>
          <w:b/>
          <w:color w:val="auto"/>
          <w:kern w:val="0"/>
          <w:sz w:val="32"/>
          <w:szCs w:val="32"/>
        </w:rPr>
      </w:pPr>
    </w:p>
    <w:p>
      <w:pPr>
        <w:widowControl/>
        <w:spacing w:line="580" w:lineRule="exact"/>
        <w:ind w:firstLine="640"/>
        <w:jc w:val="left"/>
        <w:rPr>
          <w:rFonts w:ascii="黑体" w:hAnsi="宋体" w:eastAsia="黑体" w:cs="宋体"/>
          <w:color w:val="auto"/>
          <w:kern w:val="0"/>
          <w:sz w:val="32"/>
          <w:szCs w:val="32"/>
        </w:rPr>
      </w:pPr>
      <w:r>
        <w:rPr>
          <w:rFonts w:hint="eastAsia" w:ascii="黑体" w:hAnsi="宋体" w:eastAsia="黑体" w:cs="宋体"/>
          <w:color w:val="auto"/>
          <w:kern w:val="0"/>
          <w:sz w:val="32"/>
          <w:szCs w:val="32"/>
        </w:rPr>
        <w:t>六、关于阜康市农村能源办公室2019年一般公共预算基本支出情况说明</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阜康市农村能源办公室2019年一般公共预算基本支出71.44万元， 其中：</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人员经费66.11万元，主要包括：基本工资、津贴补贴、奖金、机关事业单位基本养老保险缴费、职工基本医疗保险缴费、公务员医疗补助缴费、其他社会保障缴费、住房公积金、医疗费、其他工资福利支出、退休费、奖励金、其他对个人和家庭的补助等。</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公用经费5.33万元，主要包括：办公费、水费、电费、邮电费、取暖费、差旅费、工会经费、福利费、公务用车运行维护费等。</w:t>
      </w:r>
    </w:p>
    <w:p>
      <w:pPr>
        <w:widowControl/>
        <w:numPr>
          <w:ilvl w:val="0"/>
          <w:numId w:val="3"/>
        </w:numPr>
        <w:spacing w:line="580" w:lineRule="exact"/>
        <w:ind w:firstLine="640"/>
        <w:jc w:val="left"/>
        <w:rPr>
          <w:rFonts w:ascii="黑体" w:hAnsi="宋体" w:eastAsia="黑体" w:cs="宋体"/>
          <w:color w:val="auto"/>
          <w:kern w:val="0"/>
          <w:sz w:val="32"/>
          <w:szCs w:val="32"/>
        </w:rPr>
      </w:pPr>
      <w:r>
        <w:rPr>
          <w:rFonts w:hint="eastAsia" w:ascii="黑体" w:hAnsi="宋体" w:eastAsia="黑体" w:cs="宋体"/>
          <w:color w:val="auto"/>
          <w:kern w:val="0"/>
          <w:sz w:val="32"/>
          <w:szCs w:val="32"/>
        </w:rPr>
        <w:t>关于阜康市农村能源办公室2019年项目支出情况说明</w:t>
      </w:r>
    </w:p>
    <w:p>
      <w:pPr>
        <w:widowControl/>
        <w:spacing w:line="580" w:lineRule="exact"/>
        <w:jc w:val="left"/>
        <w:rPr>
          <w:rFonts w:ascii="黑体" w:hAnsi="宋体" w:eastAsia="黑体" w:cs="宋体"/>
          <w:color w:val="auto"/>
          <w:kern w:val="0"/>
          <w:sz w:val="32"/>
          <w:szCs w:val="32"/>
        </w:rPr>
      </w:pPr>
      <w:r>
        <w:rPr>
          <w:rFonts w:hint="eastAsia" w:ascii="黑体" w:hAnsi="宋体" w:eastAsia="黑体" w:cs="宋体"/>
          <w:color w:val="auto"/>
          <w:kern w:val="0"/>
          <w:sz w:val="32"/>
          <w:szCs w:val="32"/>
        </w:rPr>
        <w:t xml:space="preserve">     </w:t>
      </w:r>
      <w:r>
        <w:rPr>
          <w:rFonts w:hint="eastAsia" w:ascii="仿宋_GB2312" w:hAnsi="宋体" w:eastAsia="仿宋_GB2312"/>
          <w:bCs/>
          <w:color w:val="auto"/>
          <w:kern w:val="0"/>
          <w:sz w:val="32"/>
          <w:szCs w:val="32"/>
        </w:rPr>
        <w:t>2019年未安排项目支出预算，因此没有使用项目支出预算拨款安排的支出，项目支出预算支出情况表为空表。</w:t>
      </w:r>
    </w:p>
    <w:p>
      <w:pPr>
        <w:widowControl/>
        <w:spacing w:line="580" w:lineRule="exact"/>
        <w:ind w:firstLine="642"/>
        <w:jc w:val="left"/>
        <w:rPr>
          <w:rFonts w:ascii="黑体" w:hAnsi="宋体" w:eastAsia="黑体" w:cs="宋体"/>
          <w:color w:val="auto"/>
          <w:kern w:val="0"/>
          <w:sz w:val="32"/>
          <w:szCs w:val="32"/>
        </w:rPr>
      </w:pPr>
      <w:r>
        <w:rPr>
          <w:rFonts w:hint="eastAsia" w:ascii="黑体" w:hAnsi="宋体" w:eastAsia="黑体" w:cs="宋体"/>
          <w:color w:val="auto"/>
          <w:kern w:val="0"/>
          <w:sz w:val="32"/>
          <w:szCs w:val="32"/>
        </w:rPr>
        <w:t>八、关于阜康市农村能源办公室2019年年一般公共预算“三公”经费预算情况说明</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阜康市农村能源办公室2019年“三公”经费财政拨款预算数为2.36万元，其中：因公出国（境）费 0万元，公务用车购置0万元，公务用车运行2.25万元，公务接待费预算控制数0.11万元。</w:t>
      </w:r>
    </w:p>
    <w:p>
      <w:pPr>
        <w:pStyle w:val="6"/>
        <w:ind w:firstLine="640" w:firstLineChars="200"/>
        <w:rPr>
          <w:rFonts w:ascii="仿宋_GB2312" w:eastAsia="仿宋_GB2312"/>
          <w:color w:val="auto"/>
          <w:sz w:val="32"/>
          <w:szCs w:val="32"/>
        </w:rPr>
      </w:pPr>
      <w:r>
        <w:rPr>
          <w:rFonts w:hint="eastAsia" w:ascii="仿宋_GB2312" w:eastAsia="仿宋_GB2312"/>
          <w:color w:val="auto"/>
          <w:sz w:val="32"/>
          <w:szCs w:val="32"/>
        </w:rPr>
        <w:t>2019年“三公”经费财政拨款预算比上年增加   0万元，其中：因公出国（境）费增加 0  万元，主要原因是我单位严格执行中央八项规定和自治区</w:t>
      </w:r>
      <w:r>
        <w:rPr>
          <w:rFonts w:hint="eastAsia" w:ascii="仿宋_GB2312" w:eastAsia="仿宋_GB2312"/>
          <w:color w:val="auto"/>
          <w:sz w:val="32"/>
          <w:szCs w:val="32"/>
          <w:highlight w:val="none"/>
        </w:rPr>
        <w:t>十条规定压减 0 经费；公务用车购置费为0</w:t>
      </w:r>
      <w:r>
        <w:rPr>
          <w:rFonts w:hint="eastAsia" w:ascii="仿宋_GB2312" w:eastAsia="仿宋_GB2312"/>
          <w:color w:val="auto"/>
          <w:sz w:val="32"/>
          <w:szCs w:val="32"/>
          <w:highlight w:val="none"/>
          <w:lang w:val="en-US" w:eastAsia="zh-CN"/>
        </w:rPr>
        <w:t>万元</w:t>
      </w:r>
      <w:r>
        <w:rPr>
          <w:rFonts w:hint="eastAsia" w:ascii="仿宋_GB2312" w:eastAsia="仿宋_GB2312"/>
          <w:color w:val="auto"/>
          <w:sz w:val="32"/>
          <w:szCs w:val="32"/>
          <w:highlight w:val="none"/>
        </w:rPr>
        <w:t>，公务</w:t>
      </w:r>
      <w:r>
        <w:rPr>
          <w:rFonts w:hint="eastAsia" w:ascii="仿宋_GB2312" w:eastAsia="仿宋_GB2312"/>
          <w:color w:val="auto"/>
          <w:sz w:val="32"/>
          <w:szCs w:val="32"/>
        </w:rPr>
        <w:t>用车运行费增加0万元，主要原因是我单位严格执行中央八项规定和自治区十条规定压减 0 经费；公务接待费增加0万元，主要原因是我单位严格执行中央八项规定和自治区十条规定压减三公经费。</w:t>
      </w:r>
    </w:p>
    <w:p>
      <w:pPr>
        <w:widowControl/>
        <w:spacing w:line="580" w:lineRule="exact"/>
        <w:ind w:firstLine="642"/>
        <w:jc w:val="left"/>
        <w:rPr>
          <w:rFonts w:ascii="黑体" w:hAnsi="宋体" w:eastAsia="黑体" w:cs="宋体"/>
          <w:color w:val="auto"/>
          <w:kern w:val="0"/>
          <w:sz w:val="32"/>
          <w:szCs w:val="32"/>
        </w:rPr>
      </w:pPr>
      <w:r>
        <w:rPr>
          <w:rFonts w:hint="eastAsia" w:ascii="黑体" w:hAnsi="宋体" w:eastAsia="黑体" w:cs="宋体"/>
          <w:color w:val="auto"/>
          <w:kern w:val="0"/>
          <w:sz w:val="32"/>
          <w:szCs w:val="32"/>
        </w:rPr>
        <w:t>九、关于阜康市农村能源办公室2019年政府性基金预算拨款情况说明</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阜康市农村能源办公室2019年没有使用政府性基金预算拨款安排的支出，政府性基金预算支出情况表为空表。</w:t>
      </w:r>
    </w:p>
    <w:p>
      <w:pPr>
        <w:widowControl/>
        <w:spacing w:line="580" w:lineRule="exact"/>
        <w:ind w:firstLine="640"/>
        <w:jc w:val="left"/>
        <w:rPr>
          <w:rFonts w:ascii="黑体" w:hAnsi="宋体" w:eastAsia="黑体" w:cs="宋体"/>
          <w:color w:val="auto"/>
          <w:kern w:val="0"/>
          <w:sz w:val="32"/>
          <w:szCs w:val="32"/>
        </w:rPr>
      </w:pPr>
      <w:r>
        <w:rPr>
          <w:rFonts w:hint="eastAsia" w:ascii="黑体" w:hAnsi="宋体" w:eastAsia="黑体" w:cs="宋体"/>
          <w:color w:val="auto"/>
          <w:kern w:val="0"/>
          <w:sz w:val="32"/>
          <w:szCs w:val="32"/>
        </w:rPr>
        <w:t>十、其他重要事项的情况说明</w:t>
      </w:r>
    </w:p>
    <w:p>
      <w:pPr>
        <w:widowControl/>
        <w:spacing w:line="580" w:lineRule="exact"/>
        <w:ind w:firstLine="642"/>
        <w:jc w:val="left"/>
        <w:rPr>
          <w:rFonts w:ascii="楷体_GB2312" w:hAnsi="宋体" w:eastAsia="楷体_GB2312" w:cs="宋体"/>
          <w:b/>
          <w:color w:val="auto"/>
          <w:kern w:val="0"/>
          <w:sz w:val="32"/>
          <w:szCs w:val="32"/>
        </w:rPr>
      </w:pPr>
      <w:r>
        <w:rPr>
          <w:rFonts w:hint="eastAsia" w:ascii="楷体_GB2312" w:hAnsi="宋体" w:eastAsia="楷体_GB2312" w:cs="宋体"/>
          <w:b/>
          <w:color w:val="auto"/>
          <w:kern w:val="0"/>
          <w:sz w:val="32"/>
          <w:szCs w:val="32"/>
        </w:rPr>
        <w:t>（一）机关运行经费情况</w:t>
      </w:r>
    </w:p>
    <w:p>
      <w:pPr>
        <w:widowControl/>
        <w:spacing w:line="580" w:lineRule="exact"/>
        <w:ind w:firstLine="640"/>
        <w:jc w:val="left"/>
        <w:rPr>
          <w:color w:val="auto"/>
          <w:sz w:val="36"/>
          <w:szCs w:val="36"/>
        </w:rPr>
      </w:pPr>
      <w:r>
        <w:rPr>
          <w:rFonts w:hint="eastAsia" w:ascii="仿宋_GB2312" w:hAnsi="宋体" w:eastAsia="仿宋_GB2312" w:cs="宋体"/>
          <w:color w:val="auto"/>
          <w:kern w:val="0"/>
          <w:sz w:val="32"/>
          <w:szCs w:val="32"/>
        </w:rPr>
        <w:t>2019</w:t>
      </w:r>
      <w:r>
        <w:rPr>
          <w:rFonts w:hint="eastAsia" w:ascii="仿宋_GB2312" w:hAnsi="宋体" w:eastAsia="仿宋_GB2312" w:cs="宋体"/>
          <w:color w:val="auto"/>
          <w:kern w:val="0"/>
          <w:sz w:val="32"/>
          <w:szCs w:val="32"/>
          <w:highlight w:val="none"/>
        </w:rPr>
        <w:t>年，阜康市农村能源办公室本级及下属  0家行政单位、  0家参公管理事业单位和 0 家事业单位的机关运行经费财政拨款预算5.33万元，比上年预算数减少1.64万元，</w:t>
      </w:r>
      <w:r>
        <w:rPr>
          <w:rFonts w:hint="eastAsia" w:ascii="仿宋_GB2312" w:hAnsi="宋体" w:eastAsia="仿宋_GB2312" w:cs="宋体"/>
          <w:color w:val="auto"/>
          <w:kern w:val="0"/>
          <w:sz w:val="32"/>
          <w:szCs w:val="32"/>
        </w:rPr>
        <w:t>下降23.53%。主要原因是人员较少，导致机关运行经费下降</w:t>
      </w:r>
      <w:r>
        <w:rPr>
          <w:color w:val="auto"/>
          <w:sz w:val="36"/>
          <w:szCs w:val="36"/>
        </w:rPr>
        <w:t>。</w:t>
      </w:r>
    </w:p>
    <w:p>
      <w:pPr>
        <w:widowControl/>
        <w:spacing w:line="580" w:lineRule="exact"/>
        <w:ind w:firstLine="642"/>
        <w:jc w:val="left"/>
        <w:rPr>
          <w:rFonts w:ascii="楷体_GB2312" w:hAnsi="宋体" w:eastAsia="楷体_GB2312" w:cs="宋体"/>
          <w:b/>
          <w:color w:val="auto"/>
          <w:kern w:val="0"/>
          <w:sz w:val="32"/>
          <w:szCs w:val="32"/>
        </w:rPr>
      </w:pPr>
      <w:r>
        <w:rPr>
          <w:rFonts w:hint="eastAsia" w:ascii="楷体_GB2312" w:hAnsi="宋体" w:eastAsia="楷体_GB2312" w:cs="宋体"/>
          <w:b/>
          <w:color w:val="auto"/>
          <w:kern w:val="0"/>
          <w:sz w:val="32"/>
          <w:szCs w:val="32"/>
        </w:rPr>
        <w:t>（二）政府采购情况</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2019年，阜康市农村能源办公室及下属单位政府采购预算0万元，其中：政府采购货物预算0万元，政府采购工程预算0万元，政府采购服务预算0万元。</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仿宋_GB2312" w:eastAsia="仿宋_GB2312"/>
          <w:color w:val="auto"/>
          <w:sz w:val="32"/>
        </w:rPr>
        <w:t>2019年度本部门面向中小企业预留政府采购项目预算金额0万元，其中：面向小微企业预留政府采购项目预算金额0万元。</w:t>
      </w:r>
    </w:p>
    <w:p>
      <w:pPr>
        <w:widowControl/>
        <w:spacing w:line="580" w:lineRule="exact"/>
        <w:ind w:firstLine="642"/>
        <w:jc w:val="left"/>
        <w:rPr>
          <w:rFonts w:ascii="楷体_GB2312" w:hAnsi="宋体" w:eastAsia="楷体_GB2312" w:cs="宋体"/>
          <w:b/>
          <w:color w:val="auto"/>
          <w:kern w:val="0"/>
          <w:sz w:val="32"/>
          <w:szCs w:val="32"/>
        </w:rPr>
      </w:pPr>
      <w:r>
        <w:rPr>
          <w:rFonts w:hint="eastAsia" w:ascii="楷体_GB2312" w:hAnsi="宋体" w:eastAsia="楷体_GB2312" w:cs="宋体"/>
          <w:b/>
          <w:color w:val="auto"/>
          <w:kern w:val="0"/>
          <w:sz w:val="32"/>
          <w:szCs w:val="32"/>
        </w:rPr>
        <w:t>（三）国有资产占用使用情况</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截至2018年底，阜康市农村能源办公室占用使用国有资产总体情况为</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1.车辆 1 辆，价值 19.78万元；其中：一般公务用车 1</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辆，价值 19.78 万元；执法执勤用车 0 辆，价值 0 万元；其他车辆 0 辆，价值 0 万元。</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2.办公家具价值 0.48万元。</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3.其他资产价值0.79万元。</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单位价值 50 万元以上大型设备 0 台（套），单位价值100 万元以上大型设备 0 台（套）。</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2019 年部门预算未安排购置车辆经费（或安排购置车辆经费 0 万元），安排购置 50 万元以上大型设备 0 台（套），单位价值 100 万元以上大型设备 0 台（套）。</w:t>
      </w:r>
    </w:p>
    <w:p>
      <w:pPr>
        <w:widowControl/>
        <w:spacing w:line="580" w:lineRule="exact"/>
        <w:ind w:firstLine="642"/>
        <w:jc w:val="left"/>
        <w:rPr>
          <w:rFonts w:ascii="楷体_GB2312" w:hAnsi="宋体" w:eastAsia="楷体_GB2312" w:cs="宋体"/>
          <w:b/>
          <w:color w:val="auto"/>
          <w:kern w:val="0"/>
          <w:sz w:val="32"/>
          <w:szCs w:val="32"/>
        </w:rPr>
      </w:pPr>
      <w:r>
        <w:rPr>
          <w:rFonts w:hint="eastAsia" w:ascii="楷体_GB2312" w:hAnsi="宋体" w:eastAsia="楷体_GB2312" w:cs="宋体"/>
          <w:b/>
          <w:color w:val="auto"/>
          <w:kern w:val="0"/>
          <w:sz w:val="32"/>
          <w:szCs w:val="32"/>
        </w:rPr>
        <w:t>（四）预算绩效情况</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2019年度，本年度实行绩效管理的项目   个，涉及预算金额     万元。具体情况见下表（按项目分别填报）：</w:t>
      </w:r>
    </w:p>
    <w:p>
      <w:pPr>
        <w:spacing w:line="500" w:lineRule="exact"/>
        <w:rPr>
          <w:rFonts w:ascii="仿宋_GB2312" w:hAnsi="宋体" w:eastAsia="仿宋_GB2312" w:cs="宋体"/>
          <w:color w:val="auto"/>
          <w:kern w:val="0"/>
          <w:sz w:val="32"/>
          <w:szCs w:val="32"/>
        </w:rPr>
      </w:pPr>
    </w:p>
    <w:p>
      <w:pPr>
        <w:spacing w:line="500" w:lineRule="exact"/>
        <w:rPr>
          <w:rFonts w:ascii="仿宋_GB2312" w:hAnsi="宋体" w:eastAsia="仿宋_GB2312" w:cs="宋体"/>
          <w:color w:val="auto"/>
          <w:kern w:val="0"/>
          <w:sz w:val="32"/>
          <w:szCs w:val="32"/>
        </w:rPr>
      </w:pPr>
    </w:p>
    <w:p>
      <w:pPr>
        <w:spacing w:line="500" w:lineRule="exact"/>
        <w:rPr>
          <w:rFonts w:ascii="仿宋_GB2312" w:hAnsi="宋体" w:eastAsia="仿宋_GB2312" w:cs="宋体"/>
          <w:color w:val="auto"/>
          <w:kern w:val="0"/>
          <w:sz w:val="32"/>
          <w:szCs w:val="32"/>
        </w:rPr>
      </w:pPr>
    </w:p>
    <w:p>
      <w:pPr>
        <w:widowControl/>
        <w:spacing w:line="600" w:lineRule="exact"/>
        <w:rPr>
          <w:rFonts w:ascii="仿宋_GB2312" w:hAnsi="宋体" w:eastAsia="仿宋_GB2312" w:cs="宋体"/>
          <w:color w:val="auto"/>
          <w:kern w:val="0"/>
          <w:sz w:val="32"/>
          <w:szCs w:val="32"/>
        </w:rPr>
        <w:sectPr>
          <w:pgSz w:w="11906" w:h="16838"/>
          <w:pgMar w:top="1440" w:right="1800" w:bottom="1440" w:left="1800" w:header="851" w:footer="992" w:gutter="0"/>
          <w:cols w:space="425" w:num="1"/>
          <w:docGrid w:type="lines" w:linePitch="312" w:charSpace="0"/>
        </w:sectPr>
      </w:pPr>
    </w:p>
    <w:tbl>
      <w:tblPr>
        <w:tblStyle w:val="7"/>
        <w:tblW w:w="13973" w:type="dxa"/>
        <w:tblInd w:w="93" w:type="dxa"/>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shd w:val="clear" w:color="auto" w:fill="auto"/>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271" w:hRule="atLeast"/>
        </w:trPr>
        <w:tc>
          <w:tcPr>
            <w:tcW w:w="2195"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857"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664"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664" w:type="dxa"/>
            <w:gridSpan w:val="2"/>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925"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3275" w:type="dxa"/>
            <w:gridSpan w:val="2"/>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阜康市农村能源办公室</w:t>
            </w:r>
          </w:p>
        </w:tc>
        <w:tc>
          <w:tcPr>
            <w:tcW w:w="19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无</w:t>
            </w: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81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3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bl>
    <w:p>
      <w:pPr>
        <w:widowControl/>
        <w:spacing w:line="560" w:lineRule="exact"/>
        <w:ind w:firstLine="630" w:firstLineChars="196"/>
        <w:jc w:val="left"/>
        <w:rPr>
          <w:rFonts w:ascii="楷体_GB2312" w:hAnsi="宋体" w:eastAsia="楷体_GB2312" w:cs="宋体"/>
          <w:b/>
          <w:kern w:val="0"/>
          <w:sz w:val="32"/>
          <w:szCs w:val="32"/>
        </w:rPr>
        <w:sectPr>
          <w:pgSz w:w="16838" w:h="11906" w:orient="landscape"/>
          <w:pgMar w:top="1800" w:right="1440" w:bottom="1800" w:left="1440" w:header="851" w:footer="992" w:gutter="0"/>
          <w:cols w:space="425" w:num="1"/>
          <w:docGrid w:type="lines" w:linePitch="312" w:charSpace="0"/>
        </w:sectPr>
      </w:pPr>
    </w:p>
    <w:p>
      <w:pPr>
        <w:widowControl/>
        <w:spacing w:line="560" w:lineRule="exact"/>
        <w:ind w:firstLine="630" w:firstLineChars="196"/>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（五）其他需说明的事项</w:t>
      </w:r>
    </w:p>
    <w:p>
      <w:pPr>
        <w:widowControl/>
        <w:spacing w:line="560" w:lineRule="exact"/>
        <w:ind w:firstLine="1600" w:firstLineChars="500"/>
        <w:jc w:val="left"/>
        <w:rPr>
          <w:rFonts w:ascii="仿宋_GB2312" w:hAnsi="宋体" w:eastAsia="仿宋_GB2312" w:cs="宋体"/>
          <w:kern w:val="0"/>
          <w:sz w:val="32"/>
          <w:szCs w:val="32"/>
        </w:rPr>
      </w:pPr>
      <w:bookmarkStart w:id="0" w:name="_GoBack"/>
      <w:bookmarkEnd w:id="0"/>
      <w:r>
        <w:rPr>
          <w:rFonts w:hint="eastAsia" w:ascii="仿宋_GB2312" w:hAnsi="宋体" w:eastAsia="仿宋_GB2312" w:cs="宋体"/>
          <w:kern w:val="0"/>
          <w:sz w:val="32"/>
          <w:szCs w:val="32"/>
          <w:highlight w:val="none"/>
          <w:lang w:val="en-US" w:eastAsia="zh-CN"/>
        </w:rPr>
        <w:t>无</w:t>
      </w:r>
      <w:r>
        <w:rPr>
          <w:rFonts w:hint="eastAsia" w:ascii="仿宋_GB2312" w:hAnsi="宋体" w:eastAsia="仿宋_GB2312" w:cs="宋体"/>
          <w:kern w:val="0"/>
          <w:sz w:val="32"/>
          <w:szCs w:val="32"/>
        </w:rPr>
        <w:t xml:space="preserve">     </w:t>
      </w: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第四部分  名词解释</w:t>
      </w:r>
    </w:p>
    <w:p>
      <w:pPr>
        <w:widowControl/>
        <w:spacing w:line="56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5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5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z w:val="32"/>
          <w:szCs w:val="32"/>
        </w:rPr>
        <w:t>包括公共财政拨款（补助）资金、专项收入。</w:t>
      </w:r>
    </w:p>
    <w:p>
      <w:pPr>
        <w:spacing w:line="550" w:lineRule="exact"/>
        <w:ind w:firstLine="642"/>
        <w:rPr>
          <w:rFonts w:ascii="仿宋_GB2312" w:eastAsia="仿宋_GB2312"/>
          <w:sz w:val="32"/>
          <w:szCs w:val="32"/>
        </w:rPr>
      </w:pPr>
      <w:r>
        <w:rPr>
          <w:rFonts w:hint="eastAsia" w:ascii="黑体" w:hAnsi="黑体" w:eastAsia="黑体"/>
          <w:sz w:val="32"/>
          <w:szCs w:val="32"/>
        </w:rPr>
        <w:t>三、其他资金：</w:t>
      </w:r>
      <w:r>
        <w:rPr>
          <w:rFonts w:hint="eastAsia" w:ascii="仿宋_GB2312" w:eastAsia="仿宋_GB2312"/>
          <w:sz w:val="32"/>
          <w:szCs w:val="32"/>
        </w:rPr>
        <w:t>包括事业收入、经营收入、其他收入等。</w:t>
      </w:r>
    </w:p>
    <w:p>
      <w:pPr>
        <w:spacing w:line="550" w:lineRule="exact"/>
        <w:ind w:firstLine="642"/>
        <w:rPr>
          <w:rFonts w:ascii="仿宋_GB2312" w:eastAsia="仿宋_GB2312"/>
          <w:sz w:val="32"/>
          <w:szCs w:val="32"/>
        </w:rPr>
      </w:pPr>
      <w:r>
        <w:rPr>
          <w:rFonts w:hint="eastAsia" w:ascii="黑体" w:hAnsi="黑体" w:eastAsia="黑体"/>
          <w:sz w:val="32"/>
          <w:szCs w:val="32"/>
        </w:rPr>
        <w:t>四、基本支出：</w:t>
      </w:r>
      <w:r>
        <w:rPr>
          <w:rFonts w:hint="eastAsia" w:ascii="仿宋_GB2312" w:eastAsia="仿宋_GB2312"/>
          <w:sz w:val="32"/>
          <w:szCs w:val="32"/>
        </w:rPr>
        <w:t>包括人员经费、商品和服务支出（定额）。其中，人员经费包括工资福利支出、对个人和家庭的补助。</w:t>
      </w:r>
    </w:p>
    <w:p>
      <w:pPr>
        <w:spacing w:line="550" w:lineRule="exact"/>
        <w:ind w:firstLine="642"/>
        <w:rPr>
          <w:rFonts w:ascii="仿宋_GB2312" w:eastAsia="仿宋_GB2312"/>
          <w:sz w:val="32"/>
          <w:szCs w:val="32"/>
        </w:rPr>
      </w:pPr>
      <w:r>
        <w:rPr>
          <w:rFonts w:hint="eastAsia" w:ascii="黑体" w:hAnsi="黑体" w:eastAsia="黑体"/>
          <w:sz w:val="32"/>
          <w:szCs w:val="32"/>
        </w:rPr>
        <w:t>五、项目支出：</w:t>
      </w:r>
      <w:r>
        <w:rPr>
          <w:rFonts w:hint="eastAsia" w:ascii="仿宋_GB2312" w:eastAsia="仿宋_GB2312"/>
          <w:sz w:val="32"/>
          <w:szCs w:val="32"/>
        </w:rPr>
        <w:t>部门支出预算的组成部分，是市本级部门为完成其特定的行政任务或事业发展目标，在基本支出预算之外编制的年度项目支出计划。</w:t>
      </w:r>
    </w:p>
    <w:p>
      <w:pPr>
        <w:spacing w:line="550" w:lineRule="exact"/>
        <w:ind w:firstLine="642"/>
        <w:rPr>
          <w:rFonts w:ascii="仿宋_GB2312" w:eastAsia="仿宋_GB2312"/>
          <w:sz w:val="32"/>
          <w:szCs w:val="32"/>
        </w:rPr>
      </w:pPr>
      <w:r>
        <w:rPr>
          <w:rFonts w:hint="eastAsia" w:ascii="黑体" w:hAnsi="黑体" w:eastAsia="黑体"/>
          <w:sz w:val="32"/>
          <w:szCs w:val="32"/>
        </w:rPr>
        <w:t>六、“三公”经费：</w:t>
      </w:r>
      <w:r>
        <w:rPr>
          <w:rFonts w:hint="eastAsia" w:ascii="仿宋_GB2312" w:eastAsia="仿宋_GB2312"/>
          <w:sz w:val="32"/>
          <w:szCs w:val="32"/>
        </w:rPr>
        <w:t>指市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仿宋_GB2312" w:eastAsia="仿宋_GB2312"/>
          <w:sz w:val="32"/>
          <w:szCs w:val="32"/>
        </w:rPr>
      </w:pPr>
      <w:r>
        <w:rPr>
          <w:rFonts w:hint="eastAsia" w:ascii="黑体" w:hAnsi="黑体" w:eastAsia="黑体"/>
          <w:sz w:val="32"/>
          <w:szCs w:val="32"/>
        </w:rPr>
        <w:t>七、机关运行经费：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阜康市农村能源办公室</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2019</w:t>
      </w:r>
      <w:r>
        <w:rPr>
          <w:rFonts w:ascii="仿宋_GB2312" w:hAnsi="宋体" w:eastAsia="仿宋_GB2312" w:cs="宋体"/>
          <w:kern w:val="0"/>
          <w:sz w:val="32"/>
          <w:szCs w:val="32"/>
        </w:rPr>
        <w:t>年</w:t>
      </w:r>
      <w:r>
        <w:rPr>
          <w:rFonts w:hint="eastAsia" w:ascii="仿宋_GB2312" w:hAnsi="宋体" w:eastAsia="仿宋_GB2312" w:cs="宋体"/>
          <w:kern w:val="0"/>
          <w:sz w:val="32"/>
          <w:szCs w:val="32"/>
        </w:rPr>
        <w:t>2</w:t>
      </w:r>
      <w:r>
        <w:rPr>
          <w:rFonts w:ascii="仿宋_GB2312" w:hAnsi="宋体" w:eastAsia="仿宋_GB2312" w:cs="宋体"/>
          <w:kern w:val="0"/>
          <w:sz w:val="32"/>
          <w:szCs w:val="32"/>
        </w:rPr>
        <w:t>月</w:t>
      </w:r>
      <w:r>
        <w:rPr>
          <w:rFonts w:hint="eastAsia" w:ascii="仿宋_GB2312" w:hAnsi="宋体" w:eastAsia="仿宋_GB2312" w:cs="宋体"/>
          <w:kern w:val="0"/>
          <w:sz w:val="32"/>
          <w:szCs w:val="32"/>
        </w:rPr>
        <w:t>10</w:t>
      </w:r>
      <w:r>
        <w:rPr>
          <w:rFonts w:ascii="仿宋_GB2312" w:hAnsi="宋体" w:eastAsia="仿宋_GB2312" w:cs="宋体"/>
          <w:kern w:val="0"/>
          <w:sz w:val="32"/>
          <w:szCs w:val="32"/>
        </w:rPr>
        <w:t>日</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1 -</w:t>
    </w:r>
    <w:r>
      <w:rPr>
        <w:rFonts w:ascii="宋体" w:hAnsi="宋体" w:eastAsia="宋体"/>
        <w:sz w:val="28"/>
        <w:szCs w:val="28"/>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87692"/>
    <w:multiLevelType w:val="singleLevel"/>
    <w:tmpl w:val="0B587692"/>
    <w:lvl w:ilvl="0" w:tentative="0">
      <w:start w:val="1"/>
      <w:numFmt w:val="chineseCounting"/>
      <w:suff w:val="nothing"/>
      <w:lvlText w:val="%1、"/>
      <w:lvlJc w:val="left"/>
      <w:pPr>
        <w:ind w:left="640" w:firstLine="0"/>
      </w:pPr>
      <w:rPr>
        <w:rFonts w:hint="eastAsia"/>
      </w:rPr>
    </w:lvl>
  </w:abstractNum>
  <w:abstractNum w:abstractNumId="1">
    <w:nsid w:val="2301A999"/>
    <w:multiLevelType w:val="singleLevel"/>
    <w:tmpl w:val="2301A999"/>
    <w:lvl w:ilvl="0" w:tentative="0">
      <w:start w:val="3"/>
      <w:numFmt w:val="chineseCounting"/>
      <w:suff w:val="nothing"/>
      <w:lvlText w:val="（%1）"/>
      <w:lvlJc w:val="left"/>
      <w:rPr>
        <w:rFonts w:hint="eastAsia"/>
      </w:rPr>
    </w:lvl>
  </w:abstractNum>
  <w:abstractNum w:abstractNumId="2">
    <w:nsid w:val="5CC18F10"/>
    <w:multiLevelType w:val="singleLevel"/>
    <w:tmpl w:val="5CC18F10"/>
    <w:lvl w:ilvl="0" w:tentative="0">
      <w:start w:val="7"/>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B5144"/>
    <w:rsid w:val="0000706A"/>
    <w:rsid w:val="000242A1"/>
    <w:rsid w:val="00102610"/>
    <w:rsid w:val="001833B0"/>
    <w:rsid w:val="002707C3"/>
    <w:rsid w:val="002B5144"/>
    <w:rsid w:val="00325B17"/>
    <w:rsid w:val="00495114"/>
    <w:rsid w:val="00757310"/>
    <w:rsid w:val="007E3115"/>
    <w:rsid w:val="00841512"/>
    <w:rsid w:val="009351B5"/>
    <w:rsid w:val="00A71C4B"/>
    <w:rsid w:val="00B81CA3"/>
    <w:rsid w:val="00BB2778"/>
    <w:rsid w:val="00BE70F8"/>
    <w:rsid w:val="00D95B2F"/>
    <w:rsid w:val="00E63863"/>
    <w:rsid w:val="00EA526F"/>
    <w:rsid w:val="00EE458B"/>
    <w:rsid w:val="00F449A9"/>
    <w:rsid w:val="00FC6ABD"/>
    <w:rsid w:val="03885336"/>
    <w:rsid w:val="1D5C446B"/>
    <w:rsid w:val="23476DF5"/>
    <w:rsid w:val="24280B9B"/>
    <w:rsid w:val="24907C1A"/>
    <w:rsid w:val="250F2BC6"/>
    <w:rsid w:val="2662028F"/>
    <w:rsid w:val="2759521E"/>
    <w:rsid w:val="29482BF3"/>
    <w:rsid w:val="2C9A7066"/>
    <w:rsid w:val="2D7D2E46"/>
    <w:rsid w:val="31116FF4"/>
    <w:rsid w:val="31E15190"/>
    <w:rsid w:val="34E521C3"/>
    <w:rsid w:val="380C031F"/>
    <w:rsid w:val="38DD132D"/>
    <w:rsid w:val="3F611D03"/>
    <w:rsid w:val="3FB2671E"/>
    <w:rsid w:val="45E53DF0"/>
    <w:rsid w:val="4711539E"/>
    <w:rsid w:val="507066C1"/>
    <w:rsid w:val="50762225"/>
    <w:rsid w:val="50E04081"/>
    <w:rsid w:val="51967D4E"/>
    <w:rsid w:val="51FB40C1"/>
    <w:rsid w:val="5656593A"/>
    <w:rsid w:val="59214B29"/>
    <w:rsid w:val="59856A9D"/>
    <w:rsid w:val="59C75008"/>
    <w:rsid w:val="5A924132"/>
    <w:rsid w:val="5C0B1AAC"/>
    <w:rsid w:val="5C1B2305"/>
    <w:rsid w:val="5C6E6CE1"/>
    <w:rsid w:val="5D3E67A3"/>
    <w:rsid w:val="5F060C43"/>
    <w:rsid w:val="5FAD361A"/>
    <w:rsid w:val="6098478A"/>
    <w:rsid w:val="60CA6832"/>
    <w:rsid w:val="63E8299A"/>
    <w:rsid w:val="678A73DE"/>
    <w:rsid w:val="692557B2"/>
    <w:rsid w:val="6B2914A4"/>
    <w:rsid w:val="6C145009"/>
    <w:rsid w:val="770A69E3"/>
    <w:rsid w:val="7AFE09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4"/>
    <w:semiHidden/>
    <w:qFormat/>
    <w:uiPriority w:val="0"/>
    <w:rPr>
      <w:sz w:val="18"/>
      <w:szCs w:val="18"/>
    </w:rPr>
  </w:style>
  <w:style w:type="paragraph" w:styleId="3">
    <w:name w:val="footer"/>
    <w:basedOn w:val="1"/>
    <w:link w:val="12"/>
    <w:qFormat/>
    <w:uiPriority w:val="99"/>
    <w:pPr>
      <w:tabs>
        <w:tab w:val="center" w:pos="4153"/>
        <w:tab w:val="right" w:pos="8306"/>
      </w:tabs>
      <w:snapToGrid w:val="0"/>
      <w:jc w:val="left"/>
    </w:pPr>
    <w:rPr>
      <w:rFonts w:eastAsia="黑体"/>
      <w:snapToGrid w:val="0"/>
      <w:kern w:val="0"/>
      <w:sz w:val="18"/>
      <w:szCs w:val="18"/>
    </w:rPr>
  </w:style>
  <w:style w:type="paragraph" w:styleId="4">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16"/>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Strong"/>
    <w:qFormat/>
    <w:uiPriority w:val="0"/>
    <w:rPr>
      <w:rFonts w:cs="Times New Roman"/>
      <w:b/>
      <w:bCs/>
    </w:rPr>
  </w:style>
  <w:style w:type="character" w:styleId="11">
    <w:name w:val="page number"/>
    <w:basedOn w:val="9"/>
    <w:qFormat/>
    <w:uiPriority w:val="0"/>
  </w:style>
  <w:style w:type="character" w:customStyle="1" w:styleId="12">
    <w:name w:val="页脚 Char"/>
    <w:basedOn w:val="9"/>
    <w:link w:val="3"/>
    <w:qFormat/>
    <w:uiPriority w:val="99"/>
    <w:rPr>
      <w:rFonts w:ascii="Times New Roman" w:hAnsi="Times New Roman" w:eastAsia="黑体" w:cs="Times New Roman"/>
      <w:snapToGrid w:val="0"/>
      <w:kern w:val="0"/>
      <w:sz w:val="18"/>
      <w:szCs w:val="18"/>
    </w:rPr>
  </w:style>
  <w:style w:type="paragraph" w:customStyle="1" w:styleId="13">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character" w:customStyle="1" w:styleId="14">
    <w:name w:val="批注框文本 Char"/>
    <w:basedOn w:val="9"/>
    <w:link w:val="2"/>
    <w:semiHidden/>
    <w:qFormat/>
    <w:uiPriority w:val="0"/>
    <w:rPr>
      <w:rFonts w:ascii="Times New Roman" w:hAnsi="Times New Roman" w:eastAsia="宋体" w:cs="Times New Roman"/>
      <w:sz w:val="18"/>
      <w:szCs w:val="18"/>
    </w:rPr>
  </w:style>
  <w:style w:type="character" w:customStyle="1" w:styleId="15">
    <w:name w:val="页眉 Char"/>
    <w:basedOn w:val="9"/>
    <w:link w:val="4"/>
    <w:qFormat/>
    <w:uiPriority w:val="0"/>
    <w:rPr>
      <w:rFonts w:ascii="Times New Roman" w:hAnsi="Times New Roman" w:eastAsia="宋体" w:cs="Times New Roman"/>
      <w:sz w:val="18"/>
      <w:szCs w:val="18"/>
    </w:rPr>
  </w:style>
  <w:style w:type="character" w:customStyle="1" w:styleId="16">
    <w:name w:val="正文文本缩进 3 Char"/>
    <w:basedOn w:val="9"/>
    <w:link w:val="5"/>
    <w:qFormat/>
    <w:uiPriority w:val="0"/>
    <w:rPr>
      <w:rFonts w:ascii="Times New Roman" w:hAnsi="Times New Roman" w:eastAsia="仿宋_GB2312" w:cs="Times New Roman"/>
      <w:sz w:val="32"/>
      <w:szCs w:val="24"/>
    </w:rPr>
  </w:style>
  <w:style w:type="paragraph" w:customStyle="1" w:styleId="17">
    <w:name w:val="列出段落1"/>
    <w:basedOn w:val="1"/>
    <w:qFormat/>
    <w:uiPriority w:val="34"/>
    <w:pPr>
      <w:ind w:firstLine="420" w:firstLineChars="200"/>
    </w:pPr>
    <w:rPr>
      <w:rFonts w:ascii="Calibri" w:hAnsi="Calibri"/>
      <w:szCs w:val="22"/>
    </w:rPr>
  </w:style>
  <w:style w:type="paragraph" w:customStyle="1" w:styleId="18">
    <w:name w:val="普通(网站)1"/>
    <w:basedOn w:val="1"/>
    <w:qFormat/>
    <w:uiPriority w:val="0"/>
    <w:rPr>
      <w:rFonts w:ascii="Calibri" w:hAnsi="Calibri" w:cs="黑体"/>
      <w:sz w:val="24"/>
    </w:rPr>
  </w:style>
  <w:style w:type="paragraph" w:customStyle="1" w:styleId="19">
    <w:name w:val="普通(网站)2"/>
    <w:basedOn w:val="1"/>
    <w:qFormat/>
    <w:uiPriority w:val="0"/>
    <w:rPr>
      <w:rFonts w:ascii="Calibri" w:hAnsi="Calibri" w:cs="黑体"/>
      <w:sz w:val="24"/>
    </w:rPr>
  </w:style>
  <w:style w:type="paragraph" w:customStyle="1" w:styleId="20">
    <w:name w:val="普通(网站)3"/>
    <w:basedOn w:val="1"/>
    <w:qFormat/>
    <w:uiPriority w:val="0"/>
    <w:rPr>
      <w:rFonts w:ascii="Calibri" w:hAnsi="Calibri" w:cs="黑体"/>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1535</Words>
  <Characters>8751</Characters>
  <Lines>72</Lines>
  <Paragraphs>20</Paragraphs>
  <TotalTime>6</TotalTime>
  <ScaleCrop>false</ScaleCrop>
  <LinksUpToDate>false</LinksUpToDate>
  <CharactersWithSpaces>10266</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2019-01-15T10:37:00Z</dcterms:created>
  <dc:creator>王怡</dc:creator>
  <cp:lastModifiedBy>♥夏汐</cp:lastModifiedBy>
  <cp:lastPrinted>2021-05-28T08:30:00Z</cp:lastPrinted>
  <dcterms:modified xsi:type="dcterms:W3CDTF">2021-07-08T04:17:47Z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0680EAA74C964621B3703C08D7CBF618</vt:lpwstr>
  </property>
</Properties>
</file>