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highlight w:val="none"/>
        </w:rPr>
      </w:pPr>
      <w:bookmarkStart w:id="0" w:name="_GoBack"/>
      <w:r>
        <w:rPr>
          <w:rFonts w:hint="eastAsia"/>
          <w:color w:val="auto"/>
          <w:highlight w:val="none"/>
        </w:rPr>
        <w:t xml:space="preserve"> </w:t>
      </w:r>
    </w:p>
    <w:p>
      <w:pPr>
        <w:rPr>
          <w:color w:val="auto"/>
          <w:highlight w:val="none"/>
        </w:rPr>
      </w:pPr>
    </w:p>
    <w:p>
      <w:pPr>
        <w:widowControl/>
        <w:spacing w:before="100" w:beforeAutospacing="1" w:after="100" w:afterAutospacing="1"/>
        <w:outlineLvl w:val="1"/>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 xml:space="preserve"> </w:t>
      </w:r>
    </w:p>
    <w:p>
      <w:pPr>
        <w:widowControl/>
        <w:spacing w:before="100" w:beforeAutospacing="1" w:after="100" w:afterAutospacing="1"/>
        <w:outlineLvl w:val="1"/>
        <w:rPr>
          <w:rFonts w:ascii="黑体" w:hAnsi="黑体" w:eastAsia="黑体" w:cs="宋体"/>
          <w:color w:val="auto"/>
          <w:kern w:val="0"/>
          <w:sz w:val="32"/>
          <w:szCs w:val="32"/>
          <w:highlight w:val="none"/>
        </w:rPr>
      </w:pPr>
    </w:p>
    <w:p>
      <w:pPr>
        <w:widowControl/>
        <w:spacing w:before="100" w:beforeAutospacing="1" w:after="100" w:afterAutospacing="1"/>
        <w:outlineLvl w:val="1"/>
        <w:rPr>
          <w:rFonts w:ascii="宋体" w:cs="宋体"/>
          <w:b/>
          <w:bCs/>
          <w:color w:val="auto"/>
          <w:kern w:val="0"/>
          <w:sz w:val="44"/>
          <w:szCs w:val="44"/>
          <w:highlight w:val="none"/>
        </w:rPr>
      </w:pPr>
    </w:p>
    <w:p>
      <w:pPr>
        <w:widowControl/>
        <w:spacing w:before="100" w:beforeAutospacing="1" w:after="100" w:afterAutospacing="1"/>
        <w:jc w:val="center"/>
        <w:outlineLvl w:val="1"/>
        <w:rPr>
          <w:rFonts w:ascii="方正小标宋_GBK" w:hAnsi="宋体" w:eastAsia="方正小标宋_GBK"/>
          <w:color w:val="auto"/>
          <w:kern w:val="0"/>
          <w:sz w:val="44"/>
          <w:szCs w:val="44"/>
          <w:highlight w:val="none"/>
        </w:rPr>
      </w:pPr>
      <w:r>
        <w:rPr>
          <w:rFonts w:hint="eastAsia" w:ascii="方正小标宋_GBK" w:hAnsi="宋体" w:eastAsia="方正小标宋_GBK"/>
          <w:color w:val="auto"/>
          <w:kern w:val="0"/>
          <w:sz w:val="44"/>
          <w:szCs w:val="44"/>
          <w:highlight w:val="none"/>
        </w:rPr>
        <w:t>昌吉州中共阜康市委员会全面深化改革领导小组办公室</w:t>
      </w:r>
      <w:r>
        <w:rPr>
          <w:rFonts w:ascii="方正小标宋_GBK" w:hAnsi="宋体" w:eastAsia="方正小标宋_GBK"/>
          <w:color w:val="auto"/>
          <w:kern w:val="0"/>
          <w:sz w:val="44"/>
          <w:szCs w:val="44"/>
          <w:highlight w:val="none"/>
        </w:rPr>
        <w:t>201</w:t>
      </w:r>
      <w:r>
        <w:rPr>
          <w:rFonts w:hint="eastAsia" w:ascii="方正小标宋_GBK" w:hAnsi="宋体" w:eastAsia="方正小标宋_GBK"/>
          <w:color w:val="auto"/>
          <w:kern w:val="0"/>
          <w:sz w:val="44"/>
          <w:szCs w:val="44"/>
          <w:highlight w:val="none"/>
        </w:rPr>
        <w:t>9年部门预算公开</w:t>
      </w: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line="500" w:lineRule="exact"/>
        <w:jc w:val="center"/>
        <w:outlineLvl w:val="1"/>
        <w:rPr>
          <w:rFonts w:ascii="黑体" w:hAnsi="黑体" w:eastAsia="黑体"/>
          <w:color w:val="auto"/>
          <w:kern w:val="0"/>
          <w:sz w:val="44"/>
          <w:szCs w:val="44"/>
          <w:highlight w:val="none"/>
        </w:rPr>
      </w:pPr>
      <w:r>
        <w:rPr>
          <w:rFonts w:hint="eastAsia" w:ascii="黑体" w:hAnsi="黑体" w:eastAsia="黑体"/>
          <w:color w:val="auto"/>
          <w:kern w:val="0"/>
          <w:sz w:val="44"/>
          <w:szCs w:val="44"/>
          <w:highlight w:val="none"/>
        </w:rPr>
        <w:t>目录</w:t>
      </w:r>
    </w:p>
    <w:p>
      <w:pPr>
        <w:widowControl/>
        <w:spacing w:line="500" w:lineRule="exact"/>
        <w:jc w:val="center"/>
        <w:outlineLvl w:val="1"/>
        <w:rPr>
          <w:rFonts w:ascii="宋体"/>
          <w:b/>
          <w:color w:val="auto"/>
          <w:kern w:val="0"/>
          <w:sz w:val="44"/>
          <w:szCs w:val="44"/>
          <w:highlight w:val="none"/>
        </w:rPr>
      </w:pP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第一部分</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阜康市改革办单位概况</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一、主要职能</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二、机构设置及人员情况</w:t>
      </w: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第二部分</w:t>
      </w:r>
      <w:r>
        <w:rPr>
          <w:rFonts w:ascii="仿宋_GB2312" w:hAnsi="宋体" w:eastAsia="仿宋_GB2312"/>
          <w:b/>
          <w:color w:val="auto"/>
          <w:kern w:val="0"/>
          <w:sz w:val="32"/>
          <w:szCs w:val="32"/>
          <w:highlight w:val="none"/>
        </w:rPr>
        <w:t xml:space="preserve">  </w:t>
      </w:r>
      <w:r>
        <w:rPr>
          <w:rFonts w:ascii="宋体" w:hAnsi="宋体"/>
          <w:b/>
          <w:color w:val="auto"/>
          <w:kern w:val="0"/>
          <w:sz w:val="32"/>
          <w:szCs w:val="32"/>
          <w:highlight w:val="none"/>
        </w:rPr>
        <w:t>2019</w:t>
      </w:r>
      <w:r>
        <w:rPr>
          <w:rFonts w:hint="eastAsia" w:ascii="仿宋_GB2312" w:hAnsi="宋体" w:eastAsia="仿宋_GB2312"/>
          <w:b/>
          <w:color w:val="auto"/>
          <w:kern w:val="0"/>
          <w:sz w:val="32"/>
          <w:szCs w:val="32"/>
          <w:highlight w:val="none"/>
        </w:rPr>
        <w:t>年部门预算公开表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一、部门收支总体情况表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二、部门收入总体情况表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三、部门支出总体情况表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四、财政拨款收支总体情况表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五、一般公共预算支出情况表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六、一般公共预算基本支出情况表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七、</w:t>
      </w:r>
      <w:r>
        <w:rPr>
          <w:rFonts w:hint="eastAsia" w:ascii="仿宋_GB2312" w:hAnsi="宋体" w:eastAsia="仿宋_GB2312"/>
          <w:bCs/>
          <w:color w:val="auto"/>
          <w:kern w:val="0"/>
          <w:sz w:val="32"/>
          <w:szCs w:val="32"/>
          <w:highlight w:val="none"/>
        </w:rPr>
        <w:t>项目支出情况表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八、一般公共预算“三公”经费支出情况表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九、政府性基金预算支出情况表</w:t>
      </w: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第三部分</w:t>
      </w:r>
      <w:r>
        <w:rPr>
          <w:rFonts w:ascii="仿宋_GB2312" w:hAnsi="宋体" w:eastAsia="仿宋_GB2312"/>
          <w:b/>
          <w:color w:val="auto"/>
          <w:kern w:val="0"/>
          <w:sz w:val="32"/>
          <w:szCs w:val="32"/>
          <w:highlight w:val="none"/>
        </w:rPr>
        <w:t xml:space="preserve">  </w:t>
      </w:r>
      <w:r>
        <w:rPr>
          <w:rFonts w:ascii="宋体" w:hAnsi="宋体"/>
          <w:b/>
          <w:color w:val="auto"/>
          <w:kern w:val="0"/>
          <w:sz w:val="32"/>
          <w:szCs w:val="32"/>
          <w:highlight w:val="none"/>
        </w:rPr>
        <w:t>2019</w:t>
      </w:r>
      <w:r>
        <w:rPr>
          <w:rFonts w:hint="eastAsia" w:ascii="仿宋_GB2312" w:hAnsi="宋体" w:eastAsia="仿宋_GB2312"/>
          <w:b/>
          <w:color w:val="auto"/>
          <w:kern w:val="0"/>
          <w:sz w:val="32"/>
          <w:szCs w:val="32"/>
          <w:highlight w:val="none"/>
        </w:rPr>
        <w:t>年部门预算情况说明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一、关于阜康市改革办</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年收支预算情况的总体说明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二、关于阜康市改革办</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年收入预算情况说明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三、关于阜康市改革办</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年支出预算情况说明</w:t>
      </w:r>
    </w:p>
    <w:p>
      <w:pPr>
        <w:widowControl/>
        <w:spacing w:line="460" w:lineRule="exact"/>
        <w:outlineLvl w:val="1"/>
        <w:rPr>
          <w:rFonts w:ascii="仿宋_GB2312" w:hAnsi="宋体" w:eastAsia="仿宋_GB2312"/>
          <w:bCs/>
          <w:color w:val="auto"/>
          <w:kern w:val="0"/>
          <w:sz w:val="32"/>
          <w:szCs w:val="32"/>
          <w:highlight w:val="none"/>
        </w:rPr>
      </w:pPr>
      <w:r>
        <w:rPr>
          <w:rFonts w:hint="eastAsia" w:ascii="仿宋_GB2312" w:hAnsi="宋体" w:eastAsia="仿宋_GB2312"/>
          <w:bCs/>
          <w:color w:val="auto"/>
          <w:kern w:val="0"/>
          <w:sz w:val="32"/>
          <w:szCs w:val="32"/>
          <w:highlight w:val="none"/>
        </w:rPr>
        <w:t>四、关于</w:t>
      </w:r>
      <w:r>
        <w:rPr>
          <w:rFonts w:hint="eastAsia" w:ascii="仿宋_GB2312" w:hAnsi="宋体" w:eastAsia="仿宋_GB2312"/>
          <w:color w:val="auto"/>
          <w:kern w:val="0"/>
          <w:sz w:val="32"/>
          <w:szCs w:val="32"/>
          <w:highlight w:val="none"/>
        </w:rPr>
        <w:t>阜康市改革办</w:t>
      </w:r>
      <w:r>
        <w:rPr>
          <w:rFonts w:ascii="仿宋_GB2312" w:hAnsi="宋体" w:eastAsia="仿宋_GB2312"/>
          <w:color w:val="auto"/>
          <w:kern w:val="0"/>
          <w:sz w:val="32"/>
          <w:szCs w:val="32"/>
          <w:highlight w:val="none"/>
        </w:rPr>
        <w:t>2019</w:t>
      </w:r>
      <w:r>
        <w:rPr>
          <w:rFonts w:hint="eastAsia" w:ascii="仿宋_GB2312" w:hAnsi="宋体" w:eastAsia="仿宋_GB2312"/>
          <w:bCs/>
          <w:color w:val="auto"/>
          <w:kern w:val="0"/>
          <w:sz w:val="32"/>
          <w:szCs w:val="32"/>
          <w:highlight w:val="none"/>
        </w:rPr>
        <w:t>年财政拨款收支预算情况的总体说明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五、关于阜康市改革办</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年一般公共预算当年拨款情况说明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六、关于阜康市改革办</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年一般公共预算基本支出情况说明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七、关于阜康市改革办</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年项目支出情况说明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八、关于阜康市改革办</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年一般公共预算“三公”经费预算情况说明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九、关于阜康市改革办</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年政府性基金预算拨款情况说明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十、其他重要事项的情况说明</w:t>
      </w:r>
    </w:p>
    <w:p>
      <w:pPr>
        <w:widowControl/>
        <w:spacing w:line="460" w:lineRule="exact"/>
        <w:outlineLvl w:val="1"/>
        <w:rPr>
          <w:rFonts w:ascii="仿宋_GB2312" w:hAnsi="宋体" w:eastAsia="仿宋_GB2312"/>
          <w:color w:val="auto"/>
          <w:kern w:val="0"/>
          <w:sz w:val="32"/>
          <w:szCs w:val="32"/>
          <w:highlight w:val="none"/>
        </w:rPr>
      </w:pP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第四部分</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名词解释</w:t>
      </w:r>
    </w:p>
    <w:p>
      <w:pPr>
        <w:widowControl/>
        <w:spacing w:line="460" w:lineRule="exact"/>
        <w:outlineLvl w:val="1"/>
        <w:rPr>
          <w:rFonts w:ascii="仿宋_GB2312" w:hAnsi="宋体" w:eastAsia="仿宋_GB2312"/>
          <w:b/>
          <w:color w:val="auto"/>
          <w:kern w:val="0"/>
          <w:sz w:val="32"/>
          <w:szCs w:val="32"/>
          <w:highlight w:val="none"/>
        </w:rPr>
      </w:pPr>
    </w:p>
    <w:p>
      <w:pPr>
        <w:widowControl/>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第一部分</w:t>
      </w:r>
      <w:r>
        <w:rPr>
          <w:rFonts w:ascii="黑体" w:hAnsi="黑体" w:eastAsia="黑体"/>
          <w:color w:val="auto"/>
          <w:kern w:val="0"/>
          <w:sz w:val="32"/>
          <w:szCs w:val="32"/>
          <w:highlight w:val="none"/>
        </w:rPr>
        <w:t xml:space="preserve">   </w:t>
      </w:r>
      <w:r>
        <w:rPr>
          <w:rFonts w:hint="eastAsia" w:ascii="黑体" w:hAnsi="黑体" w:eastAsia="黑体"/>
          <w:color w:val="auto"/>
          <w:kern w:val="0"/>
          <w:sz w:val="32"/>
          <w:szCs w:val="32"/>
          <w:highlight w:val="none"/>
        </w:rPr>
        <w:t>阜康市改革办</w:t>
      </w:r>
      <w:r>
        <w:rPr>
          <w:rFonts w:ascii="黑体" w:hAnsi="黑体" w:eastAsia="黑体"/>
          <w:color w:val="auto"/>
          <w:kern w:val="0"/>
          <w:sz w:val="32"/>
          <w:szCs w:val="32"/>
          <w:highlight w:val="none"/>
        </w:rPr>
        <w:t>2019</w:t>
      </w:r>
      <w:r>
        <w:rPr>
          <w:rFonts w:hint="eastAsia" w:ascii="黑体" w:hAnsi="黑体" w:eastAsia="黑体"/>
          <w:color w:val="auto"/>
          <w:kern w:val="0"/>
          <w:sz w:val="32"/>
          <w:szCs w:val="32"/>
          <w:highlight w:val="none"/>
        </w:rPr>
        <w:t>单位概况</w:t>
      </w:r>
    </w:p>
    <w:p>
      <w:pPr>
        <w:widowControl/>
        <w:jc w:val="center"/>
        <w:outlineLvl w:val="1"/>
        <w:rPr>
          <w:rFonts w:ascii="宋体"/>
          <w:b/>
          <w:color w:val="auto"/>
          <w:kern w:val="0"/>
          <w:sz w:val="32"/>
          <w:szCs w:val="32"/>
          <w:highlight w:val="none"/>
        </w:rPr>
      </w:pPr>
    </w:p>
    <w:p>
      <w:pPr>
        <w:widowControl/>
        <w:numPr>
          <w:ilvl w:val="0"/>
          <w:numId w:val="1"/>
        </w:numPr>
        <w:spacing w:line="360" w:lineRule="auto"/>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主要职能</w:t>
      </w:r>
      <w:r>
        <w:rPr>
          <w:rFonts w:ascii="仿宋_GB2312" w:hAnsi="宋体" w:eastAsia="仿宋_GB2312" w:cs="宋体"/>
          <w:color w:val="auto"/>
          <w:kern w:val="0"/>
          <w:sz w:val="32"/>
          <w:szCs w:val="32"/>
          <w:highlight w:val="none"/>
        </w:rPr>
        <w:t xml:space="preserve">  </w:t>
      </w:r>
    </w:p>
    <w:p>
      <w:pPr>
        <w:spacing w:line="360" w:lineRule="auto"/>
        <w:ind w:firstLine="640" w:firstLineChars="20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、阜康市委政策研究室（阜康市人民政府发展研究中心、市委农村工作办公室）。</w:t>
      </w:r>
    </w:p>
    <w:p>
      <w:pPr>
        <w:spacing w:line="360" w:lineRule="auto"/>
        <w:ind w:firstLine="480" w:firstLineChars="15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2</w:t>
      </w:r>
      <w:r>
        <w:rPr>
          <w:rFonts w:hint="eastAsia" w:ascii="仿宋_GB2312" w:hAnsi="宋体" w:eastAsia="仿宋_GB2312" w:cs="宋体"/>
          <w:color w:val="auto"/>
          <w:kern w:val="0"/>
          <w:sz w:val="32"/>
          <w:szCs w:val="32"/>
          <w:highlight w:val="none"/>
        </w:rPr>
        <w:t>、阜康市委全面深化改革领导小组办公室。</w:t>
      </w:r>
    </w:p>
    <w:p>
      <w:pPr>
        <w:spacing w:line="360" w:lineRule="auto"/>
        <w:ind w:firstLine="800" w:firstLineChars="25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、阜康市信息决策中心。</w:t>
      </w:r>
      <w:r>
        <w:rPr>
          <w:rFonts w:ascii="仿宋_GB2312" w:hAnsi="宋体" w:eastAsia="仿宋_GB2312" w:cs="宋体"/>
          <w:color w:val="auto"/>
          <w:kern w:val="0"/>
          <w:sz w:val="32"/>
          <w:szCs w:val="32"/>
          <w:highlight w:val="none"/>
        </w:rPr>
        <w:t xml:space="preserve"> </w:t>
      </w:r>
    </w:p>
    <w:p>
      <w:pPr>
        <w:widowControl/>
        <w:numPr>
          <w:ilvl w:val="0"/>
          <w:numId w:val="1"/>
        </w:numPr>
        <w:spacing w:line="360" w:lineRule="auto"/>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机构设置及人员情况</w:t>
      </w:r>
    </w:p>
    <w:p>
      <w:pPr>
        <w:spacing w:line="360" w:lineRule="auto"/>
        <w:ind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市委改革办无下属预算单位，下设三个处室，分别是：综合办公室、惠农项目科、深化改革科。</w:t>
      </w:r>
    </w:p>
    <w:p>
      <w:pPr>
        <w:spacing w:line="360" w:lineRule="auto"/>
        <w:ind w:firstLine="640" w:firstLineChars="20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阜康市委改革办核定编制数</w:t>
      </w:r>
      <w:r>
        <w:rPr>
          <w:rFonts w:ascii="仿宋_GB2312" w:hAnsi="宋体" w:eastAsia="仿宋_GB2312" w:cs="宋体"/>
          <w:color w:val="auto"/>
          <w:kern w:val="0"/>
          <w:sz w:val="32"/>
          <w:szCs w:val="32"/>
          <w:highlight w:val="none"/>
        </w:rPr>
        <w:t>11</w:t>
      </w:r>
      <w:r>
        <w:rPr>
          <w:rFonts w:hint="eastAsia" w:ascii="仿宋_GB2312" w:hAnsi="宋体" w:eastAsia="仿宋_GB2312" w:cs="宋体"/>
          <w:color w:val="auto"/>
          <w:kern w:val="0"/>
          <w:sz w:val="32"/>
          <w:szCs w:val="32"/>
          <w:highlight w:val="none"/>
        </w:rPr>
        <w:t>人，实有</w:t>
      </w:r>
      <w:r>
        <w:rPr>
          <w:rFonts w:ascii="仿宋_GB2312" w:hAnsi="宋体" w:eastAsia="仿宋_GB2312" w:cs="宋体"/>
          <w:color w:val="auto"/>
          <w:kern w:val="0"/>
          <w:sz w:val="32"/>
          <w:szCs w:val="32"/>
          <w:highlight w:val="none"/>
        </w:rPr>
        <w:t>13</w:t>
      </w:r>
      <w:r>
        <w:rPr>
          <w:rFonts w:hint="eastAsia" w:ascii="仿宋_GB2312" w:hAnsi="宋体" w:eastAsia="仿宋_GB2312" w:cs="宋体"/>
          <w:color w:val="auto"/>
          <w:kern w:val="0"/>
          <w:sz w:val="32"/>
          <w:szCs w:val="32"/>
          <w:highlight w:val="none"/>
        </w:rPr>
        <w:t>人。其中在职人员</w:t>
      </w:r>
      <w:r>
        <w:rPr>
          <w:rFonts w:ascii="仿宋_GB2312" w:hAnsi="宋体" w:eastAsia="仿宋_GB2312" w:cs="宋体"/>
          <w:color w:val="auto"/>
          <w:kern w:val="0"/>
          <w:sz w:val="32"/>
          <w:szCs w:val="32"/>
          <w:highlight w:val="none"/>
        </w:rPr>
        <w:t>13</w:t>
      </w:r>
      <w:r>
        <w:rPr>
          <w:rFonts w:hint="eastAsia" w:ascii="仿宋_GB2312" w:hAnsi="宋体" w:eastAsia="仿宋_GB2312" w:cs="宋体"/>
          <w:color w:val="auto"/>
          <w:kern w:val="0"/>
          <w:sz w:val="32"/>
          <w:szCs w:val="32"/>
          <w:highlight w:val="none"/>
        </w:rPr>
        <w:t>人，增加</w:t>
      </w:r>
      <w:r>
        <w:rPr>
          <w:rFonts w:ascii="仿宋_GB2312" w:hAnsi="宋体" w:eastAsia="仿宋_GB2312" w:cs="宋体"/>
          <w:color w:val="auto"/>
          <w:kern w:val="0"/>
          <w:sz w:val="32"/>
          <w:szCs w:val="32"/>
          <w:highlight w:val="none"/>
        </w:rPr>
        <w:t>5</w:t>
      </w:r>
      <w:r>
        <w:rPr>
          <w:rFonts w:hint="eastAsia" w:ascii="仿宋_GB2312" w:hAnsi="宋体" w:eastAsia="仿宋_GB2312" w:cs="宋体"/>
          <w:color w:val="auto"/>
          <w:kern w:val="0"/>
          <w:sz w:val="32"/>
          <w:szCs w:val="32"/>
          <w:highlight w:val="none"/>
        </w:rPr>
        <w:t>人；退休</w:t>
      </w:r>
      <w:r>
        <w:rPr>
          <w:rFonts w:ascii="仿宋_GB2312" w:hAnsi="宋体" w:eastAsia="仿宋_GB2312" w:cs="宋体"/>
          <w:color w:val="auto"/>
          <w:kern w:val="0"/>
          <w:sz w:val="32"/>
          <w:szCs w:val="32"/>
          <w:highlight w:val="none"/>
        </w:rPr>
        <w:t>5</w:t>
      </w:r>
      <w:r>
        <w:rPr>
          <w:rFonts w:hint="eastAsia" w:ascii="仿宋_GB2312" w:hAnsi="宋体" w:eastAsia="仿宋_GB2312" w:cs="宋体"/>
          <w:color w:val="auto"/>
          <w:kern w:val="0"/>
          <w:sz w:val="32"/>
          <w:szCs w:val="32"/>
          <w:highlight w:val="none"/>
        </w:rPr>
        <w:t>人，增加</w:t>
      </w:r>
      <w:r>
        <w:rPr>
          <w:rFonts w:ascii="仿宋_GB2312" w:hAnsi="宋体" w:eastAsia="仿宋_GB2312" w:cs="宋体"/>
          <w:color w:val="auto"/>
          <w:kern w:val="0"/>
          <w:sz w:val="32"/>
          <w:szCs w:val="32"/>
          <w:highlight w:val="none"/>
        </w:rPr>
        <w:t>2</w:t>
      </w:r>
      <w:r>
        <w:rPr>
          <w:rFonts w:hint="eastAsia" w:ascii="仿宋_GB2312" w:hAnsi="宋体" w:eastAsia="仿宋_GB2312" w:cs="宋体"/>
          <w:color w:val="auto"/>
          <w:kern w:val="0"/>
          <w:sz w:val="32"/>
          <w:szCs w:val="32"/>
          <w:highlight w:val="none"/>
        </w:rPr>
        <w:t>人。离休0人，增加0人。</w:t>
      </w: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第二部分</w:t>
      </w:r>
      <w:r>
        <w:rPr>
          <w:rFonts w:ascii="黑体" w:hAnsi="黑体" w:eastAsia="黑体"/>
          <w:color w:val="auto"/>
          <w:kern w:val="0"/>
          <w:sz w:val="32"/>
          <w:szCs w:val="32"/>
          <w:highlight w:val="none"/>
        </w:rPr>
        <w:t xml:space="preserve">  2019</w:t>
      </w:r>
      <w:r>
        <w:rPr>
          <w:rFonts w:hint="eastAsia" w:ascii="黑体" w:hAnsi="黑体" w:eastAsia="黑体"/>
          <w:color w:val="auto"/>
          <w:kern w:val="0"/>
          <w:sz w:val="32"/>
          <w:szCs w:val="32"/>
          <w:highlight w:val="none"/>
        </w:rPr>
        <w:t>年部门预算公开表</w:t>
      </w:r>
    </w:p>
    <w:p>
      <w:pPr>
        <w:widowControl/>
        <w:spacing w:beforeLines="50"/>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表一：</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部门收支总体情况表</w:t>
      </w:r>
    </w:p>
    <w:p>
      <w:pPr>
        <w:widowControl/>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编制部门：</w:t>
      </w:r>
      <w:r>
        <w:rPr>
          <w:rFonts w:hint="eastAsia" w:ascii="仿宋_GB2312" w:hAnsi="宋体" w:eastAsia="仿宋_GB2312" w:cs="宋体"/>
          <w:color w:val="auto"/>
          <w:kern w:val="0"/>
          <w:sz w:val="18"/>
          <w:szCs w:val="32"/>
          <w:highlight w:val="none"/>
        </w:rPr>
        <w:t>阜康市委全面深化改革领导小组办公室</w:t>
      </w:r>
      <w:r>
        <w:rPr>
          <w:rFonts w:ascii="仿宋_GB2312" w:hAnsi="宋体" w:eastAsia="仿宋_GB2312"/>
          <w:color w:val="auto"/>
          <w:kern w:val="0"/>
          <w:sz w:val="15"/>
          <w:highlight w:val="none"/>
        </w:rPr>
        <w:t xml:space="preserve"> </w:t>
      </w:r>
      <w:r>
        <w:rPr>
          <w:rFonts w:ascii="仿宋_GB2312" w:hAnsi="宋体" w:eastAsia="仿宋_GB2312"/>
          <w:color w:val="auto"/>
          <w:kern w:val="0"/>
          <w:sz w:val="44"/>
          <w:highlight w:val="none"/>
        </w:rPr>
        <w:t xml:space="preserve"> </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收</w:t>
            </w:r>
            <w:r>
              <w:rPr>
                <w:rFonts w:ascii="仿宋_GB2312" w:hAnsi="宋体" w:eastAsia="仿宋_GB2312" w:cs="宋体"/>
                <w:b/>
                <w:bCs/>
                <w:color w:val="auto"/>
                <w:kern w:val="0"/>
                <w:sz w:val="24"/>
                <w:highlight w:val="none"/>
              </w:rPr>
              <w:t xml:space="preserve">     </w:t>
            </w:r>
            <w:r>
              <w:rPr>
                <w:rFonts w:hint="eastAsia" w:ascii="仿宋_GB2312" w:hAnsi="宋体" w:eastAsia="仿宋_GB2312" w:cs="宋体"/>
                <w:b/>
                <w:bCs/>
                <w:color w:val="auto"/>
                <w:kern w:val="0"/>
                <w:sz w:val="24"/>
                <w:highlight w:val="none"/>
              </w:rPr>
              <w:t>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支</w:t>
            </w:r>
            <w:r>
              <w:rPr>
                <w:rFonts w:ascii="仿宋_GB2312" w:hAnsi="宋体" w:eastAsia="仿宋_GB2312" w:cs="宋体"/>
                <w:b/>
                <w:bCs/>
                <w:color w:val="auto"/>
                <w:kern w:val="0"/>
                <w:sz w:val="24"/>
                <w:highlight w:val="none"/>
              </w:rPr>
              <w:t xml:space="preserve">     </w:t>
            </w:r>
            <w:r>
              <w:rPr>
                <w:rFonts w:hint="eastAsia" w:ascii="仿宋_GB2312" w:hAnsi="宋体" w:eastAsia="仿宋_GB2312" w:cs="宋体"/>
                <w:b/>
                <w:bCs/>
                <w:color w:val="auto"/>
                <w:kern w:val="0"/>
                <w:sz w:val="24"/>
                <w:highlight w:val="none"/>
              </w:rPr>
              <w:t>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项</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157.14</w:t>
            </w: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201 </w:t>
            </w:r>
            <w:r>
              <w:rPr>
                <w:rFonts w:hint="eastAsia" w:ascii="仿宋_GB2312" w:hAnsi="宋体" w:eastAsia="仿宋_GB2312" w:cs="宋体"/>
                <w:color w:val="auto"/>
                <w:kern w:val="0"/>
                <w:sz w:val="18"/>
                <w:szCs w:val="18"/>
                <w:highlight w:val="none"/>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109.23</w:t>
            </w: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157.14</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202 </w:t>
            </w:r>
            <w:r>
              <w:rPr>
                <w:rFonts w:hint="eastAsia" w:ascii="仿宋_GB2312" w:hAnsi="宋体" w:eastAsia="仿宋_GB2312" w:cs="宋体"/>
                <w:color w:val="auto"/>
                <w:kern w:val="0"/>
                <w:sz w:val="18"/>
                <w:szCs w:val="18"/>
                <w:highlight w:val="none"/>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203 </w:t>
            </w:r>
            <w:r>
              <w:rPr>
                <w:rFonts w:hint="eastAsia" w:ascii="仿宋_GB2312" w:hAnsi="宋体" w:eastAsia="仿宋_GB2312" w:cs="宋体"/>
                <w:color w:val="auto"/>
                <w:kern w:val="0"/>
                <w:sz w:val="18"/>
                <w:szCs w:val="18"/>
                <w:highlight w:val="none"/>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7"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204 </w:t>
            </w:r>
            <w:r>
              <w:rPr>
                <w:rFonts w:hint="eastAsia" w:ascii="仿宋_GB2312" w:hAnsi="宋体" w:eastAsia="仿宋_GB2312" w:cs="宋体"/>
                <w:color w:val="auto"/>
                <w:kern w:val="0"/>
                <w:sz w:val="18"/>
                <w:szCs w:val="18"/>
                <w:highlight w:val="none"/>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205 </w:t>
            </w:r>
            <w:r>
              <w:rPr>
                <w:rFonts w:hint="eastAsia" w:ascii="仿宋_GB2312" w:hAnsi="宋体" w:eastAsia="仿宋_GB2312" w:cs="宋体"/>
                <w:color w:val="auto"/>
                <w:kern w:val="0"/>
                <w:sz w:val="18"/>
                <w:szCs w:val="18"/>
                <w:highlight w:val="none"/>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206 </w:t>
            </w:r>
            <w:r>
              <w:rPr>
                <w:rFonts w:hint="eastAsia" w:ascii="仿宋_GB2312" w:hAnsi="宋体" w:eastAsia="仿宋_GB2312" w:cs="宋体"/>
                <w:color w:val="auto"/>
                <w:kern w:val="0"/>
                <w:sz w:val="18"/>
                <w:szCs w:val="18"/>
                <w:highlight w:val="none"/>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207 </w:t>
            </w:r>
            <w:r>
              <w:rPr>
                <w:rFonts w:hint="eastAsia" w:ascii="仿宋_GB2312" w:hAnsi="宋体" w:eastAsia="仿宋_GB2312" w:cs="宋体"/>
                <w:color w:val="auto"/>
                <w:kern w:val="0"/>
                <w:sz w:val="18"/>
                <w:szCs w:val="18"/>
                <w:highlight w:val="none"/>
              </w:rPr>
              <w:t>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208 </w:t>
            </w:r>
            <w:r>
              <w:rPr>
                <w:rFonts w:hint="eastAsia" w:ascii="仿宋_GB2312" w:hAnsi="宋体" w:eastAsia="仿宋_GB2312" w:cs="宋体"/>
                <w:color w:val="auto"/>
                <w:kern w:val="0"/>
                <w:sz w:val="18"/>
                <w:szCs w:val="18"/>
                <w:highlight w:val="none"/>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19.13</w:t>
            </w: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209 </w:t>
            </w:r>
            <w:r>
              <w:rPr>
                <w:rFonts w:hint="eastAsia" w:ascii="仿宋_GB2312" w:hAnsi="宋体" w:eastAsia="仿宋_GB2312" w:cs="宋体"/>
                <w:color w:val="auto"/>
                <w:kern w:val="0"/>
                <w:sz w:val="18"/>
                <w:szCs w:val="18"/>
                <w:highlight w:val="none"/>
              </w:rPr>
              <w:t>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210 </w:t>
            </w:r>
            <w:r>
              <w:rPr>
                <w:rFonts w:hint="eastAsia" w:ascii="仿宋_GB2312" w:hAnsi="宋体" w:eastAsia="仿宋_GB2312" w:cs="宋体"/>
                <w:color w:val="auto"/>
                <w:kern w:val="0"/>
                <w:sz w:val="18"/>
                <w:szCs w:val="18"/>
                <w:highlight w:val="none"/>
              </w:rPr>
              <w:t>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15.86</w:t>
            </w: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211 </w:t>
            </w:r>
            <w:r>
              <w:rPr>
                <w:rFonts w:hint="eastAsia" w:ascii="仿宋_GB2312" w:hAnsi="宋体" w:eastAsia="仿宋_GB2312" w:cs="宋体"/>
                <w:color w:val="auto"/>
                <w:kern w:val="0"/>
                <w:sz w:val="18"/>
                <w:szCs w:val="18"/>
                <w:highlight w:val="none"/>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212 </w:t>
            </w:r>
            <w:r>
              <w:rPr>
                <w:rFonts w:hint="eastAsia" w:ascii="仿宋_GB2312" w:hAnsi="宋体" w:eastAsia="仿宋_GB2312" w:cs="宋体"/>
                <w:color w:val="auto"/>
                <w:kern w:val="0"/>
                <w:sz w:val="18"/>
                <w:szCs w:val="18"/>
                <w:highlight w:val="none"/>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213 </w:t>
            </w:r>
            <w:r>
              <w:rPr>
                <w:rFonts w:hint="eastAsia" w:ascii="仿宋_GB2312" w:hAnsi="宋体" w:eastAsia="仿宋_GB2312" w:cs="宋体"/>
                <w:color w:val="auto"/>
                <w:kern w:val="0"/>
                <w:sz w:val="18"/>
                <w:szCs w:val="18"/>
                <w:highlight w:val="none"/>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214 </w:t>
            </w:r>
            <w:r>
              <w:rPr>
                <w:rFonts w:hint="eastAsia" w:ascii="仿宋_GB2312" w:hAnsi="宋体" w:eastAsia="仿宋_GB2312" w:cs="宋体"/>
                <w:color w:val="auto"/>
                <w:kern w:val="0"/>
                <w:sz w:val="18"/>
                <w:szCs w:val="18"/>
                <w:highlight w:val="none"/>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215 </w:t>
            </w:r>
            <w:r>
              <w:rPr>
                <w:rFonts w:hint="eastAsia" w:ascii="仿宋_GB2312" w:hAnsi="宋体" w:eastAsia="仿宋_GB2312" w:cs="宋体"/>
                <w:color w:val="auto"/>
                <w:kern w:val="0"/>
                <w:sz w:val="18"/>
                <w:szCs w:val="18"/>
                <w:highlight w:val="none"/>
              </w:rPr>
              <w:t>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216 </w:t>
            </w:r>
            <w:r>
              <w:rPr>
                <w:rFonts w:hint="eastAsia" w:ascii="仿宋_GB2312" w:hAnsi="宋体" w:eastAsia="仿宋_GB2312" w:cs="宋体"/>
                <w:color w:val="auto"/>
                <w:kern w:val="0"/>
                <w:sz w:val="18"/>
                <w:szCs w:val="18"/>
                <w:highlight w:val="none"/>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217 </w:t>
            </w:r>
            <w:r>
              <w:rPr>
                <w:rFonts w:hint="eastAsia" w:ascii="仿宋_GB2312" w:hAnsi="宋体" w:eastAsia="仿宋_GB2312" w:cs="宋体"/>
                <w:color w:val="auto"/>
                <w:kern w:val="0"/>
                <w:sz w:val="18"/>
                <w:szCs w:val="18"/>
                <w:highlight w:val="none"/>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219 </w:t>
            </w:r>
            <w:r>
              <w:rPr>
                <w:rFonts w:hint="eastAsia" w:ascii="仿宋_GB2312" w:hAnsi="宋体" w:eastAsia="仿宋_GB2312" w:cs="宋体"/>
                <w:color w:val="auto"/>
                <w:kern w:val="0"/>
                <w:sz w:val="18"/>
                <w:szCs w:val="18"/>
                <w:highlight w:val="none"/>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220 </w:t>
            </w:r>
            <w:r>
              <w:rPr>
                <w:rFonts w:hint="eastAsia" w:ascii="仿宋_GB2312" w:hAnsi="宋体" w:eastAsia="仿宋_GB2312" w:cs="宋体"/>
                <w:color w:val="auto"/>
                <w:kern w:val="0"/>
                <w:sz w:val="18"/>
                <w:szCs w:val="18"/>
                <w:highlight w:val="none"/>
              </w:rPr>
              <w:t>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221 </w:t>
            </w:r>
            <w:r>
              <w:rPr>
                <w:rFonts w:hint="eastAsia" w:ascii="仿宋_GB2312" w:hAnsi="宋体" w:eastAsia="仿宋_GB2312" w:cs="宋体"/>
                <w:color w:val="auto"/>
                <w:kern w:val="0"/>
                <w:sz w:val="18"/>
                <w:szCs w:val="18"/>
                <w:highlight w:val="none"/>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12.92</w:t>
            </w: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222 </w:t>
            </w:r>
            <w:r>
              <w:rPr>
                <w:rFonts w:hint="eastAsia" w:ascii="仿宋_GB2312" w:hAnsi="宋体" w:eastAsia="仿宋_GB2312" w:cs="宋体"/>
                <w:color w:val="auto"/>
                <w:kern w:val="0"/>
                <w:sz w:val="18"/>
                <w:szCs w:val="18"/>
                <w:highlight w:val="none"/>
              </w:rPr>
              <w:t>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223 </w:t>
            </w:r>
            <w:r>
              <w:rPr>
                <w:rFonts w:hint="eastAsia" w:ascii="仿宋_GB2312" w:hAnsi="宋体" w:eastAsia="仿宋_GB2312" w:cs="宋体"/>
                <w:color w:val="auto"/>
                <w:kern w:val="0"/>
                <w:sz w:val="18"/>
                <w:szCs w:val="18"/>
                <w:highlight w:val="none"/>
              </w:rPr>
              <w:t>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227 </w:t>
            </w:r>
            <w:r>
              <w:rPr>
                <w:rFonts w:hint="eastAsia" w:ascii="仿宋_GB2312" w:hAnsi="宋体" w:eastAsia="仿宋_GB2312" w:cs="宋体"/>
                <w:color w:val="auto"/>
                <w:kern w:val="0"/>
                <w:sz w:val="18"/>
                <w:szCs w:val="18"/>
                <w:highlight w:val="none"/>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229 </w:t>
            </w:r>
            <w:r>
              <w:rPr>
                <w:rFonts w:hint="eastAsia" w:ascii="仿宋_GB2312" w:hAnsi="宋体" w:eastAsia="仿宋_GB2312" w:cs="宋体"/>
                <w:color w:val="auto"/>
                <w:kern w:val="0"/>
                <w:sz w:val="18"/>
                <w:szCs w:val="18"/>
                <w:highlight w:val="none"/>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231 </w:t>
            </w:r>
            <w:r>
              <w:rPr>
                <w:rFonts w:hint="eastAsia" w:ascii="仿宋_GB2312" w:hAnsi="宋体" w:eastAsia="仿宋_GB2312" w:cs="宋体"/>
                <w:color w:val="auto"/>
                <w:kern w:val="0"/>
                <w:sz w:val="18"/>
                <w:szCs w:val="18"/>
                <w:highlight w:val="none"/>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232 </w:t>
            </w:r>
            <w:r>
              <w:rPr>
                <w:rFonts w:hint="eastAsia" w:ascii="仿宋_GB2312" w:hAnsi="宋体" w:eastAsia="仿宋_GB2312" w:cs="宋体"/>
                <w:color w:val="auto"/>
                <w:kern w:val="0"/>
                <w:sz w:val="18"/>
                <w:szCs w:val="18"/>
                <w:highlight w:val="none"/>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233 </w:t>
            </w:r>
            <w:r>
              <w:rPr>
                <w:rFonts w:hint="eastAsia" w:ascii="仿宋_GB2312" w:hAnsi="宋体" w:eastAsia="仿宋_GB2312" w:cs="宋体"/>
                <w:color w:val="auto"/>
                <w:kern w:val="0"/>
                <w:sz w:val="18"/>
                <w:szCs w:val="18"/>
                <w:highlight w:val="none"/>
              </w:rPr>
              <w:t>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 xml:space="preserve">230 </w:t>
            </w:r>
            <w:r>
              <w:rPr>
                <w:rFonts w:hint="eastAsia" w:ascii="仿宋_GB2312" w:hAnsi="宋体" w:eastAsia="仿宋_GB2312" w:cs="宋体"/>
                <w:color w:val="auto"/>
                <w:kern w:val="0"/>
                <w:sz w:val="20"/>
                <w:szCs w:val="20"/>
                <w:highlight w:val="none"/>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收</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入</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总</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157.14</w:t>
            </w: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支</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出</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合</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157.14</w:t>
            </w:r>
            <w:r>
              <w:rPr>
                <w:rFonts w:hint="eastAsia" w:ascii="仿宋_GB2312" w:hAnsi="宋体" w:eastAsia="仿宋_GB2312" w:cs="宋体"/>
                <w:color w:val="auto"/>
                <w:kern w:val="0"/>
                <w:sz w:val="18"/>
                <w:szCs w:val="18"/>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表二：</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部门收入总体情况表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填报部门：</w:t>
      </w:r>
      <w:r>
        <w:rPr>
          <w:rFonts w:hint="eastAsia" w:ascii="仿宋_GB2312" w:hAnsi="宋体" w:eastAsia="仿宋_GB2312" w:cs="宋体"/>
          <w:color w:val="auto"/>
          <w:kern w:val="0"/>
          <w:sz w:val="18"/>
          <w:szCs w:val="32"/>
          <w:highlight w:val="none"/>
        </w:rPr>
        <w:t>阜康市委全面深化改革领导小组办公室</w:t>
      </w:r>
      <w:r>
        <w:rPr>
          <w:rFonts w:ascii="仿宋_GB2312" w:hAnsi="宋体" w:eastAsia="仿宋_GB2312"/>
          <w:color w:val="auto"/>
          <w:kern w:val="0"/>
          <w:sz w:val="15"/>
          <w:highlight w:val="none"/>
        </w:rPr>
        <w:t xml:space="preserve"> </w:t>
      </w:r>
      <w:r>
        <w:rPr>
          <w:rFonts w:ascii="仿宋_GB2312" w:hAnsi="宋体" w:eastAsia="仿宋_GB2312"/>
          <w:color w:val="auto"/>
          <w:kern w:val="0"/>
          <w:sz w:val="44"/>
          <w:highlight w:val="none"/>
        </w:rPr>
        <w:t xml:space="preserve"> </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9654" w:type="dxa"/>
        <w:tblInd w:w="93" w:type="dxa"/>
        <w:tblLayout w:type="fixed"/>
        <w:tblCellMar>
          <w:top w:w="0" w:type="dxa"/>
          <w:left w:w="108" w:type="dxa"/>
          <w:bottom w:w="0" w:type="dxa"/>
          <w:right w:w="108" w:type="dxa"/>
        </w:tblCellMar>
      </w:tblPr>
      <w:tblGrid>
        <w:gridCol w:w="555"/>
        <w:gridCol w:w="540"/>
        <w:gridCol w:w="540"/>
        <w:gridCol w:w="2066"/>
        <w:gridCol w:w="992"/>
        <w:gridCol w:w="851"/>
        <w:gridCol w:w="567"/>
        <w:gridCol w:w="567"/>
        <w:gridCol w:w="258"/>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63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功能分类科目编码</w:t>
            </w:r>
          </w:p>
        </w:tc>
        <w:tc>
          <w:tcPr>
            <w:tcW w:w="206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功能分类科目名称</w:t>
            </w:r>
          </w:p>
        </w:tc>
        <w:tc>
          <w:tcPr>
            <w:tcW w:w="99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总</w:t>
            </w:r>
            <w:r>
              <w:rPr>
                <w:rFonts w:ascii="仿宋_GB2312" w:eastAsia="仿宋_GB2312"/>
                <w:b/>
                <w:color w:val="auto"/>
                <w:sz w:val="20"/>
                <w:szCs w:val="20"/>
                <w:highlight w:val="none"/>
              </w:rPr>
              <w:t xml:space="preserve">  </w:t>
            </w:r>
            <w:r>
              <w:rPr>
                <w:rFonts w:hint="eastAsia" w:ascii="仿宋_GB2312" w:eastAsia="仿宋_GB2312"/>
                <w:b/>
                <w:color w:val="auto"/>
                <w:sz w:val="20"/>
                <w:szCs w:val="20"/>
                <w:highlight w:val="none"/>
              </w:rPr>
              <w:t>计</w:t>
            </w:r>
          </w:p>
        </w:tc>
        <w:tc>
          <w:tcPr>
            <w:tcW w:w="85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一般公共预算拨款</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政府性基金预算拨款</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财政专户管理资金</w:t>
            </w:r>
          </w:p>
        </w:tc>
        <w:tc>
          <w:tcPr>
            <w:tcW w:w="25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18"/>
                <w:szCs w:val="18"/>
                <w:highlight w:val="none"/>
              </w:rPr>
            </w:pPr>
            <w:r>
              <w:rPr>
                <w:rFonts w:hint="eastAsia" w:ascii="仿宋_GB2312" w:eastAsia="仿宋_GB2312"/>
                <w:b/>
                <w:color w:val="auto"/>
                <w:sz w:val="18"/>
                <w:szCs w:val="18"/>
                <w:highlight w:val="none"/>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类</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款</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项</w:t>
            </w:r>
          </w:p>
        </w:tc>
        <w:tc>
          <w:tcPr>
            <w:tcW w:w="206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85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25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201</w:t>
            </w: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03</w:t>
            </w: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066"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行政运行</w:t>
            </w:r>
          </w:p>
        </w:tc>
        <w:tc>
          <w:tcPr>
            <w:tcW w:w="99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61.53</w:t>
            </w:r>
          </w:p>
        </w:tc>
        <w:tc>
          <w:tcPr>
            <w:tcW w:w="851"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61.53</w:t>
            </w:r>
          </w:p>
        </w:tc>
        <w:tc>
          <w:tcPr>
            <w:tcW w:w="567"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201</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03</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50</w:t>
            </w:r>
          </w:p>
        </w:tc>
        <w:tc>
          <w:tcPr>
            <w:tcW w:w="2066"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事业运行</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47.7</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47.7</w:t>
            </w:r>
          </w:p>
        </w:tc>
        <w:tc>
          <w:tcPr>
            <w:tcW w:w="567"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567"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258"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208</w:t>
            </w: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066"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归口管理单位离退休</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0.87</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0.87</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208</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05</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05</w:t>
            </w:r>
            <w:r>
              <w:rPr>
                <w:rFonts w:hint="eastAsia" w:ascii="仿宋_GB2312" w:eastAsia="仿宋_GB2312"/>
                <w:color w:val="auto"/>
                <w:sz w:val="16"/>
                <w:szCs w:val="16"/>
                <w:highlight w:val="none"/>
              </w:rPr>
              <w:t>　</w:t>
            </w:r>
          </w:p>
        </w:tc>
        <w:tc>
          <w:tcPr>
            <w:tcW w:w="2066"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机关事业单位基本养老保险缴费支出</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18.26</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18.26</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01</w:t>
            </w:r>
            <w:r>
              <w:rPr>
                <w:rFonts w:hint="eastAsia" w:ascii="仿宋_GB2312" w:eastAsia="仿宋_GB2312"/>
                <w:color w:val="auto"/>
                <w:sz w:val="16"/>
                <w:szCs w:val="16"/>
                <w:highlight w:val="none"/>
              </w:rPr>
              <w:t>　</w:t>
            </w:r>
          </w:p>
        </w:tc>
        <w:tc>
          <w:tcPr>
            <w:tcW w:w="2066"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行政单位医疗</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7.47</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7.47</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auto"/>
                <w:sz w:val="16"/>
                <w:szCs w:val="16"/>
                <w:highlight w:val="none"/>
              </w:rPr>
            </w:pPr>
            <w:r>
              <w:rPr>
                <w:rFonts w:ascii="仿宋_GB2312" w:eastAsia="仿宋_GB2312"/>
                <w:color w:val="auto"/>
                <w:sz w:val="16"/>
                <w:szCs w:val="16"/>
                <w:highlight w:val="none"/>
              </w:rPr>
              <w:t>210</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auto"/>
                <w:sz w:val="16"/>
                <w:szCs w:val="16"/>
                <w:highlight w:val="none"/>
              </w:rPr>
            </w:pPr>
            <w:r>
              <w:rPr>
                <w:rFonts w:ascii="仿宋_GB2312" w:eastAsia="仿宋_GB2312"/>
                <w:color w:val="auto"/>
                <w:sz w:val="16"/>
                <w:szCs w:val="16"/>
                <w:highlight w:val="none"/>
              </w:rPr>
              <w:t>11</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auto"/>
                <w:sz w:val="16"/>
                <w:szCs w:val="16"/>
                <w:highlight w:val="none"/>
              </w:rPr>
            </w:pPr>
            <w:r>
              <w:rPr>
                <w:rFonts w:ascii="仿宋_GB2312" w:eastAsia="仿宋_GB2312"/>
                <w:color w:val="auto"/>
                <w:sz w:val="16"/>
                <w:szCs w:val="16"/>
                <w:highlight w:val="none"/>
              </w:rPr>
              <w:t>02</w:t>
            </w:r>
          </w:p>
        </w:tc>
        <w:tc>
          <w:tcPr>
            <w:tcW w:w="2066"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事业单位医疗</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3.51</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3.51</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567"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258"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03</w:t>
            </w:r>
            <w:r>
              <w:rPr>
                <w:rFonts w:hint="eastAsia" w:ascii="仿宋_GB2312" w:eastAsia="仿宋_GB2312"/>
                <w:color w:val="auto"/>
                <w:sz w:val="16"/>
                <w:szCs w:val="16"/>
                <w:highlight w:val="none"/>
              </w:rPr>
              <w:t>　</w:t>
            </w:r>
          </w:p>
        </w:tc>
        <w:tc>
          <w:tcPr>
            <w:tcW w:w="2066"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公务员医疗补助</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4.88</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4.88</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221</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02</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01</w:t>
            </w:r>
            <w:r>
              <w:rPr>
                <w:rFonts w:hint="eastAsia" w:ascii="仿宋_GB2312" w:eastAsia="仿宋_GB2312"/>
                <w:color w:val="auto"/>
                <w:sz w:val="16"/>
                <w:szCs w:val="16"/>
                <w:highlight w:val="none"/>
              </w:rPr>
              <w:t>　</w:t>
            </w:r>
          </w:p>
        </w:tc>
        <w:tc>
          <w:tcPr>
            <w:tcW w:w="2066"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住房公积金</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12.92</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12.92</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2066"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66"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66"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66"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66"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66"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6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合计</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157.14</w:t>
            </w:r>
            <w:r>
              <w:rPr>
                <w:rFonts w:hint="eastAsia" w:ascii="仿宋_GB2312" w:eastAsia="仿宋_GB2312"/>
                <w:color w:val="auto"/>
                <w:sz w:val="20"/>
                <w:szCs w:val="20"/>
                <w:highlight w:val="none"/>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157.14</w:t>
            </w: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5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表三：</w:t>
      </w:r>
    </w:p>
    <w:p>
      <w:pPr>
        <w:widowControl/>
        <w:jc w:val="center"/>
        <w:outlineLvl w:val="1"/>
        <w:rPr>
          <w:rFonts w:ascii="仿宋_GB2312" w:hAnsi="宋体" w:eastAsia="仿宋_GB2312"/>
          <w:b/>
          <w:color w:val="auto"/>
          <w:kern w:val="0"/>
          <w:sz w:val="32"/>
          <w:szCs w:val="32"/>
          <w:highlight w:val="none"/>
        </w:rPr>
      </w:pP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部门支出总体情况表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编制部门：</w:t>
      </w:r>
      <w:r>
        <w:rPr>
          <w:rFonts w:hint="eastAsia" w:ascii="仿宋_GB2312" w:hAnsi="宋体" w:eastAsia="仿宋_GB2312" w:cs="宋体"/>
          <w:color w:val="auto"/>
          <w:kern w:val="0"/>
          <w:sz w:val="18"/>
          <w:szCs w:val="32"/>
          <w:highlight w:val="none"/>
        </w:rPr>
        <w:t>阜康市委全面深化改革领导小组办公室</w:t>
      </w:r>
      <w:r>
        <w:rPr>
          <w:rFonts w:ascii="仿宋_GB2312" w:hAnsi="宋体" w:eastAsia="仿宋_GB2312"/>
          <w:color w:val="auto"/>
          <w:kern w:val="0"/>
          <w:sz w:val="15"/>
          <w:highlight w:val="none"/>
        </w:rPr>
        <w:t xml:space="preserve"> </w:t>
      </w:r>
      <w:r>
        <w:rPr>
          <w:rFonts w:ascii="仿宋_GB2312" w:hAnsi="宋体" w:eastAsia="仿宋_GB2312"/>
          <w:color w:val="auto"/>
          <w:kern w:val="0"/>
          <w:sz w:val="44"/>
          <w:highlight w:val="none"/>
        </w:rPr>
        <w:t xml:space="preserve"> </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9229" w:type="dxa"/>
        <w:tblInd w:w="93" w:type="dxa"/>
        <w:tblLayout w:type="fixed"/>
        <w:tblCellMar>
          <w:top w:w="0" w:type="dxa"/>
          <w:left w:w="108" w:type="dxa"/>
          <w:bottom w:w="0" w:type="dxa"/>
          <w:right w:w="108" w:type="dxa"/>
        </w:tblCellMar>
      </w:tblPr>
      <w:tblGrid>
        <w:gridCol w:w="724"/>
        <w:gridCol w:w="425"/>
        <w:gridCol w:w="426"/>
        <w:gridCol w:w="2230"/>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支出预算</w:t>
            </w:r>
          </w:p>
        </w:tc>
      </w:tr>
      <w:tr>
        <w:tblPrEx>
          <w:tblLayout w:type="fixed"/>
          <w:tblCellMar>
            <w:top w:w="0" w:type="dxa"/>
            <w:left w:w="108" w:type="dxa"/>
            <w:bottom w:w="0" w:type="dxa"/>
            <w:right w:w="108" w:type="dxa"/>
          </w:tblCellMar>
        </w:tblPrEx>
        <w:trPr>
          <w:trHeight w:val="480" w:hRule="atLeast"/>
        </w:trPr>
        <w:tc>
          <w:tcPr>
            <w:tcW w:w="157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功能分类科目编码</w:t>
            </w:r>
          </w:p>
        </w:tc>
        <w:tc>
          <w:tcPr>
            <w:tcW w:w="223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项目支出</w:t>
            </w:r>
          </w:p>
        </w:tc>
      </w:tr>
      <w:tr>
        <w:tblPrEx>
          <w:tblLayout w:type="fixed"/>
          <w:tblCellMar>
            <w:top w:w="0" w:type="dxa"/>
            <w:left w:w="108" w:type="dxa"/>
            <w:bottom w:w="0" w:type="dxa"/>
            <w:right w:w="108" w:type="dxa"/>
          </w:tblCellMar>
        </w:tblPrEx>
        <w:trPr>
          <w:trHeight w:val="270"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类</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款</w:t>
            </w: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项</w:t>
            </w:r>
          </w:p>
        </w:tc>
        <w:tc>
          <w:tcPr>
            <w:tcW w:w="223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201</w:t>
            </w:r>
            <w:r>
              <w:rPr>
                <w:rFonts w:hint="eastAsia" w:ascii="仿宋_GB2312" w:eastAsia="仿宋_GB2312"/>
                <w:color w:val="auto"/>
                <w:sz w:val="20"/>
                <w:szCs w:val="20"/>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03</w:t>
            </w:r>
            <w:r>
              <w:rPr>
                <w:rFonts w:hint="eastAsia" w:ascii="仿宋_GB2312" w:eastAsia="仿宋_GB2312"/>
                <w:color w:val="auto"/>
                <w:sz w:val="20"/>
                <w:szCs w:val="20"/>
                <w:highlight w:val="none"/>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23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行政运行</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61.53</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61.53</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201</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03</w:t>
            </w:r>
          </w:p>
        </w:tc>
        <w:tc>
          <w:tcPr>
            <w:tcW w:w="426"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50</w:t>
            </w:r>
          </w:p>
        </w:tc>
        <w:tc>
          <w:tcPr>
            <w:tcW w:w="223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事业运行</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47.7</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47.7</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208</w:t>
            </w:r>
            <w:r>
              <w:rPr>
                <w:rFonts w:hint="eastAsia" w:ascii="仿宋_GB2312" w:eastAsia="仿宋_GB2312"/>
                <w:color w:val="auto"/>
                <w:sz w:val="20"/>
                <w:szCs w:val="20"/>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426"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23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归口管理单位离退休</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0.87</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0.87</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208</w:t>
            </w:r>
            <w:r>
              <w:rPr>
                <w:rFonts w:hint="eastAsia" w:ascii="仿宋_GB2312" w:eastAsia="仿宋_GB2312"/>
                <w:color w:val="auto"/>
                <w:sz w:val="16"/>
                <w:szCs w:val="16"/>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05</w:t>
            </w:r>
            <w:r>
              <w:rPr>
                <w:rFonts w:hint="eastAsia" w:ascii="仿宋_GB2312" w:eastAsia="仿宋_GB2312"/>
                <w:color w:val="auto"/>
                <w:sz w:val="16"/>
                <w:szCs w:val="16"/>
                <w:highlight w:val="none"/>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05</w:t>
            </w:r>
            <w:r>
              <w:rPr>
                <w:rFonts w:hint="eastAsia" w:ascii="仿宋_GB2312" w:eastAsia="仿宋_GB2312"/>
                <w:color w:val="auto"/>
                <w:sz w:val="16"/>
                <w:szCs w:val="16"/>
                <w:highlight w:val="none"/>
              </w:rPr>
              <w:t>　</w:t>
            </w:r>
          </w:p>
        </w:tc>
        <w:tc>
          <w:tcPr>
            <w:tcW w:w="223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机关事业单位基本养老保险缴费支出</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18.26</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18.26</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01</w:t>
            </w:r>
            <w:r>
              <w:rPr>
                <w:rFonts w:hint="eastAsia" w:ascii="仿宋_GB2312" w:eastAsia="仿宋_GB2312"/>
                <w:color w:val="auto"/>
                <w:sz w:val="16"/>
                <w:szCs w:val="16"/>
                <w:highlight w:val="none"/>
              </w:rPr>
              <w:t>　</w:t>
            </w:r>
          </w:p>
        </w:tc>
        <w:tc>
          <w:tcPr>
            <w:tcW w:w="223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行政单位医疗</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7.47</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7.47</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auto"/>
                <w:sz w:val="16"/>
                <w:szCs w:val="16"/>
                <w:highlight w:val="none"/>
              </w:rPr>
            </w:pPr>
            <w:r>
              <w:rPr>
                <w:rFonts w:ascii="仿宋_GB2312" w:eastAsia="仿宋_GB2312"/>
                <w:color w:val="auto"/>
                <w:sz w:val="16"/>
                <w:szCs w:val="16"/>
                <w:highlight w:val="none"/>
              </w:rPr>
              <w:t>210</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auto"/>
                <w:sz w:val="16"/>
                <w:szCs w:val="16"/>
                <w:highlight w:val="none"/>
              </w:rPr>
            </w:pPr>
            <w:r>
              <w:rPr>
                <w:rFonts w:ascii="仿宋_GB2312" w:eastAsia="仿宋_GB2312"/>
                <w:color w:val="auto"/>
                <w:sz w:val="16"/>
                <w:szCs w:val="16"/>
                <w:highlight w:val="none"/>
              </w:rPr>
              <w:t>11</w:t>
            </w:r>
          </w:p>
        </w:tc>
        <w:tc>
          <w:tcPr>
            <w:tcW w:w="426" w:type="dxa"/>
            <w:tcBorders>
              <w:top w:val="nil"/>
              <w:left w:val="nil"/>
              <w:bottom w:val="single" w:color="auto" w:sz="4" w:space="0"/>
              <w:right w:val="single" w:color="auto" w:sz="4" w:space="0"/>
            </w:tcBorders>
            <w:vAlign w:val="center"/>
          </w:tcPr>
          <w:p>
            <w:pPr>
              <w:jc w:val="right"/>
              <w:rPr>
                <w:rFonts w:ascii="仿宋_GB2312" w:eastAsia="仿宋_GB2312"/>
                <w:color w:val="auto"/>
                <w:sz w:val="16"/>
                <w:szCs w:val="16"/>
                <w:highlight w:val="none"/>
              </w:rPr>
            </w:pPr>
            <w:r>
              <w:rPr>
                <w:rFonts w:ascii="仿宋_GB2312" w:eastAsia="仿宋_GB2312"/>
                <w:color w:val="auto"/>
                <w:sz w:val="16"/>
                <w:szCs w:val="16"/>
                <w:highlight w:val="none"/>
              </w:rPr>
              <w:t>02</w:t>
            </w:r>
          </w:p>
        </w:tc>
        <w:tc>
          <w:tcPr>
            <w:tcW w:w="223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事业单位医疗</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3.51</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3.51</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03</w:t>
            </w:r>
            <w:r>
              <w:rPr>
                <w:rFonts w:hint="eastAsia" w:ascii="仿宋_GB2312" w:eastAsia="仿宋_GB2312"/>
                <w:color w:val="auto"/>
                <w:sz w:val="16"/>
                <w:szCs w:val="16"/>
                <w:highlight w:val="none"/>
              </w:rPr>
              <w:t>　</w:t>
            </w:r>
          </w:p>
        </w:tc>
        <w:tc>
          <w:tcPr>
            <w:tcW w:w="223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公务员医疗补助</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4.88</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4.88</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221</w:t>
            </w:r>
            <w:r>
              <w:rPr>
                <w:rFonts w:hint="eastAsia" w:ascii="仿宋_GB2312" w:eastAsia="仿宋_GB2312"/>
                <w:color w:val="auto"/>
                <w:sz w:val="16"/>
                <w:szCs w:val="16"/>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02</w:t>
            </w:r>
            <w:r>
              <w:rPr>
                <w:rFonts w:hint="eastAsia" w:ascii="仿宋_GB2312" w:eastAsia="仿宋_GB2312"/>
                <w:color w:val="auto"/>
                <w:sz w:val="16"/>
                <w:szCs w:val="16"/>
                <w:highlight w:val="none"/>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01</w:t>
            </w:r>
            <w:r>
              <w:rPr>
                <w:rFonts w:hint="eastAsia" w:ascii="仿宋_GB2312" w:eastAsia="仿宋_GB2312"/>
                <w:color w:val="auto"/>
                <w:sz w:val="16"/>
                <w:szCs w:val="16"/>
                <w:highlight w:val="none"/>
              </w:rPr>
              <w:t>　</w:t>
            </w:r>
          </w:p>
        </w:tc>
        <w:tc>
          <w:tcPr>
            <w:tcW w:w="223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住房公积金</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12.92</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12.92</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2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23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24"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426"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2230" w:type="dxa"/>
            <w:tcBorders>
              <w:top w:val="nil"/>
              <w:left w:val="nil"/>
              <w:bottom w:val="single" w:color="auto" w:sz="4" w:space="0"/>
              <w:right w:val="single" w:color="auto" w:sz="4" w:space="0"/>
            </w:tcBorders>
            <w:vAlign w:val="center"/>
          </w:tcPr>
          <w:p>
            <w:pPr>
              <w:widowControl/>
              <w:jc w:val="center"/>
              <w:rPr>
                <w:rFonts w:ascii="宋体" w:cs="宋体"/>
                <w:color w:val="auto"/>
                <w:kern w:val="0"/>
                <w:sz w:val="22"/>
                <w:szCs w:val="22"/>
                <w:highlight w:val="none"/>
              </w:rPr>
            </w:pPr>
            <w:r>
              <w:rPr>
                <w:rFonts w:hint="eastAsia" w:ascii="宋体" w:hAnsi="宋体" w:cs="宋体"/>
                <w:color w:val="auto"/>
                <w:kern w:val="0"/>
                <w:sz w:val="22"/>
                <w:szCs w:val="22"/>
                <w:highlight w:val="none"/>
              </w:rPr>
              <w:t>合计</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157.14</w:t>
            </w:r>
            <w:r>
              <w:rPr>
                <w:rFonts w:hint="eastAsia" w:ascii="仿宋_GB2312" w:eastAsia="仿宋_GB2312"/>
                <w:color w:val="auto"/>
                <w:sz w:val="20"/>
                <w:szCs w:val="20"/>
                <w:highlight w:val="none"/>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157.14</w:t>
            </w:r>
            <w:r>
              <w:rPr>
                <w:rFonts w:hint="eastAsia" w:ascii="仿宋_GB2312" w:eastAsia="仿宋_GB2312"/>
                <w:color w:val="auto"/>
                <w:sz w:val="20"/>
                <w:szCs w:val="20"/>
                <w:highlight w:val="none"/>
              </w:rPr>
              <w:t>　</w:t>
            </w:r>
          </w:p>
        </w:tc>
        <w:tc>
          <w:tcPr>
            <w:tcW w:w="1713"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spacing w:beforeLines="50"/>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表四：</w:t>
      </w:r>
    </w:p>
    <w:p>
      <w:pPr>
        <w:widowControl/>
        <w:spacing w:beforeLines="50"/>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财政拨款收支预算总体情况表</w:t>
      </w:r>
    </w:p>
    <w:p>
      <w:pPr>
        <w:widowControl/>
        <w:spacing w:beforeLines="50"/>
        <w:outlineLvl w:val="1"/>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编制部门：</w:t>
      </w:r>
      <w:r>
        <w:rPr>
          <w:rFonts w:hint="eastAsia" w:ascii="仿宋_GB2312" w:hAnsi="宋体" w:eastAsia="仿宋_GB2312" w:cs="宋体"/>
          <w:color w:val="auto"/>
          <w:kern w:val="0"/>
          <w:sz w:val="18"/>
          <w:szCs w:val="32"/>
          <w:highlight w:val="none"/>
        </w:rPr>
        <w:t>阜康市委全面深化改革领导小组办公室</w:t>
      </w:r>
      <w:r>
        <w:rPr>
          <w:rFonts w:ascii="仿宋_GB2312" w:hAnsi="宋体" w:eastAsia="仿宋_GB2312"/>
          <w:color w:val="auto"/>
          <w:kern w:val="0"/>
          <w:sz w:val="16"/>
          <w:highlight w:val="none"/>
        </w:rPr>
        <w:t xml:space="preserve"> </w:t>
      </w:r>
      <w:r>
        <w:rPr>
          <w:rFonts w:ascii="仿宋_GB2312" w:hAnsi="宋体" w:eastAsia="仿宋_GB2312"/>
          <w:color w:val="auto"/>
          <w:kern w:val="0"/>
          <w:sz w:val="180"/>
          <w:highlight w:val="none"/>
        </w:rPr>
        <w:t xml:space="preserve"> </w:t>
      </w:r>
      <w:r>
        <w:rPr>
          <w:rFonts w:ascii="仿宋_GB2312" w:hAnsi="宋体" w:eastAsia="仿宋_GB2312"/>
          <w:color w:val="auto"/>
          <w:kern w:val="0"/>
          <w:sz w:val="72"/>
          <w:szCs w:val="28"/>
          <w:highlight w:val="none"/>
        </w:rPr>
        <w:t xml:space="preserve"> </w:t>
      </w:r>
      <w:r>
        <w:rPr>
          <w:rFonts w:ascii="仿宋_GB2312" w:hAnsi="宋体" w:eastAsia="仿宋_GB2312"/>
          <w:color w:val="auto"/>
          <w:kern w:val="0"/>
          <w:sz w:val="28"/>
          <w:szCs w:val="28"/>
          <w:highlight w:val="none"/>
        </w:rPr>
        <w:t xml:space="preserve">             </w:t>
      </w:r>
      <w:r>
        <w:rPr>
          <w:rFonts w:hint="eastAsia" w:ascii="仿宋_GB2312" w:hAnsi="宋体" w:eastAsia="仿宋_GB2312"/>
          <w:color w:val="auto"/>
          <w:kern w:val="0"/>
          <w:sz w:val="28"/>
          <w:szCs w:val="28"/>
          <w:highlight w:val="none"/>
        </w:rPr>
        <w:t>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项</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功</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能</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分</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财政拨款（补助）</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157.14</w:t>
            </w: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201 </w:t>
            </w:r>
            <w:r>
              <w:rPr>
                <w:rFonts w:hint="eastAsia" w:ascii="仿宋_GB2312" w:hAnsi="宋体" w:eastAsia="仿宋_GB2312" w:cs="宋体"/>
                <w:color w:val="auto"/>
                <w:kern w:val="0"/>
                <w:sz w:val="18"/>
                <w:szCs w:val="18"/>
                <w:highlight w:val="none"/>
              </w:rPr>
              <w:t>一般公共服务支出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109.23</w:t>
            </w: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109.23</w:t>
            </w: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一般公共预算</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157.14</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202 </w:t>
            </w:r>
            <w:r>
              <w:rPr>
                <w:rFonts w:hint="eastAsia" w:ascii="仿宋_GB2312" w:hAnsi="宋体" w:eastAsia="仿宋_GB2312" w:cs="宋体"/>
                <w:color w:val="auto"/>
                <w:kern w:val="0"/>
                <w:sz w:val="18"/>
                <w:szCs w:val="18"/>
                <w:highlight w:val="none"/>
              </w:rPr>
              <w:t>外交支出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政府性基金预算</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203 </w:t>
            </w:r>
            <w:r>
              <w:rPr>
                <w:rFonts w:hint="eastAsia" w:ascii="仿宋_GB2312" w:hAnsi="宋体" w:eastAsia="仿宋_GB2312" w:cs="宋体"/>
                <w:color w:val="auto"/>
                <w:kern w:val="0"/>
                <w:sz w:val="18"/>
                <w:szCs w:val="18"/>
                <w:highlight w:val="none"/>
              </w:rPr>
              <w:t>国防支出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204 </w:t>
            </w:r>
            <w:r>
              <w:rPr>
                <w:rFonts w:hint="eastAsia" w:ascii="仿宋_GB2312" w:hAnsi="宋体" w:eastAsia="仿宋_GB2312" w:cs="宋体"/>
                <w:color w:val="auto"/>
                <w:kern w:val="0"/>
                <w:sz w:val="18"/>
                <w:szCs w:val="18"/>
                <w:highlight w:val="none"/>
              </w:rPr>
              <w:t>公共安全支出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205 </w:t>
            </w:r>
            <w:r>
              <w:rPr>
                <w:rFonts w:hint="eastAsia" w:ascii="仿宋_GB2312" w:hAnsi="宋体" w:eastAsia="仿宋_GB2312" w:cs="宋体"/>
                <w:color w:val="auto"/>
                <w:kern w:val="0"/>
                <w:sz w:val="18"/>
                <w:szCs w:val="18"/>
                <w:highlight w:val="none"/>
              </w:rPr>
              <w:t>教育支出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206 </w:t>
            </w:r>
            <w:r>
              <w:rPr>
                <w:rFonts w:hint="eastAsia" w:ascii="仿宋_GB2312" w:hAnsi="宋体" w:eastAsia="仿宋_GB2312" w:cs="宋体"/>
                <w:color w:val="auto"/>
                <w:kern w:val="0"/>
                <w:sz w:val="18"/>
                <w:szCs w:val="18"/>
                <w:highlight w:val="none"/>
              </w:rPr>
              <w:t>科学技术支出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207 </w:t>
            </w:r>
            <w:r>
              <w:rPr>
                <w:rFonts w:hint="eastAsia" w:ascii="仿宋_GB2312" w:hAnsi="宋体" w:eastAsia="仿宋_GB2312" w:cs="宋体"/>
                <w:color w:val="auto"/>
                <w:kern w:val="0"/>
                <w:sz w:val="18"/>
                <w:szCs w:val="18"/>
                <w:highlight w:val="none"/>
              </w:rPr>
              <w:t>文化体育与传媒支出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208 </w:t>
            </w:r>
            <w:r>
              <w:rPr>
                <w:rFonts w:hint="eastAsia" w:ascii="仿宋_GB2312" w:hAnsi="宋体" w:eastAsia="仿宋_GB2312" w:cs="宋体"/>
                <w:color w:val="auto"/>
                <w:kern w:val="0"/>
                <w:sz w:val="18"/>
                <w:szCs w:val="18"/>
                <w:highlight w:val="none"/>
              </w:rPr>
              <w:t>社会保障和就业支出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19.13</w:t>
            </w: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19.13</w:t>
            </w: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209 </w:t>
            </w:r>
            <w:r>
              <w:rPr>
                <w:rFonts w:hint="eastAsia" w:ascii="仿宋_GB2312" w:hAnsi="宋体" w:eastAsia="仿宋_GB2312" w:cs="宋体"/>
                <w:color w:val="auto"/>
                <w:kern w:val="0"/>
                <w:sz w:val="18"/>
                <w:szCs w:val="18"/>
                <w:highlight w:val="none"/>
              </w:rPr>
              <w:t>社会保险基金支出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210 </w:t>
            </w:r>
            <w:r>
              <w:rPr>
                <w:rFonts w:hint="eastAsia" w:ascii="仿宋_GB2312" w:hAnsi="宋体" w:eastAsia="仿宋_GB2312" w:cs="宋体"/>
                <w:color w:val="auto"/>
                <w:kern w:val="0"/>
                <w:sz w:val="18"/>
                <w:szCs w:val="18"/>
                <w:highlight w:val="none"/>
              </w:rPr>
              <w:t>医疗卫生与计划生育支出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15.86</w:t>
            </w: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15.86</w:t>
            </w: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211 </w:t>
            </w:r>
            <w:r>
              <w:rPr>
                <w:rFonts w:hint="eastAsia" w:ascii="仿宋_GB2312" w:hAnsi="宋体" w:eastAsia="仿宋_GB2312" w:cs="宋体"/>
                <w:color w:val="auto"/>
                <w:kern w:val="0"/>
                <w:sz w:val="18"/>
                <w:szCs w:val="18"/>
                <w:highlight w:val="none"/>
              </w:rPr>
              <w:t>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212 </w:t>
            </w:r>
            <w:r>
              <w:rPr>
                <w:rFonts w:hint="eastAsia" w:ascii="仿宋_GB2312" w:hAnsi="宋体" w:eastAsia="仿宋_GB2312" w:cs="宋体"/>
                <w:color w:val="auto"/>
                <w:kern w:val="0"/>
                <w:sz w:val="18"/>
                <w:szCs w:val="18"/>
                <w:highlight w:val="none"/>
              </w:rPr>
              <w:t>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213 </w:t>
            </w:r>
            <w:r>
              <w:rPr>
                <w:rFonts w:hint="eastAsia" w:ascii="仿宋_GB2312" w:hAnsi="宋体" w:eastAsia="仿宋_GB2312" w:cs="宋体"/>
                <w:color w:val="auto"/>
                <w:kern w:val="0"/>
                <w:sz w:val="18"/>
                <w:szCs w:val="18"/>
                <w:highlight w:val="none"/>
              </w:rPr>
              <w:t>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214 </w:t>
            </w:r>
            <w:r>
              <w:rPr>
                <w:rFonts w:hint="eastAsia" w:ascii="仿宋_GB2312" w:hAnsi="宋体" w:eastAsia="仿宋_GB2312" w:cs="宋体"/>
                <w:color w:val="auto"/>
                <w:kern w:val="0"/>
                <w:sz w:val="18"/>
                <w:szCs w:val="18"/>
                <w:highlight w:val="none"/>
              </w:rPr>
              <w:t>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215 </w:t>
            </w:r>
            <w:r>
              <w:rPr>
                <w:rFonts w:hint="eastAsia" w:ascii="仿宋_GB2312" w:hAnsi="宋体" w:eastAsia="仿宋_GB2312" w:cs="宋体"/>
                <w:color w:val="auto"/>
                <w:kern w:val="0"/>
                <w:sz w:val="18"/>
                <w:szCs w:val="18"/>
                <w:highlight w:val="none"/>
              </w:rPr>
              <w:t>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216 </w:t>
            </w:r>
            <w:r>
              <w:rPr>
                <w:rFonts w:hint="eastAsia" w:ascii="仿宋_GB2312" w:hAnsi="宋体" w:eastAsia="仿宋_GB2312" w:cs="宋体"/>
                <w:color w:val="auto"/>
                <w:kern w:val="0"/>
                <w:sz w:val="18"/>
                <w:szCs w:val="18"/>
                <w:highlight w:val="none"/>
              </w:rPr>
              <w:t>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217 </w:t>
            </w:r>
            <w:r>
              <w:rPr>
                <w:rFonts w:hint="eastAsia" w:ascii="仿宋_GB2312" w:hAnsi="宋体" w:eastAsia="仿宋_GB2312" w:cs="宋体"/>
                <w:color w:val="auto"/>
                <w:kern w:val="0"/>
                <w:sz w:val="18"/>
                <w:szCs w:val="18"/>
                <w:highlight w:val="none"/>
              </w:rPr>
              <w:t>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219 </w:t>
            </w:r>
            <w:r>
              <w:rPr>
                <w:rFonts w:hint="eastAsia" w:ascii="仿宋_GB2312" w:hAnsi="宋体" w:eastAsia="仿宋_GB2312" w:cs="宋体"/>
                <w:color w:val="auto"/>
                <w:kern w:val="0"/>
                <w:sz w:val="18"/>
                <w:szCs w:val="18"/>
                <w:highlight w:val="none"/>
              </w:rPr>
              <w:t>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220 </w:t>
            </w:r>
            <w:r>
              <w:rPr>
                <w:rFonts w:hint="eastAsia" w:ascii="仿宋_GB2312" w:hAnsi="宋体" w:eastAsia="仿宋_GB2312" w:cs="宋体"/>
                <w:color w:val="auto"/>
                <w:kern w:val="0"/>
                <w:sz w:val="18"/>
                <w:szCs w:val="18"/>
                <w:highlight w:val="none"/>
              </w:rPr>
              <w:t>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221 </w:t>
            </w:r>
            <w:r>
              <w:rPr>
                <w:rFonts w:hint="eastAsia" w:ascii="仿宋_GB2312" w:hAnsi="宋体" w:eastAsia="仿宋_GB2312" w:cs="宋体"/>
                <w:color w:val="auto"/>
                <w:kern w:val="0"/>
                <w:sz w:val="18"/>
                <w:szCs w:val="18"/>
                <w:highlight w:val="none"/>
              </w:rPr>
              <w:t>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12.92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12.92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222 </w:t>
            </w:r>
            <w:r>
              <w:rPr>
                <w:rFonts w:hint="eastAsia" w:ascii="仿宋_GB2312" w:hAnsi="宋体" w:eastAsia="仿宋_GB2312" w:cs="宋体"/>
                <w:color w:val="auto"/>
                <w:kern w:val="0"/>
                <w:sz w:val="18"/>
                <w:szCs w:val="18"/>
                <w:highlight w:val="none"/>
              </w:rPr>
              <w:t>粮油物资管理支出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223 </w:t>
            </w:r>
            <w:r>
              <w:rPr>
                <w:rFonts w:hint="eastAsia" w:ascii="仿宋_GB2312" w:hAnsi="宋体" w:eastAsia="仿宋_GB2312" w:cs="宋体"/>
                <w:color w:val="auto"/>
                <w:kern w:val="0"/>
                <w:sz w:val="18"/>
                <w:szCs w:val="18"/>
                <w:highlight w:val="none"/>
              </w:rPr>
              <w:t>国有资本经营预算支出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227 </w:t>
            </w:r>
            <w:r>
              <w:rPr>
                <w:rFonts w:hint="eastAsia" w:ascii="仿宋_GB2312" w:hAnsi="宋体" w:eastAsia="仿宋_GB2312" w:cs="宋体"/>
                <w:color w:val="auto"/>
                <w:kern w:val="0"/>
                <w:sz w:val="18"/>
                <w:szCs w:val="18"/>
                <w:highlight w:val="none"/>
              </w:rPr>
              <w:t>预备费</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229 </w:t>
            </w:r>
            <w:r>
              <w:rPr>
                <w:rFonts w:hint="eastAsia" w:ascii="仿宋_GB2312" w:hAnsi="宋体" w:eastAsia="仿宋_GB2312" w:cs="宋体"/>
                <w:color w:val="auto"/>
                <w:kern w:val="0"/>
                <w:sz w:val="18"/>
                <w:szCs w:val="18"/>
                <w:highlight w:val="none"/>
              </w:rPr>
              <w:t>其他支出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2</w:t>
            </w:r>
            <w:r>
              <w:rPr>
                <w:rFonts w:ascii="仿宋_GB2312" w:hAnsi="宋体" w:eastAsia="仿宋_GB2312" w:cs="宋体"/>
                <w:color w:val="auto"/>
                <w:kern w:val="0"/>
                <w:sz w:val="18"/>
                <w:szCs w:val="18"/>
                <w:highlight w:val="none"/>
              </w:rPr>
              <w:t xml:space="preserve">31 </w:t>
            </w:r>
            <w:r>
              <w:rPr>
                <w:rFonts w:hint="eastAsia" w:ascii="仿宋_GB2312" w:hAnsi="宋体" w:eastAsia="仿宋_GB2312" w:cs="宋体"/>
                <w:color w:val="auto"/>
                <w:kern w:val="0"/>
                <w:sz w:val="18"/>
                <w:szCs w:val="18"/>
                <w:highlight w:val="none"/>
              </w:rPr>
              <w:t>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2</w:t>
            </w:r>
            <w:r>
              <w:rPr>
                <w:rFonts w:ascii="仿宋_GB2312" w:hAnsi="宋体" w:eastAsia="仿宋_GB2312" w:cs="宋体"/>
                <w:color w:val="auto"/>
                <w:kern w:val="0"/>
                <w:sz w:val="18"/>
                <w:szCs w:val="18"/>
                <w:highlight w:val="none"/>
              </w:rPr>
              <w:t xml:space="preserve">32 </w:t>
            </w:r>
            <w:r>
              <w:rPr>
                <w:rFonts w:hint="eastAsia" w:ascii="仿宋_GB2312" w:hAnsi="宋体" w:eastAsia="仿宋_GB2312" w:cs="宋体"/>
                <w:color w:val="auto"/>
                <w:kern w:val="0"/>
                <w:sz w:val="18"/>
                <w:szCs w:val="18"/>
                <w:highlight w:val="none"/>
              </w:rPr>
              <w:t>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233</w:t>
            </w: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3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94"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 xml:space="preserve">230 </w:t>
            </w:r>
            <w:r>
              <w:rPr>
                <w:rFonts w:hint="eastAsia" w:ascii="仿宋_GB2312" w:hAnsi="宋体" w:eastAsia="仿宋_GB2312" w:cs="宋体"/>
                <w:color w:val="auto"/>
                <w:kern w:val="0"/>
                <w:sz w:val="20"/>
                <w:szCs w:val="20"/>
                <w:highlight w:val="none"/>
              </w:rPr>
              <w:t>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收</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入</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总</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支</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出</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总</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表五：</w:t>
      </w:r>
    </w:p>
    <w:tbl>
      <w:tblPr>
        <w:tblStyle w:val="7"/>
        <w:tblW w:w="9087" w:type="dxa"/>
        <w:tblInd w:w="93" w:type="dxa"/>
        <w:tblLayout w:type="fixed"/>
        <w:tblCellMar>
          <w:top w:w="0" w:type="dxa"/>
          <w:left w:w="108" w:type="dxa"/>
          <w:bottom w:w="0" w:type="dxa"/>
          <w:right w:w="108" w:type="dxa"/>
        </w:tblCellMar>
      </w:tblPr>
      <w:tblGrid>
        <w:gridCol w:w="555"/>
        <w:gridCol w:w="453"/>
        <w:gridCol w:w="425"/>
        <w:gridCol w:w="2427"/>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s="宋体"/>
                <w:color w:val="auto"/>
                <w:kern w:val="0"/>
                <w:sz w:val="18"/>
                <w:szCs w:val="32"/>
                <w:highlight w:val="none"/>
              </w:rPr>
              <w:t>阜康市委全面深化改革领导小组办公室</w:t>
            </w:r>
            <w:r>
              <w:rPr>
                <w:rFonts w:ascii="仿宋_GB2312" w:hAnsi="宋体" w:eastAsia="仿宋_GB2312"/>
                <w:color w:val="auto"/>
                <w:kern w:val="0"/>
                <w:sz w:val="15"/>
                <w:highlight w:val="none"/>
              </w:rPr>
              <w:t xml:space="preserve"> </w:t>
            </w:r>
            <w:r>
              <w:rPr>
                <w:rFonts w:ascii="仿宋_GB2312" w:hAnsi="宋体" w:eastAsia="仿宋_GB2312"/>
                <w:color w:val="auto"/>
                <w:kern w:val="0"/>
                <w:sz w:val="44"/>
                <w:highlight w:val="none"/>
              </w:rPr>
              <w:t xml:space="preserve"> </w:t>
            </w:r>
          </w:p>
        </w:tc>
        <w:tc>
          <w:tcPr>
            <w:tcW w:w="660" w:type="dxa"/>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      </w:t>
            </w:r>
          </w:p>
        </w:tc>
        <w:tc>
          <w:tcPr>
            <w:tcW w:w="3327" w:type="dxa"/>
            <w:gridSpan w:val="2"/>
            <w:tcBorders>
              <w:top w:val="nil"/>
              <w:left w:val="nil"/>
              <w:bottom w:val="nil"/>
              <w:right w:val="nil"/>
            </w:tcBorders>
            <w:vAlign w:val="center"/>
          </w:tcPr>
          <w:p>
            <w:pPr>
              <w:widowControl/>
              <w:ind w:right="480" w:firstLine="720" w:firstLineChars="300"/>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一般公共预算支出</w:t>
            </w:r>
          </w:p>
        </w:tc>
      </w:tr>
      <w:tr>
        <w:tblPrEx>
          <w:tblLayout w:type="fixed"/>
          <w:tblCellMar>
            <w:top w:w="0" w:type="dxa"/>
            <w:left w:w="108" w:type="dxa"/>
            <w:bottom w:w="0" w:type="dxa"/>
            <w:right w:w="108" w:type="dxa"/>
          </w:tblCellMar>
        </w:tblPrEx>
        <w:trPr>
          <w:trHeight w:val="465" w:hRule="atLeast"/>
        </w:trPr>
        <w:tc>
          <w:tcPr>
            <w:tcW w:w="1433"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功能分类科目编码</w:t>
            </w:r>
          </w:p>
        </w:tc>
        <w:tc>
          <w:tcPr>
            <w:tcW w:w="2427"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项目支出</w:t>
            </w:r>
          </w:p>
        </w:tc>
      </w:tr>
      <w:tr>
        <w:tblPrEx>
          <w:tblLayout w:type="fixed"/>
          <w:tblCellMar>
            <w:top w:w="0" w:type="dxa"/>
            <w:left w:w="108" w:type="dxa"/>
            <w:bottom w:w="0" w:type="dxa"/>
            <w:right w:w="108" w:type="dxa"/>
          </w:tblCellMar>
        </w:tblPrEx>
        <w:trPr>
          <w:trHeight w:val="30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类</w:t>
            </w:r>
          </w:p>
        </w:tc>
        <w:tc>
          <w:tcPr>
            <w:tcW w:w="45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款</w:t>
            </w:r>
          </w:p>
        </w:tc>
        <w:tc>
          <w:tcPr>
            <w:tcW w:w="42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项</w:t>
            </w:r>
          </w:p>
        </w:tc>
        <w:tc>
          <w:tcPr>
            <w:tcW w:w="242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201</w:t>
            </w:r>
            <w:r>
              <w:rPr>
                <w:rFonts w:hint="eastAsia" w:ascii="仿宋_GB2312" w:eastAsia="仿宋_GB2312"/>
                <w:color w:val="auto"/>
                <w:sz w:val="20"/>
                <w:szCs w:val="20"/>
                <w:highlight w:val="none"/>
              </w:rPr>
              <w:t>　</w:t>
            </w:r>
          </w:p>
        </w:tc>
        <w:tc>
          <w:tcPr>
            <w:tcW w:w="45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03</w:t>
            </w:r>
            <w:r>
              <w:rPr>
                <w:rFonts w:hint="eastAsia" w:ascii="仿宋_GB2312" w:eastAsia="仿宋_GB2312"/>
                <w:color w:val="auto"/>
                <w:sz w:val="20"/>
                <w:szCs w:val="20"/>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427"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行政运行</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61.53</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61.53</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201</w:t>
            </w:r>
          </w:p>
        </w:tc>
        <w:tc>
          <w:tcPr>
            <w:tcW w:w="453"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03</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50</w:t>
            </w:r>
          </w:p>
        </w:tc>
        <w:tc>
          <w:tcPr>
            <w:tcW w:w="2427"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事业运行</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47.7</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47.7</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208</w:t>
            </w:r>
            <w:r>
              <w:rPr>
                <w:rFonts w:hint="eastAsia" w:ascii="仿宋_GB2312" w:eastAsia="仿宋_GB2312"/>
                <w:color w:val="auto"/>
                <w:sz w:val="20"/>
                <w:szCs w:val="20"/>
                <w:highlight w:val="none"/>
              </w:rPr>
              <w:t>　</w:t>
            </w:r>
          </w:p>
        </w:tc>
        <w:tc>
          <w:tcPr>
            <w:tcW w:w="453"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427"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归口管理单位离退休</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0.87</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0.87</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208</w:t>
            </w:r>
            <w:r>
              <w:rPr>
                <w:rFonts w:hint="eastAsia" w:ascii="仿宋_GB2312" w:eastAsia="仿宋_GB2312"/>
                <w:color w:val="auto"/>
                <w:sz w:val="16"/>
                <w:szCs w:val="16"/>
                <w:highlight w:val="none"/>
              </w:rPr>
              <w:t>　</w:t>
            </w:r>
          </w:p>
        </w:tc>
        <w:tc>
          <w:tcPr>
            <w:tcW w:w="45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05</w:t>
            </w:r>
            <w:r>
              <w:rPr>
                <w:rFonts w:hint="eastAsia" w:ascii="仿宋_GB2312" w:eastAsia="仿宋_GB2312"/>
                <w:color w:val="auto"/>
                <w:sz w:val="16"/>
                <w:szCs w:val="16"/>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05</w:t>
            </w:r>
            <w:r>
              <w:rPr>
                <w:rFonts w:hint="eastAsia" w:ascii="仿宋_GB2312" w:eastAsia="仿宋_GB2312"/>
                <w:color w:val="auto"/>
                <w:sz w:val="16"/>
                <w:szCs w:val="16"/>
                <w:highlight w:val="none"/>
              </w:rPr>
              <w:t>　</w:t>
            </w:r>
          </w:p>
        </w:tc>
        <w:tc>
          <w:tcPr>
            <w:tcW w:w="2427"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机关事业单位基本养老保险缴费支出</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18.26</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18.26</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45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01</w:t>
            </w:r>
            <w:r>
              <w:rPr>
                <w:rFonts w:hint="eastAsia" w:ascii="仿宋_GB2312" w:eastAsia="仿宋_GB2312"/>
                <w:color w:val="auto"/>
                <w:sz w:val="16"/>
                <w:szCs w:val="16"/>
                <w:highlight w:val="none"/>
              </w:rPr>
              <w:t>　</w:t>
            </w:r>
          </w:p>
        </w:tc>
        <w:tc>
          <w:tcPr>
            <w:tcW w:w="2427"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行政单位医疗</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7.47</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7.47</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auto"/>
                <w:sz w:val="16"/>
                <w:szCs w:val="16"/>
                <w:highlight w:val="none"/>
              </w:rPr>
            </w:pPr>
            <w:r>
              <w:rPr>
                <w:rFonts w:ascii="仿宋_GB2312" w:eastAsia="仿宋_GB2312"/>
                <w:color w:val="auto"/>
                <w:sz w:val="16"/>
                <w:szCs w:val="16"/>
                <w:highlight w:val="none"/>
              </w:rPr>
              <w:t>210</w:t>
            </w:r>
          </w:p>
        </w:tc>
        <w:tc>
          <w:tcPr>
            <w:tcW w:w="453" w:type="dxa"/>
            <w:tcBorders>
              <w:top w:val="nil"/>
              <w:left w:val="nil"/>
              <w:bottom w:val="single" w:color="auto" w:sz="4" w:space="0"/>
              <w:right w:val="single" w:color="auto" w:sz="4" w:space="0"/>
            </w:tcBorders>
            <w:vAlign w:val="center"/>
          </w:tcPr>
          <w:p>
            <w:pPr>
              <w:jc w:val="right"/>
              <w:rPr>
                <w:rFonts w:ascii="仿宋_GB2312" w:eastAsia="仿宋_GB2312"/>
                <w:color w:val="auto"/>
                <w:sz w:val="16"/>
                <w:szCs w:val="16"/>
                <w:highlight w:val="none"/>
              </w:rPr>
            </w:pPr>
            <w:r>
              <w:rPr>
                <w:rFonts w:ascii="仿宋_GB2312" w:eastAsia="仿宋_GB2312"/>
                <w:color w:val="auto"/>
                <w:sz w:val="16"/>
                <w:szCs w:val="16"/>
                <w:highlight w:val="none"/>
              </w:rPr>
              <w:t>11</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auto"/>
                <w:sz w:val="16"/>
                <w:szCs w:val="16"/>
                <w:highlight w:val="none"/>
              </w:rPr>
            </w:pPr>
            <w:r>
              <w:rPr>
                <w:rFonts w:ascii="仿宋_GB2312" w:eastAsia="仿宋_GB2312"/>
                <w:color w:val="auto"/>
                <w:sz w:val="16"/>
                <w:szCs w:val="16"/>
                <w:highlight w:val="none"/>
              </w:rPr>
              <w:t>02</w:t>
            </w:r>
          </w:p>
        </w:tc>
        <w:tc>
          <w:tcPr>
            <w:tcW w:w="2427"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事业单位医疗</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3.51</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3.51</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45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03</w:t>
            </w:r>
            <w:r>
              <w:rPr>
                <w:rFonts w:hint="eastAsia" w:ascii="仿宋_GB2312" w:eastAsia="仿宋_GB2312"/>
                <w:color w:val="auto"/>
                <w:sz w:val="16"/>
                <w:szCs w:val="16"/>
                <w:highlight w:val="none"/>
              </w:rPr>
              <w:t>　</w:t>
            </w:r>
          </w:p>
        </w:tc>
        <w:tc>
          <w:tcPr>
            <w:tcW w:w="2427"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公务员医疗补助</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4.88</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4.88</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221</w:t>
            </w:r>
            <w:r>
              <w:rPr>
                <w:rFonts w:hint="eastAsia" w:ascii="仿宋_GB2312" w:eastAsia="仿宋_GB2312"/>
                <w:color w:val="auto"/>
                <w:sz w:val="16"/>
                <w:szCs w:val="16"/>
                <w:highlight w:val="none"/>
              </w:rPr>
              <w:t>　</w:t>
            </w:r>
          </w:p>
        </w:tc>
        <w:tc>
          <w:tcPr>
            <w:tcW w:w="45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02</w:t>
            </w:r>
            <w:r>
              <w:rPr>
                <w:rFonts w:hint="eastAsia" w:ascii="仿宋_GB2312" w:eastAsia="仿宋_GB2312"/>
                <w:color w:val="auto"/>
                <w:sz w:val="16"/>
                <w:szCs w:val="16"/>
                <w:highlight w:val="none"/>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01</w:t>
            </w:r>
            <w:r>
              <w:rPr>
                <w:rFonts w:hint="eastAsia" w:ascii="仿宋_GB2312" w:eastAsia="仿宋_GB2312"/>
                <w:color w:val="auto"/>
                <w:sz w:val="16"/>
                <w:szCs w:val="16"/>
                <w:highlight w:val="none"/>
              </w:rPr>
              <w:t>　</w:t>
            </w:r>
          </w:p>
        </w:tc>
        <w:tc>
          <w:tcPr>
            <w:tcW w:w="2427"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住房公积金</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12.92</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r>
              <w:rPr>
                <w:rFonts w:ascii="仿宋_GB2312" w:hAnsi="宋体" w:eastAsia="仿宋_GB2312" w:cs="宋体"/>
                <w:color w:val="auto"/>
                <w:sz w:val="20"/>
                <w:szCs w:val="20"/>
                <w:highlight w:val="none"/>
              </w:rPr>
              <w:t>12.92</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42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53"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427" w:type="dxa"/>
            <w:tcBorders>
              <w:top w:val="nil"/>
              <w:left w:val="nil"/>
              <w:bottom w:val="single" w:color="auto" w:sz="4" w:space="0"/>
              <w:right w:val="single" w:color="auto" w:sz="4" w:space="0"/>
            </w:tcBorders>
            <w:vAlign w:val="center"/>
          </w:tcPr>
          <w:p>
            <w:pPr>
              <w:widowControl/>
              <w:jc w:val="center"/>
              <w:rPr>
                <w:rFonts w:ascii="宋体" w:cs="宋体"/>
                <w:color w:val="auto"/>
                <w:kern w:val="0"/>
                <w:sz w:val="20"/>
                <w:szCs w:val="20"/>
                <w:highlight w:val="none"/>
              </w:rPr>
            </w:pPr>
            <w:r>
              <w:rPr>
                <w:rFonts w:hint="eastAsia" w:ascii="宋体" w:hAnsi="宋体" w:cs="宋体"/>
                <w:color w:val="auto"/>
                <w:kern w:val="0"/>
                <w:sz w:val="20"/>
                <w:szCs w:val="20"/>
                <w:highlight w:val="none"/>
              </w:rPr>
              <w:t>合计</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r>
              <w:rPr>
                <w:rFonts w:hint="eastAsia" w:ascii="宋体" w:hAnsi="宋体" w:cs="宋体"/>
                <w:color w:val="auto"/>
                <w:kern w:val="0"/>
                <w:sz w:val="22"/>
                <w:szCs w:val="22"/>
                <w:highlight w:val="none"/>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157.14</w:t>
            </w:r>
            <w:r>
              <w:rPr>
                <w:rFonts w:hint="eastAsia" w:ascii="宋体" w:hAnsi="宋体" w:cs="宋体"/>
                <w:color w:val="auto"/>
                <w:kern w:val="0"/>
                <w:sz w:val="22"/>
                <w:szCs w:val="22"/>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s="宋体"/>
                <w:color w:val="auto"/>
                <w:kern w:val="0"/>
                <w:sz w:val="18"/>
                <w:szCs w:val="32"/>
                <w:highlight w:val="none"/>
              </w:rPr>
              <w:t>阜康市委全面深化改革领导小组办公室</w:t>
            </w:r>
            <w:r>
              <w:rPr>
                <w:rFonts w:ascii="仿宋_GB2312" w:hAnsi="宋体" w:eastAsia="仿宋_GB2312"/>
                <w:color w:val="auto"/>
                <w:kern w:val="0"/>
                <w:sz w:val="15"/>
                <w:highlight w:val="none"/>
              </w:rPr>
              <w:t xml:space="preserve"> </w:t>
            </w:r>
            <w:r>
              <w:rPr>
                <w:rFonts w:ascii="仿宋_GB2312" w:hAnsi="宋体" w:eastAsia="仿宋_GB2312"/>
                <w:color w:val="auto"/>
                <w:kern w:val="0"/>
                <w:sz w:val="44"/>
                <w:highlight w:val="none"/>
              </w:rPr>
              <w:t xml:space="preserve"> </w:t>
            </w:r>
          </w:p>
        </w:tc>
        <w:tc>
          <w:tcPr>
            <w:tcW w:w="995" w:type="dxa"/>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01</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基本工资</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87.2</w:t>
            </w:r>
            <w:r>
              <w:rPr>
                <w:rFonts w:hint="eastAsia" w:ascii="宋体" w:cs="宋体"/>
                <w:color w:val="auto"/>
                <w:kern w:val="0"/>
                <w:sz w:val="20"/>
                <w:szCs w:val="20"/>
                <w:highlight w:val="none"/>
              </w:rPr>
              <w:t>7</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87.2</w:t>
            </w:r>
            <w:r>
              <w:rPr>
                <w:rFonts w:hint="eastAsia" w:ascii="宋体" w:cs="宋体"/>
                <w:color w:val="auto"/>
                <w:kern w:val="0"/>
                <w:sz w:val="20"/>
                <w:szCs w:val="20"/>
                <w:highlight w:val="none"/>
              </w:rPr>
              <w:t>7</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02</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津贴补贴</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0.54</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0.54</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03</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奖金</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4.2</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4.2</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08</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18.26</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18.26</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rFonts w:hint="eastAsia"/>
                <w:color w:val="auto"/>
                <w:sz w:val="20"/>
                <w:szCs w:val="20"/>
                <w:highlight w:val="none"/>
              </w:rPr>
              <w:t>　</w:t>
            </w: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10</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hint="eastAsia" w:ascii="宋体" w:cs="宋体"/>
                <w:color w:val="auto"/>
                <w:kern w:val="0"/>
                <w:sz w:val="20"/>
                <w:szCs w:val="20"/>
                <w:highlight w:val="none"/>
              </w:rPr>
              <w:t>8.33</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hint="eastAsia" w:ascii="宋体" w:cs="宋体"/>
                <w:color w:val="auto"/>
                <w:kern w:val="0"/>
                <w:sz w:val="20"/>
                <w:szCs w:val="20"/>
                <w:highlight w:val="none"/>
              </w:rPr>
              <w:t>8.33</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rFonts w:hint="eastAsia"/>
                <w:color w:val="auto"/>
                <w:sz w:val="20"/>
                <w:szCs w:val="20"/>
                <w:highlight w:val="none"/>
              </w:rPr>
              <w:t>　</w:t>
            </w: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11</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公务员医疗补助缴费</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hint="eastAsia" w:ascii="宋体" w:cs="宋体"/>
                <w:color w:val="auto"/>
                <w:kern w:val="0"/>
                <w:sz w:val="20"/>
                <w:szCs w:val="20"/>
                <w:highlight w:val="none"/>
              </w:rPr>
              <w:t>3.65</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hint="eastAsia" w:ascii="宋体" w:cs="宋体"/>
                <w:color w:val="auto"/>
                <w:kern w:val="0"/>
                <w:sz w:val="20"/>
                <w:szCs w:val="20"/>
                <w:highlight w:val="none"/>
              </w:rPr>
              <w:t>3.65</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rFonts w:hint="eastAsia"/>
                <w:color w:val="auto"/>
                <w:sz w:val="20"/>
                <w:szCs w:val="20"/>
                <w:highlight w:val="none"/>
              </w:rPr>
              <w:t>　</w:t>
            </w: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12</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cs="Arial"/>
                <w:color w:val="auto"/>
                <w:sz w:val="18"/>
                <w:szCs w:val="18"/>
                <w:highlight w:val="none"/>
              </w:rPr>
              <w:t>其他社会保障缴费</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hint="eastAsia" w:ascii="宋体" w:cs="宋体"/>
                <w:color w:val="auto"/>
                <w:kern w:val="0"/>
                <w:sz w:val="20"/>
                <w:szCs w:val="20"/>
                <w:highlight w:val="none"/>
              </w:rPr>
              <w:t>0.73</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hint="eastAsia" w:ascii="宋体" w:cs="宋体"/>
                <w:color w:val="auto"/>
                <w:kern w:val="0"/>
                <w:sz w:val="20"/>
                <w:szCs w:val="20"/>
                <w:highlight w:val="none"/>
              </w:rPr>
              <w:t>0.73</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rFonts w:hint="eastAsia"/>
                <w:color w:val="auto"/>
                <w:sz w:val="20"/>
                <w:szCs w:val="20"/>
                <w:highlight w:val="none"/>
              </w:rPr>
              <w:t>　</w:t>
            </w: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99</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其他工资福利支出</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16.38</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ascii="宋体" w:cs="宋体"/>
                <w:color w:val="auto"/>
                <w:kern w:val="0"/>
                <w:sz w:val="20"/>
                <w:szCs w:val="20"/>
                <w:highlight w:val="none"/>
              </w:rPr>
              <w:t>16.38</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303</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02</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退休费</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hint="eastAsia" w:ascii="宋体" w:cs="宋体"/>
                <w:color w:val="auto"/>
                <w:kern w:val="0"/>
                <w:sz w:val="20"/>
                <w:szCs w:val="20"/>
                <w:highlight w:val="none"/>
              </w:rPr>
              <w:t>4.86</w:t>
            </w: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r>
              <w:rPr>
                <w:rFonts w:hint="eastAsia" w:ascii="宋体" w:cs="宋体"/>
                <w:color w:val="auto"/>
                <w:kern w:val="0"/>
                <w:sz w:val="20"/>
                <w:szCs w:val="20"/>
                <w:highlight w:val="none"/>
              </w:rPr>
              <w:t>4.86</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color w:val="auto"/>
                <w:sz w:val="20"/>
                <w:szCs w:val="20"/>
                <w:highlight w:val="none"/>
              </w:rPr>
            </w:pPr>
            <w:r>
              <w:rPr>
                <w:rFonts w:ascii="宋体" w:cs="宋体"/>
                <w:color w:val="auto"/>
                <w:kern w:val="0"/>
                <w:sz w:val="20"/>
                <w:szCs w:val="20"/>
                <w:highlight w:val="none"/>
              </w:rPr>
              <w:t>303</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sz w:val="20"/>
                <w:szCs w:val="20"/>
                <w:highlight w:val="none"/>
              </w:rPr>
            </w:pPr>
            <w:r>
              <w:rPr>
                <w:rFonts w:ascii="宋体" w:cs="宋体"/>
                <w:color w:val="auto"/>
                <w:kern w:val="0"/>
                <w:sz w:val="20"/>
                <w:szCs w:val="20"/>
                <w:highlight w:val="none"/>
              </w:rPr>
              <w:t>11</w:t>
            </w:r>
          </w:p>
        </w:tc>
        <w:tc>
          <w:tcPr>
            <w:tcW w:w="2891" w:type="dxa"/>
            <w:tcBorders>
              <w:top w:val="nil"/>
              <w:left w:val="nil"/>
              <w:bottom w:val="single" w:color="auto" w:sz="4" w:space="0"/>
              <w:right w:val="single" w:color="auto" w:sz="4" w:space="0"/>
            </w:tcBorders>
            <w:vAlign w:val="center"/>
          </w:tcPr>
          <w:p>
            <w:pPr>
              <w:widowControl/>
              <w:jc w:val="left"/>
              <w:rPr>
                <w:rFonts w:ascii="Arial" w:hAnsi="Arial" w:cs="Arial"/>
                <w:color w:val="auto"/>
                <w:sz w:val="18"/>
                <w:szCs w:val="18"/>
                <w:highlight w:val="none"/>
              </w:rPr>
            </w:pPr>
            <w:r>
              <w:rPr>
                <w:rFonts w:hint="eastAsia" w:cs="Arial"/>
                <w:color w:val="auto"/>
                <w:sz w:val="18"/>
                <w:szCs w:val="18"/>
                <w:highlight w:val="none"/>
              </w:rPr>
              <w:t>住房公积金</w:t>
            </w:r>
            <w:r>
              <w:rPr>
                <w:rFonts w:ascii="Arial" w:hAnsi="Arial" w:cs="Arial"/>
                <w:color w:val="auto"/>
                <w:sz w:val="18"/>
                <w:szCs w:val="18"/>
                <w:highlight w:val="none"/>
              </w:rPr>
              <w:t xml:space="preserve">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ascii="宋体" w:cs="宋体"/>
                <w:color w:val="auto"/>
                <w:kern w:val="0"/>
                <w:sz w:val="20"/>
                <w:szCs w:val="20"/>
                <w:highlight w:val="none"/>
              </w:rPr>
              <w:t>12.92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ascii="宋体" w:cs="宋体"/>
                <w:color w:val="auto"/>
                <w:kern w:val="0"/>
                <w:sz w:val="20"/>
                <w:szCs w:val="20"/>
                <w:highlight w:val="none"/>
              </w:rPr>
              <w:t>12.92</w:t>
            </w: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rFonts w:ascii="宋体" w:cs="宋体"/>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891" w:type="dxa"/>
            <w:tcBorders>
              <w:top w:val="nil"/>
              <w:left w:val="nil"/>
              <w:bottom w:val="single" w:color="auto" w:sz="4" w:space="0"/>
              <w:right w:val="single" w:color="auto" w:sz="4" w:space="0"/>
            </w:tcBorders>
            <w:vAlign w:val="center"/>
          </w:tcPr>
          <w:p>
            <w:pPr>
              <w:widowControl/>
              <w:jc w:val="center"/>
              <w:rPr>
                <w:rFonts w:ascii="宋体" w:cs="宋体"/>
                <w:color w:val="auto"/>
                <w:kern w:val="0"/>
                <w:sz w:val="20"/>
                <w:szCs w:val="20"/>
                <w:highlight w:val="none"/>
              </w:rPr>
            </w:pPr>
            <w:r>
              <w:rPr>
                <w:rFonts w:hint="eastAsia" w:ascii="宋体" w:hAnsi="宋体" w:cs="宋体"/>
                <w:b/>
                <w:bCs/>
                <w:color w:val="auto"/>
                <w:kern w:val="0"/>
                <w:sz w:val="20"/>
                <w:szCs w:val="20"/>
                <w:highlight w:val="none"/>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cs="宋体"/>
                <w:color w:val="auto"/>
                <w:kern w:val="0"/>
                <w:sz w:val="20"/>
                <w:szCs w:val="20"/>
                <w:highlight w:val="none"/>
              </w:rPr>
              <w:t>157.14</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cs="宋体"/>
                <w:color w:val="auto"/>
                <w:kern w:val="0"/>
                <w:sz w:val="20"/>
                <w:szCs w:val="20"/>
                <w:highlight w:val="none"/>
              </w:rPr>
              <w:t>157.14</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s="宋体"/>
                <w:color w:val="auto"/>
                <w:kern w:val="0"/>
                <w:sz w:val="16"/>
                <w:szCs w:val="32"/>
                <w:highlight w:val="none"/>
              </w:rPr>
              <w:t>阜康市委全面深化改革领导小组办公室</w:t>
            </w:r>
            <w:r>
              <w:rPr>
                <w:rFonts w:ascii="仿宋_GB2312" w:hAnsi="宋体" w:eastAsia="仿宋_GB2312"/>
                <w:color w:val="auto"/>
                <w:kern w:val="0"/>
                <w:sz w:val="13"/>
                <w:highlight w:val="none"/>
              </w:rPr>
              <w:t xml:space="preserve"> </w:t>
            </w:r>
            <w:r>
              <w:rPr>
                <w:rFonts w:ascii="仿宋_GB2312" w:hAnsi="宋体" w:eastAsia="仿宋_GB2312"/>
                <w:color w:val="auto"/>
                <w:kern w:val="0"/>
                <w:sz w:val="40"/>
                <w:highlight w:val="none"/>
              </w:rPr>
              <w:t xml:space="preserve"> </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科</w:t>
            </w:r>
            <w:r>
              <w:rPr>
                <w:rFonts w:ascii="仿宋_GB2312" w:hAnsi="宋体" w:eastAsia="仿宋_GB2312"/>
                <w:b/>
                <w:color w:val="auto"/>
                <w:kern w:val="0"/>
                <w:sz w:val="18"/>
                <w:szCs w:val="18"/>
                <w:highlight w:val="none"/>
              </w:rPr>
              <w:t xml:space="preserve"> </w:t>
            </w:r>
            <w:r>
              <w:rPr>
                <w:rFonts w:hint="eastAsia" w:ascii="仿宋_GB2312" w:hAnsi="宋体" w:eastAsia="仿宋_GB2312"/>
                <w:b/>
                <w:color w:val="auto"/>
                <w:kern w:val="0"/>
                <w:sz w:val="18"/>
                <w:szCs w:val="18"/>
                <w:highlight w:val="none"/>
              </w:rPr>
              <w:t>目</w:t>
            </w:r>
            <w:r>
              <w:rPr>
                <w:rFonts w:ascii="仿宋_GB2312" w:hAnsi="宋体" w:eastAsia="仿宋_GB2312"/>
                <w:b/>
                <w:color w:val="auto"/>
                <w:kern w:val="0"/>
                <w:sz w:val="18"/>
                <w:szCs w:val="18"/>
                <w:highlight w:val="none"/>
              </w:rPr>
              <w:t xml:space="preserve"> </w:t>
            </w:r>
            <w:r>
              <w:rPr>
                <w:rFonts w:hint="eastAsia" w:ascii="仿宋_GB2312" w:hAnsi="宋体" w:eastAsia="仿宋_GB2312"/>
                <w:b/>
                <w:color w:val="auto"/>
                <w:kern w:val="0"/>
                <w:sz w:val="18"/>
                <w:szCs w:val="18"/>
                <w:highlight w:val="none"/>
              </w:rPr>
              <w:t>编</w:t>
            </w:r>
            <w:r>
              <w:rPr>
                <w:rFonts w:ascii="仿宋_GB2312" w:hAnsi="宋体" w:eastAsia="仿宋_GB2312"/>
                <w:b/>
                <w:color w:val="auto"/>
                <w:kern w:val="0"/>
                <w:sz w:val="18"/>
                <w:szCs w:val="18"/>
                <w:highlight w:val="none"/>
              </w:rPr>
              <w:t xml:space="preserve"> </w:t>
            </w:r>
            <w:r>
              <w:rPr>
                <w:rFonts w:hint="eastAsia" w:ascii="仿宋_GB2312" w:hAnsi="宋体" w:eastAsia="仿宋_GB2312"/>
                <w:b/>
                <w:color w:val="auto"/>
                <w:kern w:val="0"/>
                <w:sz w:val="18"/>
                <w:szCs w:val="18"/>
                <w:highlight w:val="none"/>
              </w:rPr>
              <w:t>码</w:t>
            </w:r>
          </w:p>
        </w:tc>
        <w:tc>
          <w:tcPr>
            <w:tcW w:w="851"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科目</w:t>
            </w:r>
          </w:p>
        </w:tc>
        <w:tc>
          <w:tcPr>
            <w:tcW w:w="1456" w:type="dxa"/>
            <w:vMerge w:val="restart"/>
            <w:vAlign w:val="center"/>
          </w:tcPr>
          <w:p>
            <w:pPr>
              <w:jc w:val="center"/>
              <w:rPr>
                <w:rFonts w:ascii="Calibri" w:hAnsi="Calibri"/>
                <w:color w:val="auto"/>
                <w:sz w:val="24"/>
                <w:highlight w:val="none"/>
              </w:rPr>
            </w:pPr>
            <w:r>
              <w:rPr>
                <w:rFonts w:hint="eastAsia" w:ascii="仿宋_GB2312" w:hAnsi="宋体" w:eastAsia="仿宋_GB2312"/>
                <w:b/>
                <w:color w:val="auto"/>
                <w:kern w:val="0"/>
                <w:sz w:val="24"/>
                <w:highlight w:val="none"/>
              </w:rPr>
              <w:t>项目名称</w:t>
            </w:r>
          </w:p>
        </w:tc>
        <w:tc>
          <w:tcPr>
            <w:tcW w:w="750"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项目支出合计</w:t>
            </w:r>
          </w:p>
        </w:tc>
        <w:tc>
          <w:tcPr>
            <w:tcW w:w="569" w:type="dxa"/>
            <w:gridSpan w:val="2"/>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工资福利支出</w:t>
            </w:r>
          </w:p>
        </w:tc>
        <w:tc>
          <w:tcPr>
            <w:tcW w:w="536"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商品和服务支出</w:t>
            </w:r>
          </w:p>
        </w:tc>
        <w:tc>
          <w:tcPr>
            <w:tcW w:w="652"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对个人和家庭的补助</w:t>
            </w:r>
          </w:p>
        </w:tc>
        <w:tc>
          <w:tcPr>
            <w:tcW w:w="652"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债务利息及费用支出</w:t>
            </w:r>
          </w:p>
        </w:tc>
        <w:tc>
          <w:tcPr>
            <w:tcW w:w="578" w:type="dxa"/>
            <w:gridSpan w:val="2"/>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资本性支出（基本建设）</w:t>
            </w:r>
          </w:p>
        </w:tc>
        <w:tc>
          <w:tcPr>
            <w:tcW w:w="419"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资本性支出</w:t>
            </w:r>
          </w:p>
        </w:tc>
        <w:tc>
          <w:tcPr>
            <w:tcW w:w="578"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对企业补助（基本建设）</w:t>
            </w:r>
          </w:p>
        </w:tc>
        <w:tc>
          <w:tcPr>
            <w:tcW w:w="420"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对企业补助</w:t>
            </w:r>
          </w:p>
        </w:tc>
        <w:tc>
          <w:tcPr>
            <w:tcW w:w="420"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对社会保障基金补助</w:t>
            </w:r>
          </w:p>
        </w:tc>
        <w:tc>
          <w:tcPr>
            <w:tcW w:w="397" w:type="dxa"/>
            <w:gridSpan w:val="2"/>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类</w:t>
            </w:r>
          </w:p>
        </w:tc>
        <w:tc>
          <w:tcPr>
            <w:tcW w:w="397" w:type="dxa"/>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款</w:t>
            </w:r>
          </w:p>
        </w:tc>
        <w:tc>
          <w:tcPr>
            <w:tcW w:w="397" w:type="dxa"/>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项</w:t>
            </w:r>
          </w:p>
        </w:tc>
        <w:tc>
          <w:tcPr>
            <w:tcW w:w="851" w:type="dxa"/>
            <w:vMerge w:val="continue"/>
            <w:vAlign w:val="center"/>
          </w:tcPr>
          <w:p>
            <w:pPr>
              <w:widowControl/>
              <w:jc w:val="left"/>
              <w:outlineLvl w:val="1"/>
              <w:rPr>
                <w:rFonts w:ascii="仿宋_GB2312" w:hAnsi="宋体" w:eastAsia="仿宋_GB2312"/>
                <w:b/>
                <w:color w:val="auto"/>
                <w:kern w:val="0"/>
                <w:sz w:val="18"/>
                <w:szCs w:val="18"/>
                <w:highlight w:val="none"/>
              </w:rPr>
            </w:pPr>
          </w:p>
        </w:tc>
        <w:tc>
          <w:tcPr>
            <w:tcW w:w="1456" w:type="dxa"/>
            <w:vMerge w:val="continue"/>
          </w:tcPr>
          <w:p>
            <w:pPr>
              <w:widowControl/>
              <w:jc w:val="left"/>
              <w:outlineLvl w:val="1"/>
              <w:rPr>
                <w:rFonts w:ascii="仿宋_GB2312" w:hAnsi="宋体" w:eastAsia="仿宋_GB2312"/>
                <w:b/>
                <w:color w:val="auto"/>
                <w:kern w:val="0"/>
                <w:sz w:val="18"/>
                <w:szCs w:val="18"/>
                <w:highlight w:val="none"/>
              </w:rPr>
            </w:pPr>
          </w:p>
        </w:tc>
        <w:tc>
          <w:tcPr>
            <w:tcW w:w="750" w:type="dxa"/>
            <w:vMerge w:val="continue"/>
          </w:tcPr>
          <w:p>
            <w:pPr>
              <w:widowControl/>
              <w:jc w:val="left"/>
              <w:outlineLvl w:val="1"/>
              <w:rPr>
                <w:rFonts w:ascii="仿宋_GB2312" w:hAnsi="宋体" w:eastAsia="仿宋_GB2312"/>
                <w:b/>
                <w:color w:val="auto"/>
                <w:kern w:val="0"/>
                <w:sz w:val="18"/>
                <w:szCs w:val="18"/>
                <w:highlight w:val="none"/>
              </w:rPr>
            </w:pPr>
          </w:p>
        </w:tc>
        <w:tc>
          <w:tcPr>
            <w:tcW w:w="569" w:type="dxa"/>
            <w:gridSpan w:val="2"/>
            <w:vMerge w:val="continue"/>
          </w:tcPr>
          <w:p>
            <w:pPr>
              <w:widowControl/>
              <w:jc w:val="left"/>
              <w:outlineLvl w:val="1"/>
              <w:rPr>
                <w:rFonts w:ascii="仿宋_GB2312" w:hAnsi="宋体" w:eastAsia="仿宋_GB2312"/>
                <w:b/>
                <w:color w:val="auto"/>
                <w:kern w:val="0"/>
                <w:sz w:val="18"/>
                <w:szCs w:val="18"/>
                <w:highlight w:val="none"/>
              </w:rPr>
            </w:pPr>
          </w:p>
        </w:tc>
        <w:tc>
          <w:tcPr>
            <w:tcW w:w="536" w:type="dxa"/>
            <w:vMerge w:val="continue"/>
          </w:tcPr>
          <w:p>
            <w:pPr>
              <w:widowControl/>
              <w:jc w:val="left"/>
              <w:outlineLvl w:val="1"/>
              <w:rPr>
                <w:rFonts w:ascii="仿宋_GB2312" w:hAnsi="宋体" w:eastAsia="仿宋_GB2312"/>
                <w:b/>
                <w:color w:val="auto"/>
                <w:kern w:val="0"/>
                <w:sz w:val="18"/>
                <w:szCs w:val="18"/>
                <w:highlight w:val="none"/>
              </w:rPr>
            </w:pPr>
          </w:p>
        </w:tc>
        <w:tc>
          <w:tcPr>
            <w:tcW w:w="652" w:type="dxa"/>
            <w:vMerge w:val="continue"/>
          </w:tcPr>
          <w:p>
            <w:pPr>
              <w:widowControl/>
              <w:jc w:val="left"/>
              <w:outlineLvl w:val="1"/>
              <w:rPr>
                <w:rFonts w:ascii="仿宋_GB2312" w:hAnsi="宋体" w:eastAsia="仿宋_GB2312"/>
                <w:b/>
                <w:color w:val="auto"/>
                <w:kern w:val="0"/>
                <w:sz w:val="18"/>
                <w:szCs w:val="18"/>
                <w:highlight w:val="none"/>
              </w:rPr>
            </w:pPr>
          </w:p>
        </w:tc>
        <w:tc>
          <w:tcPr>
            <w:tcW w:w="652" w:type="dxa"/>
            <w:vMerge w:val="continue"/>
          </w:tcPr>
          <w:p>
            <w:pPr>
              <w:widowControl/>
              <w:jc w:val="left"/>
              <w:outlineLvl w:val="1"/>
              <w:rPr>
                <w:rFonts w:ascii="仿宋_GB2312" w:hAnsi="宋体" w:eastAsia="仿宋_GB2312"/>
                <w:b/>
                <w:color w:val="auto"/>
                <w:kern w:val="0"/>
                <w:sz w:val="18"/>
                <w:szCs w:val="18"/>
                <w:highlight w:val="none"/>
              </w:rPr>
            </w:pPr>
          </w:p>
        </w:tc>
        <w:tc>
          <w:tcPr>
            <w:tcW w:w="578" w:type="dxa"/>
            <w:gridSpan w:val="2"/>
            <w:vMerge w:val="continue"/>
          </w:tcPr>
          <w:p>
            <w:pPr>
              <w:widowControl/>
              <w:jc w:val="left"/>
              <w:outlineLvl w:val="1"/>
              <w:rPr>
                <w:rFonts w:ascii="仿宋_GB2312" w:hAnsi="宋体" w:eastAsia="仿宋_GB2312"/>
                <w:b/>
                <w:color w:val="auto"/>
                <w:kern w:val="0"/>
                <w:sz w:val="18"/>
                <w:szCs w:val="18"/>
                <w:highlight w:val="none"/>
              </w:rPr>
            </w:pPr>
          </w:p>
        </w:tc>
        <w:tc>
          <w:tcPr>
            <w:tcW w:w="419" w:type="dxa"/>
            <w:vMerge w:val="continue"/>
          </w:tcPr>
          <w:p>
            <w:pPr>
              <w:widowControl/>
              <w:jc w:val="left"/>
              <w:outlineLvl w:val="1"/>
              <w:rPr>
                <w:rFonts w:ascii="仿宋_GB2312" w:hAnsi="宋体" w:eastAsia="仿宋_GB2312"/>
                <w:b/>
                <w:color w:val="auto"/>
                <w:kern w:val="0"/>
                <w:sz w:val="18"/>
                <w:szCs w:val="18"/>
                <w:highlight w:val="none"/>
              </w:rPr>
            </w:pPr>
          </w:p>
        </w:tc>
        <w:tc>
          <w:tcPr>
            <w:tcW w:w="578" w:type="dxa"/>
            <w:vMerge w:val="continue"/>
          </w:tcPr>
          <w:p>
            <w:pPr>
              <w:widowControl/>
              <w:jc w:val="left"/>
              <w:outlineLvl w:val="1"/>
              <w:rPr>
                <w:rFonts w:ascii="仿宋_GB2312" w:hAnsi="宋体" w:eastAsia="仿宋_GB2312"/>
                <w:b/>
                <w:color w:val="auto"/>
                <w:kern w:val="0"/>
                <w:sz w:val="18"/>
                <w:szCs w:val="18"/>
                <w:highlight w:val="none"/>
              </w:rPr>
            </w:pPr>
          </w:p>
        </w:tc>
        <w:tc>
          <w:tcPr>
            <w:tcW w:w="420" w:type="dxa"/>
            <w:vMerge w:val="continue"/>
          </w:tcPr>
          <w:p>
            <w:pPr>
              <w:widowControl/>
              <w:jc w:val="left"/>
              <w:outlineLvl w:val="1"/>
              <w:rPr>
                <w:rFonts w:ascii="仿宋_GB2312" w:hAnsi="宋体" w:eastAsia="仿宋_GB2312"/>
                <w:b/>
                <w:color w:val="auto"/>
                <w:kern w:val="0"/>
                <w:sz w:val="18"/>
                <w:szCs w:val="18"/>
                <w:highlight w:val="none"/>
              </w:rPr>
            </w:pPr>
          </w:p>
        </w:tc>
        <w:tc>
          <w:tcPr>
            <w:tcW w:w="420" w:type="dxa"/>
            <w:vMerge w:val="continue"/>
          </w:tcPr>
          <w:p>
            <w:pPr>
              <w:widowControl/>
              <w:jc w:val="left"/>
              <w:outlineLvl w:val="1"/>
              <w:rPr>
                <w:rFonts w:ascii="仿宋_GB2312" w:hAnsi="宋体" w:eastAsia="仿宋_GB2312"/>
                <w:b/>
                <w:color w:val="auto"/>
                <w:kern w:val="0"/>
                <w:sz w:val="18"/>
                <w:szCs w:val="18"/>
                <w:highlight w:val="none"/>
              </w:rPr>
            </w:pPr>
          </w:p>
        </w:tc>
        <w:tc>
          <w:tcPr>
            <w:tcW w:w="397" w:type="dxa"/>
            <w:gridSpan w:val="2"/>
            <w:vMerge w:val="continue"/>
          </w:tcPr>
          <w:p>
            <w:pPr>
              <w:widowControl/>
              <w:jc w:val="left"/>
              <w:outlineLvl w:val="1"/>
              <w:rPr>
                <w:rFonts w:ascii="仿宋_GB2312" w:hAnsi="宋体" w:eastAsia="仿宋_GB2312"/>
                <w:b/>
                <w:color w:val="auto"/>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p>
        </w:tc>
        <w:tc>
          <w:tcPr>
            <w:tcW w:w="397" w:type="dxa"/>
          </w:tcPr>
          <w:p>
            <w:pPr>
              <w:widowControl/>
              <w:jc w:val="left"/>
              <w:outlineLvl w:val="1"/>
              <w:rPr>
                <w:rFonts w:ascii="仿宋_GB2312" w:hAnsi="宋体" w:eastAsia="仿宋_GB2312"/>
                <w:color w:val="auto"/>
                <w:kern w:val="0"/>
                <w:sz w:val="32"/>
                <w:szCs w:val="32"/>
                <w:highlight w:val="none"/>
              </w:rPr>
            </w:pPr>
          </w:p>
        </w:tc>
        <w:tc>
          <w:tcPr>
            <w:tcW w:w="397" w:type="dxa"/>
          </w:tcPr>
          <w:p>
            <w:pPr>
              <w:widowControl/>
              <w:jc w:val="left"/>
              <w:outlineLvl w:val="1"/>
              <w:rPr>
                <w:rFonts w:ascii="仿宋_GB2312" w:hAnsi="宋体" w:eastAsia="仿宋_GB2312"/>
                <w:color w:val="auto"/>
                <w:kern w:val="0"/>
                <w:sz w:val="32"/>
                <w:szCs w:val="32"/>
                <w:highlight w:val="none"/>
              </w:rPr>
            </w:pPr>
          </w:p>
        </w:tc>
        <w:tc>
          <w:tcPr>
            <w:tcW w:w="851" w:type="dxa"/>
          </w:tcPr>
          <w:p>
            <w:pPr>
              <w:widowControl/>
              <w:jc w:val="left"/>
              <w:outlineLvl w:val="1"/>
              <w:rPr>
                <w:rFonts w:ascii="仿宋_GB2312" w:hAnsi="宋体" w:eastAsia="仿宋_GB2312"/>
                <w:color w:val="auto"/>
                <w:kern w:val="0"/>
                <w:sz w:val="32"/>
                <w:szCs w:val="32"/>
                <w:highlight w:val="none"/>
              </w:rPr>
            </w:pPr>
          </w:p>
        </w:tc>
        <w:tc>
          <w:tcPr>
            <w:tcW w:w="1456" w:type="dxa"/>
          </w:tcPr>
          <w:p>
            <w:pPr>
              <w:widowControl/>
              <w:jc w:val="left"/>
              <w:outlineLvl w:val="1"/>
              <w:rPr>
                <w:rFonts w:ascii="仿宋_GB2312" w:hAnsi="宋体" w:eastAsia="仿宋_GB2312"/>
                <w:color w:val="auto"/>
                <w:kern w:val="0"/>
                <w:sz w:val="32"/>
                <w:szCs w:val="32"/>
                <w:highlight w:val="none"/>
              </w:rPr>
            </w:pPr>
          </w:p>
        </w:tc>
        <w:tc>
          <w:tcPr>
            <w:tcW w:w="750" w:type="dxa"/>
          </w:tcPr>
          <w:p>
            <w:pPr>
              <w:widowControl/>
              <w:jc w:val="left"/>
              <w:outlineLvl w:val="1"/>
              <w:rPr>
                <w:rFonts w:ascii="仿宋_GB2312" w:hAnsi="宋体" w:eastAsia="仿宋_GB2312"/>
                <w:color w:val="auto"/>
                <w:kern w:val="0"/>
                <w:sz w:val="32"/>
                <w:szCs w:val="32"/>
                <w:highlight w:val="none"/>
              </w:rPr>
            </w:pPr>
          </w:p>
        </w:tc>
        <w:tc>
          <w:tcPr>
            <w:tcW w:w="569" w:type="dxa"/>
            <w:gridSpan w:val="2"/>
          </w:tcPr>
          <w:p>
            <w:pPr>
              <w:widowControl/>
              <w:jc w:val="left"/>
              <w:outlineLvl w:val="1"/>
              <w:rPr>
                <w:rFonts w:ascii="仿宋_GB2312" w:hAnsi="宋体" w:eastAsia="仿宋_GB2312"/>
                <w:color w:val="auto"/>
                <w:kern w:val="0"/>
                <w:sz w:val="32"/>
                <w:szCs w:val="32"/>
                <w:highlight w:val="none"/>
              </w:rPr>
            </w:pPr>
          </w:p>
        </w:tc>
        <w:tc>
          <w:tcPr>
            <w:tcW w:w="536" w:type="dxa"/>
          </w:tcPr>
          <w:p>
            <w:pPr>
              <w:widowControl/>
              <w:jc w:val="left"/>
              <w:outlineLvl w:val="1"/>
              <w:rPr>
                <w:rFonts w:ascii="仿宋_GB2312" w:hAnsi="宋体" w:eastAsia="仿宋_GB2312"/>
                <w:color w:val="auto"/>
                <w:kern w:val="0"/>
                <w:sz w:val="32"/>
                <w:szCs w:val="32"/>
                <w:highlight w:val="none"/>
              </w:rPr>
            </w:pPr>
          </w:p>
        </w:tc>
        <w:tc>
          <w:tcPr>
            <w:tcW w:w="652" w:type="dxa"/>
          </w:tcPr>
          <w:p>
            <w:pPr>
              <w:widowControl/>
              <w:jc w:val="left"/>
              <w:outlineLvl w:val="1"/>
              <w:rPr>
                <w:rFonts w:ascii="仿宋_GB2312" w:hAnsi="宋体" w:eastAsia="仿宋_GB2312"/>
                <w:color w:val="auto"/>
                <w:kern w:val="0"/>
                <w:sz w:val="32"/>
                <w:szCs w:val="32"/>
                <w:highlight w:val="none"/>
              </w:rPr>
            </w:pPr>
          </w:p>
        </w:tc>
        <w:tc>
          <w:tcPr>
            <w:tcW w:w="652" w:type="dxa"/>
          </w:tcPr>
          <w:p>
            <w:pPr>
              <w:widowControl/>
              <w:jc w:val="left"/>
              <w:outlineLvl w:val="1"/>
              <w:rPr>
                <w:rFonts w:ascii="仿宋_GB2312" w:hAnsi="宋体" w:eastAsia="仿宋_GB2312"/>
                <w:color w:val="auto"/>
                <w:kern w:val="0"/>
                <w:sz w:val="32"/>
                <w:szCs w:val="32"/>
                <w:highlight w:val="none"/>
              </w:rPr>
            </w:pPr>
          </w:p>
        </w:tc>
        <w:tc>
          <w:tcPr>
            <w:tcW w:w="578" w:type="dxa"/>
            <w:gridSpan w:val="2"/>
          </w:tcPr>
          <w:p>
            <w:pPr>
              <w:widowControl/>
              <w:jc w:val="left"/>
              <w:outlineLvl w:val="1"/>
              <w:rPr>
                <w:rFonts w:ascii="仿宋_GB2312" w:hAnsi="宋体" w:eastAsia="仿宋_GB2312"/>
                <w:color w:val="auto"/>
                <w:kern w:val="0"/>
                <w:sz w:val="32"/>
                <w:szCs w:val="32"/>
                <w:highlight w:val="none"/>
              </w:rPr>
            </w:pPr>
          </w:p>
        </w:tc>
        <w:tc>
          <w:tcPr>
            <w:tcW w:w="419" w:type="dxa"/>
          </w:tcPr>
          <w:p>
            <w:pPr>
              <w:widowControl/>
              <w:jc w:val="left"/>
              <w:outlineLvl w:val="1"/>
              <w:rPr>
                <w:rFonts w:ascii="仿宋_GB2312" w:hAnsi="宋体" w:eastAsia="仿宋_GB2312"/>
                <w:color w:val="auto"/>
                <w:kern w:val="0"/>
                <w:sz w:val="32"/>
                <w:szCs w:val="32"/>
                <w:highlight w:val="none"/>
              </w:rPr>
            </w:pPr>
          </w:p>
        </w:tc>
        <w:tc>
          <w:tcPr>
            <w:tcW w:w="578" w:type="dxa"/>
          </w:tcPr>
          <w:p>
            <w:pPr>
              <w:widowControl/>
              <w:jc w:val="left"/>
              <w:outlineLvl w:val="1"/>
              <w:rPr>
                <w:rFonts w:ascii="仿宋_GB2312" w:hAnsi="宋体" w:eastAsia="仿宋_GB2312"/>
                <w:color w:val="auto"/>
                <w:kern w:val="0"/>
                <w:sz w:val="32"/>
                <w:szCs w:val="32"/>
                <w:highlight w:val="none"/>
              </w:rPr>
            </w:pPr>
          </w:p>
        </w:tc>
        <w:tc>
          <w:tcPr>
            <w:tcW w:w="420" w:type="dxa"/>
          </w:tcPr>
          <w:p>
            <w:pPr>
              <w:widowControl/>
              <w:jc w:val="left"/>
              <w:outlineLvl w:val="1"/>
              <w:rPr>
                <w:rFonts w:ascii="仿宋_GB2312" w:hAnsi="宋体" w:eastAsia="仿宋_GB2312"/>
                <w:color w:val="auto"/>
                <w:kern w:val="0"/>
                <w:sz w:val="32"/>
                <w:szCs w:val="32"/>
                <w:highlight w:val="none"/>
              </w:rPr>
            </w:pPr>
          </w:p>
        </w:tc>
        <w:tc>
          <w:tcPr>
            <w:tcW w:w="420" w:type="dxa"/>
          </w:tcPr>
          <w:p>
            <w:pPr>
              <w:widowControl/>
              <w:jc w:val="left"/>
              <w:outlineLvl w:val="1"/>
              <w:rPr>
                <w:rFonts w:ascii="仿宋_GB2312" w:hAnsi="宋体" w:eastAsia="仿宋_GB2312"/>
                <w:color w:val="auto"/>
                <w:kern w:val="0"/>
                <w:sz w:val="32"/>
                <w:szCs w:val="32"/>
                <w:highlight w:val="none"/>
              </w:rPr>
            </w:pPr>
          </w:p>
        </w:tc>
        <w:tc>
          <w:tcPr>
            <w:tcW w:w="397" w:type="dxa"/>
            <w:gridSpan w:val="2"/>
          </w:tcPr>
          <w:p>
            <w:pPr>
              <w:widowControl/>
              <w:jc w:val="left"/>
              <w:outlineLvl w:val="1"/>
              <w:rPr>
                <w:rFonts w:ascii="仿宋_GB2312" w:hAnsi="宋体" w:eastAsia="仿宋_GB2312"/>
                <w:color w:val="auto"/>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tcPr>
          <w:p>
            <w:pPr>
              <w:widowControl/>
              <w:jc w:val="left"/>
              <w:outlineLvl w:val="1"/>
              <w:rPr>
                <w:rFonts w:ascii="仿宋_GB2312" w:hAnsi="宋体" w:eastAsia="仿宋_GB2312"/>
                <w:color w:val="auto"/>
                <w:kern w:val="0"/>
                <w:sz w:val="32"/>
                <w:szCs w:val="32"/>
                <w:highlight w:val="none"/>
              </w:rPr>
            </w:pP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vAlign w:val="center"/>
          </w:tcPr>
          <w:p>
            <w:pPr>
              <w:widowControl/>
              <w:jc w:val="center"/>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Cs w:val="21"/>
                <w:highlight w:val="none"/>
              </w:rPr>
              <w:t>合计</w:t>
            </w:r>
          </w:p>
        </w:tc>
        <w:tc>
          <w:tcPr>
            <w:tcW w:w="750" w:type="dxa"/>
            <w:vAlign w:val="center"/>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569"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0</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0</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0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0</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0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0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0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0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0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0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备注：2019年未安排项目支出预算，因此没有使用项目支出预算拨款安排的支出，项目支出预算支出情况表为空表。</w:t>
      </w:r>
    </w:p>
    <w:p>
      <w:pPr>
        <w:widowControl/>
        <w:outlineLvl w:val="1"/>
        <w:rPr>
          <w:rFonts w:ascii="仿宋_GB2312" w:hAnsi="宋体" w:eastAsia="仿宋_GB2312"/>
          <w:b/>
          <w:color w:val="auto"/>
          <w:kern w:val="0"/>
          <w:sz w:val="28"/>
          <w:szCs w:val="32"/>
          <w:highlight w:val="none"/>
        </w:rPr>
      </w:pPr>
    </w:p>
    <w:p>
      <w:pPr>
        <w:widowControl/>
        <w:outlineLvl w:val="1"/>
        <w:rPr>
          <w:rFonts w:ascii="仿宋_GB2312" w:hAnsi="宋体" w:eastAsia="仿宋_GB2312"/>
          <w:b/>
          <w:color w:val="auto"/>
          <w:kern w:val="0"/>
          <w:sz w:val="28"/>
          <w:szCs w:val="32"/>
          <w:highlight w:val="none"/>
        </w:rPr>
      </w:pPr>
    </w:p>
    <w:p>
      <w:pPr>
        <w:widowControl/>
        <w:outlineLvl w:val="1"/>
        <w:rPr>
          <w:rFonts w:ascii="仿宋_GB2312" w:hAnsi="宋体" w:eastAsia="仿宋_GB2312"/>
          <w:b/>
          <w:color w:val="auto"/>
          <w:kern w:val="0"/>
          <w:sz w:val="28"/>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表八：</w:t>
      </w:r>
    </w:p>
    <w:p>
      <w:pPr>
        <w:widowControl/>
        <w:jc w:val="left"/>
        <w:outlineLvl w:val="1"/>
        <w:rPr>
          <w:rFonts w:ascii="仿宋_GB2312" w:hAnsi="宋体" w:eastAsia="仿宋_GB2312"/>
          <w:b/>
          <w:color w:val="auto"/>
          <w:kern w:val="0"/>
          <w:sz w:val="32"/>
          <w:szCs w:val="32"/>
          <w:highlight w:val="none"/>
        </w:rPr>
      </w:pP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一般公共预算“三公”经费支出情况表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编制单位：</w:t>
      </w:r>
      <w:r>
        <w:rPr>
          <w:rFonts w:hint="eastAsia" w:ascii="仿宋_GB2312" w:hAnsi="宋体" w:eastAsia="仿宋_GB2312" w:cs="宋体"/>
          <w:color w:val="auto"/>
          <w:kern w:val="0"/>
          <w:sz w:val="18"/>
          <w:szCs w:val="32"/>
          <w:highlight w:val="none"/>
        </w:rPr>
        <w:t>阜康市委全面深化改革领导小组办公室</w:t>
      </w:r>
      <w:r>
        <w:rPr>
          <w:rFonts w:ascii="仿宋_GB2312" w:hAnsi="宋体" w:eastAsia="仿宋_GB2312"/>
          <w:color w:val="auto"/>
          <w:kern w:val="0"/>
          <w:sz w:val="15"/>
          <w:highlight w:val="none"/>
        </w:rPr>
        <w:t xml:space="preserve"> </w:t>
      </w:r>
      <w:r>
        <w:rPr>
          <w:rFonts w:ascii="仿宋_GB2312" w:hAnsi="宋体" w:eastAsia="仿宋_GB2312"/>
          <w:color w:val="auto"/>
          <w:kern w:val="0"/>
          <w:sz w:val="44"/>
          <w:highlight w:val="none"/>
        </w:rPr>
        <w:t xml:space="preserve"> </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ascii="宋体" w:cs="宋体"/>
                <w:color w:val="auto"/>
                <w:kern w:val="0"/>
                <w:sz w:val="24"/>
                <w:highlight w:val="none"/>
              </w:rPr>
              <w:t>3.52</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cs="宋体"/>
                <w:color w:val="auto"/>
                <w:kern w:val="0"/>
                <w:sz w:val="24"/>
                <w:highlight w:val="none"/>
              </w:rPr>
              <w:t>2.52</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ascii="宋体" w:cs="宋体"/>
                <w:color w:val="auto"/>
                <w:kern w:val="0"/>
                <w:sz w:val="24"/>
                <w:highlight w:val="none"/>
              </w:rPr>
              <w:t>2.52</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r>
              <w:rPr>
                <w:rFonts w:ascii="宋体" w:hAnsi="宋体" w:cs="宋体"/>
                <w:color w:val="auto"/>
                <w:kern w:val="0"/>
                <w:sz w:val="24"/>
                <w:highlight w:val="none"/>
              </w:rPr>
              <w:t>1</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bl>
    <w:p>
      <w:pPr>
        <w:widowControl/>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表九：</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政府性基金预算支出情况表</w:t>
      </w:r>
    </w:p>
    <w:p>
      <w:pPr>
        <w:widowControl/>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编制单位：</w:t>
      </w:r>
      <w:r>
        <w:rPr>
          <w:rFonts w:hint="eastAsia" w:ascii="仿宋_GB2312" w:hAnsi="宋体" w:eastAsia="仿宋_GB2312" w:cs="宋体"/>
          <w:color w:val="auto"/>
          <w:kern w:val="0"/>
          <w:sz w:val="16"/>
          <w:szCs w:val="32"/>
          <w:highlight w:val="none"/>
        </w:rPr>
        <w:t>阜康市委全面深化改革领导小组办公室</w:t>
      </w:r>
      <w:r>
        <w:rPr>
          <w:rFonts w:ascii="仿宋_GB2312" w:hAnsi="宋体" w:eastAsia="仿宋_GB2312"/>
          <w:color w:val="auto"/>
          <w:kern w:val="0"/>
          <w:sz w:val="13"/>
          <w:highlight w:val="none"/>
        </w:rPr>
        <w:t xml:space="preserve"> </w:t>
      </w:r>
      <w:r>
        <w:rPr>
          <w:rFonts w:ascii="仿宋_GB2312" w:hAnsi="宋体" w:eastAsia="仿宋_GB2312"/>
          <w:color w:val="auto"/>
          <w:kern w:val="0"/>
          <w:sz w:val="144"/>
          <w:highlight w:val="none"/>
        </w:rPr>
        <w:t xml:space="preserve"> </w:t>
      </w:r>
      <w:r>
        <w:rPr>
          <w:rFonts w:ascii="仿宋_GB2312" w:hAnsi="宋体" w:eastAsia="仿宋_GB2312"/>
          <w:color w:val="auto"/>
          <w:kern w:val="0"/>
          <w:sz w:val="48"/>
          <w:highlight w:val="none"/>
        </w:rPr>
        <w:t xml:space="preserve">      </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w:t>
            </w:r>
            <w:r>
              <w:rPr>
                <w:rFonts w:ascii="仿宋_GB2312" w:hAnsi="宋体" w:eastAsia="仿宋_GB2312" w:cs="宋体"/>
                <w:b/>
                <w:bCs/>
                <w:color w:val="auto"/>
                <w:kern w:val="0"/>
                <w:sz w:val="24"/>
                <w:highlight w:val="none"/>
              </w:rPr>
              <w:t xml:space="preserve">  </w:t>
            </w:r>
            <w:r>
              <w:rPr>
                <w:rFonts w:hint="eastAsia" w:ascii="仿宋_GB2312" w:hAnsi="宋体" w:eastAsia="仿宋_GB2312" w:cs="宋体"/>
                <w:b/>
                <w:bCs/>
                <w:color w:val="auto"/>
                <w:kern w:val="0"/>
                <w:sz w:val="24"/>
                <w:highlight w:val="none"/>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18"/>
                <w:szCs w:val="18"/>
                <w:highlight w:val="none"/>
              </w:rPr>
            </w:pPr>
            <w:r>
              <w:rPr>
                <w:rFonts w:hint="eastAsia" w:ascii="仿宋_GB2312" w:hAnsi="宋体" w:eastAsia="仿宋_GB2312" w:cs="宋体"/>
                <w:b/>
                <w:bCs/>
                <w:color w:val="auto"/>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bl>
    <w:p>
      <w:pPr>
        <w:widowControl/>
        <w:spacing w:line="375" w:lineRule="atLeast"/>
        <w:jc w:val="left"/>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w:t>
      </w:r>
      <w:r>
        <w:rPr>
          <w:rFonts w:ascii="仿宋_GB2312" w:hAnsi="宋体" w:eastAsia="仿宋_GB2312"/>
          <w:b/>
          <w:color w:val="auto"/>
          <w:kern w:val="0"/>
          <w:sz w:val="28"/>
          <w:szCs w:val="32"/>
          <w:highlight w:val="none"/>
        </w:rPr>
        <w:t>2019</w:t>
      </w:r>
      <w:r>
        <w:rPr>
          <w:rFonts w:hint="eastAsia" w:ascii="仿宋_GB2312" w:hAnsi="宋体" w:eastAsia="仿宋_GB2312"/>
          <w:b/>
          <w:color w:val="auto"/>
          <w:kern w:val="0"/>
          <w:sz w:val="28"/>
          <w:szCs w:val="32"/>
          <w:highlight w:val="none"/>
        </w:rPr>
        <w:t>年未安排政府性基金预算，因此没有使用政府性基金预算拨款安排的支出，政府性基金预算支出情况表为空表。</w:t>
      </w:r>
    </w:p>
    <w:p>
      <w:pPr>
        <w:widowControl/>
        <w:jc w:val="left"/>
        <w:outlineLvl w:val="1"/>
        <w:rPr>
          <w:rFonts w:ascii="仿宋_GB2312" w:hAnsi="宋体" w:eastAsia="仿宋_GB2312"/>
          <w:color w:val="auto"/>
          <w:kern w:val="0"/>
          <w:sz w:val="32"/>
          <w:szCs w:val="32"/>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第三部分</w:t>
      </w:r>
      <w:r>
        <w:rPr>
          <w:rFonts w:ascii="黑体" w:hAnsi="黑体" w:eastAsia="黑体"/>
          <w:color w:val="auto"/>
          <w:kern w:val="0"/>
          <w:sz w:val="32"/>
          <w:szCs w:val="32"/>
          <w:highlight w:val="none"/>
        </w:rPr>
        <w:t xml:space="preserve">  2019</w:t>
      </w:r>
      <w:r>
        <w:rPr>
          <w:rFonts w:hint="eastAsia" w:ascii="黑体" w:hAnsi="黑体" w:eastAsia="黑体"/>
          <w:color w:val="auto"/>
          <w:kern w:val="0"/>
          <w:sz w:val="32"/>
          <w:szCs w:val="32"/>
          <w:highlight w:val="none"/>
        </w:rPr>
        <w:t>年部门预算情况说明</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黑体" w:eastAsia="黑体" w:cs="宋体"/>
          <w:bCs/>
          <w:color w:val="auto"/>
          <w:kern w:val="0"/>
          <w:sz w:val="32"/>
          <w:szCs w:val="32"/>
          <w:highlight w:val="none"/>
        </w:rPr>
        <w:t>一、</w:t>
      </w:r>
      <w:r>
        <w:rPr>
          <w:rFonts w:hint="eastAsia" w:ascii="黑体" w:hAnsi="宋体" w:eastAsia="黑体" w:cs="宋体"/>
          <w:color w:val="auto"/>
          <w:kern w:val="0"/>
          <w:sz w:val="32"/>
          <w:szCs w:val="32"/>
          <w:highlight w:val="none"/>
        </w:rPr>
        <w:t>关于阜康市改革办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年收支预算情况的总体说明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按照全口径预算的原则，阜康市改革办</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年所有收入和支出均纳入部门预算管理。收支总预算</w:t>
      </w:r>
      <w:r>
        <w:rPr>
          <w:rFonts w:ascii="仿宋_GB2312" w:hAnsi="宋体" w:eastAsia="仿宋_GB2312" w:cs="宋体"/>
          <w:color w:val="auto"/>
          <w:kern w:val="0"/>
          <w:sz w:val="32"/>
          <w:szCs w:val="32"/>
          <w:highlight w:val="none"/>
        </w:rPr>
        <w:t>157.14</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收入预算包括：一般公共预算157.14万元。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支出预算包括：一般公共服务支出109.23万元、社会保障和就业支出</w:t>
      </w:r>
      <w:r>
        <w:rPr>
          <w:rFonts w:ascii="仿宋_GB2312" w:hAnsi="宋体" w:eastAsia="仿宋_GB2312" w:cs="宋体"/>
          <w:color w:val="auto"/>
          <w:kern w:val="0"/>
          <w:sz w:val="32"/>
          <w:szCs w:val="32"/>
          <w:highlight w:val="none"/>
        </w:rPr>
        <w:t>19.13</w:t>
      </w:r>
      <w:r>
        <w:rPr>
          <w:rFonts w:hint="eastAsia" w:ascii="仿宋_GB2312" w:hAnsi="宋体" w:eastAsia="仿宋_GB2312" w:cs="宋体"/>
          <w:color w:val="auto"/>
          <w:kern w:val="0"/>
          <w:sz w:val="32"/>
          <w:szCs w:val="32"/>
          <w:highlight w:val="none"/>
        </w:rPr>
        <w:t>万元、医疗卫生与计划生育支出</w:t>
      </w:r>
      <w:r>
        <w:rPr>
          <w:rFonts w:ascii="仿宋_GB2312" w:hAnsi="宋体" w:eastAsia="仿宋_GB2312" w:cs="宋体"/>
          <w:color w:val="auto"/>
          <w:kern w:val="0"/>
          <w:sz w:val="32"/>
          <w:szCs w:val="32"/>
          <w:highlight w:val="none"/>
        </w:rPr>
        <w:t>15.86</w:t>
      </w:r>
      <w:r>
        <w:rPr>
          <w:rFonts w:hint="eastAsia" w:ascii="仿宋_GB2312" w:hAnsi="宋体" w:eastAsia="仿宋_GB2312" w:cs="宋体"/>
          <w:color w:val="auto"/>
          <w:kern w:val="0"/>
          <w:sz w:val="32"/>
          <w:szCs w:val="32"/>
          <w:highlight w:val="none"/>
        </w:rPr>
        <w:t>万元、住房保障支出费支出12.92万元等。</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二、关于阜康市改革办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年收入预算情况说明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阜康市改革办收入预算</w:t>
      </w:r>
      <w:r>
        <w:rPr>
          <w:rFonts w:ascii="仿宋_GB2312" w:hAnsi="宋体" w:eastAsia="仿宋_GB2312" w:cs="宋体"/>
          <w:color w:val="auto"/>
          <w:kern w:val="0"/>
          <w:sz w:val="32"/>
          <w:szCs w:val="32"/>
          <w:highlight w:val="none"/>
        </w:rPr>
        <w:t>157.14</w:t>
      </w:r>
      <w:r>
        <w:rPr>
          <w:rFonts w:hint="eastAsia" w:ascii="仿宋_GB2312" w:hAnsi="宋体" w:eastAsia="仿宋_GB2312" w:cs="宋体"/>
          <w:color w:val="auto"/>
          <w:kern w:val="0"/>
          <w:sz w:val="32"/>
          <w:szCs w:val="32"/>
          <w:highlight w:val="none"/>
        </w:rPr>
        <w:t>万元，其中：</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一般公共预算</w:t>
      </w:r>
      <w:r>
        <w:rPr>
          <w:rFonts w:ascii="仿宋_GB2312" w:hAnsi="宋体" w:eastAsia="仿宋_GB2312" w:cs="宋体"/>
          <w:color w:val="auto"/>
          <w:kern w:val="0"/>
          <w:sz w:val="32"/>
          <w:szCs w:val="32"/>
          <w:highlight w:val="none"/>
        </w:rPr>
        <w:t>157.14</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100 %</w:t>
      </w:r>
      <w:r>
        <w:rPr>
          <w:rFonts w:hint="eastAsia" w:ascii="仿宋_GB2312" w:hAnsi="宋体" w:eastAsia="仿宋_GB2312" w:cs="宋体"/>
          <w:color w:val="auto"/>
          <w:kern w:val="0"/>
          <w:sz w:val="32"/>
          <w:szCs w:val="32"/>
          <w:highlight w:val="none"/>
        </w:rPr>
        <w:t>，比上年增加</w:t>
      </w:r>
      <w:r>
        <w:rPr>
          <w:rFonts w:ascii="仿宋_GB2312" w:hAnsi="宋体" w:eastAsia="仿宋_GB2312" w:cs="宋体"/>
          <w:color w:val="auto"/>
          <w:kern w:val="0"/>
          <w:sz w:val="32"/>
          <w:szCs w:val="32"/>
          <w:highlight w:val="none"/>
        </w:rPr>
        <w:t>14.29</w:t>
      </w:r>
      <w:r>
        <w:rPr>
          <w:rFonts w:hint="eastAsia" w:ascii="仿宋_GB2312" w:hAnsi="宋体" w:eastAsia="仿宋_GB2312" w:cs="宋体"/>
          <w:color w:val="auto"/>
          <w:kern w:val="0"/>
          <w:sz w:val="32"/>
          <w:szCs w:val="32"/>
          <w:highlight w:val="none"/>
        </w:rPr>
        <w:t>万元，主要原因是工资变动；</w:t>
      </w:r>
      <w:r>
        <w:rPr>
          <w:rFonts w:ascii="仿宋_GB2312" w:hAnsi="宋体" w:eastAsia="仿宋_GB2312" w:cs="宋体"/>
          <w:color w:val="auto"/>
          <w:kern w:val="0"/>
          <w:sz w:val="32"/>
          <w:szCs w:val="32"/>
          <w:highlight w:val="none"/>
        </w:rPr>
        <w:t xml:space="preserve">    </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政府性基金预算未安排；</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三、关于阜康市改革办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年支出预算情况说明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阜康市改革办2019年支出预算</w:t>
      </w:r>
      <w:r>
        <w:rPr>
          <w:rFonts w:ascii="仿宋_GB2312" w:hAnsi="宋体" w:eastAsia="仿宋_GB2312" w:cs="宋体"/>
          <w:color w:val="auto"/>
          <w:kern w:val="0"/>
          <w:sz w:val="32"/>
          <w:szCs w:val="32"/>
          <w:highlight w:val="none"/>
        </w:rPr>
        <w:t>157.14万</w:t>
      </w:r>
      <w:r>
        <w:rPr>
          <w:rFonts w:hint="eastAsia" w:ascii="仿宋_GB2312" w:hAnsi="宋体" w:eastAsia="仿宋_GB2312" w:cs="宋体"/>
          <w:color w:val="auto"/>
          <w:kern w:val="0"/>
          <w:sz w:val="32"/>
          <w:szCs w:val="32"/>
          <w:highlight w:val="none"/>
        </w:rPr>
        <w:t>元，其中：</w:t>
      </w:r>
    </w:p>
    <w:p>
      <w:pPr>
        <w:widowControl/>
        <w:spacing w:line="580" w:lineRule="exact"/>
        <w:ind w:firstLine="640"/>
        <w:jc w:val="left"/>
        <w:rPr>
          <w:rFonts w:ascii="仿宋_GB2312" w:hAnsi="宋体" w:eastAsia="仿宋_GB2312" w:cs="宋体"/>
          <w:b/>
          <w:color w:val="auto"/>
          <w:kern w:val="0"/>
          <w:sz w:val="32"/>
          <w:szCs w:val="32"/>
          <w:highlight w:val="none"/>
        </w:rPr>
      </w:pPr>
      <w:r>
        <w:rPr>
          <w:rFonts w:hint="eastAsia" w:ascii="仿宋_GB2312" w:hAnsi="宋体" w:eastAsia="仿宋_GB2312" w:cs="宋体"/>
          <w:color w:val="auto"/>
          <w:kern w:val="0"/>
          <w:sz w:val="32"/>
          <w:szCs w:val="32"/>
          <w:highlight w:val="none"/>
        </w:rPr>
        <w:t>基本支出</w:t>
      </w:r>
      <w:r>
        <w:rPr>
          <w:rFonts w:ascii="仿宋_GB2312" w:hAnsi="宋体" w:eastAsia="仿宋_GB2312" w:cs="宋体"/>
          <w:color w:val="auto"/>
          <w:kern w:val="0"/>
          <w:sz w:val="32"/>
          <w:szCs w:val="32"/>
          <w:highlight w:val="none"/>
        </w:rPr>
        <w:t>157.14</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 xml:space="preserve"> 100 %</w:t>
      </w:r>
      <w:r>
        <w:rPr>
          <w:rFonts w:hint="eastAsia" w:ascii="仿宋_GB2312" w:hAnsi="宋体" w:eastAsia="仿宋_GB2312" w:cs="宋体"/>
          <w:color w:val="auto"/>
          <w:kern w:val="0"/>
          <w:sz w:val="32"/>
          <w:szCs w:val="32"/>
          <w:highlight w:val="none"/>
        </w:rPr>
        <w:t>，比上年减少14.29万元，主要原因是公用支出预算减少</w:t>
      </w: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项目支出</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万元,占0%，比上年增加0万元，主要原因是预算未安排。</w:t>
      </w:r>
    </w:p>
    <w:p>
      <w:pPr>
        <w:widowControl/>
        <w:spacing w:line="580" w:lineRule="exact"/>
        <w:ind w:firstLine="640"/>
        <w:jc w:val="left"/>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四、关于</w:t>
      </w:r>
      <w:r>
        <w:rPr>
          <w:rFonts w:hint="eastAsia" w:ascii="黑体" w:hAnsi="宋体" w:eastAsia="黑体" w:cs="宋体"/>
          <w:color w:val="auto"/>
          <w:kern w:val="0"/>
          <w:sz w:val="32"/>
          <w:szCs w:val="32"/>
          <w:highlight w:val="none"/>
        </w:rPr>
        <w:t>阜康市改革办</w:t>
      </w:r>
      <w:r>
        <w:rPr>
          <w:rFonts w:ascii="黑体" w:hAnsi="宋体" w:eastAsia="黑体" w:cs="宋体"/>
          <w:color w:val="auto"/>
          <w:kern w:val="0"/>
          <w:sz w:val="32"/>
          <w:szCs w:val="32"/>
          <w:highlight w:val="none"/>
        </w:rPr>
        <w:t>2019</w:t>
      </w:r>
      <w:r>
        <w:rPr>
          <w:rFonts w:hint="eastAsia" w:ascii="黑体" w:hAnsi="黑体" w:eastAsia="黑体" w:cs="宋体"/>
          <w:bCs/>
          <w:color w:val="auto"/>
          <w:kern w:val="0"/>
          <w:sz w:val="32"/>
          <w:szCs w:val="32"/>
          <w:highlight w:val="none"/>
        </w:rPr>
        <w:t>年财政拨款收支预算情况的总体说明</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年财政拨款收支总预算</w:t>
      </w:r>
      <w:r>
        <w:rPr>
          <w:rFonts w:ascii="仿宋_GB2312" w:hAnsi="宋体" w:eastAsia="仿宋_GB2312" w:cs="宋体"/>
          <w:color w:val="auto"/>
          <w:kern w:val="0"/>
          <w:sz w:val="32"/>
          <w:szCs w:val="32"/>
          <w:highlight w:val="none"/>
        </w:rPr>
        <w:t xml:space="preserve">157.14 </w:t>
      </w:r>
      <w:r>
        <w:rPr>
          <w:rFonts w:hint="eastAsia" w:ascii="仿宋_GB2312" w:hAnsi="宋体" w:eastAsia="仿宋_GB2312" w:cs="宋体"/>
          <w:color w:val="auto"/>
          <w:kern w:val="0"/>
          <w:sz w:val="32"/>
          <w:szCs w:val="32"/>
          <w:highlight w:val="none"/>
        </w:rPr>
        <w:t>万元。</w:t>
      </w:r>
    </w:p>
    <w:p>
      <w:pPr>
        <w:spacing w:line="580" w:lineRule="exact"/>
        <w:ind w:firstLine="640"/>
        <w:rPr>
          <w:rFonts w:ascii="仿宋_GB2312" w:hAnsi="宋体" w:eastAsia="仿宋_GB2312" w:cs="宋体"/>
          <w:b/>
          <w:color w:val="auto"/>
          <w:kern w:val="0"/>
          <w:sz w:val="32"/>
          <w:szCs w:val="32"/>
          <w:highlight w:val="none"/>
        </w:rPr>
      </w:pPr>
      <w:r>
        <w:rPr>
          <w:rFonts w:hint="eastAsia" w:ascii="仿宋_GB2312" w:hAnsi="宋体" w:eastAsia="仿宋_GB2312" w:cs="宋体"/>
          <w:color w:val="auto"/>
          <w:kern w:val="0"/>
          <w:sz w:val="32"/>
          <w:szCs w:val="32"/>
          <w:highlight w:val="none"/>
        </w:rPr>
        <w:t>收入全部为一般公共预算拨款，无政府性基金预算拨款。</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支出预算包括：一般公共服务支出</w:t>
      </w:r>
      <w:r>
        <w:rPr>
          <w:rFonts w:ascii="仿宋_GB2312" w:hAnsi="宋体" w:eastAsia="仿宋_GB2312" w:cs="宋体"/>
          <w:color w:val="auto"/>
          <w:kern w:val="0"/>
          <w:sz w:val="32"/>
          <w:szCs w:val="32"/>
          <w:highlight w:val="none"/>
        </w:rPr>
        <w:t>109.23</w:t>
      </w:r>
      <w:r>
        <w:rPr>
          <w:rFonts w:hint="eastAsia" w:ascii="仿宋_GB2312" w:hAnsi="宋体" w:eastAsia="仿宋_GB2312" w:cs="宋体"/>
          <w:color w:val="auto"/>
          <w:kern w:val="0"/>
          <w:sz w:val="32"/>
          <w:szCs w:val="32"/>
          <w:highlight w:val="none"/>
        </w:rPr>
        <w:t>万元，主要用于工资及福利支出、商品及服务支出以及对个人及家庭的补助；</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社会保障和就业支出</w:t>
      </w:r>
      <w:r>
        <w:rPr>
          <w:rFonts w:ascii="仿宋_GB2312" w:hAnsi="宋体" w:eastAsia="仿宋_GB2312" w:cs="宋体"/>
          <w:color w:val="auto"/>
          <w:kern w:val="0"/>
          <w:sz w:val="32"/>
          <w:szCs w:val="32"/>
          <w:highlight w:val="none"/>
        </w:rPr>
        <w:t>19.13</w:t>
      </w:r>
      <w:r>
        <w:rPr>
          <w:rFonts w:hint="eastAsia" w:ascii="仿宋_GB2312" w:hAnsi="宋体" w:eastAsia="仿宋_GB2312" w:cs="宋体"/>
          <w:color w:val="auto"/>
          <w:kern w:val="0"/>
          <w:sz w:val="32"/>
          <w:szCs w:val="32"/>
          <w:highlight w:val="none"/>
        </w:rPr>
        <w:t>万元，主要用于退休人员冬季取暖费及个人社保缴费；</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医疗卫生与计划生育支出</w:t>
      </w:r>
      <w:r>
        <w:rPr>
          <w:rFonts w:ascii="仿宋_GB2312" w:hAnsi="宋体" w:eastAsia="仿宋_GB2312" w:cs="宋体"/>
          <w:color w:val="auto"/>
          <w:kern w:val="0"/>
          <w:sz w:val="32"/>
          <w:szCs w:val="32"/>
          <w:highlight w:val="none"/>
        </w:rPr>
        <w:t>15.86</w:t>
      </w:r>
      <w:r>
        <w:rPr>
          <w:rFonts w:hint="eastAsia" w:ascii="仿宋_GB2312" w:hAnsi="宋体" w:eastAsia="仿宋_GB2312" w:cs="宋体"/>
          <w:color w:val="auto"/>
          <w:kern w:val="0"/>
          <w:sz w:val="32"/>
          <w:szCs w:val="32"/>
          <w:highlight w:val="none"/>
        </w:rPr>
        <w:t>万元，主要用于个人医疗补助；</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住房公积金</w:t>
      </w:r>
      <w:r>
        <w:rPr>
          <w:rFonts w:ascii="仿宋_GB2312" w:hAnsi="宋体" w:eastAsia="仿宋_GB2312" w:cs="宋体"/>
          <w:color w:val="auto"/>
          <w:kern w:val="0"/>
          <w:sz w:val="32"/>
          <w:szCs w:val="32"/>
          <w:highlight w:val="none"/>
        </w:rPr>
        <w:t>12.92</w:t>
      </w:r>
      <w:r>
        <w:rPr>
          <w:rFonts w:hint="eastAsia" w:ascii="仿宋_GB2312" w:hAnsi="宋体" w:eastAsia="仿宋_GB2312" w:cs="宋体"/>
          <w:color w:val="auto"/>
          <w:kern w:val="0"/>
          <w:sz w:val="32"/>
          <w:szCs w:val="32"/>
          <w:highlight w:val="none"/>
        </w:rPr>
        <w:t>万元，主要用于住房公积金的单位承担部份。</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五、关于阜康市改革办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年一般公共预算当年拨款情况说明</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（一）一般公用预算当年拨款规模变化情况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阜康市改革办</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年一般公共预算拨款基本支出</w:t>
      </w:r>
      <w:r>
        <w:rPr>
          <w:rFonts w:ascii="仿宋_GB2312" w:hAnsi="宋体" w:eastAsia="仿宋_GB2312" w:cs="宋体"/>
          <w:color w:val="auto"/>
          <w:kern w:val="0"/>
          <w:sz w:val="32"/>
          <w:szCs w:val="32"/>
          <w:highlight w:val="none"/>
        </w:rPr>
        <w:t>157.14</w:t>
      </w:r>
      <w:r>
        <w:rPr>
          <w:rFonts w:hint="eastAsia" w:ascii="仿宋_GB2312" w:hAnsi="宋体" w:eastAsia="仿宋_GB2312" w:cs="宋体"/>
          <w:color w:val="auto"/>
          <w:kern w:val="0"/>
          <w:sz w:val="32"/>
          <w:szCs w:val="32"/>
          <w:highlight w:val="none"/>
        </w:rPr>
        <w:t>万元，比上年执行数减少14.29万元，</w:t>
      </w:r>
      <w:r>
        <w:rPr>
          <w:rFonts w:hint="eastAsia" w:ascii="仿宋_GB2312" w:hAnsi="宋体" w:eastAsia="仿宋_GB2312" w:cs="宋体"/>
          <w:color w:val="auto"/>
          <w:kern w:val="0"/>
          <w:sz w:val="32"/>
          <w:szCs w:val="32"/>
          <w:highlight w:val="none"/>
        </w:rPr>
        <w:t>下降</w:t>
      </w:r>
      <w:r>
        <w:rPr>
          <w:rFonts w:hint="eastAsia" w:ascii="仿宋_GB2312" w:hAnsi="宋体" w:eastAsia="仿宋_GB2312" w:cs="宋体"/>
          <w:color w:val="auto"/>
          <w:kern w:val="0"/>
          <w:sz w:val="32"/>
          <w:szCs w:val="32"/>
          <w:highlight w:val="none"/>
          <w:lang w:val="en-US" w:eastAsia="zh-CN"/>
        </w:rPr>
        <w:t>8.69</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。主要原因是：公用支出预算减少。</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（二）一般公共预算当年拨款结构情况</w:t>
      </w:r>
    </w:p>
    <w:p>
      <w:pPr>
        <w:spacing w:line="580" w:lineRule="exact"/>
        <w:ind w:firstLine="640"/>
        <w:rPr>
          <w:rFonts w:ascii="仿宋_GB2312" w:hAnsi="宋体" w:eastAsia="仿宋_GB2312" w:cs="宋体"/>
          <w:color w:val="auto"/>
          <w:kern w:val="0"/>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一般公共服务（类）</w:t>
      </w:r>
      <w:r>
        <w:rPr>
          <w:rFonts w:ascii="仿宋_GB2312" w:hAnsi="宋体" w:eastAsia="仿宋_GB2312" w:cs="宋体"/>
          <w:color w:val="auto"/>
          <w:kern w:val="0"/>
          <w:sz w:val="32"/>
          <w:szCs w:val="32"/>
          <w:highlight w:val="none"/>
        </w:rPr>
        <w:t xml:space="preserve">109.23 </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69.51 %</w:t>
      </w:r>
      <w:r>
        <w:rPr>
          <w:rFonts w:hint="eastAsia" w:ascii="仿宋_GB2312" w:hAnsi="宋体" w:eastAsia="仿宋_GB2312" w:cs="宋体"/>
          <w:color w:val="auto"/>
          <w:kern w:val="0"/>
          <w:sz w:val="32"/>
          <w:szCs w:val="32"/>
          <w:highlight w:val="none"/>
        </w:rPr>
        <w:t>。</w:t>
      </w:r>
    </w:p>
    <w:p>
      <w:pPr>
        <w:spacing w:line="580" w:lineRule="exact"/>
        <w:ind w:firstLine="640"/>
        <w:rPr>
          <w:rFonts w:ascii="仿宋_GB2312" w:eastAsia="仿宋_GB2312"/>
          <w:color w:val="auto"/>
          <w:sz w:val="32"/>
          <w:szCs w:val="32"/>
          <w:highlight w:val="none"/>
        </w:rPr>
      </w:pPr>
      <w:r>
        <w:rPr>
          <w:rFonts w:ascii="仿宋_GB2312" w:hAnsi="宋体" w:eastAsia="仿宋_GB2312" w:cs="宋体"/>
          <w:color w:val="auto"/>
          <w:kern w:val="0"/>
          <w:sz w:val="32"/>
          <w:szCs w:val="32"/>
          <w:highlight w:val="none"/>
        </w:rPr>
        <w:t>2</w:t>
      </w:r>
      <w:r>
        <w:rPr>
          <w:rFonts w:ascii="仿宋_GB2312" w:eastAsia="仿宋_GB2312"/>
          <w:color w:val="auto"/>
          <w:sz w:val="32"/>
          <w:szCs w:val="32"/>
          <w:highlight w:val="none"/>
        </w:rPr>
        <w:t xml:space="preserve">. </w:t>
      </w:r>
      <w:r>
        <w:rPr>
          <w:rFonts w:hint="eastAsia" w:ascii="仿宋_GB2312" w:eastAsia="仿宋_GB2312"/>
          <w:color w:val="auto"/>
          <w:sz w:val="32"/>
          <w:szCs w:val="32"/>
          <w:highlight w:val="none"/>
        </w:rPr>
        <w:t>社会保障和就业（类）</w:t>
      </w:r>
      <w:r>
        <w:rPr>
          <w:rFonts w:ascii="仿宋_GB2312" w:eastAsia="仿宋_GB2312"/>
          <w:color w:val="auto"/>
          <w:sz w:val="32"/>
          <w:szCs w:val="32"/>
          <w:highlight w:val="none"/>
        </w:rPr>
        <w:t>19.13</w:t>
      </w:r>
      <w:r>
        <w:rPr>
          <w:rFonts w:hint="eastAsia" w:ascii="仿宋_GB2312" w:eastAsia="仿宋_GB2312"/>
          <w:color w:val="auto"/>
          <w:sz w:val="32"/>
          <w:szCs w:val="32"/>
          <w:highlight w:val="none"/>
        </w:rPr>
        <w:t>万元，占</w:t>
      </w:r>
      <w:r>
        <w:rPr>
          <w:rFonts w:ascii="仿宋_GB2312" w:eastAsia="仿宋_GB2312"/>
          <w:color w:val="auto"/>
          <w:sz w:val="32"/>
          <w:szCs w:val="32"/>
          <w:highlight w:val="none"/>
        </w:rPr>
        <w:t>12.18 %</w:t>
      </w:r>
      <w:r>
        <w:rPr>
          <w:rFonts w:hint="eastAsia" w:ascii="仿宋_GB2312" w:eastAsia="仿宋_GB2312"/>
          <w:color w:val="auto"/>
          <w:sz w:val="32"/>
          <w:szCs w:val="32"/>
          <w:highlight w:val="none"/>
        </w:rPr>
        <w:t>。</w:t>
      </w:r>
    </w:p>
    <w:p>
      <w:pPr>
        <w:spacing w:line="58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3</w:t>
      </w:r>
      <w:r>
        <w:rPr>
          <w:rFonts w:hint="eastAsia" w:ascii="仿宋_GB2312" w:eastAsia="仿宋_GB2312"/>
          <w:color w:val="auto"/>
          <w:sz w:val="32"/>
          <w:szCs w:val="32"/>
          <w:highlight w:val="none"/>
        </w:rPr>
        <w:t>、医疗卫生与计划生育（类）</w:t>
      </w:r>
      <w:r>
        <w:rPr>
          <w:rFonts w:ascii="仿宋_GB2312" w:eastAsia="仿宋_GB2312"/>
          <w:color w:val="auto"/>
          <w:sz w:val="32"/>
          <w:szCs w:val="32"/>
          <w:highlight w:val="none"/>
        </w:rPr>
        <w:t>15.86</w:t>
      </w:r>
      <w:r>
        <w:rPr>
          <w:rFonts w:hint="eastAsia" w:ascii="仿宋_GB2312" w:eastAsia="仿宋_GB2312"/>
          <w:color w:val="auto"/>
          <w:sz w:val="32"/>
          <w:szCs w:val="32"/>
          <w:highlight w:val="none"/>
        </w:rPr>
        <w:t>万元，占</w:t>
      </w:r>
      <w:r>
        <w:rPr>
          <w:rFonts w:ascii="仿宋_GB2312" w:eastAsia="仿宋_GB2312"/>
          <w:color w:val="auto"/>
          <w:sz w:val="32"/>
          <w:szCs w:val="32"/>
          <w:highlight w:val="none"/>
        </w:rPr>
        <w:t>10.09 %</w:t>
      </w:r>
      <w:r>
        <w:rPr>
          <w:rFonts w:hint="eastAsia" w:ascii="仿宋_GB2312" w:eastAsia="仿宋_GB2312"/>
          <w:color w:val="auto"/>
          <w:sz w:val="32"/>
          <w:szCs w:val="32"/>
          <w:highlight w:val="none"/>
        </w:rPr>
        <w:t>。</w:t>
      </w:r>
    </w:p>
    <w:p>
      <w:pPr>
        <w:spacing w:line="58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4</w:t>
      </w:r>
      <w:r>
        <w:rPr>
          <w:rFonts w:hint="eastAsia" w:ascii="仿宋_GB2312" w:eastAsia="仿宋_GB2312"/>
          <w:color w:val="auto"/>
          <w:sz w:val="32"/>
          <w:szCs w:val="32"/>
          <w:highlight w:val="none"/>
        </w:rPr>
        <w:t>、住房保障（类）</w:t>
      </w:r>
      <w:r>
        <w:rPr>
          <w:rFonts w:ascii="仿宋_GB2312" w:eastAsia="仿宋_GB2312"/>
          <w:color w:val="auto"/>
          <w:sz w:val="32"/>
          <w:szCs w:val="32"/>
          <w:highlight w:val="none"/>
        </w:rPr>
        <w:t>12.92</w:t>
      </w:r>
      <w:r>
        <w:rPr>
          <w:rFonts w:hint="eastAsia" w:ascii="仿宋_GB2312" w:eastAsia="仿宋_GB2312"/>
          <w:color w:val="auto"/>
          <w:sz w:val="32"/>
          <w:szCs w:val="32"/>
          <w:highlight w:val="none"/>
        </w:rPr>
        <w:t>万元，占</w:t>
      </w:r>
      <w:r>
        <w:rPr>
          <w:rFonts w:ascii="仿宋_GB2312" w:eastAsia="仿宋_GB2312"/>
          <w:color w:val="auto"/>
          <w:sz w:val="32"/>
          <w:szCs w:val="32"/>
          <w:highlight w:val="none"/>
        </w:rPr>
        <w:t>8.22%</w:t>
      </w:r>
      <w:r>
        <w:rPr>
          <w:rFonts w:hint="eastAsia" w:ascii="仿宋_GB2312" w:eastAsia="仿宋_GB2312"/>
          <w:color w:val="auto"/>
          <w:sz w:val="32"/>
          <w:szCs w:val="32"/>
          <w:highlight w:val="none"/>
        </w:rPr>
        <w:t>。</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（三）一般公共预算当年拨款具体使用情况</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1.</w:t>
      </w:r>
      <w:r>
        <w:rPr>
          <w:rFonts w:hint="eastAsia" w:ascii="仿宋_GB2312" w:eastAsia="仿宋_GB2312"/>
          <w:color w:val="auto"/>
          <w:sz w:val="32"/>
          <w:szCs w:val="32"/>
          <w:highlight w:val="none"/>
        </w:rPr>
        <w:t>一般公共服务（201类）政府办公厅（室）及相关机构事务（03款）行政运行（01项）</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61.53</w:t>
      </w:r>
      <w:r>
        <w:rPr>
          <w:rFonts w:hint="eastAsia" w:ascii="仿宋_GB2312" w:hAnsi="宋体" w:eastAsia="仿宋_GB2312" w:cs="宋体"/>
          <w:color w:val="auto"/>
          <w:kern w:val="0"/>
          <w:sz w:val="32"/>
          <w:szCs w:val="32"/>
          <w:highlight w:val="none"/>
        </w:rPr>
        <w:t>万元，比上年执行数减少64.52万元，下降51.19</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，主要原因是：业务费减少。</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w:t>
      </w:r>
      <w:r>
        <w:rPr>
          <w:rFonts w:hint="eastAsia" w:ascii="仿宋_GB2312" w:hAnsi="宋体" w:eastAsia="仿宋_GB2312" w:cs="宋体"/>
          <w:color w:val="auto"/>
          <w:kern w:val="0"/>
          <w:sz w:val="32"/>
          <w:szCs w:val="32"/>
          <w:highlight w:val="none"/>
        </w:rPr>
        <w:t>、</w:t>
      </w:r>
      <w:r>
        <w:rPr>
          <w:rFonts w:hint="eastAsia" w:ascii="仿宋_GB2312" w:eastAsia="仿宋_GB2312"/>
          <w:color w:val="auto"/>
          <w:sz w:val="32"/>
          <w:szCs w:val="32"/>
          <w:highlight w:val="none"/>
        </w:rPr>
        <w:t>一般公共服务（201类）政府办公厅（室）及相关机构事务（03款）事业运行（</w:t>
      </w:r>
      <w:r>
        <w:rPr>
          <w:rFonts w:ascii="仿宋_GB2312" w:eastAsia="仿宋_GB2312"/>
          <w:color w:val="auto"/>
          <w:sz w:val="32"/>
          <w:szCs w:val="32"/>
          <w:highlight w:val="none"/>
        </w:rPr>
        <w:t>50</w:t>
      </w:r>
      <w:r>
        <w:rPr>
          <w:rFonts w:hint="eastAsia" w:ascii="仿宋_GB2312" w:eastAsia="仿宋_GB2312"/>
          <w:color w:val="auto"/>
          <w:sz w:val="32"/>
          <w:szCs w:val="32"/>
          <w:highlight w:val="none"/>
        </w:rPr>
        <w:t>项）</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47.7</w:t>
      </w:r>
      <w:r>
        <w:rPr>
          <w:rFonts w:hint="eastAsia" w:ascii="仿宋_GB2312" w:hAnsi="宋体" w:eastAsia="仿宋_GB2312" w:cs="宋体"/>
          <w:color w:val="auto"/>
          <w:kern w:val="0"/>
          <w:sz w:val="32"/>
          <w:szCs w:val="32"/>
          <w:highlight w:val="none"/>
        </w:rPr>
        <w:t>万元，比上年执行数减少</w:t>
      </w:r>
      <w:r>
        <w:rPr>
          <w:rFonts w:ascii="仿宋_GB2312" w:hAnsi="宋体" w:eastAsia="仿宋_GB2312" w:cs="宋体"/>
          <w:color w:val="auto"/>
          <w:kern w:val="0"/>
          <w:sz w:val="32"/>
          <w:szCs w:val="32"/>
          <w:highlight w:val="none"/>
        </w:rPr>
        <w:t>12.17</w:t>
      </w:r>
      <w:r>
        <w:rPr>
          <w:rFonts w:hint="eastAsia" w:ascii="仿宋_GB2312" w:hAnsi="宋体" w:eastAsia="仿宋_GB2312" w:cs="宋体"/>
          <w:color w:val="auto"/>
          <w:kern w:val="0"/>
          <w:sz w:val="32"/>
          <w:szCs w:val="32"/>
          <w:highlight w:val="none"/>
        </w:rPr>
        <w:t>万元，下降</w:t>
      </w:r>
      <w:r>
        <w:rPr>
          <w:rFonts w:ascii="仿宋_GB2312" w:hAnsi="宋体" w:eastAsia="仿宋_GB2312" w:cs="宋体"/>
          <w:color w:val="auto"/>
          <w:kern w:val="0"/>
          <w:sz w:val="32"/>
          <w:szCs w:val="32"/>
          <w:highlight w:val="none"/>
        </w:rPr>
        <w:t>20.33%</w:t>
      </w:r>
      <w:r>
        <w:rPr>
          <w:rFonts w:hint="eastAsia" w:ascii="仿宋_GB2312" w:hAnsi="宋体" w:eastAsia="仿宋_GB2312" w:cs="宋体"/>
          <w:color w:val="auto"/>
          <w:kern w:val="0"/>
          <w:sz w:val="32"/>
          <w:szCs w:val="32"/>
          <w:highlight w:val="none"/>
        </w:rPr>
        <w:t>，主要原因是：业务费减少。</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w:t>
      </w:r>
      <w:r>
        <w:rPr>
          <w:rFonts w:hint="eastAsia" w:ascii="仿宋_GB2312" w:eastAsia="仿宋_GB2312"/>
          <w:color w:val="auto"/>
          <w:sz w:val="32"/>
          <w:szCs w:val="32"/>
          <w:highlight w:val="none"/>
        </w:rPr>
        <w:t>社会保障和就业支出（208类）行政事业单位离退休（05款）归口管理等行政单位离退休（01项）</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0.87</w:t>
      </w:r>
      <w:r>
        <w:rPr>
          <w:rFonts w:hint="eastAsia" w:ascii="仿宋_GB2312" w:hAnsi="宋体" w:eastAsia="仿宋_GB2312" w:cs="宋体"/>
          <w:color w:val="auto"/>
          <w:kern w:val="0"/>
          <w:sz w:val="32"/>
          <w:szCs w:val="32"/>
          <w:highlight w:val="none"/>
        </w:rPr>
        <w:t>万元，比上年执数增长0.54万元，增长163.64</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主要原因是：退休人员冬季取暖费调入该科目。</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4.</w:t>
      </w:r>
      <w:r>
        <w:rPr>
          <w:rFonts w:ascii="仿宋_GB2312" w:eastAsia="仿宋_GB2312"/>
          <w:color w:val="auto"/>
          <w:sz w:val="32"/>
          <w:szCs w:val="32"/>
          <w:highlight w:val="none"/>
        </w:rPr>
        <w:t xml:space="preserve"> </w:t>
      </w:r>
      <w:r>
        <w:rPr>
          <w:rFonts w:hint="eastAsia" w:ascii="仿宋_GB2312" w:eastAsia="仿宋_GB2312"/>
          <w:color w:val="auto"/>
          <w:sz w:val="32"/>
          <w:szCs w:val="32"/>
          <w:highlight w:val="none"/>
        </w:rPr>
        <w:t>社会保障和就业支出（208类）行政事业单位离退休（05款）机关事业单位基本养老保险缴费支出（05项）</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18.26</w:t>
      </w:r>
      <w:r>
        <w:rPr>
          <w:rFonts w:hint="eastAsia" w:ascii="仿宋_GB2312" w:hAnsi="宋体" w:eastAsia="仿宋_GB2312" w:cs="宋体"/>
          <w:color w:val="auto"/>
          <w:kern w:val="0"/>
          <w:sz w:val="32"/>
          <w:szCs w:val="32"/>
          <w:highlight w:val="none"/>
        </w:rPr>
        <w:t>万元，比上年执行数增加</w:t>
      </w:r>
      <w:r>
        <w:rPr>
          <w:rFonts w:ascii="仿宋_GB2312" w:hAnsi="宋体" w:eastAsia="仿宋_GB2312" w:cs="宋体"/>
          <w:color w:val="auto"/>
          <w:kern w:val="0"/>
          <w:sz w:val="32"/>
          <w:szCs w:val="32"/>
          <w:highlight w:val="none"/>
        </w:rPr>
        <w:t>4.11</w:t>
      </w:r>
      <w:r>
        <w:rPr>
          <w:rFonts w:hint="eastAsia" w:ascii="仿宋_GB2312" w:hAnsi="宋体" w:eastAsia="仿宋_GB2312" w:cs="宋体"/>
          <w:color w:val="auto"/>
          <w:kern w:val="0"/>
          <w:sz w:val="32"/>
          <w:szCs w:val="32"/>
          <w:highlight w:val="none"/>
        </w:rPr>
        <w:t>万元，增长</w:t>
      </w:r>
      <w:r>
        <w:rPr>
          <w:rFonts w:ascii="仿宋_GB2312" w:hAnsi="宋体" w:eastAsia="仿宋_GB2312" w:cs="宋体"/>
          <w:color w:val="auto"/>
          <w:kern w:val="0"/>
          <w:sz w:val="32"/>
          <w:szCs w:val="32"/>
          <w:highlight w:val="none"/>
        </w:rPr>
        <w:t>29.05 %</w:t>
      </w:r>
      <w:r>
        <w:rPr>
          <w:rFonts w:hint="eastAsia" w:ascii="仿宋_GB2312" w:hAnsi="宋体" w:eastAsia="仿宋_GB2312" w:cs="宋体"/>
          <w:color w:val="auto"/>
          <w:kern w:val="0"/>
          <w:sz w:val="32"/>
          <w:szCs w:val="32"/>
          <w:highlight w:val="none"/>
        </w:rPr>
        <w:t>，主要原因是：人员变动。</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5.</w:t>
      </w:r>
      <w:r>
        <w:rPr>
          <w:rFonts w:ascii="仿宋_GB2312" w:eastAsia="仿宋_GB2312"/>
          <w:color w:val="auto"/>
          <w:sz w:val="32"/>
          <w:szCs w:val="32"/>
          <w:highlight w:val="none"/>
        </w:rPr>
        <w:t xml:space="preserve"> </w:t>
      </w:r>
      <w:r>
        <w:rPr>
          <w:rFonts w:hint="eastAsia" w:ascii="仿宋_GB2312" w:eastAsia="仿宋_GB2312"/>
          <w:color w:val="auto"/>
          <w:sz w:val="32"/>
          <w:szCs w:val="32"/>
          <w:highlight w:val="none"/>
        </w:rPr>
        <w:t>卫生健康支出（210类）行政事业单科医疗（11款）行政单位医疗（01项）</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7.47</w:t>
      </w:r>
      <w:r>
        <w:rPr>
          <w:rFonts w:hint="eastAsia" w:ascii="仿宋_GB2312" w:hAnsi="宋体" w:eastAsia="仿宋_GB2312" w:cs="宋体"/>
          <w:color w:val="auto"/>
          <w:kern w:val="0"/>
          <w:sz w:val="32"/>
          <w:szCs w:val="32"/>
          <w:highlight w:val="none"/>
        </w:rPr>
        <w:t>万元，比上年执行数增加</w:t>
      </w:r>
      <w:r>
        <w:rPr>
          <w:rFonts w:ascii="仿宋_GB2312" w:hAnsi="宋体" w:eastAsia="仿宋_GB2312" w:cs="宋体"/>
          <w:color w:val="auto"/>
          <w:kern w:val="0"/>
          <w:sz w:val="32"/>
          <w:szCs w:val="32"/>
          <w:highlight w:val="none"/>
        </w:rPr>
        <w:t>0.24</w:t>
      </w:r>
      <w:r>
        <w:rPr>
          <w:rFonts w:hint="eastAsia" w:ascii="仿宋_GB2312" w:hAnsi="宋体" w:eastAsia="仿宋_GB2312" w:cs="宋体"/>
          <w:color w:val="auto"/>
          <w:kern w:val="0"/>
          <w:sz w:val="32"/>
          <w:szCs w:val="32"/>
          <w:highlight w:val="none"/>
        </w:rPr>
        <w:t>万元，增长</w:t>
      </w:r>
      <w:r>
        <w:rPr>
          <w:rFonts w:ascii="仿宋_GB2312" w:hAnsi="宋体" w:eastAsia="仿宋_GB2312" w:cs="宋体"/>
          <w:color w:val="auto"/>
          <w:kern w:val="0"/>
          <w:sz w:val="32"/>
          <w:szCs w:val="32"/>
          <w:highlight w:val="none"/>
        </w:rPr>
        <w:t>3.32%</w:t>
      </w:r>
      <w:r>
        <w:rPr>
          <w:rFonts w:hint="eastAsia" w:ascii="仿宋_GB2312" w:hAnsi="宋体" w:eastAsia="仿宋_GB2312" w:cs="宋体"/>
          <w:color w:val="auto"/>
          <w:kern w:val="0"/>
          <w:sz w:val="32"/>
          <w:szCs w:val="32"/>
          <w:highlight w:val="none"/>
        </w:rPr>
        <w:t>，主要原因是：人员变动。</w:t>
      </w:r>
    </w:p>
    <w:p>
      <w:pPr>
        <w:spacing w:line="580" w:lineRule="exact"/>
        <w:ind w:firstLine="640"/>
        <w:rPr>
          <w:rFonts w:ascii="仿宋_GB2312" w:hAnsi="宋体" w:eastAsia="仿宋_GB2312" w:cs="宋体"/>
          <w:color w:val="auto"/>
          <w:kern w:val="0"/>
          <w:sz w:val="32"/>
          <w:szCs w:val="32"/>
          <w:highlight w:val="none"/>
        </w:rPr>
      </w:pPr>
      <w:r>
        <w:rPr>
          <w:rFonts w:ascii="仿宋_GB2312" w:eastAsia="仿宋_GB2312"/>
          <w:color w:val="auto"/>
          <w:sz w:val="32"/>
          <w:szCs w:val="32"/>
          <w:highlight w:val="none"/>
        </w:rPr>
        <w:t>6</w:t>
      </w:r>
      <w:r>
        <w:rPr>
          <w:rFonts w:hint="eastAsia" w:ascii="仿宋_GB2312" w:eastAsia="仿宋_GB2312"/>
          <w:color w:val="auto"/>
          <w:sz w:val="32"/>
          <w:szCs w:val="32"/>
          <w:highlight w:val="none"/>
        </w:rPr>
        <w:t>、卫生健康支出（210类）行政事业单科医疗（11款）事业单位医疗（02项）</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3.51</w:t>
      </w:r>
      <w:r>
        <w:rPr>
          <w:rFonts w:hint="eastAsia" w:ascii="仿宋_GB2312" w:hAnsi="宋体" w:eastAsia="仿宋_GB2312" w:cs="宋体"/>
          <w:color w:val="auto"/>
          <w:kern w:val="0"/>
          <w:sz w:val="32"/>
          <w:szCs w:val="32"/>
          <w:highlight w:val="none"/>
        </w:rPr>
        <w:t>万元，比上年执行数增加2.82万元，增长408.7</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，主要原因是：人员变动。</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7. </w:t>
      </w:r>
      <w:r>
        <w:rPr>
          <w:rFonts w:hint="eastAsia" w:ascii="仿宋_GB2312" w:eastAsia="仿宋_GB2312"/>
          <w:color w:val="auto"/>
          <w:sz w:val="32"/>
          <w:szCs w:val="32"/>
          <w:highlight w:val="none"/>
        </w:rPr>
        <w:t>卫生健康支出（210类）行政事业单科医疗（11款）公务员医疗补助（03项）</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4.88</w:t>
      </w:r>
      <w:r>
        <w:rPr>
          <w:rFonts w:hint="eastAsia" w:ascii="仿宋_GB2312" w:hAnsi="宋体" w:eastAsia="仿宋_GB2312" w:cs="宋体"/>
          <w:color w:val="auto"/>
          <w:kern w:val="0"/>
          <w:sz w:val="32"/>
          <w:szCs w:val="32"/>
          <w:highlight w:val="none"/>
        </w:rPr>
        <w:t>万元，比上年执行数增加</w:t>
      </w:r>
      <w:r>
        <w:rPr>
          <w:rFonts w:ascii="仿宋_GB2312" w:hAnsi="宋体" w:eastAsia="仿宋_GB2312" w:cs="宋体"/>
          <w:color w:val="auto"/>
          <w:kern w:val="0"/>
          <w:sz w:val="32"/>
          <w:szCs w:val="32"/>
          <w:highlight w:val="none"/>
        </w:rPr>
        <w:t>1.39</w:t>
      </w:r>
      <w:r>
        <w:rPr>
          <w:rFonts w:hint="eastAsia" w:ascii="仿宋_GB2312" w:hAnsi="宋体" w:eastAsia="仿宋_GB2312" w:cs="宋体"/>
          <w:color w:val="auto"/>
          <w:kern w:val="0"/>
          <w:sz w:val="32"/>
          <w:szCs w:val="32"/>
          <w:highlight w:val="none"/>
        </w:rPr>
        <w:t>万元，增长</w:t>
      </w:r>
      <w:r>
        <w:rPr>
          <w:rFonts w:ascii="仿宋_GB2312" w:hAnsi="宋体" w:eastAsia="仿宋_GB2312" w:cs="宋体"/>
          <w:color w:val="auto"/>
          <w:kern w:val="0"/>
          <w:sz w:val="32"/>
          <w:szCs w:val="32"/>
          <w:highlight w:val="none"/>
        </w:rPr>
        <w:t>39.83 %</w:t>
      </w:r>
      <w:r>
        <w:rPr>
          <w:rFonts w:hint="eastAsia" w:ascii="仿宋_GB2312" w:hAnsi="宋体" w:eastAsia="仿宋_GB2312" w:cs="宋体"/>
          <w:color w:val="auto"/>
          <w:kern w:val="0"/>
          <w:sz w:val="32"/>
          <w:szCs w:val="32"/>
          <w:highlight w:val="none"/>
        </w:rPr>
        <w:t>，主要原因是：人员变动。</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8.</w:t>
      </w:r>
      <w:r>
        <w:rPr>
          <w:rFonts w:ascii="仿宋_GB2312" w:eastAsia="仿宋_GB2312"/>
          <w:color w:val="auto"/>
          <w:sz w:val="32"/>
          <w:szCs w:val="32"/>
          <w:highlight w:val="none"/>
        </w:rPr>
        <w:t xml:space="preserve"> </w:t>
      </w:r>
      <w:r>
        <w:rPr>
          <w:rFonts w:hint="eastAsia" w:ascii="仿宋_GB2312" w:eastAsia="仿宋_GB2312"/>
          <w:color w:val="auto"/>
          <w:sz w:val="32"/>
          <w:szCs w:val="32"/>
          <w:highlight w:val="none"/>
        </w:rPr>
        <w:t>住房保障支出（221类）住房改革支出（02款）住房公积金（01项）</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12.92</w:t>
      </w:r>
      <w:r>
        <w:rPr>
          <w:rFonts w:hint="eastAsia" w:ascii="仿宋_GB2312" w:hAnsi="宋体" w:eastAsia="仿宋_GB2312" w:cs="宋体"/>
          <w:color w:val="auto"/>
          <w:kern w:val="0"/>
          <w:sz w:val="32"/>
          <w:szCs w:val="32"/>
          <w:highlight w:val="none"/>
        </w:rPr>
        <w:t>万元，比上年执行数增加</w:t>
      </w:r>
      <w:r>
        <w:rPr>
          <w:rFonts w:ascii="仿宋_GB2312" w:hAnsi="宋体" w:eastAsia="仿宋_GB2312" w:cs="宋体"/>
          <w:color w:val="auto"/>
          <w:kern w:val="0"/>
          <w:sz w:val="32"/>
          <w:szCs w:val="32"/>
          <w:highlight w:val="none"/>
        </w:rPr>
        <w:t>12.92</w:t>
      </w:r>
      <w:r>
        <w:rPr>
          <w:rFonts w:hint="eastAsia" w:ascii="仿宋_GB2312" w:hAnsi="宋体" w:eastAsia="仿宋_GB2312" w:cs="宋体"/>
          <w:color w:val="auto"/>
          <w:kern w:val="0"/>
          <w:sz w:val="32"/>
          <w:szCs w:val="32"/>
          <w:highlight w:val="none"/>
        </w:rPr>
        <w:t>万元，增长</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，主要原因是科目变动。</w:t>
      </w:r>
    </w:p>
    <w:p>
      <w:pPr>
        <w:widowControl/>
        <w:spacing w:line="580" w:lineRule="exact"/>
        <w:ind w:firstLine="642"/>
        <w:jc w:val="left"/>
        <w:rPr>
          <w:rFonts w:ascii="黑体" w:hAnsi="宋体" w:eastAsia="黑体" w:cs="宋体"/>
          <w:color w:val="auto"/>
          <w:kern w:val="0"/>
          <w:sz w:val="32"/>
          <w:szCs w:val="32"/>
          <w:highlight w:val="none"/>
        </w:rPr>
      </w:pPr>
      <w:r>
        <w:rPr>
          <w:rFonts w:ascii="仿宋_GB2312" w:hAnsi="宋体" w:eastAsia="仿宋_GB2312" w:cs="宋体"/>
          <w:color w:val="auto"/>
          <w:kern w:val="0"/>
          <w:sz w:val="32"/>
          <w:szCs w:val="32"/>
          <w:highlight w:val="none"/>
        </w:rPr>
        <w:t xml:space="preserve"> </w:t>
      </w:r>
      <w:r>
        <w:rPr>
          <w:rFonts w:hint="eastAsia" w:ascii="黑体" w:hAnsi="宋体" w:eastAsia="黑体" w:cs="宋体"/>
          <w:color w:val="auto"/>
          <w:kern w:val="0"/>
          <w:sz w:val="32"/>
          <w:szCs w:val="32"/>
          <w:highlight w:val="none"/>
        </w:rPr>
        <w:t>六、关于阜康市改革办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年一般公共预算基本支出情况说明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阜康市改革办</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年一般公共预算基本支出</w:t>
      </w:r>
      <w:r>
        <w:rPr>
          <w:rFonts w:ascii="仿宋_GB2312" w:hAnsi="宋体" w:eastAsia="仿宋_GB2312" w:cs="宋体"/>
          <w:color w:val="auto"/>
          <w:kern w:val="0"/>
          <w:sz w:val="32"/>
          <w:szCs w:val="32"/>
          <w:highlight w:val="none"/>
        </w:rPr>
        <w:t xml:space="preserve"> 157.14 </w:t>
      </w:r>
      <w:r>
        <w:rPr>
          <w:rFonts w:hint="eastAsia" w:ascii="仿宋_GB2312" w:hAnsi="宋体" w:eastAsia="仿宋_GB2312" w:cs="宋体"/>
          <w:color w:val="auto"/>
          <w:kern w:val="0"/>
          <w:sz w:val="32"/>
          <w:szCs w:val="32"/>
          <w:highlight w:val="none"/>
        </w:rPr>
        <w:t>万元，</w:t>
      </w: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其中：</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人员经费</w:t>
      </w:r>
      <w:r>
        <w:rPr>
          <w:rFonts w:ascii="仿宋_GB2312" w:hAnsi="宋体" w:eastAsia="仿宋_GB2312" w:cs="宋体"/>
          <w:color w:val="auto"/>
          <w:kern w:val="0"/>
          <w:sz w:val="32"/>
          <w:szCs w:val="32"/>
          <w:highlight w:val="none"/>
        </w:rPr>
        <w:t>157.14</w:t>
      </w:r>
      <w:r>
        <w:rPr>
          <w:rFonts w:hint="eastAsia" w:ascii="仿宋_GB2312" w:hAnsi="宋体" w:eastAsia="仿宋_GB2312" w:cs="宋体"/>
          <w:color w:val="auto"/>
          <w:kern w:val="0"/>
          <w:sz w:val="32"/>
          <w:szCs w:val="32"/>
          <w:highlight w:val="none"/>
        </w:rPr>
        <w:t>万元，主要包括：</w:t>
      </w:r>
      <w:r>
        <w:rPr>
          <w:rFonts w:hint="eastAsia" w:ascii="仿宋_GB2312" w:hAnsi="宋体" w:eastAsia="仿宋_GB2312" w:cs="宋体"/>
          <w:color w:val="auto"/>
          <w:kern w:val="0"/>
          <w:sz w:val="32"/>
          <w:szCs w:val="32"/>
          <w:highlight w:val="none"/>
        </w:rPr>
        <w:t>基本工资、津贴补贴、奖金、机关事业单位基本养老保险缴费、职工基本医疗保险缴费、公务员医疗补助缴费、其他社会保障缴费、住房公积金、其他工资福利支出、退休费。</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公用经费</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万元，主要包括：办公费、水费、电费、邮电费、差旅费、工会经费、公务用车运行维护费、其他商品和服务支出等。</w:t>
      </w:r>
    </w:p>
    <w:p>
      <w:pPr>
        <w:widowControl/>
        <w:numPr>
          <w:ilvl w:val="0"/>
          <w:numId w:val="2"/>
        </w:numPr>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关于阜康市改革办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年项目支出情况说明</w:t>
      </w:r>
    </w:p>
    <w:p>
      <w:pPr>
        <w:widowControl/>
        <w:outlineLvl w:val="1"/>
        <w:rPr>
          <w:rFonts w:ascii="仿宋_GB2312" w:hAnsi="宋体" w:eastAsia="仿宋_GB2312"/>
          <w:b/>
          <w:color w:val="auto"/>
          <w:kern w:val="0"/>
          <w:sz w:val="28"/>
          <w:szCs w:val="32"/>
          <w:highlight w:val="none"/>
        </w:rPr>
      </w:pPr>
      <w:r>
        <w:rPr>
          <w:rFonts w:hint="eastAsia" w:ascii="黑体" w:hAnsi="宋体" w:eastAsia="黑体" w:cs="宋体"/>
          <w:color w:val="auto"/>
          <w:kern w:val="0"/>
          <w:sz w:val="32"/>
          <w:szCs w:val="32"/>
          <w:highlight w:val="none"/>
        </w:rPr>
        <w:t xml:space="preserve">     </w:t>
      </w:r>
      <w:r>
        <w:rPr>
          <w:rFonts w:hint="eastAsia" w:ascii="仿宋_GB2312" w:hAnsi="宋体" w:eastAsia="仿宋_GB2312"/>
          <w:color w:val="auto"/>
          <w:kern w:val="0"/>
          <w:sz w:val="32"/>
          <w:szCs w:val="32"/>
          <w:highlight w:val="none"/>
        </w:rPr>
        <w:t>2019年未安排项目支出预算，因此没有使用项目支出预算拨款安排的支出，项目支出预算支出情况表为空表。</w:t>
      </w:r>
    </w:p>
    <w:p>
      <w:pPr>
        <w:widowControl/>
        <w:spacing w:line="580" w:lineRule="exact"/>
        <w:jc w:val="left"/>
        <w:rPr>
          <w:rFonts w:ascii="黑体" w:hAnsi="宋体" w:eastAsia="黑体" w:cs="宋体"/>
          <w:color w:val="auto"/>
          <w:kern w:val="0"/>
          <w:sz w:val="32"/>
          <w:szCs w:val="32"/>
          <w:highlight w:val="none"/>
        </w:rPr>
      </w:pPr>
    </w:p>
    <w:p>
      <w:pPr>
        <w:widowControl/>
        <w:spacing w:line="580" w:lineRule="exact"/>
        <w:ind w:firstLine="642"/>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八、关于阜康市改革办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年一般公共预算“三公”经费预算情况说明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阜康市改革办</w:t>
      </w:r>
      <w:r>
        <w:rPr>
          <w:rFonts w:ascii="黑体" w:hAnsi="宋体" w:eastAsia="黑体"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年“三公”经费财政拨款预算数为</w:t>
      </w:r>
      <w:r>
        <w:rPr>
          <w:rFonts w:ascii="仿宋_GB2312" w:hAnsi="宋体" w:eastAsia="仿宋_GB2312" w:cs="宋体"/>
          <w:color w:val="auto"/>
          <w:kern w:val="0"/>
          <w:sz w:val="32"/>
          <w:szCs w:val="32"/>
          <w:highlight w:val="none"/>
        </w:rPr>
        <w:t>3.52</w:t>
      </w:r>
      <w:r>
        <w:rPr>
          <w:rFonts w:hint="eastAsia" w:ascii="仿宋_GB2312" w:hAnsi="宋体" w:eastAsia="仿宋_GB2312" w:cs="宋体"/>
          <w:color w:val="auto"/>
          <w:kern w:val="0"/>
          <w:sz w:val="32"/>
          <w:szCs w:val="32"/>
          <w:highlight w:val="none"/>
        </w:rPr>
        <w:t>万元，其中：因公出国（境）费</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万元，公务用车购置</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万元，公务用车运行费</w:t>
      </w:r>
      <w:r>
        <w:rPr>
          <w:rFonts w:ascii="仿宋_GB2312" w:hAnsi="宋体" w:eastAsia="仿宋_GB2312" w:cs="宋体"/>
          <w:color w:val="auto"/>
          <w:kern w:val="0"/>
          <w:sz w:val="32"/>
          <w:szCs w:val="32"/>
          <w:highlight w:val="none"/>
        </w:rPr>
        <w:t xml:space="preserve">2.52 </w:t>
      </w:r>
      <w:r>
        <w:rPr>
          <w:rFonts w:hint="eastAsia" w:ascii="仿宋_GB2312" w:hAnsi="宋体" w:eastAsia="仿宋_GB2312" w:cs="宋体"/>
          <w:color w:val="auto"/>
          <w:kern w:val="0"/>
          <w:sz w:val="32"/>
          <w:szCs w:val="32"/>
          <w:highlight w:val="none"/>
        </w:rPr>
        <w:t>万元，公务接待费控制数</w:t>
      </w:r>
      <w:r>
        <w:rPr>
          <w:rFonts w:ascii="仿宋_GB2312" w:hAnsi="宋体" w:eastAsia="仿宋_GB2312" w:cs="宋体"/>
          <w:color w:val="auto"/>
          <w:kern w:val="0"/>
          <w:sz w:val="32"/>
          <w:szCs w:val="32"/>
          <w:highlight w:val="none"/>
        </w:rPr>
        <w:t xml:space="preserve"> 1</w:t>
      </w:r>
      <w:r>
        <w:rPr>
          <w:rFonts w:hint="eastAsia" w:ascii="仿宋_GB2312" w:hAnsi="宋体" w:eastAsia="仿宋_GB2312" w:cs="宋体"/>
          <w:color w:val="auto"/>
          <w:kern w:val="0"/>
          <w:sz w:val="32"/>
          <w:szCs w:val="32"/>
          <w:highlight w:val="none"/>
        </w:rPr>
        <w:t>万元。</w:t>
      </w:r>
    </w:p>
    <w:p>
      <w:pPr>
        <w:pStyle w:val="6"/>
        <w:ind w:firstLine="640" w:firstLineChars="200"/>
        <w:rPr>
          <w:rFonts w:ascii="仿宋_GB2312" w:eastAsia="仿宋_GB2312"/>
          <w:color w:val="auto"/>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年“三公”经费财政拨款预算与上年持平，其中：因公出国（境）费增加</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万元，主要原因是</w:t>
      </w:r>
      <w:r>
        <w:rPr>
          <w:rFonts w:ascii="仿宋_GB2312" w:hAnsi="宋体" w:eastAsia="仿宋_GB2312" w:cs="宋体"/>
          <w:color w:val="auto"/>
          <w:kern w:val="0"/>
          <w:sz w:val="32"/>
          <w:szCs w:val="32"/>
          <w:highlight w:val="none"/>
        </w:rPr>
        <w:t xml:space="preserve">0万元 </w:t>
      </w:r>
      <w:r>
        <w:rPr>
          <w:rFonts w:hint="eastAsia" w:ascii="仿宋_GB2312" w:hAnsi="宋体" w:eastAsia="仿宋_GB2312" w:cs="宋体"/>
          <w:color w:val="auto"/>
          <w:kern w:val="0"/>
          <w:sz w:val="32"/>
          <w:szCs w:val="32"/>
          <w:highlight w:val="none"/>
        </w:rPr>
        <w:t>；公务用车购置费为</w:t>
      </w:r>
      <w:r>
        <w:rPr>
          <w:rFonts w:ascii="仿宋_GB2312" w:hAnsi="宋体" w:eastAsia="仿宋_GB2312" w:cs="宋体"/>
          <w:color w:val="auto"/>
          <w:kern w:val="0"/>
          <w:sz w:val="32"/>
          <w:szCs w:val="32"/>
          <w:highlight w:val="none"/>
        </w:rPr>
        <w:t>0万元</w:t>
      </w:r>
      <w:r>
        <w:rPr>
          <w:rFonts w:hint="eastAsia" w:ascii="仿宋_GB2312" w:hAnsi="宋体" w:eastAsia="仿宋_GB2312" w:cs="宋体"/>
          <w:color w:val="auto"/>
          <w:kern w:val="0"/>
          <w:sz w:val="32"/>
          <w:szCs w:val="32"/>
          <w:highlight w:val="none"/>
        </w:rPr>
        <w:t>，未安排预算。</w:t>
      </w:r>
      <w:r>
        <w:rPr>
          <w:rFonts w:hint="eastAsia" w:ascii="仿宋_GB2312" w:eastAsia="仿宋_GB2312"/>
          <w:color w:val="auto"/>
          <w:sz w:val="32"/>
          <w:szCs w:val="32"/>
          <w:highlight w:val="none"/>
        </w:rPr>
        <w:t>公务用车运行费增加0万元，主要原因是我单位严格执行中央八项规定和自治区十条规定压减 0万元 经费；公务接待费增加0万元，主要原因是我单位严格执行中央八项规定和自治区十条规定压减三公经费。</w:t>
      </w:r>
    </w:p>
    <w:p>
      <w:pPr>
        <w:widowControl/>
        <w:spacing w:line="580" w:lineRule="exact"/>
        <w:ind w:firstLine="640"/>
        <w:jc w:val="left"/>
        <w:rPr>
          <w:rFonts w:ascii="仿宋_GB2312" w:hAnsi="宋体" w:eastAsia="仿宋_GB2312" w:cs="宋体"/>
          <w:color w:val="auto"/>
          <w:kern w:val="0"/>
          <w:sz w:val="32"/>
          <w:szCs w:val="32"/>
          <w:highlight w:val="none"/>
        </w:rPr>
      </w:pPr>
    </w:p>
    <w:p>
      <w:pPr>
        <w:widowControl/>
        <w:spacing w:line="580" w:lineRule="exact"/>
        <w:ind w:firstLine="642"/>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九、关于阜康市改革办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年政府性基金预算拨款情况说明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阜康市改革办</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年没有使用政府性基金预算拨款安排的支出，政府性基金预算支出情况表为空表。</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十、其他重要事项的情况说明</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（一）机关运行经费情况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rPr>
        <w:t>阜康市改革办本级</w:t>
      </w:r>
      <w:r>
        <w:rPr>
          <w:rFonts w:hint="eastAsia" w:ascii="仿宋_GB2312" w:hAnsi="宋体" w:eastAsia="仿宋_GB2312" w:cs="宋体"/>
          <w:color w:val="auto"/>
          <w:kern w:val="0"/>
          <w:sz w:val="32"/>
          <w:szCs w:val="32"/>
          <w:highlight w:val="none"/>
        </w:rPr>
        <w:t>及下属0家行政单位、0家参公管理事业单位和0家事业单位的机关运行经费财政拨款预算</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万元，比上年预算减少</w:t>
      </w:r>
      <w:r>
        <w:rPr>
          <w:rFonts w:ascii="仿宋_GB2312" w:hAnsi="宋体" w:eastAsia="仿宋_GB2312" w:cs="宋体"/>
          <w:color w:val="auto"/>
          <w:kern w:val="0"/>
          <w:sz w:val="32"/>
          <w:szCs w:val="32"/>
          <w:highlight w:val="none"/>
        </w:rPr>
        <w:t>23.39</w:t>
      </w:r>
      <w:r>
        <w:rPr>
          <w:rFonts w:hint="eastAsia" w:ascii="仿宋_GB2312" w:hAnsi="宋体" w:eastAsia="仿宋_GB2312" w:cs="宋体"/>
          <w:color w:val="auto"/>
          <w:kern w:val="0"/>
          <w:sz w:val="32"/>
          <w:szCs w:val="32"/>
          <w:highlight w:val="none"/>
        </w:rPr>
        <w:t>万元，下降</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。主要原因是改革办是涉改单位，公用经费没有列入预算。</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（二）政府采购情况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年，阜康市改革办政府采购预算</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万元，其中：政府采购货物预算</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万元，政府采购工程预算</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万元，政府采购服务预算</w:t>
      </w:r>
      <w:r>
        <w:rPr>
          <w:rFonts w:ascii="仿宋_GB2312" w:hAnsi="宋体" w:eastAsia="仿宋_GB2312" w:cs="宋体"/>
          <w:color w:val="auto"/>
          <w:kern w:val="0"/>
          <w:sz w:val="32"/>
          <w:szCs w:val="32"/>
          <w:highlight w:val="none"/>
        </w:rPr>
        <w:t xml:space="preserve"> 0  </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仿宋_GB2312" w:eastAsia="仿宋_GB2312"/>
          <w:color w:val="auto"/>
          <w:sz w:val="32"/>
          <w:highlight w:val="none"/>
        </w:rPr>
        <w:t>2019</w:t>
      </w:r>
      <w:r>
        <w:rPr>
          <w:rFonts w:hint="eastAsia" w:ascii="仿宋_GB2312" w:hAnsi="仿宋_GB2312" w:eastAsia="仿宋_GB2312"/>
          <w:color w:val="auto"/>
          <w:sz w:val="32"/>
          <w:highlight w:val="none"/>
        </w:rPr>
        <w:t>年度本部门面向中小企业预留政府采购项目预算金额</w:t>
      </w:r>
      <w:r>
        <w:rPr>
          <w:rFonts w:ascii="仿宋_GB2312" w:hAnsi="仿宋_GB2312" w:eastAsia="仿宋_GB2312"/>
          <w:color w:val="auto"/>
          <w:sz w:val="32"/>
          <w:highlight w:val="none"/>
        </w:rPr>
        <w:t>0</w:t>
      </w:r>
      <w:r>
        <w:rPr>
          <w:rFonts w:hint="eastAsia" w:ascii="仿宋_GB2312" w:hAnsi="仿宋_GB2312" w:eastAsia="仿宋_GB2312"/>
          <w:color w:val="auto"/>
          <w:sz w:val="32"/>
          <w:highlight w:val="none"/>
        </w:rPr>
        <w:t>万元，其中：面向小微企业预留政府采购项目预算金额</w:t>
      </w:r>
      <w:r>
        <w:rPr>
          <w:rFonts w:ascii="仿宋_GB2312" w:hAnsi="仿宋_GB2312" w:eastAsia="仿宋_GB2312"/>
          <w:color w:val="auto"/>
          <w:sz w:val="32"/>
          <w:highlight w:val="none"/>
        </w:rPr>
        <w:t>0</w:t>
      </w:r>
      <w:r>
        <w:rPr>
          <w:rFonts w:hint="eastAsia" w:ascii="仿宋_GB2312" w:hAnsi="仿宋_GB2312" w:eastAsia="仿宋_GB2312"/>
          <w:color w:val="auto"/>
          <w:sz w:val="32"/>
          <w:highlight w:val="none"/>
        </w:rPr>
        <w:t>万元。</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（三）国有资产占用使用情况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截至</w:t>
      </w:r>
      <w:r>
        <w:rPr>
          <w:rFonts w:ascii="仿宋_GB2312" w:hAnsi="宋体" w:eastAsia="仿宋_GB2312" w:cs="宋体"/>
          <w:color w:val="auto"/>
          <w:kern w:val="0"/>
          <w:sz w:val="32"/>
          <w:szCs w:val="32"/>
          <w:highlight w:val="none"/>
        </w:rPr>
        <w:t>2018</w:t>
      </w:r>
      <w:r>
        <w:rPr>
          <w:rFonts w:hint="eastAsia" w:ascii="仿宋_GB2312" w:hAnsi="宋体" w:eastAsia="仿宋_GB2312" w:cs="宋体"/>
          <w:color w:val="auto"/>
          <w:kern w:val="0"/>
          <w:sz w:val="32"/>
          <w:szCs w:val="32"/>
          <w:highlight w:val="none"/>
        </w:rPr>
        <w:t>年底，阜康市改革办占用使用国有资产总体情况为</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房屋</w:t>
      </w:r>
      <w:r>
        <w:rPr>
          <w:rFonts w:ascii="仿宋_GB2312" w:hAnsi="宋体" w:eastAsia="仿宋_GB2312" w:cs="宋体"/>
          <w:color w:val="auto"/>
          <w:kern w:val="0"/>
          <w:sz w:val="32"/>
          <w:szCs w:val="32"/>
          <w:highlight w:val="none"/>
        </w:rPr>
        <w:t xml:space="preserve">32 </w:t>
      </w:r>
      <w:r>
        <w:rPr>
          <w:rFonts w:hint="eastAsia" w:ascii="仿宋_GB2312" w:hAnsi="宋体" w:eastAsia="仿宋_GB2312" w:cs="宋体"/>
          <w:color w:val="auto"/>
          <w:kern w:val="0"/>
          <w:sz w:val="32"/>
          <w:szCs w:val="32"/>
          <w:highlight w:val="none"/>
        </w:rPr>
        <w:t>平方米（车库），价值</w:t>
      </w:r>
      <w:r>
        <w:rPr>
          <w:rFonts w:ascii="仿宋_GB2312" w:hAnsi="宋体" w:eastAsia="仿宋_GB2312" w:cs="宋体"/>
          <w:color w:val="auto"/>
          <w:kern w:val="0"/>
          <w:sz w:val="32"/>
          <w:szCs w:val="32"/>
          <w:highlight w:val="none"/>
        </w:rPr>
        <w:t>0.64</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w:t>
      </w:r>
      <w:r>
        <w:rPr>
          <w:rFonts w:hint="eastAsia" w:ascii="仿宋_GB2312" w:hAnsi="宋体" w:eastAsia="仿宋_GB2312" w:cs="宋体"/>
          <w:color w:val="auto"/>
          <w:kern w:val="0"/>
          <w:sz w:val="32"/>
          <w:szCs w:val="32"/>
          <w:highlight w:val="none"/>
        </w:rPr>
        <w:t>车辆</w:t>
      </w:r>
      <w:r>
        <w:rPr>
          <w:rFonts w:ascii="仿宋_GB2312" w:hAnsi="宋体" w:eastAsia="仿宋_GB2312" w:cs="宋体"/>
          <w:color w:val="auto"/>
          <w:kern w:val="0"/>
          <w:sz w:val="32"/>
          <w:szCs w:val="32"/>
          <w:highlight w:val="none"/>
        </w:rPr>
        <w:t xml:space="preserve"> 1</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21.84</w:t>
      </w:r>
      <w:r>
        <w:rPr>
          <w:rFonts w:hint="eastAsia" w:ascii="仿宋_GB2312" w:hAnsi="宋体" w:eastAsia="仿宋_GB2312" w:cs="宋体"/>
          <w:color w:val="auto"/>
          <w:kern w:val="0"/>
          <w:sz w:val="32"/>
          <w:szCs w:val="32"/>
          <w:highlight w:val="none"/>
        </w:rPr>
        <w:t>万元；其中：一般公务用车</w:t>
      </w: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 xml:space="preserve"> 21.84 </w:t>
      </w:r>
      <w:r>
        <w:rPr>
          <w:rFonts w:hint="eastAsia" w:ascii="仿宋_GB2312" w:hAnsi="宋体" w:eastAsia="仿宋_GB2312" w:cs="宋体"/>
          <w:color w:val="auto"/>
          <w:kern w:val="0"/>
          <w:sz w:val="32"/>
          <w:szCs w:val="32"/>
          <w:highlight w:val="none"/>
        </w:rPr>
        <w:t>万元；执法执勤用车</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万元；其他车辆</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办公家具价值</w:t>
      </w:r>
      <w:r>
        <w:rPr>
          <w:rFonts w:ascii="仿宋_GB2312" w:hAnsi="宋体" w:eastAsia="仿宋_GB2312" w:cs="宋体"/>
          <w:color w:val="auto"/>
          <w:kern w:val="0"/>
          <w:sz w:val="32"/>
          <w:szCs w:val="32"/>
          <w:highlight w:val="none"/>
        </w:rPr>
        <w:t>3.87</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4.</w:t>
      </w:r>
      <w:r>
        <w:rPr>
          <w:rFonts w:hint="eastAsia" w:ascii="仿宋_GB2312" w:hAnsi="宋体" w:eastAsia="仿宋_GB2312" w:cs="宋体"/>
          <w:color w:val="auto"/>
          <w:kern w:val="0"/>
          <w:sz w:val="32"/>
          <w:szCs w:val="32"/>
          <w:highlight w:val="none"/>
        </w:rPr>
        <w:t>其他资产价值</w:t>
      </w:r>
      <w:r>
        <w:rPr>
          <w:rFonts w:ascii="仿宋_GB2312" w:hAnsi="宋体" w:eastAsia="仿宋_GB2312" w:cs="宋体"/>
          <w:color w:val="auto"/>
          <w:kern w:val="0"/>
          <w:sz w:val="32"/>
          <w:szCs w:val="32"/>
          <w:highlight w:val="none"/>
        </w:rPr>
        <w:t>17.73</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单位价值</w:t>
      </w:r>
      <w:r>
        <w:rPr>
          <w:rFonts w:ascii="仿宋_GB2312" w:hAnsi="宋体" w:eastAsia="仿宋_GB2312" w:cs="宋体"/>
          <w:color w:val="auto"/>
          <w:kern w:val="0"/>
          <w:sz w:val="32"/>
          <w:szCs w:val="32"/>
          <w:highlight w:val="none"/>
        </w:rPr>
        <w:t>50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台（套），单位价值</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台（套）。</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年部门预算未安排购置车辆经费，安排购置</w:t>
      </w:r>
      <w:r>
        <w:rPr>
          <w:rFonts w:ascii="仿宋_GB2312" w:hAnsi="宋体" w:eastAsia="仿宋_GB2312" w:cs="宋体"/>
          <w:color w:val="auto"/>
          <w:kern w:val="0"/>
          <w:sz w:val="32"/>
          <w:szCs w:val="32"/>
          <w:highlight w:val="none"/>
        </w:rPr>
        <w:t>50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台（套），单位价值</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台（套）。</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（四）预算绩效情况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年度，本年度实行绩效管理的项目</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个，涉及预算金额</w:t>
      </w:r>
      <w:r>
        <w:rPr>
          <w:rFonts w:ascii="仿宋_GB2312" w:hAnsi="宋体" w:eastAsia="仿宋_GB2312" w:cs="宋体"/>
          <w:color w:val="auto"/>
          <w:kern w:val="0"/>
          <w:sz w:val="32"/>
          <w:szCs w:val="32"/>
          <w:highlight w:val="none"/>
        </w:rPr>
        <w:t xml:space="preserve"> 0 </w:t>
      </w:r>
      <w:r>
        <w:rPr>
          <w:rFonts w:hint="eastAsia" w:ascii="仿宋_GB2312" w:hAnsi="宋体" w:eastAsia="仿宋_GB2312" w:cs="宋体"/>
          <w:color w:val="auto"/>
          <w:kern w:val="0"/>
          <w:sz w:val="32"/>
          <w:szCs w:val="32"/>
          <w:highlight w:val="none"/>
        </w:rPr>
        <w:t>万元。具体情况见下表（按项目分别填报）：</w:t>
      </w:r>
    </w:p>
    <w:p>
      <w:pPr>
        <w:spacing w:line="500" w:lineRule="exact"/>
        <w:rPr>
          <w:rFonts w:ascii="仿宋_GB2312" w:hAnsi="宋体" w:eastAsia="仿宋_GB2312" w:cs="宋体"/>
          <w:color w:val="auto"/>
          <w:kern w:val="0"/>
          <w:sz w:val="32"/>
          <w:szCs w:val="32"/>
          <w:highlight w:val="none"/>
        </w:rPr>
      </w:pPr>
    </w:p>
    <w:p>
      <w:pPr>
        <w:spacing w:line="500" w:lineRule="exact"/>
        <w:rPr>
          <w:rFonts w:ascii="仿宋_GB2312" w:hAnsi="宋体" w:eastAsia="仿宋_GB2312" w:cs="宋体"/>
          <w:color w:val="auto"/>
          <w:kern w:val="0"/>
          <w:sz w:val="32"/>
          <w:szCs w:val="32"/>
          <w:highlight w:val="none"/>
        </w:rPr>
      </w:pPr>
    </w:p>
    <w:p>
      <w:pPr>
        <w:spacing w:line="500" w:lineRule="exact"/>
        <w:rPr>
          <w:rFonts w:ascii="仿宋_GB2312" w:hAnsi="宋体" w:eastAsia="仿宋_GB2312" w:cs="宋体"/>
          <w:color w:val="auto"/>
          <w:kern w:val="0"/>
          <w:sz w:val="32"/>
          <w:szCs w:val="32"/>
          <w:highlight w:val="none"/>
        </w:rPr>
      </w:pPr>
    </w:p>
    <w:p>
      <w:pPr>
        <w:widowControl/>
        <w:spacing w:line="600" w:lineRule="exact"/>
        <w:rPr>
          <w:rFonts w:ascii="仿宋_GB2312" w:hAnsi="宋体" w:eastAsia="仿宋_GB2312" w:cs="宋体"/>
          <w:color w:val="auto"/>
          <w:kern w:val="0"/>
          <w:sz w:val="32"/>
          <w:szCs w:val="32"/>
          <w:highlight w:val="none"/>
        </w:rPr>
        <w:sectPr>
          <w:pgSz w:w="11906" w:h="16838"/>
          <w:pgMar w:top="1440" w:right="1800" w:bottom="1440" w:left="1800" w:header="851" w:footer="992" w:gutter="0"/>
          <w:cols w:space="720"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cs="宋体"/>
                <w:b/>
                <w:bCs/>
                <w:color w:val="auto"/>
                <w:kern w:val="0"/>
                <w:sz w:val="32"/>
                <w:szCs w:val="32"/>
                <w:highlight w:val="none"/>
              </w:rPr>
            </w:pPr>
            <w:r>
              <w:rPr>
                <w:rFonts w:hint="eastAsia" w:ascii="仿宋_GB2312" w:hAnsi="宋体" w:eastAsia="仿宋_GB2312"/>
                <w:b/>
                <w:color w:val="auto"/>
                <w:kern w:val="0"/>
                <w:sz w:val="32"/>
                <w:szCs w:val="32"/>
                <w:highlight w:val="none"/>
              </w:rPr>
              <w:t>项</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目</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支</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出</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绩</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效</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目</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标</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857"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664"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664" w:type="dxa"/>
            <w:gridSpan w:val="2"/>
            <w:tcBorders>
              <w:top w:val="nil"/>
              <w:left w:val="nil"/>
              <w:bottom w:val="nil"/>
              <w:right w:val="nil"/>
            </w:tcBorders>
            <w:vAlign w:val="bottom"/>
          </w:tcPr>
          <w:p>
            <w:pPr>
              <w:widowControl/>
              <w:jc w:val="left"/>
              <w:rPr>
                <w:rFonts w:ascii="宋体" w:cs="宋体"/>
                <w:color w:val="auto"/>
                <w:kern w:val="0"/>
                <w:sz w:val="22"/>
                <w:highlight w:val="none"/>
              </w:rPr>
            </w:pPr>
          </w:p>
        </w:tc>
        <w:tc>
          <w:tcPr>
            <w:tcW w:w="323" w:type="dxa"/>
            <w:tcBorders>
              <w:top w:val="nil"/>
              <w:left w:val="nil"/>
              <w:bottom w:val="nil"/>
              <w:right w:val="nil"/>
            </w:tcBorders>
            <w:vAlign w:val="bottom"/>
          </w:tcPr>
          <w:p>
            <w:pPr>
              <w:widowControl/>
              <w:jc w:val="left"/>
              <w:rPr>
                <w:rFonts w:ascii="宋体" w:cs="宋体"/>
                <w:color w:val="auto"/>
                <w:kern w:val="0"/>
                <w:sz w:val="22"/>
                <w:highlight w:val="none"/>
              </w:rPr>
            </w:pPr>
          </w:p>
        </w:tc>
        <w:tc>
          <w:tcPr>
            <w:tcW w:w="323"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925" w:type="dxa"/>
            <w:tcBorders>
              <w:top w:val="nil"/>
              <w:left w:val="nil"/>
              <w:bottom w:val="nil"/>
              <w:right w:val="nil"/>
            </w:tcBorders>
            <w:vAlign w:val="bottom"/>
          </w:tcPr>
          <w:p>
            <w:pPr>
              <w:widowControl/>
              <w:jc w:val="left"/>
              <w:rPr>
                <w:rFonts w:ascii="宋体" w:cs="宋体"/>
                <w:color w:val="auto"/>
                <w:kern w:val="0"/>
                <w:sz w:val="22"/>
                <w:highlight w:val="none"/>
              </w:rPr>
            </w:pPr>
          </w:p>
        </w:tc>
        <w:tc>
          <w:tcPr>
            <w:tcW w:w="249" w:type="dxa"/>
            <w:tcBorders>
              <w:top w:val="nil"/>
              <w:left w:val="nil"/>
              <w:bottom w:val="nil"/>
              <w:right w:val="nil"/>
            </w:tcBorders>
            <w:vAlign w:val="bottom"/>
          </w:tcPr>
          <w:p>
            <w:pPr>
              <w:widowControl/>
              <w:jc w:val="left"/>
              <w:rPr>
                <w:rFonts w:ascii="宋体" w:cs="宋体"/>
                <w:color w:val="auto"/>
                <w:kern w:val="0"/>
                <w:sz w:val="22"/>
                <w:highlight w:val="none"/>
              </w:rPr>
            </w:pPr>
          </w:p>
        </w:tc>
        <w:tc>
          <w:tcPr>
            <w:tcW w:w="3275" w:type="dxa"/>
            <w:gridSpan w:val="2"/>
            <w:tcBorders>
              <w:top w:val="nil"/>
              <w:left w:val="nil"/>
              <w:bottom w:val="nil"/>
              <w:right w:val="nil"/>
            </w:tcBorders>
            <w:vAlign w:val="bottom"/>
          </w:tcPr>
          <w:p>
            <w:pPr>
              <w:widowControl/>
              <w:jc w:val="left"/>
              <w:rPr>
                <w:rFonts w:ascii="宋体" w:cs="宋体"/>
                <w:color w:val="auto"/>
                <w:kern w:val="0"/>
                <w:sz w:val="22"/>
                <w:highlight w:val="none"/>
              </w:rPr>
            </w:pPr>
          </w:p>
        </w:tc>
        <w:tc>
          <w:tcPr>
            <w:tcW w:w="249" w:type="dxa"/>
            <w:tcBorders>
              <w:top w:val="nil"/>
              <w:left w:val="nil"/>
              <w:bottom w:val="nil"/>
              <w:right w:val="nil"/>
            </w:tcBorders>
            <w:vAlign w:val="bottom"/>
          </w:tcPr>
          <w:p>
            <w:pPr>
              <w:widowControl/>
              <w:jc w:val="left"/>
              <w:rPr>
                <w:rFonts w:ascii="宋体" w:cs="宋体"/>
                <w:color w:val="auto"/>
                <w:kern w:val="0"/>
                <w:sz w:val="22"/>
                <w:highlight w:val="none"/>
              </w:rPr>
            </w:pPr>
          </w:p>
        </w:tc>
        <w:tc>
          <w:tcPr>
            <w:tcW w:w="249" w:type="dxa"/>
            <w:tcBorders>
              <w:top w:val="nil"/>
              <w:left w:val="nil"/>
              <w:bottom w:val="nil"/>
              <w:right w:val="nil"/>
            </w:tcBorders>
            <w:vAlign w:val="bottom"/>
          </w:tcPr>
          <w:p>
            <w:pPr>
              <w:widowControl/>
              <w:jc w:val="left"/>
              <w:rPr>
                <w:rFonts w:ascii="宋体" w:cs="宋体"/>
                <w:color w:val="auto"/>
                <w:kern w:val="0"/>
                <w:sz w:val="22"/>
                <w:highlight w:val="none"/>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XX</w:t>
            </w:r>
            <w:r>
              <w:rPr>
                <w:rFonts w:hint="eastAsia" w:ascii="宋体" w:hAnsi="宋体" w:cs="宋体"/>
                <w:color w:val="auto"/>
                <w:kern w:val="0"/>
                <w:sz w:val="18"/>
                <w:szCs w:val="18"/>
                <w:highlight w:val="none"/>
              </w:rPr>
              <w:t>单位</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bl>
    <w:p>
      <w:pPr>
        <w:widowControl/>
        <w:spacing w:line="560" w:lineRule="exact"/>
        <w:ind w:firstLine="630" w:firstLineChars="196"/>
        <w:jc w:val="left"/>
        <w:rPr>
          <w:rFonts w:ascii="楷体_GB2312" w:hAnsi="宋体" w:eastAsia="楷体_GB2312" w:cs="宋体"/>
          <w:b/>
          <w:color w:val="auto"/>
          <w:kern w:val="0"/>
          <w:sz w:val="32"/>
          <w:szCs w:val="32"/>
          <w:highlight w:val="none"/>
        </w:rPr>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（五）其他需说明的事项</w:t>
      </w:r>
    </w:p>
    <w:p>
      <w:pPr>
        <w:widowControl/>
        <w:spacing w:line="560" w:lineRule="exact"/>
        <w:ind w:firstLine="640" w:firstLineChars="20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无</w:t>
      </w:r>
      <w:r>
        <w:rPr>
          <w:rFonts w:ascii="仿宋_GB2312" w:hAnsi="宋体" w:eastAsia="仿宋_GB2312" w:cs="宋体"/>
          <w:color w:val="auto"/>
          <w:kern w:val="0"/>
          <w:sz w:val="32"/>
          <w:szCs w:val="32"/>
          <w:highlight w:val="none"/>
        </w:rPr>
        <w:t xml:space="preserve">     </w:t>
      </w: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第四部分</w:t>
      </w:r>
      <w:r>
        <w:rPr>
          <w:rFonts w:ascii="黑体" w:hAnsi="黑体" w:eastAsia="黑体"/>
          <w:color w:val="auto"/>
          <w:kern w:val="0"/>
          <w:sz w:val="32"/>
          <w:szCs w:val="32"/>
          <w:highlight w:val="none"/>
        </w:rPr>
        <w:t xml:space="preserve">  </w:t>
      </w:r>
      <w:r>
        <w:rPr>
          <w:rFonts w:hint="eastAsia" w:ascii="黑体" w:hAnsi="黑体" w:eastAsia="黑体"/>
          <w:color w:val="auto"/>
          <w:kern w:val="0"/>
          <w:sz w:val="32"/>
          <w:szCs w:val="32"/>
          <w:highlight w:val="none"/>
        </w:rPr>
        <w:t>名词解释</w:t>
      </w:r>
    </w:p>
    <w:p>
      <w:pPr>
        <w:widowControl/>
        <w:spacing w:line="56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名词解释：</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一、财政拨款：</w:t>
      </w:r>
      <w:r>
        <w:rPr>
          <w:rFonts w:hint="eastAsia" w:ascii="仿宋_GB2312" w:eastAsia="仿宋_GB2312"/>
          <w:color w:val="auto"/>
          <w:sz w:val="32"/>
          <w:szCs w:val="32"/>
          <w:highlight w:val="none"/>
        </w:rPr>
        <w:t>指由一般公共预算、政府性基金预算安排的财政拨款数。</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二、一般公共预算：</w:t>
      </w:r>
      <w:r>
        <w:rPr>
          <w:rFonts w:hint="eastAsia" w:ascii="仿宋_GB2312" w:eastAsia="仿宋_GB2312"/>
          <w:color w:val="auto"/>
          <w:sz w:val="32"/>
          <w:szCs w:val="32"/>
          <w:highlight w:val="none"/>
        </w:rPr>
        <w:t>包括公共财政拨款（补助）资金、专项收入。</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三、其他资金：</w:t>
      </w:r>
      <w:r>
        <w:rPr>
          <w:rFonts w:hint="eastAsia" w:ascii="仿宋_GB2312" w:eastAsia="仿宋_GB2312"/>
          <w:color w:val="auto"/>
          <w:sz w:val="32"/>
          <w:szCs w:val="32"/>
          <w:highlight w:val="none"/>
        </w:rPr>
        <w:t>包括事业收入、经营收入、其他收入等。</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四、基本支出：</w:t>
      </w:r>
      <w:r>
        <w:rPr>
          <w:rFonts w:hint="eastAsia" w:ascii="仿宋_GB2312" w:eastAsia="仿宋_GB2312"/>
          <w:color w:val="auto"/>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五、项目支出：</w:t>
      </w:r>
      <w:r>
        <w:rPr>
          <w:rFonts w:hint="eastAsia" w:ascii="仿宋_GB2312" w:eastAsia="仿宋_GB2312"/>
          <w:color w:val="auto"/>
          <w:sz w:val="32"/>
          <w:szCs w:val="32"/>
          <w:highlight w:val="none"/>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六、“三公”经费：</w:t>
      </w:r>
      <w:r>
        <w:rPr>
          <w:rFonts w:hint="eastAsia" w:ascii="仿宋_GB2312" w:eastAsia="仿宋_GB2312"/>
          <w:color w:val="auto"/>
          <w:sz w:val="32"/>
          <w:szCs w:val="32"/>
          <w:highlight w:val="none"/>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七、机关运行经费：</w:t>
      </w:r>
      <w:r>
        <w:rPr>
          <w:rFonts w:hint="eastAsia" w:ascii="仿宋_GB2312" w:eastAsia="仿宋_GB2312"/>
          <w:color w:val="auto"/>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ind w:left="3360" w:hanging="3360" w:hangingChars="105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中共阜康市委员会全面深化改革领导小组办公室</w:t>
      </w:r>
      <w:r>
        <w:rPr>
          <w:rFonts w:ascii="仿宋_GB2312" w:hAnsi="宋体" w:eastAsia="仿宋_GB2312" w:cs="宋体"/>
          <w:color w:val="auto"/>
          <w:kern w:val="0"/>
          <w:sz w:val="32"/>
          <w:szCs w:val="32"/>
          <w:highlight w:val="none"/>
        </w:rPr>
        <w:t xml:space="preserve">                           2019 </w:t>
      </w:r>
      <w:r>
        <w:rPr>
          <w:rFonts w:hint="eastAsia" w:ascii="仿宋_GB2312" w:hAnsi="宋体" w:eastAsia="仿宋_GB2312" w:cs="宋体"/>
          <w:color w:val="auto"/>
          <w:kern w:val="0"/>
          <w:sz w:val="32"/>
          <w:szCs w:val="32"/>
          <w:highlight w:val="none"/>
        </w:rPr>
        <w:t>年</w:t>
      </w:r>
      <w:r>
        <w:rPr>
          <w:rFonts w:ascii="仿宋_GB2312" w:hAnsi="宋体" w:eastAsia="仿宋_GB2312" w:cs="宋体"/>
          <w:color w:val="auto"/>
          <w:kern w:val="0"/>
          <w:sz w:val="32"/>
          <w:szCs w:val="32"/>
          <w:highlight w:val="none"/>
        </w:rPr>
        <w:t xml:space="preserve">  2 </w:t>
      </w:r>
      <w:r>
        <w:rPr>
          <w:rFonts w:hint="eastAsia" w:ascii="仿宋_GB2312" w:hAnsi="宋体" w:eastAsia="仿宋_GB2312" w:cs="宋体"/>
          <w:color w:val="auto"/>
          <w:kern w:val="0"/>
          <w:sz w:val="32"/>
          <w:szCs w:val="32"/>
          <w:highlight w:val="none"/>
        </w:rPr>
        <w:t>月</w:t>
      </w:r>
      <w:r>
        <w:rPr>
          <w:rFonts w:ascii="仿宋_GB2312" w:hAnsi="宋体" w:eastAsia="仿宋_GB2312" w:cs="宋体"/>
          <w:color w:val="auto"/>
          <w:kern w:val="0"/>
          <w:sz w:val="32"/>
          <w:szCs w:val="32"/>
          <w:highlight w:val="none"/>
        </w:rPr>
        <w:t xml:space="preserve">  10  </w:t>
      </w:r>
      <w:r>
        <w:rPr>
          <w:rFonts w:hint="eastAsia" w:ascii="仿宋_GB2312" w:hAnsi="宋体" w:eastAsia="仿宋_GB2312" w:cs="宋体"/>
          <w:color w:val="auto"/>
          <w:kern w:val="0"/>
          <w:sz w:val="32"/>
          <w:szCs w:val="32"/>
          <w:highlight w:val="none"/>
        </w:rPr>
        <w:t>日</w:t>
      </w:r>
    </w:p>
    <w:p>
      <w:pPr>
        <w:rPr>
          <w:color w:val="auto"/>
          <w:highlight w:val="none"/>
        </w:rPr>
      </w:pPr>
    </w:p>
    <w:p>
      <w:pPr>
        <w:rPr>
          <w:color w:val="auto"/>
          <w:highlight w:val="none"/>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25B71"/>
    <w:multiLevelType w:val="multilevel"/>
    <w:tmpl w:val="2A425B71"/>
    <w:lvl w:ilvl="0" w:tentative="0">
      <w:start w:val="1"/>
      <w:numFmt w:val="japaneseCounting"/>
      <w:lvlText w:val="%1、"/>
      <w:lvlJc w:val="left"/>
      <w:pPr>
        <w:tabs>
          <w:tab w:val="left" w:pos="1350"/>
        </w:tabs>
        <w:ind w:left="1350" w:hanging="720"/>
      </w:pPr>
      <w:rPr>
        <w:rFonts w:hint="default" w:cs="Times New Roman"/>
      </w:rPr>
    </w:lvl>
    <w:lvl w:ilvl="1" w:tentative="0">
      <w:start w:val="1"/>
      <w:numFmt w:val="lowerLetter"/>
      <w:lvlText w:val="%2)"/>
      <w:lvlJc w:val="left"/>
      <w:pPr>
        <w:tabs>
          <w:tab w:val="left" w:pos="1470"/>
        </w:tabs>
        <w:ind w:left="1470" w:hanging="420"/>
      </w:pPr>
      <w:rPr>
        <w:rFonts w:cs="Times New Roman"/>
      </w:rPr>
    </w:lvl>
    <w:lvl w:ilvl="2" w:tentative="0">
      <w:start w:val="1"/>
      <w:numFmt w:val="lowerRoman"/>
      <w:lvlText w:val="%3."/>
      <w:lvlJc w:val="right"/>
      <w:pPr>
        <w:tabs>
          <w:tab w:val="left" w:pos="1890"/>
        </w:tabs>
        <w:ind w:left="1890" w:hanging="420"/>
      </w:pPr>
      <w:rPr>
        <w:rFonts w:cs="Times New Roman"/>
      </w:rPr>
    </w:lvl>
    <w:lvl w:ilvl="3" w:tentative="0">
      <w:start w:val="1"/>
      <w:numFmt w:val="decimal"/>
      <w:lvlText w:val="%4."/>
      <w:lvlJc w:val="left"/>
      <w:pPr>
        <w:tabs>
          <w:tab w:val="left" w:pos="2310"/>
        </w:tabs>
        <w:ind w:left="2310" w:hanging="420"/>
      </w:pPr>
      <w:rPr>
        <w:rFonts w:cs="Times New Roman"/>
      </w:rPr>
    </w:lvl>
    <w:lvl w:ilvl="4" w:tentative="0">
      <w:start w:val="1"/>
      <w:numFmt w:val="lowerLetter"/>
      <w:lvlText w:val="%5)"/>
      <w:lvlJc w:val="left"/>
      <w:pPr>
        <w:tabs>
          <w:tab w:val="left" w:pos="2730"/>
        </w:tabs>
        <w:ind w:left="2730" w:hanging="420"/>
      </w:pPr>
      <w:rPr>
        <w:rFonts w:cs="Times New Roman"/>
      </w:rPr>
    </w:lvl>
    <w:lvl w:ilvl="5" w:tentative="0">
      <w:start w:val="1"/>
      <w:numFmt w:val="lowerRoman"/>
      <w:lvlText w:val="%6."/>
      <w:lvlJc w:val="right"/>
      <w:pPr>
        <w:tabs>
          <w:tab w:val="left" w:pos="3150"/>
        </w:tabs>
        <w:ind w:left="3150" w:hanging="420"/>
      </w:pPr>
      <w:rPr>
        <w:rFonts w:cs="Times New Roman"/>
      </w:rPr>
    </w:lvl>
    <w:lvl w:ilvl="6" w:tentative="0">
      <w:start w:val="1"/>
      <w:numFmt w:val="decimal"/>
      <w:lvlText w:val="%7."/>
      <w:lvlJc w:val="left"/>
      <w:pPr>
        <w:tabs>
          <w:tab w:val="left" w:pos="3570"/>
        </w:tabs>
        <w:ind w:left="3570" w:hanging="420"/>
      </w:pPr>
      <w:rPr>
        <w:rFonts w:cs="Times New Roman"/>
      </w:rPr>
    </w:lvl>
    <w:lvl w:ilvl="7" w:tentative="0">
      <w:start w:val="1"/>
      <w:numFmt w:val="lowerLetter"/>
      <w:lvlText w:val="%8)"/>
      <w:lvlJc w:val="left"/>
      <w:pPr>
        <w:tabs>
          <w:tab w:val="left" w:pos="3990"/>
        </w:tabs>
        <w:ind w:left="3990" w:hanging="420"/>
      </w:pPr>
      <w:rPr>
        <w:rFonts w:cs="Times New Roman"/>
      </w:rPr>
    </w:lvl>
    <w:lvl w:ilvl="8" w:tentative="0">
      <w:start w:val="1"/>
      <w:numFmt w:val="lowerRoman"/>
      <w:lvlText w:val="%9."/>
      <w:lvlJc w:val="right"/>
      <w:pPr>
        <w:tabs>
          <w:tab w:val="left" w:pos="4410"/>
        </w:tabs>
        <w:ind w:left="4410" w:hanging="420"/>
      </w:pPr>
      <w:rPr>
        <w:rFonts w:cs="Times New Roman"/>
      </w:rPr>
    </w:lvl>
  </w:abstractNum>
  <w:abstractNum w:abstractNumId="1">
    <w:nsid w:val="5CC199F3"/>
    <w:multiLevelType w:val="singleLevel"/>
    <w:tmpl w:val="5CC199F3"/>
    <w:lvl w:ilvl="0" w:tentative="0">
      <w:start w:val="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673D34"/>
    <w:rsid w:val="00035CFD"/>
    <w:rsid w:val="00043111"/>
    <w:rsid w:val="00044EF2"/>
    <w:rsid w:val="00073588"/>
    <w:rsid w:val="00077F4A"/>
    <w:rsid w:val="000954A3"/>
    <w:rsid w:val="000C7883"/>
    <w:rsid w:val="000F6F07"/>
    <w:rsid w:val="001100CB"/>
    <w:rsid w:val="00122BC4"/>
    <w:rsid w:val="00155DA0"/>
    <w:rsid w:val="00210424"/>
    <w:rsid w:val="002426C8"/>
    <w:rsid w:val="00243C9C"/>
    <w:rsid w:val="0026149A"/>
    <w:rsid w:val="002670B6"/>
    <w:rsid w:val="00272061"/>
    <w:rsid w:val="002B0646"/>
    <w:rsid w:val="002B7360"/>
    <w:rsid w:val="002D2523"/>
    <w:rsid w:val="002F18CD"/>
    <w:rsid w:val="00331E1F"/>
    <w:rsid w:val="00340604"/>
    <w:rsid w:val="0034695F"/>
    <w:rsid w:val="0037190C"/>
    <w:rsid w:val="00383A50"/>
    <w:rsid w:val="00396D10"/>
    <w:rsid w:val="003F084D"/>
    <w:rsid w:val="00412F6C"/>
    <w:rsid w:val="004320F0"/>
    <w:rsid w:val="0044016E"/>
    <w:rsid w:val="00475CD6"/>
    <w:rsid w:val="004D1AA2"/>
    <w:rsid w:val="004E75CC"/>
    <w:rsid w:val="004F1317"/>
    <w:rsid w:val="00517B73"/>
    <w:rsid w:val="005434CA"/>
    <w:rsid w:val="005E6957"/>
    <w:rsid w:val="006251D2"/>
    <w:rsid w:val="006436D9"/>
    <w:rsid w:val="006560E8"/>
    <w:rsid w:val="00673D34"/>
    <w:rsid w:val="00676802"/>
    <w:rsid w:val="00684A1C"/>
    <w:rsid w:val="00703601"/>
    <w:rsid w:val="007265A4"/>
    <w:rsid w:val="00747650"/>
    <w:rsid w:val="007776BA"/>
    <w:rsid w:val="007966DC"/>
    <w:rsid w:val="007C3ACD"/>
    <w:rsid w:val="007D2ED5"/>
    <w:rsid w:val="007F5017"/>
    <w:rsid w:val="007F6049"/>
    <w:rsid w:val="008775A6"/>
    <w:rsid w:val="008A3482"/>
    <w:rsid w:val="008D2A8D"/>
    <w:rsid w:val="008E4C34"/>
    <w:rsid w:val="008F7276"/>
    <w:rsid w:val="00982C95"/>
    <w:rsid w:val="009A0C8F"/>
    <w:rsid w:val="009A3BC0"/>
    <w:rsid w:val="009D2254"/>
    <w:rsid w:val="009E4AED"/>
    <w:rsid w:val="009F119C"/>
    <w:rsid w:val="00A07667"/>
    <w:rsid w:val="00A15752"/>
    <w:rsid w:val="00A33CC5"/>
    <w:rsid w:val="00A63A73"/>
    <w:rsid w:val="00AA216D"/>
    <w:rsid w:val="00AD119D"/>
    <w:rsid w:val="00AD3ABF"/>
    <w:rsid w:val="00AD73E5"/>
    <w:rsid w:val="00B1510D"/>
    <w:rsid w:val="00B27403"/>
    <w:rsid w:val="00B33220"/>
    <w:rsid w:val="00B53066"/>
    <w:rsid w:val="00B842C3"/>
    <w:rsid w:val="00B854CD"/>
    <w:rsid w:val="00B87545"/>
    <w:rsid w:val="00BC4E81"/>
    <w:rsid w:val="00BF25B9"/>
    <w:rsid w:val="00C106C2"/>
    <w:rsid w:val="00C228B8"/>
    <w:rsid w:val="00C67FF8"/>
    <w:rsid w:val="00CC51A2"/>
    <w:rsid w:val="00CD32A7"/>
    <w:rsid w:val="00D13C83"/>
    <w:rsid w:val="00D42591"/>
    <w:rsid w:val="00D60DBB"/>
    <w:rsid w:val="00D73195"/>
    <w:rsid w:val="00D73ED1"/>
    <w:rsid w:val="00DD40DE"/>
    <w:rsid w:val="00E1089B"/>
    <w:rsid w:val="00E26BC0"/>
    <w:rsid w:val="00E366F6"/>
    <w:rsid w:val="00E42A6F"/>
    <w:rsid w:val="00E8023B"/>
    <w:rsid w:val="00ED74AE"/>
    <w:rsid w:val="00EF249D"/>
    <w:rsid w:val="00F02862"/>
    <w:rsid w:val="00F22E96"/>
    <w:rsid w:val="00F86D4C"/>
    <w:rsid w:val="00F93E88"/>
    <w:rsid w:val="00FD0C76"/>
    <w:rsid w:val="00FE08C8"/>
    <w:rsid w:val="00FE3958"/>
    <w:rsid w:val="00FE5019"/>
    <w:rsid w:val="00FF3056"/>
    <w:rsid w:val="03724570"/>
    <w:rsid w:val="07EA1682"/>
    <w:rsid w:val="0D256941"/>
    <w:rsid w:val="14AD71FE"/>
    <w:rsid w:val="1A0150A1"/>
    <w:rsid w:val="483836EF"/>
    <w:rsid w:val="48C049F8"/>
    <w:rsid w:val="4F2423C7"/>
    <w:rsid w:val="51770698"/>
    <w:rsid w:val="58674EC0"/>
    <w:rsid w:val="5B3F4B46"/>
    <w:rsid w:val="5DB01768"/>
    <w:rsid w:val="71D3494A"/>
    <w:rsid w:val="74AB1312"/>
    <w:rsid w:val="7B0050A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rFonts w:eastAsia="黑体"/>
      <w:kern w:val="0"/>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4"/>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99"/>
    <w:rPr>
      <w:rFonts w:cs="Times New Roman"/>
      <w:b/>
    </w:rPr>
  </w:style>
  <w:style w:type="character" w:styleId="10">
    <w:name w:val="page number"/>
    <w:basedOn w:val="8"/>
    <w:qFormat/>
    <w:uiPriority w:val="99"/>
    <w:rPr>
      <w:rFonts w:cs="Times New Roman"/>
    </w:rPr>
  </w:style>
  <w:style w:type="character" w:customStyle="1" w:styleId="11">
    <w:name w:val="批注框文本 Char"/>
    <w:basedOn w:val="8"/>
    <w:link w:val="2"/>
    <w:semiHidden/>
    <w:qFormat/>
    <w:locked/>
    <w:uiPriority w:val="99"/>
    <w:rPr>
      <w:rFonts w:ascii="Times New Roman" w:hAnsi="Times New Roman" w:eastAsia="宋体" w:cs="Times New Roman"/>
      <w:sz w:val="18"/>
      <w:szCs w:val="18"/>
    </w:rPr>
  </w:style>
  <w:style w:type="character" w:customStyle="1" w:styleId="12">
    <w:name w:val="页脚 Char"/>
    <w:basedOn w:val="8"/>
    <w:link w:val="3"/>
    <w:qFormat/>
    <w:locked/>
    <w:uiPriority w:val="99"/>
    <w:rPr>
      <w:rFonts w:ascii="Times New Roman" w:hAnsi="Times New Roman" w:eastAsia="黑体" w:cs="Times New Roman"/>
      <w:snapToGrid w:val="0"/>
      <w:kern w:val="0"/>
      <w:sz w:val="18"/>
      <w:szCs w:val="18"/>
    </w:rPr>
  </w:style>
  <w:style w:type="character" w:customStyle="1" w:styleId="13">
    <w:name w:val="页眉 Char"/>
    <w:basedOn w:val="8"/>
    <w:link w:val="4"/>
    <w:qFormat/>
    <w:locked/>
    <w:uiPriority w:val="99"/>
    <w:rPr>
      <w:rFonts w:ascii="Times New Roman" w:hAnsi="Times New Roman" w:eastAsia="宋体" w:cs="Times New Roman"/>
      <w:sz w:val="18"/>
      <w:szCs w:val="18"/>
    </w:rPr>
  </w:style>
  <w:style w:type="character" w:customStyle="1" w:styleId="14">
    <w:name w:val="正文文本缩进 3 Char"/>
    <w:basedOn w:val="8"/>
    <w:link w:val="5"/>
    <w:qFormat/>
    <w:locked/>
    <w:uiPriority w:val="99"/>
    <w:rPr>
      <w:rFonts w:ascii="Times New Roman" w:hAnsi="Times New Roman" w:eastAsia="仿宋_GB2312" w:cs="Times New Roman"/>
      <w:sz w:val="24"/>
      <w:szCs w:val="24"/>
    </w:rPr>
  </w:style>
  <w:style w:type="paragraph" w:customStyle="1" w:styleId="15">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6">
    <w:name w:val="List Paragraph1"/>
    <w:basedOn w:val="1"/>
    <w:qFormat/>
    <w:uiPriority w:val="99"/>
    <w:pPr>
      <w:ind w:firstLine="420" w:firstLineChars="200"/>
    </w:pPr>
    <w:rPr>
      <w:rFonts w:ascii="Calibri" w:hAnsi="Calibri"/>
      <w:szCs w:val="22"/>
    </w:rPr>
  </w:style>
  <w:style w:type="paragraph" w:customStyle="1" w:styleId="17">
    <w:name w:val="普通(网站)1"/>
    <w:basedOn w:val="1"/>
    <w:qFormat/>
    <w:uiPriority w:val="99"/>
    <w:rPr>
      <w:rFonts w:ascii="Calibri" w:hAnsi="Calibri" w:cs="黑体"/>
      <w:sz w:val="24"/>
    </w:rPr>
  </w:style>
  <w:style w:type="paragraph" w:customStyle="1" w:styleId="18">
    <w:name w:val="普通(网站)2"/>
    <w:basedOn w:val="1"/>
    <w:qFormat/>
    <w:uiPriority w:val="99"/>
    <w:rPr>
      <w:rFonts w:ascii="Calibri" w:hAnsi="Calibri" w:cs="黑体"/>
      <w:sz w:val="24"/>
    </w:rPr>
  </w:style>
  <w:style w:type="paragraph" w:customStyle="1" w:styleId="19">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1529</Words>
  <Characters>8720</Characters>
  <Lines>72</Lines>
  <Paragraphs>20</Paragraphs>
  <TotalTime>0</TotalTime>
  <ScaleCrop>false</ScaleCrop>
  <LinksUpToDate>false</LinksUpToDate>
  <CharactersWithSpaces>10229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2019-04-22T07:44:00Z</dcterms:created>
  <dc:creator>王怡</dc:creator>
  <cp:lastModifiedBy>♥夏汐</cp:lastModifiedBy>
  <dcterms:modified xsi:type="dcterms:W3CDTF">2021-07-09T05:22:16Z</dcterms:modified>
  <dc:title>新疆维吾尔自治区*部门单位2019年部门预算公开</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345750A85C5E490E9F21D4BDABAAB7F9</vt:lpwstr>
  </property>
</Properties>
</file>