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昌吉州阜康市农业技术推广中心2019年部门预算公开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hint="eastAsia" w:ascii="黑体" w:hAnsi="黑体" w:eastAsia="黑体"/>
          <w:kern w:val="0"/>
          <w:sz w:val="44"/>
          <w:szCs w:val="44"/>
        </w:rPr>
      </w:pPr>
    </w:p>
    <w:p>
      <w:pPr>
        <w:widowControl/>
        <w:spacing w:line="500" w:lineRule="exact"/>
        <w:jc w:val="center"/>
        <w:outlineLvl w:val="1"/>
        <w:rPr>
          <w:rFonts w:hint="eastAsia"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阜康市农业技术推广中心单位概况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一、关于阜康市农业技术推广中心2019年收支预算情况的总体说明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二、关于阜康市农业技术推广中心2019年收入预算情况说明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三、关于阜康市农业技术推广中心2019年年支出预算情况说明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阜康市农业技术推广中心2019年</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五、关于阜康市农业技术推广中心2019年一般公共预算当年拨款情况说明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六、关于阜康市农业技术推广中心2019年一般公共预算基本支出情况说明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七、关于阜康市农业技术推广中心2019年项目支出情况说明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八、关于阜康市农业技术推广中心2019年一般公共预算“三公”经费预算情况说明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九、关于阜康市农业技术推广中心2019年政府性基金预算拨款情况说明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阜康市农业技术推广中心概况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jc w:val="left"/>
        <w:rPr>
          <w:rFonts w:ascii="仿宋_GB2312" w:hAnsi="宋体" w:eastAsia="仿宋_GB2312" w:cs="宋体"/>
          <w:kern w:val="0"/>
          <w:sz w:val="32"/>
          <w:szCs w:val="32"/>
        </w:rPr>
      </w:pPr>
      <w:r>
        <w:rPr>
          <w:rFonts w:hint="eastAsia" w:ascii="黑体" w:hAnsi="黑体" w:eastAsia="黑体" w:cs="宋体"/>
          <w:bCs/>
          <w:kern w:val="0"/>
          <w:sz w:val="32"/>
          <w:szCs w:val="32"/>
        </w:rPr>
        <w:t xml:space="preserve">   </w:t>
      </w:r>
      <w:r>
        <w:rPr>
          <w:rFonts w:hint="eastAsia" w:ascii="仿宋_GB2312" w:hAnsi="宋体" w:eastAsia="仿宋_GB2312" w:cs="宋体"/>
          <w:kern w:val="0"/>
          <w:sz w:val="32"/>
          <w:szCs w:val="32"/>
        </w:rPr>
        <w:t>农业新技术的引进、实验、示范、推广，农业有害生物</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及农业灾害的监测、预报、防治和处置，农产品生产过程中</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的标准化推广和质量安全的监管与配套服务，农业资源、农</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业生态环境和农业投入品使用监测，农业公共信息服务，农</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民培训教育服务，新农村能源建设等</w:t>
      </w:r>
    </w:p>
    <w:p>
      <w:pPr>
        <w:widowControl/>
        <w:spacing w:line="560" w:lineRule="exact"/>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pStyle w:val="6"/>
        <w:ind w:firstLine="640" w:firstLineChars="200"/>
        <w:rPr>
          <w:rFonts w:ascii="仿宋_GB2312" w:eastAsia="仿宋_GB2312"/>
          <w:sz w:val="32"/>
          <w:szCs w:val="32"/>
        </w:rPr>
      </w:pPr>
      <w:r>
        <w:rPr>
          <w:rFonts w:hint="eastAsia" w:ascii="仿宋_GB2312" w:eastAsia="仿宋_GB2312"/>
          <w:sz w:val="32"/>
          <w:szCs w:val="32"/>
        </w:rPr>
        <w:t xml:space="preserve">阜康市农业技术推广中心无下属预算单位，下设5个处室，分别是：办公室、作物栽培室、土壤肥料室、植保植检室、检测室 。       </w:t>
      </w:r>
    </w:p>
    <w:p>
      <w:pPr>
        <w:pStyle w:val="6"/>
        <w:ind w:firstLine="640" w:firstLineChars="200"/>
        <w:rPr>
          <w:rFonts w:ascii="仿宋_GB2312" w:eastAsia="仿宋_GB2312"/>
          <w:sz w:val="32"/>
          <w:szCs w:val="32"/>
        </w:rPr>
      </w:pPr>
      <w:r>
        <w:rPr>
          <w:rFonts w:hint="eastAsia" w:ascii="仿宋_GB2312" w:eastAsia="仿宋_GB2312"/>
          <w:sz w:val="32"/>
          <w:szCs w:val="32"/>
        </w:rPr>
        <w:t>阜康市农业技术推广中心编制数25名，实有人数25人，其中：在职25人，增加0人； 退休14人，增加1人；离休0人，增加0人。</w:t>
      </w: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640" w:firstLineChars="200"/>
        <w:outlineLvl w:val="1"/>
        <w:rPr>
          <w:rFonts w:ascii="黑体" w:hAnsi="黑体" w:eastAsia="黑体"/>
          <w:color w:val="auto"/>
          <w:kern w:val="0"/>
          <w:sz w:val="32"/>
          <w:szCs w:val="32"/>
        </w:rPr>
      </w:pPr>
      <w:r>
        <w:rPr>
          <w:rFonts w:hint="eastAsia" w:ascii="黑体" w:hAnsi="黑体" w:eastAsia="黑体"/>
          <w:color w:val="auto"/>
          <w:kern w:val="0"/>
          <w:sz w:val="32"/>
          <w:szCs w:val="32"/>
        </w:rPr>
        <w:t>第二部分  2019年阜康市农业技术推广中心预算公开表</w:t>
      </w:r>
    </w:p>
    <w:p>
      <w:pPr>
        <w:widowControl/>
        <w:spacing w:beforeLines="50"/>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表一：</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部门收支总体情况表</w:t>
      </w:r>
    </w:p>
    <w:p>
      <w:pPr>
        <w:widowControl/>
        <w:outlineLvl w:val="1"/>
        <w:rPr>
          <w:rFonts w:ascii="仿宋_GB2312" w:hAnsi="宋体" w:eastAsia="仿宋_GB2312"/>
          <w:color w:val="auto"/>
          <w:kern w:val="0"/>
          <w:sz w:val="24"/>
        </w:rPr>
      </w:pPr>
      <w:r>
        <w:rPr>
          <w:rFonts w:hint="eastAsia" w:ascii="仿宋_GB2312" w:hAnsi="宋体" w:eastAsia="仿宋_GB2312"/>
          <w:color w:val="auto"/>
          <w:kern w:val="0"/>
          <w:sz w:val="24"/>
        </w:rPr>
        <w:t>编制部门：  阜康市农业技术推广中心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345.96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345.96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36.18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35.08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248.36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26.34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345.96</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345.96</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345.96</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345.96</w:t>
            </w:r>
          </w:p>
        </w:tc>
      </w:tr>
    </w:tbl>
    <w:p>
      <w:pPr>
        <w:widowControl/>
        <w:outlineLvl w:val="1"/>
        <w:rPr>
          <w:rFonts w:ascii="仿宋_GB2312" w:hAnsi="宋体" w:eastAsia="仿宋_GB2312"/>
          <w:b/>
          <w:color w:val="auto"/>
          <w:kern w:val="0"/>
          <w:sz w:val="32"/>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表二：</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部门收入总体情况表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填报部门：阜康市农业技术推广中心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1098"/>
        <w:gridCol w:w="262"/>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总  计</w:t>
            </w:r>
          </w:p>
        </w:tc>
        <w:tc>
          <w:tcPr>
            <w:tcW w:w="109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一般公共预算拨款</w:t>
            </w:r>
          </w:p>
        </w:tc>
        <w:tc>
          <w:tcPr>
            <w:tcW w:w="26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18"/>
                <w:szCs w:val="18"/>
              </w:rPr>
            </w:pPr>
            <w:r>
              <w:rPr>
                <w:rFonts w:hint="eastAsia" w:ascii="仿宋_GB2312" w:eastAsia="仿宋_GB2312"/>
                <w:b/>
                <w:color w:val="auto"/>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109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26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36.18</w:t>
            </w:r>
          </w:p>
        </w:tc>
        <w:tc>
          <w:tcPr>
            <w:tcW w:w="109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36.18</w:t>
            </w:r>
          </w:p>
        </w:tc>
        <w:tc>
          <w:tcPr>
            <w:tcW w:w="26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02</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事业单位医疗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24.36</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24.36</w:t>
            </w: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公务员医疗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10.72</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10.72</w:t>
            </w: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04</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事业运行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248.36</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248.36</w:t>
            </w: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住房公积金</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26.34</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26.34</w:t>
            </w: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697"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345.96</w:t>
            </w:r>
          </w:p>
        </w:tc>
        <w:tc>
          <w:tcPr>
            <w:tcW w:w="109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345.96</w:t>
            </w:r>
          </w:p>
        </w:tc>
        <w:tc>
          <w:tcPr>
            <w:tcW w:w="26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表三：</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部门支出总体情况表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编制部门： 阜康市农业技术推广中心                          单位：万元</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Layout w:type="fixed"/>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支出预算</w:t>
            </w:r>
          </w:p>
        </w:tc>
      </w:tr>
      <w:tr>
        <w:tblPrEx>
          <w:tblLayout w:type="fixed"/>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机关事业单位基本养老保险缴费支出</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36.18</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36.18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02</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事业单位医疗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24.36</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24.36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bookmarkStart w:id="0" w:name="_GoBack"/>
            <w:bookmarkEnd w:id="0"/>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10.72</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10.72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04</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事业运行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248.36</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248.36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26.34</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26.34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rPr>
            </w:pPr>
            <w:r>
              <w:rPr>
                <w:rFonts w:hint="eastAsia" w:ascii="宋体" w:hAnsi="宋体" w:cs="宋体"/>
                <w:color w:val="auto"/>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rPr>
            </w:pPr>
            <w:r>
              <w:rPr>
                <w:rFonts w:hint="eastAsia" w:ascii="宋体" w:hAnsi="宋体" w:cs="宋体"/>
                <w:color w:val="auto"/>
                <w:kern w:val="0"/>
                <w:sz w:val="22"/>
                <w:szCs w:val="22"/>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合计</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345.96</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345.96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spacing w:beforeLines="50"/>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表四：</w:t>
      </w:r>
    </w:p>
    <w:p>
      <w:pPr>
        <w:widowControl/>
        <w:spacing w:beforeLines="50"/>
        <w:outlineLvl w:val="1"/>
        <w:rPr>
          <w:rFonts w:ascii="仿宋_GB2312" w:hAnsi="宋体" w:eastAsia="仿宋_GB2312"/>
          <w:b/>
          <w:color w:val="auto"/>
          <w:kern w:val="0"/>
          <w:sz w:val="32"/>
          <w:szCs w:val="32"/>
        </w:rPr>
      </w:pPr>
    </w:p>
    <w:p>
      <w:pPr>
        <w:widowControl/>
        <w:spacing w:beforeLines="50"/>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财政拨款收支预算总体情况表</w:t>
      </w:r>
    </w:p>
    <w:p>
      <w:pPr>
        <w:widowControl/>
        <w:spacing w:beforeLines="50"/>
        <w:outlineLvl w:val="1"/>
        <w:rPr>
          <w:rFonts w:ascii="仿宋_GB2312" w:hAnsi="宋体" w:eastAsia="仿宋_GB2312"/>
          <w:color w:val="auto"/>
          <w:kern w:val="0"/>
          <w:sz w:val="28"/>
          <w:szCs w:val="28"/>
        </w:rPr>
      </w:pPr>
      <w:r>
        <w:rPr>
          <w:rFonts w:hint="eastAsia" w:ascii="仿宋_GB2312" w:hAnsi="宋体" w:eastAsia="仿宋_GB2312"/>
          <w:color w:val="auto"/>
          <w:kern w:val="0"/>
          <w:sz w:val="28"/>
          <w:szCs w:val="28"/>
        </w:rPr>
        <w:t>编制部门： 阜康市农业技术推广中心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345.96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345.96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36.18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36.18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rPr>
            </w:pPr>
            <w:r>
              <w:rPr>
                <w:rFonts w:hint="eastAsia" w:ascii="仿宋_GB2312" w:hAnsi="宋体" w:eastAsia="仿宋_GB2312" w:cs="宋体"/>
                <w:color w:val="auto"/>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35.08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35.08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248.36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248.36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26.34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26.34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rPr>
            </w:pPr>
            <w:r>
              <w:rPr>
                <w:rFonts w:hint="eastAsia" w:ascii="仿宋_GB2312" w:hAnsi="宋体" w:eastAsia="仿宋_GB2312" w:cs="宋体"/>
                <w:color w:val="auto"/>
                <w:kern w:val="0"/>
                <w:sz w:val="15"/>
                <w:szCs w:val="15"/>
              </w:rPr>
              <w:t>223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233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345.96</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345.96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345.96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345.96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345.96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345.96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96"/>
        <w:gridCol w:w="409"/>
        <w:gridCol w:w="504"/>
        <w:gridCol w:w="2351"/>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编制部门阜康市农业技术推广中心</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3327" w:type="dxa"/>
            <w:gridSpan w:val="2"/>
            <w:tcBorders>
              <w:top w:val="nil"/>
              <w:left w:val="nil"/>
              <w:bottom w:val="nil"/>
              <w:right w:val="nil"/>
            </w:tcBorders>
            <w:shd w:val="clear" w:color="auto" w:fill="auto"/>
            <w:vAlign w:val="center"/>
          </w:tcPr>
          <w:p>
            <w:pPr>
              <w:widowControl/>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50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功能分类科目编码</w:t>
            </w:r>
          </w:p>
        </w:tc>
        <w:tc>
          <w:tcPr>
            <w:tcW w:w="235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类</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款</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项</w:t>
            </w:r>
          </w:p>
        </w:tc>
        <w:tc>
          <w:tcPr>
            <w:tcW w:w="23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208</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05</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05</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20"/>
                <w:szCs w:val="20"/>
              </w:rPr>
              <w:t>36.18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20"/>
                <w:szCs w:val="20"/>
              </w:rPr>
              <w:t>36.18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210</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11</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02</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24.36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24.36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210</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11</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03</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公务员医疗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10.72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10.72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213</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01</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04</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事业运行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248.36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248.36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221</w:t>
            </w:r>
          </w:p>
        </w:tc>
        <w:tc>
          <w:tcPr>
            <w:tcW w:w="40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02</w:t>
            </w:r>
          </w:p>
        </w:tc>
        <w:tc>
          <w:tcPr>
            <w:tcW w:w="50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01</w:t>
            </w:r>
          </w:p>
        </w:tc>
        <w:tc>
          <w:tcPr>
            <w:tcW w:w="235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26.34</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26.34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23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50" w:hRule="atLeast"/>
        </w:trPr>
        <w:tc>
          <w:tcPr>
            <w:tcW w:w="59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23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345.96</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345.96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编制部门：阜康市农业技术推广中心</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96.29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96.29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85.91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kern w:val="0"/>
                <w:sz w:val="20"/>
                <w:szCs w:val="20"/>
              </w:rPr>
            </w:pPr>
            <w:r>
              <w:rPr>
                <w:rFonts w:hint="eastAsia" w:ascii="宋体" w:hAnsi="宋体" w:cs="宋体"/>
                <w:color w:val="auto"/>
                <w:kern w:val="0"/>
                <w:sz w:val="20"/>
                <w:szCs w:val="20"/>
              </w:rPr>
              <w:t>85.91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8.34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8.34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36.18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36.18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24.36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24.36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10.72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10.72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2.53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2.53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26.34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26.34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33.83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33.83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0.75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0.75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公用取暖费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7.5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7.5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1.79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1.79</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0.7</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公务车运行维护费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生活补助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0.44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0.44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其他对个人和家庭补助支出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0.07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0.07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b/>
                <w:bCs/>
                <w:color w:val="auto"/>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345.96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327.47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18.49</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编制部门：阜康市农业技术推广中心</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科目</w:t>
            </w:r>
          </w:p>
        </w:tc>
        <w:tc>
          <w:tcPr>
            <w:tcW w:w="1456" w:type="dxa"/>
            <w:vMerge w:val="restart"/>
            <w:shd w:val="clear" w:color="auto" w:fill="auto"/>
            <w:vAlign w:val="center"/>
          </w:tcPr>
          <w:p>
            <w:pPr>
              <w:jc w:val="center"/>
              <w:rPr>
                <w:rFonts w:ascii="Calibri" w:hAnsi="Calibri"/>
                <w:color w:val="auto"/>
                <w:sz w:val="24"/>
              </w:rPr>
            </w:pPr>
            <w:r>
              <w:rPr>
                <w:rFonts w:hint="eastAsia" w:ascii="仿宋_GB2312" w:hAnsi="宋体" w:eastAsia="仿宋_GB2312"/>
                <w:b/>
                <w:color w:val="auto"/>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p>
        </w:tc>
        <w:tc>
          <w:tcPr>
            <w:tcW w:w="397" w:type="dxa"/>
            <w:shd w:val="clear" w:color="auto" w:fill="auto"/>
          </w:tcPr>
          <w:p>
            <w:pPr>
              <w:widowControl/>
              <w:jc w:val="left"/>
              <w:outlineLvl w:val="1"/>
              <w:rPr>
                <w:rFonts w:ascii="仿宋_GB2312" w:hAnsi="宋体" w:eastAsia="仿宋_GB2312"/>
                <w:color w:val="auto"/>
                <w:kern w:val="0"/>
                <w:sz w:val="32"/>
                <w:szCs w:val="32"/>
              </w:rPr>
            </w:pPr>
          </w:p>
        </w:tc>
        <w:tc>
          <w:tcPr>
            <w:tcW w:w="397" w:type="dxa"/>
            <w:shd w:val="clear" w:color="auto" w:fill="auto"/>
          </w:tcPr>
          <w:p>
            <w:pPr>
              <w:widowControl/>
              <w:jc w:val="left"/>
              <w:outlineLvl w:val="1"/>
              <w:rPr>
                <w:rFonts w:ascii="仿宋_GB2312" w:hAnsi="宋体" w:eastAsia="仿宋_GB2312"/>
                <w:color w:val="auto"/>
                <w:kern w:val="0"/>
                <w:sz w:val="32"/>
                <w:szCs w:val="32"/>
              </w:rPr>
            </w:pPr>
          </w:p>
        </w:tc>
        <w:tc>
          <w:tcPr>
            <w:tcW w:w="851" w:type="dxa"/>
            <w:shd w:val="clear" w:color="auto" w:fill="auto"/>
          </w:tcPr>
          <w:p>
            <w:pPr>
              <w:widowControl/>
              <w:jc w:val="left"/>
              <w:outlineLvl w:val="1"/>
              <w:rPr>
                <w:rFonts w:ascii="仿宋_GB2312" w:hAnsi="宋体" w:eastAsia="仿宋_GB2312"/>
                <w:color w:val="auto"/>
                <w:kern w:val="0"/>
                <w:sz w:val="32"/>
                <w:szCs w:val="32"/>
              </w:rPr>
            </w:pPr>
          </w:p>
        </w:tc>
        <w:tc>
          <w:tcPr>
            <w:tcW w:w="1456" w:type="dxa"/>
            <w:shd w:val="clear" w:color="auto" w:fill="auto"/>
          </w:tcPr>
          <w:p>
            <w:pPr>
              <w:widowControl/>
              <w:jc w:val="left"/>
              <w:outlineLvl w:val="1"/>
              <w:rPr>
                <w:rFonts w:ascii="仿宋_GB2312" w:hAnsi="宋体" w:eastAsia="仿宋_GB2312"/>
                <w:color w:val="auto"/>
                <w:kern w:val="0"/>
                <w:sz w:val="32"/>
                <w:szCs w:val="32"/>
              </w:rPr>
            </w:pPr>
          </w:p>
        </w:tc>
        <w:tc>
          <w:tcPr>
            <w:tcW w:w="750" w:type="dxa"/>
            <w:shd w:val="clear" w:color="auto" w:fill="auto"/>
          </w:tcPr>
          <w:p>
            <w:pPr>
              <w:widowControl/>
              <w:jc w:val="left"/>
              <w:outlineLvl w:val="1"/>
              <w:rPr>
                <w:rFonts w:ascii="仿宋_GB2312" w:hAnsi="宋体" w:eastAsia="仿宋_GB2312"/>
                <w:color w:val="auto"/>
                <w:kern w:val="0"/>
                <w:sz w:val="32"/>
                <w:szCs w:val="32"/>
              </w:rPr>
            </w:pP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p>
        </w:tc>
        <w:tc>
          <w:tcPr>
            <w:tcW w:w="536" w:type="dxa"/>
            <w:shd w:val="clear" w:color="auto" w:fill="auto"/>
          </w:tcPr>
          <w:p>
            <w:pPr>
              <w:widowControl/>
              <w:jc w:val="left"/>
              <w:outlineLvl w:val="1"/>
              <w:rPr>
                <w:rFonts w:ascii="仿宋_GB2312" w:hAnsi="宋体" w:eastAsia="仿宋_GB2312"/>
                <w:color w:val="auto"/>
                <w:kern w:val="0"/>
                <w:sz w:val="32"/>
                <w:szCs w:val="32"/>
              </w:rPr>
            </w:pPr>
          </w:p>
        </w:tc>
        <w:tc>
          <w:tcPr>
            <w:tcW w:w="652" w:type="dxa"/>
            <w:shd w:val="clear" w:color="auto" w:fill="auto"/>
          </w:tcPr>
          <w:p>
            <w:pPr>
              <w:widowControl/>
              <w:jc w:val="left"/>
              <w:outlineLvl w:val="1"/>
              <w:rPr>
                <w:rFonts w:ascii="仿宋_GB2312" w:hAnsi="宋体" w:eastAsia="仿宋_GB2312"/>
                <w:color w:val="auto"/>
                <w:kern w:val="0"/>
                <w:sz w:val="32"/>
                <w:szCs w:val="32"/>
              </w:rPr>
            </w:pPr>
          </w:p>
        </w:tc>
        <w:tc>
          <w:tcPr>
            <w:tcW w:w="652" w:type="dxa"/>
            <w:shd w:val="clear" w:color="auto" w:fill="auto"/>
          </w:tcPr>
          <w:p>
            <w:pPr>
              <w:widowControl/>
              <w:jc w:val="left"/>
              <w:outlineLvl w:val="1"/>
              <w:rPr>
                <w:rFonts w:ascii="仿宋_GB2312" w:hAnsi="宋体" w:eastAsia="仿宋_GB2312"/>
                <w:color w:val="auto"/>
                <w:kern w:val="0"/>
                <w:sz w:val="32"/>
                <w:szCs w:val="32"/>
              </w:rPr>
            </w:pP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p>
        </w:tc>
        <w:tc>
          <w:tcPr>
            <w:tcW w:w="419" w:type="dxa"/>
            <w:shd w:val="clear" w:color="auto" w:fill="auto"/>
          </w:tcPr>
          <w:p>
            <w:pPr>
              <w:widowControl/>
              <w:jc w:val="left"/>
              <w:outlineLvl w:val="1"/>
              <w:rPr>
                <w:rFonts w:ascii="仿宋_GB2312" w:hAnsi="宋体" w:eastAsia="仿宋_GB2312"/>
                <w:color w:val="auto"/>
                <w:kern w:val="0"/>
                <w:sz w:val="32"/>
                <w:szCs w:val="32"/>
              </w:rPr>
            </w:pPr>
          </w:p>
        </w:tc>
        <w:tc>
          <w:tcPr>
            <w:tcW w:w="578" w:type="dxa"/>
            <w:shd w:val="clear" w:color="auto" w:fill="auto"/>
          </w:tcPr>
          <w:p>
            <w:pPr>
              <w:widowControl/>
              <w:jc w:val="left"/>
              <w:outlineLvl w:val="1"/>
              <w:rPr>
                <w:rFonts w:ascii="仿宋_GB2312" w:hAnsi="宋体" w:eastAsia="仿宋_GB2312"/>
                <w:color w:val="auto"/>
                <w:kern w:val="0"/>
                <w:sz w:val="32"/>
                <w:szCs w:val="32"/>
              </w:rPr>
            </w:pPr>
          </w:p>
        </w:tc>
        <w:tc>
          <w:tcPr>
            <w:tcW w:w="420" w:type="dxa"/>
            <w:shd w:val="clear" w:color="auto" w:fill="auto"/>
          </w:tcPr>
          <w:p>
            <w:pPr>
              <w:widowControl/>
              <w:jc w:val="left"/>
              <w:outlineLvl w:val="1"/>
              <w:rPr>
                <w:rFonts w:ascii="仿宋_GB2312" w:hAnsi="宋体" w:eastAsia="仿宋_GB2312"/>
                <w:color w:val="auto"/>
                <w:kern w:val="0"/>
                <w:sz w:val="32"/>
                <w:szCs w:val="32"/>
              </w:rPr>
            </w:pPr>
          </w:p>
        </w:tc>
        <w:tc>
          <w:tcPr>
            <w:tcW w:w="420" w:type="dxa"/>
            <w:shd w:val="clear" w:color="auto" w:fill="auto"/>
          </w:tcPr>
          <w:p>
            <w:pPr>
              <w:widowControl/>
              <w:jc w:val="left"/>
              <w:outlineLvl w:val="1"/>
              <w:rPr>
                <w:rFonts w:ascii="仿宋_GB2312" w:hAnsi="宋体" w:eastAsia="仿宋_GB2312"/>
                <w:color w:val="auto"/>
                <w:kern w:val="0"/>
                <w:sz w:val="32"/>
                <w:szCs w:val="32"/>
              </w:rPr>
            </w:pP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vAlign w:val="center"/>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合计</w:t>
            </w:r>
          </w:p>
        </w:tc>
        <w:tc>
          <w:tcPr>
            <w:tcW w:w="750" w:type="dxa"/>
            <w:shd w:val="clear" w:color="auto" w:fill="auto"/>
            <w:vAlign w:val="center"/>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69"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36"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652"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652"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78"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19"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78"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20"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20"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397"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r>
    </w:tbl>
    <w:p>
      <w:pPr>
        <w:widowControl/>
        <w:outlineLvl w:val="1"/>
        <w:rPr>
          <w:rFonts w:ascii="仿宋_GB2312" w:hAnsi="宋体" w:eastAsia="仿宋_GB2312"/>
          <w:bCs/>
          <w:color w:val="auto"/>
          <w:kern w:val="0"/>
          <w:sz w:val="32"/>
          <w:szCs w:val="32"/>
        </w:rPr>
      </w:pPr>
      <w:r>
        <w:rPr>
          <w:rFonts w:hint="eastAsia" w:ascii="仿宋_GB2312" w:hAnsi="宋体" w:eastAsia="仿宋_GB2312"/>
          <w:bCs/>
          <w:color w:val="auto"/>
          <w:kern w:val="0"/>
          <w:sz w:val="32"/>
          <w:szCs w:val="32"/>
        </w:rPr>
        <w:t>备注：未安排项目支出预算，因此没有使用项目支出预算拨款安排的支出，项目支出预算支出情况表为空表。</w:t>
      </w: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表八：</w:t>
      </w:r>
    </w:p>
    <w:p>
      <w:pPr>
        <w:widowControl/>
        <w:jc w:val="left"/>
        <w:outlineLvl w:val="1"/>
        <w:rPr>
          <w:rFonts w:ascii="仿宋_GB2312" w:hAnsi="宋体" w:eastAsia="仿宋_GB2312"/>
          <w:b/>
          <w:color w:val="auto"/>
          <w:kern w:val="0"/>
          <w:sz w:val="32"/>
          <w:szCs w:val="32"/>
        </w:rPr>
      </w:pP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一般公共预算“三公”经费支出情况表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编制单位：阜康市农业技术推广中心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auto"/>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3.25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2.25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bl>
    <w:p>
      <w:pPr>
        <w:widowControl/>
        <w:outlineLvl w:val="1"/>
        <w:rPr>
          <w:rFonts w:ascii="仿宋_GB2312" w:hAnsi="宋体" w:eastAsia="仿宋_GB2312"/>
          <w:b/>
          <w:color w:val="auto"/>
          <w:kern w:val="0"/>
          <w:sz w:val="32"/>
          <w:szCs w:val="32"/>
        </w:rPr>
      </w:pPr>
      <w:r>
        <w:rPr>
          <w:rFonts w:hint="eastAsia" w:ascii="仿宋_GB2312" w:hAnsi="宋体" w:eastAsia="仿宋_GB2312"/>
          <w:b/>
          <w:color w:val="auto"/>
          <w:kern w:val="0"/>
          <w:sz w:val="28"/>
          <w:szCs w:val="32"/>
        </w:rPr>
        <w:t>备注：无内容应公开空表并说明情况。</w:t>
      </w: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表九：</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政府性基金预算支出情况表</w:t>
      </w:r>
    </w:p>
    <w:p>
      <w:pPr>
        <w:widowControl/>
        <w:outlineLvl w:val="1"/>
        <w:rPr>
          <w:rFonts w:ascii="仿宋_GB2312" w:hAnsi="宋体" w:eastAsia="仿宋_GB2312"/>
          <w:color w:val="auto"/>
          <w:kern w:val="0"/>
          <w:sz w:val="24"/>
        </w:rPr>
      </w:pPr>
      <w:r>
        <w:rPr>
          <w:rFonts w:hint="eastAsia" w:ascii="仿宋_GB2312" w:hAnsi="宋体" w:eastAsia="仿宋_GB2312"/>
          <w:color w:val="auto"/>
          <w:kern w:val="0"/>
          <w:sz w:val="24"/>
        </w:rPr>
        <w:t>编制单位：阜康市农业技术推广中心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18"/>
                <w:szCs w:val="18"/>
              </w:rPr>
            </w:pPr>
            <w:r>
              <w:rPr>
                <w:rFonts w:hint="eastAsia" w:ascii="仿宋_GB2312" w:hAnsi="宋体" w:eastAsia="仿宋_GB2312" w:cs="宋体"/>
                <w:b/>
                <w:bCs/>
                <w:color w:val="auto"/>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备注：2019年未安排</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预算，因此没有使用</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预算拨款安排的支出，</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预算支出情况表为空表。</w:t>
      </w:r>
    </w:p>
    <w:p>
      <w:pPr>
        <w:widowControl/>
        <w:jc w:val="left"/>
        <w:outlineLvl w:val="1"/>
        <w:rPr>
          <w:rFonts w:ascii="仿宋_GB2312" w:hAnsi="宋体" w:eastAsia="仿宋_GB2312"/>
          <w:color w:val="auto"/>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auto"/>
          <w:kern w:val="0"/>
          <w:sz w:val="32"/>
          <w:szCs w:val="32"/>
        </w:rPr>
      </w:pPr>
      <w:r>
        <w:rPr>
          <w:rFonts w:hint="eastAsia" w:ascii="黑体" w:hAnsi="黑体" w:eastAsia="黑体"/>
          <w:color w:val="auto"/>
          <w:kern w:val="0"/>
          <w:sz w:val="32"/>
          <w:szCs w:val="32"/>
        </w:rPr>
        <w:t>第三部分  2019年部门预算情况说明</w:t>
      </w:r>
    </w:p>
    <w:p>
      <w:pPr>
        <w:widowControl/>
        <w:spacing w:line="580" w:lineRule="exact"/>
        <w:ind w:firstLine="640"/>
        <w:jc w:val="left"/>
        <w:rPr>
          <w:rFonts w:ascii="黑体" w:hAnsi="宋体" w:eastAsia="黑体" w:cs="宋体"/>
          <w:color w:val="auto"/>
          <w:kern w:val="0"/>
          <w:sz w:val="32"/>
          <w:szCs w:val="32"/>
        </w:rPr>
      </w:pPr>
      <w:r>
        <w:rPr>
          <w:rFonts w:hint="eastAsia" w:ascii="黑体" w:hAnsi="黑体" w:eastAsia="黑体" w:cs="宋体"/>
          <w:bCs/>
          <w:color w:val="auto"/>
          <w:kern w:val="0"/>
          <w:sz w:val="32"/>
          <w:szCs w:val="32"/>
        </w:rPr>
        <w:t>一、</w:t>
      </w:r>
      <w:r>
        <w:rPr>
          <w:rFonts w:hint="eastAsia" w:ascii="黑体" w:hAnsi="宋体" w:eastAsia="黑体" w:cs="宋体"/>
          <w:color w:val="auto"/>
          <w:kern w:val="0"/>
          <w:sz w:val="32"/>
          <w:szCs w:val="32"/>
        </w:rPr>
        <w:t>关于阜康市农业技术推广中心收支预算情况的总体说明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按照全口径预算的原则，阜康市农业技术推广中心所有收入和支出均纳入部门预算管理。收支总预算345.96万元。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收入预算包括：一般公共预算345.96万元。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支出预算包括：社会保障和就业支出36.18万元、医疗卫生与计划生育支出35.08、农林水支出248.36万元、住房保障支出26.34万元等。</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二、关于阜康市农业技术推广中心2019年收入预算情况说明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阜康市农业技术推广中心收入预算345.96万元，其中：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一般公共预算345.96万元，占100%，比上年减少26.08万元，主要原因是2019年没有抚恤金的预算； </w:t>
      </w:r>
    </w:p>
    <w:p>
      <w:pPr>
        <w:widowControl/>
        <w:spacing w:line="580" w:lineRule="exact"/>
        <w:ind w:firstLine="640" w:firstLineChars="2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政府性基金预算未安排。</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三、关于阜康市农业技术推广中心2019年支出预算情况说明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阜康市农业技术推广中心2019年支出预算345.96万元，其中：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基本支出345.96万元，占100 %，比上年减少28.8万元，主要原因是2019年没有业务费的预算支出。</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项目支出0万元，占0%，比上年增加0万元，主要原因是预算未安排。</w:t>
      </w:r>
    </w:p>
    <w:p>
      <w:pPr>
        <w:widowControl/>
        <w:spacing w:line="580" w:lineRule="exact"/>
        <w:jc w:val="left"/>
        <w:rPr>
          <w:rFonts w:ascii="黑体" w:hAnsi="黑体" w:eastAsia="黑体" w:cs="宋体"/>
          <w:bCs/>
          <w:color w:val="auto"/>
          <w:kern w:val="0"/>
          <w:sz w:val="32"/>
          <w:szCs w:val="32"/>
        </w:rPr>
      </w:pPr>
    </w:p>
    <w:p>
      <w:pPr>
        <w:widowControl/>
        <w:spacing w:line="580" w:lineRule="exact"/>
        <w:ind w:firstLine="640"/>
        <w:jc w:val="left"/>
        <w:rPr>
          <w:rFonts w:ascii="黑体" w:hAnsi="黑体" w:eastAsia="黑体" w:cs="宋体"/>
          <w:bCs/>
          <w:color w:val="auto"/>
          <w:kern w:val="0"/>
          <w:sz w:val="32"/>
          <w:szCs w:val="32"/>
        </w:rPr>
      </w:pPr>
      <w:r>
        <w:rPr>
          <w:rFonts w:hint="eastAsia" w:ascii="黑体" w:hAnsi="黑体" w:eastAsia="黑体" w:cs="宋体"/>
          <w:bCs/>
          <w:color w:val="auto"/>
          <w:kern w:val="0"/>
          <w:sz w:val="32"/>
          <w:szCs w:val="32"/>
        </w:rPr>
        <w:t>四、关于阜康市农业技术推广中心2019年财政拨款收支预算情况的总体说明</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2017年财政拨款收支总预算345.96万元。</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收入全部为一般公共预算拨款，无政府性基金预算拨款。</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支出预算包括： 社会保障和就业支出 36.18万元，主要用于年金、养老缴纳及退休人员经费。</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医疗卫生与计划生育支出 35.08万元，主要用于人员医疗金缴纳。</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 农林水支出 248.36万元，主要用于办公经费、业务费、人员工资等经费开支。</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住房保障支出26.34万元，主要用于公积金经费开支。</w:t>
      </w:r>
    </w:p>
    <w:p>
      <w:pPr>
        <w:widowControl/>
        <w:spacing w:line="580" w:lineRule="exact"/>
        <w:ind w:firstLine="640"/>
        <w:jc w:val="left"/>
        <w:rPr>
          <w:rFonts w:ascii="黑体" w:hAnsi="宋体" w:eastAsia="黑体" w:cs="宋体"/>
          <w:color w:val="auto"/>
          <w:kern w:val="0"/>
          <w:sz w:val="32"/>
          <w:szCs w:val="32"/>
        </w:rPr>
      </w:pP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五、关于阜康市农业技术推广中心2019年年一般公共预算当年拨款情况说明</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（一）一般公用预算当年拨款规模变化情况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阜康市农业技术推广中心2019年一般公共预算拨款基</w:t>
      </w:r>
      <w:r>
        <w:rPr>
          <w:rFonts w:hint="eastAsia" w:ascii="仿宋_GB2312" w:hAnsi="宋体" w:eastAsia="仿宋_GB2312" w:cs="宋体"/>
          <w:color w:val="auto"/>
          <w:kern w:val="0"/>
          <w:sz w:val="32"/>
          <w:szCs w:val="32"/>
          <w:highlight w:val="none"/>
        </w:rPr>
        <w:t>本支出345.96 万元，比上年执行数减少28.8万元，</w:t>
      </w:r>
      <w:r>
        <w:rPr>
          <w:rFonts w:hint="eastAsia" w:ascii="仿宋_GB2312" w:hAnsi="宋体" w:eastAsia="仿宋_GB2312" w:cs="宋体"/>
          <w:color w:val="auto"/>
          <w:kern w:val="0"/>
          <w:sz w:val="32"/>
          <w:szCs w:val="32"/>
          <w:highlight w:val="none"/>
          <w:lang w:val="en-US" w:eastAsia="zh-CN"/>
        </w:rPr>
        <w:t>下降</w:t>
      </w:r>
      <w:r>
        <w:rPr>
          <w:rFonts w:hint="eastAsia" w:ascii="仿宋_GB2312" w:hAnsi="宋体" w:eastAsia="仿宋_GB2312" w:cs="宋体"/>
          <w:color w:val="auto"/>
          <w:kern w:val="0"/>
          <w:sz w:val="32"/>
          <w:szCs w:val="32"/>
          <w:lang w:val="en-US" w:eastAsia="zh-CN"/>
        </w:rPr>
        <w:t>9.08%，</w:t>
      </w:r>
      <w:r>
        <w:rPr>
          <w:rFonts w:hint="eastAsia" w:ascii="仿宋_GB2312" w:hAnsi="宋体" w:eastAsia="仿宋_GB2312" w:cs="宋体"/>
          <w:color w:val="auto"/>
          <w:kern w:val="0"/>
          <w:sz w:val="32"/>
          <w:szCs w:val="32"/>
        </w:rPr>
        <w:t xml:space="preserve">主要原因是2019年没有业务费的预算； </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（二）一般公共预算当年拨款结构情况</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eastAsia="仿宋_GB2312"/>
          <w:color w:val="auto"/>
          <w:sz w:val="32"/>
          <w:szCs w:val="32"/>
        </w:rPr>
        <w:t>1</w:t>
      </w:r>
      <w:r>
        <w:rPr>
          <w:rFonts w:hint="eastAsia" w:ascii="仿宋_GB2312" w:eastAsia="仿宋_GB2312"/>
          <w:color w:val="auto"/>
          <w:sz w:val="32"/>
          <w:szCs w:val="32"/>
          <w:highlight w:val="none"/>
        </w:rPr>
        <w:t>.一般公共服务（类）345.96</w:t>
      </w:r>
      <w:r>
        <w:rPr>
          <w:rFonts w:hint="eastAsia" w:ascii="仿宋_GB2312" w:hAnsi="宋体" w:eastAsia="仿宋_GB2312" w:cs="宋体"/>
          <w:color w:val="auto"/>
          <w:kern w:val="0"/>
          <w:sz w:val="32"/>
          <w:szCs w:val="32"/>
          <w:highlight w:val="none"/>
        </w:rPr>
        <w:t>万元，占100 %。</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  社会保障和就业支出36.18万元，占10.46%。</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医疗卫生与计划生育支出35.08万元，占10.14%。</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农林水支出248.36万元，占71.79%。</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住房保障支出26.34万元，占7.61%。</w:t>
      </w:r>
    </w:p>
    <w:p>
      <w:pPr>
        <w:spacing w:line="580" w:lineRule="exact"/>
        <w:ind w:firstLine="640"/>
        <w:rPr>
          <w:rFonts w:ascii="仿宋_GB2312" w:hAnsi="宋体" w:eastAsia="仿宋_GB2312" w:cs="宋体"/>
          <w:color w:val="auto"/>
          <w:kern w:val="0"/>
          <w:sz w:val="32"/>
          <w:szCs w:val="32"/>
        </w:rPr>
      </w:pPr>
    </w:p>
    <w:p>
      <w:pPr>
        <w:widowControl/>
        <w:numPr>
          <w:ilvl w:val="0"/>
          <w:numId w:val="1"/>
        </w:numPr>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一般公共预算当年拨款具体使用情况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rPr>
        <w:t>1、社会保障和就业</w:t>
      </w:r>
      <w:r>
        <w:rPr>
          <w:rFonts w:hint="eastAsia" w:ascii="仿宋_GB2312" w:eastAsia="仿宋_GB2312"/>
          <w:color w:val="auto"/>
          <w:sz w:val="32"/>
          <w:szCs w:val="32"/>
        </w:rPr>
        <w:t>（类）行政事业单位单位离退休</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机关事业单位基本养老保险缴费</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：2019 年预算数为 36.18万</w:t>
      </w:r>
      <w:r>
        <w:rPr>
          <w:rFonts w:hint="eastAsia" w:ascii="仿宋_GB2312" w:hAnsi="宋体" w:eastAsia="仿宋_GB2312" w:cs="宋体"/>
          <w:color w:val="auto"/>
          <w:kern w:val="0"/>
          <w:sz w:val="32"/>
          <w:szCs w:val="32"/>
          <w:highlight w:val="none"/>
        </w:rPr>
        <w:t>元。比上年执行数增加0.91万元，增长2.5%。增加原因为人员工资增加，导致缴费基数增大。</w:t>
      </w:r>
    </w:p>
    <w:p>
      <w:pPr>
        <w:widowControl/>
        <w:spacing w:line="580" w:lineRule="exact"/>
        <w:ind w:firstLine="640"/>
        <w:jc w:val="left"/>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2、医疗卫生与计划生育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lang w:val="en-US" w:eastAsia="zh-CN"/>
        </w:rPr>
        <w:t>事业</w:t>
      </w:r>
      <w:r>
        <w:rPr>
          <w:rFonts w:hint="eastAsia" w:ascii="仿宋_GB2312" w:hAnsi="宋体" w:eastAsia="仿宋_GB2312" w:cs="宋体"/>
          <w:color w:val="auto"/>
          <w:kern w:val="0"/>
          <w:sz w:val="32"/>
          <w:szCs w:val="32"/>
          <w:highlight w:val="none"/>
        </w:rPr>
        <w:t>单位医疗</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2019年预算数为 24.36万元，</w:t>
      </w:r>
      <w:r>
        <w:rPr>
          <w:rFonts w:hint="eastAsia" w:ascii="仿宋_GB2312" w:hAnsi="宋体" w:eastAsia="仿宋_GB2312" w:cs="宋体"/>
          <w:color w:val="auto"/>
          <w:kern w:val="0"/>
          <w:sz w:val="32"/>
          <w:szCs w:val="32"/>
          <w:highlight w:val="none"/>
          <w:lang w:val="en-US" w:eastAsia="zh-CN"/>
        </w:rPr>
        <w:t>比上年增加0.13万元，增长0.53%,</w:t>
      </w:r>
      <w:r>
        <w:rPr>
          <w:rFonts w:hint="eastAsia" w:ascii="仿宋_GB2312" w:hAnsi="宋体" w:eastAsia="仿宋_GB2312" w:cs="宋体"/>
          <w:color w:val="auto"/>
          <w:kern w:val="0"/>
          <w:sz w:val="32"/>
          <w:szCs w:val="32"/>
          <w:highlight w:val="none"/>
        </w:rPr>
        <w:t>增加原因人员工资增加，导致缴费基数增大。</w:t>
      </w:r>
    </w:p>
    <w:p>
      <w:pPr>
        <w:widowControl/>
        <w:spacing w:line="580" w:lineRule="exact"/>
        <w:ind w:firstLine="640"/>
        <w:jc w:val="left"/>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务员医疗补助</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2019年预算数为</w:t>
      </w:r>
      <w:r>
        <w:rPr>
          <w:rFonts w:hint="eastAsia" w:ascii="仿宋_GB2312" w:hAnsi="宋体" w:eastAsia="仿宋_GB2312" w:cs="宋体"/>
          <w:color w:val="auto"/>
          <w:kern w:val="0"/>
          <w:sz w:val="32"/>
          <w:szCs w:val="32"/>
          <w:highlight w:val="none"/>
        </w:rPr>
        <w:t>10.72万元。比上年执行数增加 0.19万元，增长0.5</w:t>
      </w:r>
      <w:r>
        <w:rPr>
          <w:rFonts w:hint="eastAsia" w:ascii="仿宋_GB2312" w:hAnsi="宋体" w:eastAsia="仿宋_GB2312" w:cs="宋体"/>
          <w:color w:val="auto"/>
          <w:kern w:val="0"/>
          <w:sz w:val="32"/>
          <w:szCs w:val="32"/>
          <w:highlight w:val="none"/>
          <w:lang w:val="en-US" w:eastAsia="zh-CN"/>
        </w:rPr>
        <w:t>6</w:t>
      </w:r>
      <w:r>
        <w:rPr>
          <w:rFonts w:hint="eastAsia" w:ascii="仿宋_GB2312" w:hAnsi="宋体" w:eastAsia="仿宋_GB2312" w:cs="宋体"/>
          <w:color w:val="auto"/>
          <w:kern w:val="0"/>
          <w:sz w:val="32"/>
          <w:szCs w:val="32"/>
          <w:highlight w:val="none"/>
        </w:rPr>
        <w:t>%。增加原因人员工资增</w:t>
      </w:r>
      <w:r>
        <w:rPr>
          <w:rFonts w:hint="eastAsia" w:ascii="仿宋_GB2312" w:hAnsi="宋体" w:eastAsia="仿宋_GB2312" w:cs="宋体"/>
          <w:color w:val="auto"/>
          <w:kern w:val="0"/>
          <w:sz w:val="32"/>
          <w:szCs w:val="32"/>
        </w:rPr>
        <w:t>加，导致缴费基数增大</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3、农林水支出</w:t>
      </w:r>
      <w:r>
        <w:rPr>
          <w:rFonts w:hint="eastAsia" w:ascii="仿宋_GB2312" w:eastAsia="仿宋_GB2312"/>
          <w:color w:val="auto"/>
          <w:sz w:val="32"/>
          <w:szCs w:val="32"/>
        </w:rPr>
        <w:t>（类）水利</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lang w:val="en-US" w:eastAsia="zh-CN"/>
        </w:rPr>
        <w:t>事业</w:t>
      </w:r>
      <w:r>
        <w:rPr>
          <w:rFonts w:ascii="仿宋_GB2312" w:hAnsi="宋体" w:eastAsia="仿宋_GB2312" w:cs="宋体"/>
          <w:color w:val="auto"/>
          <w:kern w:val="0"/>
          <w:sz w:val="32"/>
          <w:szCs w:val="32"/>
        </w:rPr>
        <w:t>运行（项）</w:t>
      </w:r>
      <w:r>
        <w:rPr>
          <w:rFonts w:hint="eastAsia" w:ascii="仿宋_GB2312" w:hAnsi="宋体" w:eastAsia="仿宋_GB2312" w:cs="宋体"/>
          <w:color w:val="auto"/>
          <w:kern w:val="0"/>
          <w:sz w:val="32"/>
          <w:szCs w:val="32"/>
        </w:rPr>
        <w:t>：2019年预算数为248.36万元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比上年执行数减少56.24万元，减少 18.46%，减少原因为2019年绩效奖金及业务费未纳入预算及公积金调整科目。</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4、房屋保障支出</w:t>
      </w:r>
      <w:r>
        <w:rPr>
          <w:rFonts w:hint="eastAsia" w:ascii="仿宋_GB2312" w:eastAsia="仿宋_GB2312"/>
          <w:color w:val="auto"/>
          <w:sz w:val="32"/>
          <w:szCs w:val="32"/>
        </w:rPr>
        <w:t>（类）住房改革支出</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住房公积金</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2019年预算数为26.34万元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比上年执行数增加26.34万元。增长100%。增加原因2019年调整了预算科目。</w:t>
      </w:r>
    </w:p>
    <w:p>
      <w:pPr>
        <w:widowControl/>
        <w:spacing w:line="580" w:lineRule="exact"/>
        <w:jc w:val="left"/>
        <w:rPr>
          <w:rFonts w:ascii="楷体_GB2312" w:hAnsi="宋体" w:eastAsia="楷体_GB2312" w:cs="宋体"/>
          <w:b/>
          <w:color w:val="auto"/>
          <w:kern w:val="0"/>
          <w:sz w:val="32"/>
          <w:szCs w:val="32"/>
        </w:rPr>
      </w:pP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六、关于阜康市农业技术推广中心2019年一般公共预算基本支出情况说明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阜康市农业技术推广中心2019年一般公共预算基本支出345.96万元， 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人员经费327.47万元，主要包括：基本工资、津贴补贴、奖金、机关事业单位基本养老保险缴费、职工基本医疗保险缴费、公务员医疗补助缴费、其他社会保障缴费、住房公积金、医疗费、其他工资福利支出、退休费、奖励金、其他对个人和家庭的补助等。</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公用经费18.49万元，主要包括：办公费、水费、电费、邮电费、取暖费、差旅费、工会经费、福利费、公务用车运行维护费等。</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七、关于阜康市农业技术推广中心2019年项目支出情况说明</w:t>
      </w:r>
    </w:p>
    <w:p>
      <w:pPr>
        <w:widowControl/>
        <w:spacing w:line="580" w:lineRule="exact"/>
        <w:ind w:firstLine="642"/>
        <w:jc w:val="left"/>
        <w:rPr>
          <w:rFonts w:ascii="仿宋_GB2312" w:hAnsi="宋体" w:eastAsia="仿宋_GB2312"/>
          <w:b/>
          <w:color w:val="auto"/>
          <w:kern w:val="0"/>
          <w:sz w:val="28"/>
          <w:szCs w:val="32"/>
        </w:rPr>
      </w:pPr>
      <w:r>
        <w:rPr>
          <w:rFonts w:hint="eastAsia" w:ascii="仿宋_GB2312" w:hAnsi="宋体" w:eastAsia="仿宋_GB2312"/>
          <w:bCs/>
          <w:color w:val="auto"/>
          <w:kern w:val="0"/>
          <w:sz w:val="32"/>
          <w:szCs w:val="32"/>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八、关于阜康市农业技术推广中心2019年年一般公共预算“三公”经费预算情况说明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阜康市农业技术推广中心2019年“三公”经费财政拨款控制数为3.25万元，其中：因公出国（境）费 0万元，公务用车购置0万元，公务用车运行费2.25万元，公务接待费预算控制数1万元。</w:t>
      </w:r>
    </w:p>
    <w:p>
      <w:pPr>
        <w:pStyle w:val="6"/>
        <w:ind w:firstLine="640" w:firstLineChars="200"/>
        <w:rPr>
          <w:rFonts w:ascii="仿宋_GB2312" w:eastAsia="仿宋_GB2312"/>
          <w:color w:val="auto"/>
          <w:sz w:val="32"/>
          <w:szCs w:val="32"/>
        </w:rPr>
      </w:pPr>
      <w:r>
        <w:rPr>
          <w:rFonts w:hint="eastAsia" w:ascii="仿宋_GB2312" w:eastAsia="仿宋_GB2312"/>
          <w:color w:val="auto"/>
          <w:sz w:val="32"/>
          <w:szCs w:val="32"/>
        </w:rPr>
        <w:t>2019年“三公”经费财政拨款预算比上年增加   0万元，其中：因公出国（境）费增加 0  万元，主要原因是我单位严格执行中央八项规定和自治区十条规定压减 0 经费；</w:t>
      </w:r>
      <w:r>
        <w:rPr>
          <w:rFonts w:hint="eastAsia" w:ascii="仿宋_GB2312" w:eastAsia="仿宋_GB2312"/>
          <w:color w:val="auto"/>
          <w:sz w:val="32"/>
          <w:szCs w:val="32"/>
          <w:highlight w:val="none"/>
        </w:rPr>
        <w:t>公务用车购置费为0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rPr>
        <w:t>。</w:t>
      </w:r>
      <w:r>
        <w:rPr>
          <w:rFonts w:hint="eastAsia" w:ascii="仿宋_GB2312" w:eastAsia="仿宋_GB2312"/>
          <w:color w:val="auto"/>
          <w:sz w:val="32"/>
          <w:szCs w:val="32"/>
        </w:rPr>
        <w:t>公务用车运行费增加0万元，主要原因是我单位严格执行中央八项规定和自治区十条规定压减 0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九、关于阜康市农业技术推广中心2019年政府性基金预算拨款情况说明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阜康市农业技术推广中心2019年没有使用政府性基金预算拨款安排的支出，政府性基金预算支出情况表为空表。</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十、其他重要事项的情况说明</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（一）机关运行经费情况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2019年，阜康市农业技术推广中心本级及下属  0家行政单位、  0家参公管理事业单位和 0 家事业单位的机关运行经费财政拨款预算18.49万元，比上年预算增加</w:t>
      </w:r>
      <w:r>
        <w:rPr>
          <w:rFonts w:hint="eastAsia" w:ascii="仿宋_GB2312" w:hAnsi="宋体" w:eastAsia="仿宋_GB2312" w:cs="宋体"/>
          <w:color w:val="auto"/>
          <w:kern w:val="0"/>
          <w:sz w:val="32"/>
          <w:szCs w:val="32"/>
          <w:lang w:val="en-US" w:eastAsia="zh-CN"/>
        </w:rPr>
        <w:t>18.49</w:t>
      </w:r>
      <w:r>
        <w:rPr>
          <w:rFonts w:hint="eastAsia" w:ascii="仿宋_GB2312" w:hAnsi="宋体" w:eastAsia="仿宋_GB2312" w:cs="宋体"/>
          <w:color w:val="auto"/>
          <w:kern w:val="0"/>
          <w:sz w:val="32"/>
          <w:szCs w:val="32"/>
        </w:rPr>
        <w:t>万元，增长</w:t>
      </w:r>
      <w:r>
        <w:rPr>
          <w:rFonts w:hint="eastAsia" w:ascii="仿宋_GB2312" w:hAnsi="宋体" w:eastAsia="仿宋_GB2312" w:cs="宋体"/>
          <w:color w:val="auto"/>
          <w:kern w:val="0"/>
          <w:sz w:val="32"/>
          <w:szCs w:val="32"/>
          <w:lang w:val="en-US" w:eastAsia="zh-CN"/>
        </w:rPr>
        <w:t>10</w:t>
      </w:r>
      <w:r>
        <w:rPr>
          <w:rFonts w:hint="eastAsia" w:ascii="仿宋_GB2312" w:hAnsi="宋体" w:eastAsia="仿宋_GB2312" w:cs="宋体"/>
          <w:color w:val="auto"/>
          <w:kern w:val="0"/>
          <w:sz w:val="32"/>
          <w:szCs w:val="32"/>
        </w:rPr>
        <w:t>0%。主要原因是</w:t>
      </w:r>
      <w:r>
        <w:rPr>
          <w:rFonts w:hint="eastAsia" w:ascii="仿宋_GB2312" w:hAnsi="宋体" w:eastAsia="仿宋_GB2312" w:cs="宋体"/>
          <w:color w:val="auto"/>
          <w:kern w:val="0"/>
          <w:sz w:val="32"/>
          <w:szCs w:val="32"/>
          <w:lang w:val="en-US" w:eastAsia="zh-CN"/>
        </w:rPr>
        <w:t>2018年未安排</w:t>
      </w:r>
      <w:r>
        <w:rPr>
          <w:rFonts w:hint="eastAsia" w:ascii="仿宋_GB2312" w:hAnsi="宋体" w:eastAsia="仿宋_GB2312" w:cs="宋体"/>
          <w:color w:val="auto"/>
          <w:kern w:val="0"/>
          <w:sz w:val="32"/>
          <w:szCs w:val="32"/>
        </w:rPr>
        <w:t>。</w:t>
      </w:r>
    </w:p>
    <w:p>
      <w:pPr>
        <w:widowControl/>
        <w:spacing w:line="580" w:lineRule="exact"/>
        <w:ind w:firstLine="640"/>
        <w:jc w:val="left"/>
        <w:rPr>
          <w:color w:val="auto"/>
          <w:sz w:val="36"/>
          <w:szCs w:val="36"/>
        </w:rPr>
      </w:pP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（二）政府采购情况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2019年，阜康市农业技术推广中心及下属单位政府采购预算0万元，其中：政府采购货物预算0万元，政府采购工程预算0万元，政府采购服务预算0万元。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仿宋_GB2312" w:eastAsia="仿宋_GB2312"/>
          <w:color w:val="auto"/>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（三）国有资产占用使用情况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截至2018年底，阜康市农业技术推广中心占用使用国有资产总体情况为</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1.房屋578.77平方米，价值 32.06万元。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2.车辆 3 辆，价值50.14万元；其中：一般公务用车 1</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辆，价值 15.26 万元；执法执勤用车 0 辆，价值 0 万元；其他车辆 2辆，价值 34.88 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3.办公家具价值 5.88万元。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4.其他资产价值332.63万元。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单位价值 50 万元以上大型设备 0 台（套），单位价值100 万元以上大型设备 0 台（套）。</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（四）预算绩效情况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2019年度，本年度实行绩效管理的项目</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个，涉及预算金额</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万元。具体情况见下表（按项目分别填报）：</w:t>
      </w:r>
    </w:p>
    <w:p>
      <w:pPr>
        <w:spacing w:line="500" w:lineRule="exact"/>
        <w:rPr>
          <w:rFonts w:ascii="仿宋_GB2312" w:hAnsi="宋体" w:eastAsia="仿宋_GB2312" w:cs="宋体"/>
          <w:color w:val="auto"/>
          <w:kern w:val="0"/>
          <w:sz w:val="32"/>
          <w:szCs w:val="32"/>
        </w:rPr>
      </w:pPr>
    </w:p>
    <w:p>
      <w:pPr>
        <w:spacing w:line="500" w:lineRule="exact"/>
        <w:rPr>
          <w:rFonts w:ascii="仿宋_GB2312" w:hAnsi="宋体" w:eastAsia="仿宋_GB2312" w:cs="宋体"/>
          <w:color w:val="auto"/>
          <w:kern w:val="0"/>
          <w:sz w:val="32"/>
          <w:szCs w:val="32"/>
        </w:rPr>
      </w:pPr>
    </w:p>
    <w:p>
      <w:pPr>
        <w:spacing w:line="500" w:lineRule="exact"/>
        <w:rPr>
          <w:rFonts w:ascii="仿宋_GB2312" w:hAnsi="宋体" w:eastAsia="仿宋_GB2312" w:cs="宋体"/>
          <w:color w:val="auto"/>
          <w:kern w:val="0"/>
          <w:sz w:val="32"/>
          <w:szCs w:val="32"/>
        </w:rPr>
      </w:pPr>
    </w:p>
    <w:p>
      <w:pPr>
        <w:widowControl/>
        <w:spacing w:line="600" w:lineRule="exact"/>
        <w:rPr>
          <w:rFonts w:ascii="仿宋_GB2312" w:hAnsi="宋体" w:eastAsia="仿宋_GB2312" w:cs="宋体"/>
          <w:color w:val="auto"/>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color w:val="auto"/>
                <w:kern w:val="0"/>
                <w:sz w:val="32"/>
                <w:szCs w:val="32"/>
              </w:rPr>
            </w:pPr>
            <w:r>
              <w:rPr>
                <w:rFonts w:hint="eastAsia" w:ascii="仿宋_GB2312" w:hAnsi="宋体" w:eastAsia="仿宋_GB2312"/>
                <w:b/>
                <w:color w:val="auto"/>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bl>
    <w:p>
      <w:pPr>
        <w:widowControl/>
        <w:spacing w:line="560" w:lineRule="exact"/>
        <w:ind w:firstLine="630" w:firstLineChars="196"/>
        <w:jc w:val="left"/>
        <w:rPr>
          <w:rFonts w:ascii="楷体_GB2312" w:hAnsi="宋体" w:eastAsia="楷体_GB2312" w:cs="宋体"/>
          <w:b/>
          <w:color w:val="auto"/>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（五）其他需说明的事项</w:t>
      </w:r>
    </w:p>
    <w:p>
      <w:pPr>
        <w:widowControl/>
        <w:spacing w:line="560" w:lineRule="exact"/>
        <w:ind w:firstLine="1600" w:firstLineChars="50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无</w:t>
      </w:r>
      <w:r>
        <w:rPr>
          <w:rFonts w:hint="eastAsia" w:ascii="仿宋_GB2312" w:hAnsi="宋体" w:eastAsia="仿宋_GB2312" w:cs="宋体"/>
          <w:color w:val="auto"/>
          <w:kern w:val="0"/>
          <w:sz w:val="32"/>
          <w:szCs w:val="32"/>
          <w:highlight w:val="none"/>
        </w:rPr>
        <w:t xml:space="preserve">     </w:t>
      </w:r>
    </w:p>
    <w:p>
      <w:pPr>
        <w:widowControl/>
        <w:spacing w:beforeLines="50"/>
        <w:jc w:val="center"/>
        <w:outlineLvl w:val="1"/>
        <w:rPr>
          <w:rFonts w:ascii="黑体" w:hAnsi="黑体" w:eastAsia="黑体"/>
          <w:color w:val="auto"/>
          <w:kern w:val="0"/>
          <w:sz w:val="32"/>
          <w:szCs w:val="32"/>
        </w:rPr>
      </w:pPr>
      <w:r>
        <w:rPr>
          <w:rFonts w:hint="eastAsia" w:ascii="黑体" w:hAnsi="黑体" w:eastAsia="黑体"/>
          <w:color w:val="auto"/>
          <w:kern w:val="0"/>
          <w:sz w:val="32"/>
          <w:szCs w:val="32"/>
        </w:rPr>
        <w:t>第四部分  名词解释</w:t>
      </w:r>
    </w:p>
    <w:p>
      <w:pPr>
        <w:widowControl/>
        <w:spacing w:line="56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名词解释：</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一、财政拨款：</w:t>
      </w:r>
      <w:r>
        <w:rPr>
          <w:rFonts w:hint="eastAsia" w:ascii="仿宋_GB2312" w:eastAsia="仿宋_GB2312"/>
          <w:color w:val="auto"/>
          <w:sz w:val="32"/>
          <w:szCs w:val="32"/>
        </w:rPr>
        <w:t>指由一般公共预算、政府性基金预算安排的财政拨款数。</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二、一般公共预算：</w:t>
      </w:r>
      <w:r>
        <w:rPr>
          <w:rFonts w:hint="eastAsia" w:ascii="仿宋_GB2312" w:eastAsia="仿宋_GB2312"/>
          <w:color w:val="auto"/>
          <w:sz w:val="32"/>
          <w:szCs w:val="32"/>
        </w:rPr>
        <w:t>包括公共财政拨款（补助）资金、专项收入。</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三、财政专户管理资金：</w:t>
      </w:r>
      <w:r>
        <w:rPr>
          <w:rFonts w:hint="eastAsia" w:ascii="仿宋_GB2312" w:eastAsia="仿宋_GB2312"/>
          <w:color w:val="auto"/>
          <w:sz w:val="32"/>
          <w:szCs w:val="32"/>
        </w:rPr>
        <w:t>包括专户管理行政事业性收费（主要是教育收费）、其他非税收入。</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四、其他资金：</w:t>
      </w:r>
      <w:r>
        <w:rPr>
          <w:rFonts w:hint="eastAsia" w:ascii="仿宋_GB2312" w:eastAsia="仿宋_GB2312"/>
          <w:color w:val="auto"/>
          <w:sz w:val="32"/>
          <w:szCs w:val="32"/>
        </w:rPr>
        <w:t>包括事业收入、经营收入、其他收入等。</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五、基本支出：</w:t>
      </w:r>
      <w:r>
        <w:rPr>
          <w:rFonts w:hint="eastAsia" w:ascii="仿宋_GB2312" w:eastAsia="仿宋_GB2312"/>
          <w:color w:val="auto"/>
          <w:sz w:val="32"/>
          <w:szCs w:val="32"/>
        </w:rPr>
        <w:t>包括人员经费、商品和服务支出（定额）。其中，人员经费包括工资福利支出、对个人和家庭的补助。</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六、项目支出：</w:t>
      </w:r>
      <w:r>
        <w:rPr>
          <w:rFonts w:hint="eastAsia" w:ascii="仿宋_GB2312" w:eastAsia="仿宋_GB2312"/>
          <w:color w:val="auto"/>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七、“三公”经费：</w:t>
      </w:r>
      <w:r>
        <w:rPr>
          <w:rFonts w:hint="eastAsia" w:ascii="仿宋_GB2312" w:eastAsia="仿宋_GB2312"/>
          <w:color w:val="auto"/>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八、机关运行经费：</w:t>
      </w:r>
      <w:r>
        <w:rPr>
          <w:rFonts w:hint="eastAsia" w:ascii="仿宋_GB2312" w:eastAsia="仿宋_GB2312"/>
          <w:color w:val="auto"/>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w:t>
      </w:r>
    </w:p>
    <w:p>
      <w:pPr>
        <w:widowControl/>
        <w:spacing w:line="560" w:lineRule="exact"/>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阜康市农业技术推广中心</w:t>
      </w:r>
    </w:p>
    <w:p>
      <w:pPr>
        <w:widowControl/>
        <w:spacing w:line="560" w:lineRule="exact"/>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2019</w:t>
      </w:r>
      <w:r>
        <w:rPr>
          <w:rFonts w:ascii="仿宋_GB2312" w:hAnsi="宋体" w:eastAsia="仿宋_GB2312" w:cs="宋体"/>
          <w:color w:val="auto"/>
          <w:kern w:val="0"/>
          <w:sz w:val="32"/>
          <w:szCs w:val="32"/>
        </w:rPr>
        <w:t>年</w:t>
      </w:r>
      <w:r>
        <w:rPr>
          <w:rFonts w:hint="eastAsia" w:ascii="仿宋_GB2312" w:hAnsi="宋体" w:eastAsia="仿宋_GB2312" w:cs="宋体"/>
          <w:color w:val="auto"/>
          <w:kern w:val="0"/>
          <w:sz w:val="32"/>
          <w:szCs w:val="32"/>
        </w:rPr>
        <w:t>2</w:t>
      </w:r>
      <w:r>
        <w:rPr>
          <w:rFonts w:ascii="仿宋_GB2312" w:hAnsi="宋体" w:eastAsia="仿宋_GB2312" w:cs="宋体"/>
          <w:color w:val="auto"/>
          <w:kern w:val="0"/>
          <w:sz w:val="32"/>
          <w:szCs w:val="32"/>
        </w:rPr>
        <w:t>月</w:t>
      </w:r>
      <w:r>
        <w:rPr>
          <w:rFonts w:hint="eastAsia" w:ascii="仿宋_GB2312" w:hAnsi="宋体" w:eastAsia="仿宋_GB2312" w:cs="宋体"/>
          <w:color w:val="auto"/>
          <w:kern w:val="0"/>
          <w:sz w:val="32"/>
          <w:szCs w:val="32"/>
        </w:rPr>
        <w:t>10</w:t>
      </w:r>
      <w:r>
        <w:rPr>
          <w:rFonts w:ascii="仿宋_GB2312" w:hAnsi="宋体" w:eastAsia="仿宋_GB2312" w:cs="宋体"/>
          <w:color w:val="auto"/>
          <w:kern w:val="0"/>
          <w:sz w:val="32"/>
          <w:szCs w:val="32"/>
        </w:rPr>
        <w:t>日</w:t>
      </w:r>
    </w:p>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1A999"/>
    <w:multiLevelType w:val="singleLevel"/>
    <w:tmpl w:val="2301A99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5144"/>
    <w:rsid w:val="000242A1"/>
    <w:rsid w:val="001833B0"/>
    <w:rsid w:val="002B5144"/>
    <w:rsid w:val="00325B17"/>
    <w:rsid w:val="003568F1"/>
    <w:rsid w:val="004F1DD6"/>
    <w:rsid w:val="005038A2"/>
    <w:rsid w:val="005127F0"/>
    <w:rsid w:val="00757310"/>
    <w:rsid w:val="00841512"/>
    <w:rsid w:val="00D95B2F"/>
    <w:rsid w:val="00E12D16"/>
    <w:rsid w:val="00EE458B"/>
    <w:rsid w:val="00F22B5E"/>
    <w:rsid w:val="00F449A9"/>
    <w:rsid w:val="00FC6ABD"/>
    <w:rsid w:val="01CD67DD"/>
    <w:rsid w:val="09F55C81"/>
    <w:rsid w:val="0CFA4FBD"/>
    <w:rsid w:val="0D3C0923"/>
    <w:rsid w:val="0E3226A7"/>
    <w:rsid w:val="116B6C17"/>
    <w:rsid w:val="1C0E0146"/>
    <w:rsid w:val="1D5C446B"/>
    <w:rsid w:val="23A30495"/>
    <w:rsid w:val="24907C1A"/>
    <w:rsid w:val="250F2BC6"/>
    <w:rsid w:val="2778198B"/>
    <w:rsid w:val="29482BF3"/>
    <w:rsid w:val="2EE86825"/>
    <w:rsid w:val="31E15190"/>
    <w:rsid w:val="34E521C3"/>
    <w:rsid w:val="36A5791B"/>
    <w:rsid w:val="39095BB4"/>
    <w:rsid w:val="3C7124DB"/>
    <w:rsid w:val="3F611D03"/>
    <w:rsid w:val="43F91281"/>
    <w:rsid w:val="47B002F1"/>
    <w:rsid w:val="491114F0"/>
    <w:rsid w:val="49442AEE"/>
    <w:rsid w:val="4D1D6A95"/>
    <w:rsid w:val="507066C1"/>
    <w:rsid w:val="50E04081"/>
    <w:rsid w:val="51967D4E"/>
    <w:rsid w:val="52170D00"/>
    <w:rsid w:val="59214B29"/>
    <w:rsid w:val="5C6E6CE1"/>
    <w:rsid w:val="5E0F30B0"/>
    <w:rsid w:val="60CA6832"/>
    <w:rsid w:val="60DD637A"/>
    <w:rsid w:val="63E8299A"/>
    <w:rsid w:val="669004CF"/>
    <w:rsid w:val="68331D1B"/>
    <w:rsid w:val="6891273F"/>
    <w:rsid w:val="692557B2"/>
    <w:rsid w:val="75611508"/>
    <w:rsid w:val="770A69E3"/>
    <w:rsid w:val="7AFE09DC"/>
    <w:rsid w:val="7DB9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1550</Words>
  <Characters>8837</Characters>
  <Lines>73</Lines>
  <Paragraphs>20</Paragraphs>
  <TotalTime>11</TotalTime>
  <ScaleCrop>false</ScaleCrop>
  <LinksUpToDate>false</LinksUpToDate>
  <CharactersWithSpaces>10367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♥夏汐</cp:lastModifiedBy>
  <cp:lastPrinted>2021-05-28T07:55:00Z</cp:lastPrinted>
  <dcterms:modified xsi:type="dcterms:W3CDTF">2021-07-08T04:18:57Z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F8AD5E4B181D46B290AAFD191512C947</vt:lpwstr>
  </property>
</Properties>
</file>