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r>
        <w:rPr>
          <w:rFonts w:hint="eastAsia" w:ascii="黑体" w:hAnsi="黑体" w:eastAsia="黑体" w:cs="宋体"/>
          <w:kern w:val="0"/>
          <w:sz w:val="32"/>
          <w:szCs w:val="32"/>
        </w:rPr>
        <w:t xml:space="preserve"> </w:t>
      </w: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昌吉州阜康市农业局2019年部门预算公开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阜康市农业局单位概况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一、关于阜康市农业局2019年收支预算情况的总体说明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二、关于阜康市农业局2019年收入预算情况说明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三、关于阜康市农业局2019年年支出预算情况说明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阜康市农业局2019年</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五、关于阜康市农业局2019年一般公共预算当年拨款情况说明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六、关于阜康市农业局2019年一般公共预算基本支出情况说明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七、关于阜康市农业局2019年项目支出情况说明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八、关于阜康市农业局2019年一般公共预算“三公”经费预算情况说明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九、关于阜康市农业局2019年政府性基金预算拨款情况说明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阜康市农业局概况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黑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阜康市农业局是人民政府主管农业和农村经济发展的工作部门，在市农业局增挂“阜康市乡镇企业局、阜康市农业产业化发展局、阜康市农产品加工局”的牌子，实行一套班子，四块牌子，具体承担农业技术的管理、服务、咨询和培训，农业执法，农业科技的培训、农业跟踪服务、信息服务等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阜康市农业局无下属预算单位，下设4个处室，分别是：设办公室、生产信息科技科、农业产业化发展科、政策法规科。</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阜康市农业局编制数9名，实有人数7人，其中：在职7人，增加2人； 退休7人，增加1人；离休0人，增加0人。</w:t>
      </w:r>
    </w:p>
    <w:p>
      <w:pPr>
        <w:widowControl/>
        <w:spacing w:line="560" w:lineRule="exact"/>
        <w:ind w:firstLine="640"/>
        <w:jc w:val="left"/>
        <w:rPr>
          <w:rFonts w:hint="eastAsia" w:ascii="仿宋_GB2312" w:hAnsi="宋体" w:eastAsia="仿宋_GB2312" w:cs="宋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p>
    <w:p>
      <w:pPr>
        <w:widowControl/>
        <w:spacing w:beforeLines="50"/>
        <w:outlineLvl w:val="1"/>
        <w:rPr>
          <w:rFonts w:ascii="黑体" w:hAnsi="黑体" w:eastAsia="黑体"/>
          <w:kern w:val="0"/>
          <w:sz w:val="32"/>
          <w:szCs w:val="32"/>
        </w:rPr>
      </w:pPr>
    </w:p>
    <w:p>
      <w:pPr>
        <w:widowControl/>
        <w:spacing w:beforeLines="50"/>
        <w:ind w:firstLine="1600" w:firstLineChars="500"/>
        <w:outlineLvl w:val="1"/>
        <w:rPr>
          <w:rFonts w:ascii="黑体" w:hAnsi="黑体" w:eastAsia="黑体"/>
          <w:kern w:val="0"/>
          <w:sz w:val="32"/>
          <w:szCs w:val="32"/>
        </w:rPr>
      </w:pPr>
      <w:r>
        <w:rPr>
          <w:rFonts w:hint="eastAsia" w:ascii="黑体" w:hAnsi="黑体" w:eastAsia="黑体"/>
          <w:kern w:val="0"/>
          <w:sz w:val="32"/>
          <w:szCs w:val="32"/>
        </w:rPr>
        <w:t>第二部分  2019年阜康市农业局预算公开表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阜康市农业局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96.64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96.64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8.94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11.38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69.9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6.42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96.64</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96.64</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96.64</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96.64</w:t>
            </w:r>
          </w:p>
        </w:tc>
      </w:tr>
    </w:tbl>
    <w:p>
      <w:pPr>
        <w:widowControl/>
        <w:jc w:val="left"/>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填报部门：阜康市农业局                                  单位：万元</w:t>
      </w:r>
    </w:p>
    <w:tbl>
      <w:tblPr>
        <w:tblStyle w:val="7"/>
        <w:tblW w:w="9740" w:type="dxa"/>
        <w:tblInd w:w="7" w:type="dxa"/>
        <w:tblLayout w:type="fixed"/>
        <w:tblCellMar>
          <w:top w:w="0" w:type="dxa"/>
          <w:left w:w="108" w:type="dxa"/>
          <w:bottom w:w="0" w:type="dxa"/>
          <w:right w:w="108" w:type="dxa"/>
        </w:tblCellMar>
      </w:tblPr>
      <w:tblGrid>
        <w:gridCol w:w="503"/>
        <w:gridCol w:w="417"/>
        <w:gridCol w:w="417"/>
        <w:gridCol w:w="2145"/>
        <w:gridCol w:w="820"/>
        <w:gridCol w:w="784"/>
        <w:gridCol w:w="576"/>
        <w:gridCol w:w="680"/>
        <w:gridCol w:w="680"/>
        <w:gridCol w:w="680"/>
        <w:gridCol w:w="680"/>
        <w:gridCol w:w="680"/>
        <w:gridCol w:w="678"/>
      </w:tblGrid>
      <w:tr>
        <w:tblPrEx>
          <w:tblCellMar>
            <w:top w:w="0" w:type="dxa"/>
            <w:left w:w="108" w:type="dxa"/>
            <w:bottom w:w="0" w:type="dxa"/>
            <w:right w:w="108" w:type="dxa"/>
          </w:tblCellMar>
        </w:tblPrEx>
        <w:trPr>
          <w:trHeight w:val="510" w:hRule="atLeast"/>
        </w:trPr>
        <w:tc>
          <w:tcPr>
            <w:tcW w:w="133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8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7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05</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机关事业单位基本养老保险缴费支出</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8.94</w:t>
            </w:r>
          </w:p>
        </w:tc>
        <w:tc>
          <w:tcPr>
            <w:tcW w:w="784"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8.94</w:t>
            </w:r>
          </w:p>
        </w:tc>
        <w:tc>
          <w:tcPr>
            <w:tcW w:w="57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行政单位医疗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8.64</w:t>
            </w:r>
          </w:p>
        </w:tc>
        <w:tc>
          <w:tcPr>
            <w:tcW w:w="7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8.64</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03</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公务员医疗</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2.74</w:t>
            </w:r>
          </w:p>
        </w:tc>
        <w:tc>
          <w:tcPr>
            <w:tcW w:w="7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2.74</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行政运行</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69.9</w:t>
            </w:r>
          </w:p>
        </w:tc>
        <w:tc>
          <w:tcPr>
            <w:tcW w:w="7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69.9</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01</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住房公积金</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6.42</w:t>
            </w:r>
          </w:p>
        </w:tc>
        <w:tc>
          <w:tcPr>
            <w:tcW w:w="78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6.42</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0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96.64</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96.64</w:t>
            </w:r>
          </w:p>
        </w:tc>
        <w:tc>
          <w:tcPr>
            <w:tcW w:w="57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编制部门：阜康市农业局                                   单位：万元                   </w:t>
      </w:r>
    </w:p>
    <w:tbl>
      <w:tblPr>
        <w:tblStyle w:val="7"/>
        <w:tblW w:w="9258" w:type="dxa"/>
        <w:tblInd w:w="93" w:type="dxa"/>
        <w:tblLayout w:type="fixed"/>
        <w:tblCellMar>
          <w:top w:w="0" w:type="dxa"/>
          <w:left w:w="108" w:type="dxa"/>
          <w:bottom w:w="0" w:type="dxa"/>
          <w:right w:w="108" w:type="dxa"/>
        </w:tblCellMar>
      </w:tblPr>
      <w:tblGrid>
        <w:gridCol w:w="514"/>
        <w:gridCol w:w="480"/>
        <w:gridCol w:w="529"/>
        <w:gridCol w:w="2282"/>
        <w:gridCol w:w="29"/>
        <w:gridCol w:w="1826"/>
        <w:gridCol w:w="29"/>
        <w:gridCol w:w="1827"/>
        <w:gridCol w:w="29"/>
        <w:gridCol w:w="1684"/>
        <w:gridCol w:w="29"/>
      </w:tblGrid>
      <w:tr>
        <w:tblPrEx>
          <w:tblCellMar>
            <w:top w:w="0" w:type="dxa"/>
            <w:left w:w="108" w:type="dxa"/>
            <w:bottom w:w="0" w:type="dxa"/>
            <w:right w:w="108" w:type="dxa"/>
          </w:tblCellMar>
        </w:tblPrEx>
        <w:trPr>
          <w:gridAfter w:val="1"/>
          <w:wAfter w:w="29" w:type="dxa"/>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gridAfter w:val="1"/>
          <w:wAfter w:w="29" w:type="dxa"/>
          <w:trHeight w:val="480" w:hRule="atLeast"/>
        </w:trPr>
        <w:tc>
          <w:tcPr>
            <w:tcW w:w="152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82"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11"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gridSpan w:val="2"/>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208</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05</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机关事业单位基本养老保险缴费支出</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8.94</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8.94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行政单位医疗</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8.64</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8.64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210</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11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03</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公务员医疗</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2.74</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2.74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213</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行政运行</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69.9</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69.9</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221</w:t>
            </w:r>
          </w:p>
        </w:tc>
        <w:tc>
          <w:tcPr>
            <w:tcW w:w="48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02</w:t>
            </w:r>
          </w:p>
        </w:tc>
        <w:tc>
          <w:tcPr>
            <w:tcW w:w="529"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16"/>
                <w:szCs w:val="16"/>
              </w:rPr>
            </w:pPr>
            <w:r>
              <w:rPr>
                <w:rFonts w:hint="eastAsia" w:ascii="仿宋_GB2312" w:eastAsia="仿宋_GB2312"/>
                <w:color w:val="000000"/>
                <w:sz w:val="18"/>
                <w:szCs w:val="18"/>
              </w:rPr>
              <w:t>01</w:t>
            </w:r>
          </w:p>
        </w:tc>
        <w:tc>
          <w:tcPr>
            <w:tcW w:w="2311" w:type="dxa"/>
            <w:gridSpan w:val="2"/>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18"/>
                <w:szCs w:val="18"/>
              </w:rPr>
              <w:t>住房公积金</w:t>
            </w:r>
          </w:p>
        </w:tc>
        <w:tc>
          <w:tcPr>
            <w:tcW w:w="185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6.42</w:t>
            </w:r>
          </w:p>
        </w:tc>
        <w:tc>
          <w:tcPr>
            <w:tcW w:w="1856"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6.42</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2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96.64</w:t>
            </w:r>
          </w:p>
        </w:tc>
        <w:tc>
          <w:tcPr>
            <w:tcW w:w="1856"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96.64</w:t>
            </w:r>
          </w:p>
        </w:tc>
        <w:tc>
          <w:tcPr>
            <w:tcW w:w="171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阜康市农业局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96.64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96.64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8.94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8.94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11.38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11.38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69.9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69.9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6.42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6.42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color w:val="000000"/>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color w:val="000000"/>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96.64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96.64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r>
              <w:rPr>
                <w:rFonts w:hint="eastAsia" w:ascii="宋体" w:hAnsi="宋体" w:cs="宋体"/>
                <w:kern w:val="0"/>
                <w:szCs w:val="21"/>
              </w:rPr>
              <w:t>96.64</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96.64</w:t>
            </w:r>
            <w:r>
              <w:rPr>
                <w:rFonts w:hint="eastAsia" w:ascii="宋体" w:hAnsi="宋体"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tabs>
                <w:tab w:val="left" w:pos="470"/>
                <w:tab w:val="right" w:pos="1532"/>
              </w:tabs>
              <w:jc w:val="right"/>
              <w:rPr>
                <w:rFonts w:ascii="宋体" w:hAnsi="宋体" w:cs="宋体"/>
                <w:kern w:val="0"/>
                <w:szCs w:val="21"/>
              </w:rPr>
            </w:pPr>
            <w:r>
              <w:rPr>
                <w:rFonts w:hint="eastAsia" w:ascii="宋体" w:hAnsi="宋体" w:cs="宋体"/>
                <w:color w:val="000000"/>
                <w:kern w:val="0"/>
                <w:szCs w:val="21"/>
              </w:rPr>
              <w:tab/>
            </w:r>
            <w:r>
              <w:rPr>
                <w:rFonts w:hint="eastAsia" w:ascii="宋体" w:hAnsi="宋体" w:cs="宋体"/>
                <w:kern w:val="0"/>
                <w:szCs w:val="21"/>
              </w:rPr>
              <w:t>96.64</w:t>
            </w:r>
            <w:r>
              <w:rPr>
                <w:rFonts w:hint="eastAsia" w:ascii="宋体" w:hAnsi="宋体" w:cs="宋体"/>
                <w:color w:val="000000"/>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96.64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color w:val="000000"/>
                <w:kern w:val="0"/>
                <w:szCs w:val="21"/>
              </w:rPr>
              <w:t>96.64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color w:val="000000"/>
                <w:kern w:val="0"/>
                <w:szCs w:val="21"/>
              </w:rPr>
              <w:t>96.64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16"/>
        <w:gridCol w:w="417"/>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编制部门：阜康市农业局</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05</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18"/>
                <w:szCs w:val="18"/>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8.94</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8.94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8.64</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8.64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03</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公务员医疗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2.74</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2.74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213</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69.9</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69.9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221</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18"/>
                <w:szCs w:val="18"/>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6.42</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6.42</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96.64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96.64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编制部门：阜康市农业局</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22.77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22.77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20.68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20.68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ind w:right="147" w:rightChars="70"/>
              <w:jc w:val="right"/>
              <w:rPr>
                <w:rFonts w:ascii="宋体" w:hAnsi="宋体" w:cs="宋体"/>
                <w:color w:val="000000"/>
                <w:kern w:val="0"/>
                <w:sz w:val="20"/>
                <w:szCs w:val="20"/>
              </w:rPr>
            </w:pPr>
            <w:r>
              <w:rPr>
                <w:rFonts w:hint="eastAsia" w:ascii="宋体" w:hAnsi="宋体" w:cs="宋体"/>
                <w:color w:val="000000"/>
                <w:kern w:val="0"/>
                <w:sz w:val="20"/>
                <w:szCs w:val="20"/>
              </w:rPr>
              <w:t>1.98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机关事业基本养老保险缴费支出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8.94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8.94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8.64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8.64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公务员医疗补助经费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2.74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2.74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6.42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6.42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8.82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8.82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0.28</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0.42</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2.1</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0.43</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2.52</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0.63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96.64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82.34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14.3</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编制部门：阜康市农业局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36"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19"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c>
          <w:tcPr>
            <w:tcW w:w="397" w:type="dxa"/>
            <w:gridSpan w:val="2"/>
            <w:shd w:val="clear" w:color="auto" w:fill="auto"/>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备注：2019年未安排项目支出预算，因此没有使用项目支出预算拨款安排的支出，项目支出预算支出情况表为空表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编制单位：阜康市农业局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4.52</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2.52</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2.52</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2</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 阜康市农业局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关于阜康市农业局收支预算情况的总体说明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按照全口径预算的原则，阜康市农业局所有收入和支出均纳入部门预算管理。收支总预算96.64万元。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收入预算包括：一般公共预算96.64万元。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支出预算包括：社会保障和就业支出8.94万元、医疗卫生与计划生育支出11.38万元、农林水支出69.9万元、住房保障支出6.42万元。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二、关于阜康市农业局2019年收入预算情况说明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阜康市农业局收入预算96.64万元，其中：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一般公共预算96.64万元，占100%，比上年减少26.08万元，主要原因是2019年没有抚恤金的预算； </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三、关于阜康市农业局2019年支出预算情况说明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阜康市农业局2019年支出预算96.64万元，其中：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基本支出96.64万元，占100 %，比上年减少26.08万元，主要原因是2019年没有抚恤金的预算支出。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0万元，占0 %，比上年减少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万元，主要原因是2019年预算未下达项目支出。</w:t>
      </w:r>
    </w:p>
    <w:p>
      <w:pPr>
        <w:widowControl/>
        <w:spacing w:line="580" w:lineRule="exact"/>
        <w:jc w:val="left"/>
        <w:rPr>
          <w:rFonts w:ascii="黑体" w:hAnsi="黑体" w:eastAsia="黑体" w:cs="宋体"/>
          <w:bCs/>
          <w:kern w:val="0"/>
          <w:sz w:val="32"/>
          <w:szCs w:val="32"/>
        </w:rPr>
      </w:pP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四、关于阜康市农业局2019年财政拨款收支预算情况的总体说明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2019年财政拨款收支总预算96.64万元。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支出预算包括：社会保障和就业支出8.94万元，主要用于单位职工离退休人员津贴补贴、机关事业单位基本养老保险费等；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医疗卫生与计划生育支出11.38万元，主要用于单位公务员医疗补助。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农林水支出69.9万元，主要用于单位人员生育、医疗、工伤保险、奖金等；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住房保障支出6.42万元，主要用于单位职工住房公积金。</w:t>
      </w:r>
    </w:p>
    <w:p>
      <w:pPr>
        <w:widowControl/>
        <w:spacing w:line="580" w:lineRule="exact"/>
        <w:ind w:firstLine="640"/>
        <w:jc w:val="left"/>
        <w:rPr>
          <w:rFonts w:ascii="黑体" w:hAnsi="宋体" w:eastAsia="黑体"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五、关于阜康市农业局2019年年一般公共预算当年拨款情况说明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阜康市农业局2019年一般公共</w:t>
      </w:r>
      <w:r>
        <w:rPr>
          <w:rFonts w:hint="eastAsia" w:ascii="仿宋_GB2312" w:hAnsi="宋体" w:eastAsia="仿宋_GB2312" w:cs="宋体"/>
          <w:kern w:val="0"/>
          <w:sz w:val="32"/>
          <w:szCs w:val="32"/>
          <w:highlight w:val="none"/>
        </w:rPr>
        <w:t>预算拨款基本支出96.64 万元，比上年执行数增加比上年减少26.08万元</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下降36.96%</w:t>
      </w:r>
      <w:r>
        <w:rPr>
          <w:rFonts w:hint="eastAsia" w:ascii="仿宋_GB2312" w:hAnsi="宋体" w:eastAsia="仿宋_GB2312" w:cs="宋体"/>
          <w:kern w:val="0"/>
          <w:sz w:val="32"/>
          <w:szCs w:val="32"/>
        </w:rPr>
        <w:t>主要原因是2019年没有抚恤金</w:t>
      </w:r>
      <w:r>
        <w:rPr>
          <w:rFonts w:hint="eastAsia" w:ascii="仿宋_GB2312" w:hAnsi="宋体" w:eastAsia="仿宋_GB2312" w:cs="宋体"/>
          <w:kern w:val="0"/>
          <w:sz w:val="32"/>
          <w:szCs w:val="32"/>
          <w:lang w:val="en-US" w:eastAsia="zh-CN"/>
        </w:rPr>
        <w:t>及绩效奖</w:t>
      </w:r>
      <w:r>
        <w:rPr>
          <w:rFonts w:hint="eastAsia" w:ascii="仿宋_GB2312" w:hAnsi="宋体" w:eastAsia="仿宋_GB2312" w:cs="宋体"/>
          <w:kern w:val="0"/>
          <w:sz w:val="32"/>
          <w:szCs w:val="32"/>
        </w:rPr>
        <w:t xml:space="preserve">的预算；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bookmarkStart w:id="0" w:name="_GoBack"/>
      <w:r>
        <w:rPr>
          <w:rFonts w:hint="eastAsia" w:ascii="仿宋_GB2312" w:eastAsia="仿宋_GB2312"/>
          <w:sz w:val="32"/>
          <w:szCs w:val="32"/>
        </w:rPr>
        <w:t>1.一般公共服务（类）96.64</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万元，占100 %。</w:t>
      </w:r>
    </w:p>
    <w:bookmarkEnd w:id="0"/>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highlight w:val="none"/>
        </w:rPr>
        <w:t xml:space="preserve"> 社会保障和就业支出8.94万元</w:t>
      </w:r>
      <w:r>
        <w:rPr>
          <w:rFonts w:hint="default" w:ascii="仿宋_GB2312" w:hAnsi="宋体" w:eastAsia="仿宋_GB2312" w:cs="宋体"/>
          <w:kern w:val="0"/>
          <w:sz w:val="32"/>
          <w:szCs w:val="32"/>
          <w:highlight w:val="none"/>
          <w:lang w:val="en-US"/>
        </w:rPr>
        <w:t>,</w:t>
      </w:r>
      <w:r>
        <w:rPr>
          <w:rFonts w:hint="eastAsia" w:ascii="仿宋_GB2312" w:hAnsi="宋体" w:eastAsia="仿宋_GB2312" w:cs="宋体"/>
          <w:kern w:val="0"/>
          <w:sz w:val="32"/>
          <w:szCs w:val="32"/>
          <w:highlight w:val="none"/>
          <w:lang w:val="en-US" w:eastAsia="zh-CN"/>
        </w:rPr>
        <w:t>占9.25%</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医疗卫生与计划生育支出11.38万元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占11.78%</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农林水支出69.9万元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占72.33%</w:t>
      </w:r>
      <w:r>
        <w:rPr>
          <w:rFonts w:hint="eastAsia" w:ascii="仿宋_GB2312" w:hAnsi="宋体" w:eastAsia="仿宋_GB2312" w:cs="宋体"/>
          <w:kern w:val="0"/>
          <w:sz w:val="32"/>
          <w:szCs w:val="32"/>
          <w:highlight w:val="none"/>
        </w:rPr>
        <w:t>。</w:t>
      </w:r>
    </w:p>
    <w:p>
      <w:pPr>
        <w:spacing w:line="580" w:lineRule="exact"/>
        <w:ind w:firstLine="960" w:firstLineChars="3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住房保障支出6.42万元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占6.64%</w:t>
      </w:r>
      <w:r>
        <w:rPr>
          <w:rFonts w:hint="eastAsia" w:ascii="仿宋_GB2312" w:hAnsi="宋体" w:eastAsia="仿宋_GB2312" w:cs="宋体"/>
          <w:kern w:val="0"/>
          <w:sz w:val="32"/>
          <w:szCs w:val="32"/>
          <w:highlight w:val="none"/>
        </w:rPr>
        <w:t>。</w:t>
      </w:r>
    </w:p>
    <w:p>
      <w:pPr>
        <w:spacing w:line="580" w:lineRule="exact"/>
        <w:ind w:firstLine="640"/>
        <w:rPr>
          <w:rFonts w:ascii="仿宋_GB2312" w:hAnsi="宋体" w:eastAsia="仿宋_GB2312" w:cs="宋体"/>
          <w:kern w:val="0"/>
          <w:sz w:val="32"/>
          <w:szCs w:val="32"/>
        </w:rPr>
      </w:pPr>
    </w:p>
    <w:p>
      <w:pPr>
        <w:widowControl/>
        <w:numPr>
          <w:ilvl w:val="0"/>
          <w:numId w:val="1"/>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一般公共预算当年拨款具体使用情况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1、社会保障和就业</w:t>
      </w:r>
      <w:r>
        <w:rPr>
          <w:rFonts w:hint="eastAsia" w:ascii="仿宋_GB2312" w:eastAsia="仿宋_GB2312"/>
          <w:sz w:val="32"/>
          <w:szCs w:val="32"/>
        </w:rPr>
        <w:t>（类）行政事业单位单位离退休</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highlight w:val="yellow"/>
        </w:rPr>
        <w:t xml:space="preserve"> </w:t>
      </w:r>
      <w:r>
        <w:rPr>
          <w:rFonts w:hint="eastAsia" w:ascii="仿宋_GB2312" w:hAnsi="宋体" w:eastAsia="仿宋_GB2312" w:cs="宋体"/>
          <w:kern w:val="0"/>
          <w:sz w:val="32"/>
          <w:szCs w:val="32"/>
          <w:highlight w:val="none"/>
        </w:rPr>
        <w:t>8.94万元。比上年执行数增加0.62万元，增长0.07%。增加原因为人员增加。</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行政单位医疗</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2019年预算数为 8.64万元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比上年执行数增加 2.</w:t>
      </w:r>
      <w:r>
        <w:rPr>
          <w:rFonts w:hint="eastAsia" w:ascii="仿宋_GB2312" w:hAnsi="宋体" w:eastAsia="仿宋_GB2312" w:cs="宋体"/>
          <w:kern w:val="0"/>
          <w:sz w:val="32"/>
          <w:szCs w:val="32"/>
          <w:highlight w:val="none"/>
          <w:lang w:val="en-US" w:eastAsia="zh-CN"/>
        </w:rPr>
        <w:t>25</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35.21</w:t>
      </w:r>
      <w:r>
        <w:rPr>
          <w:rFonts w:hint="eastAsia" w:ascii="仿宋_GB2312" w:hAnsi="宋体" w:eastAsia="仿宋_GB2312" w:cs="宋体"/>
          <w:kern w:val="0"/>
          <w:sz w:val="32"/>
          <w:szCs w:val="32"/>
          <w:highlight w:val="none"/>
        </w:rPr>
        <w:t>%。增加原因为人员增加。</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公务员医疗补助</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2019年年初预算数</w:t>
      </w:r>
      <w:r>
        <w:rPr>
          <w:rFonts w:hint="eastAsia" w:ascii="仿宋_GB2312" w:hAnsi="宋体" w:eastAsia="仿宋_GB2312" w:cs="宋体"/>
          <w:kern w:val="0"/>
          <w:sz w:val="32"/>
          <w:szCs w:val="32"/>
          <w:highlight w:val="none"/>
        </w:rPr>
        <w:t xml:space="preserve">2.74万元。比上年执行数增加 </w:t>
      </w:r>
      <w:r>
        <w:rPr>
          <w:rFonts w:hint="eastAsia" w:ascii="仿宋_GB2312" w:hAnsi="宋体" w:eastAsia="仿宋_GB2312" w:cs="宋体"/>
          <w:kern w:val="0"/>
          <w:sz w:val="32"/>
          <w:szCs w:val="32"/>
          <w:highlight w:val="none"/>
          <w:lang w:val="en-US" w:eastAsia="zh-CN"/>
        </w:rPr>
        <w:t>0.07</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2.55</w:t>
      </w:r>
      <w:r>
        <w:rPr>
          <w:rFonts w:hint="eastAsia" w:ascii="仿宋_GB2312" w:hAnsi="宋体" w:eastAsia="仿宋_GB2312" w:cs="宋体"/>
          <w:kern w:val="0"/>
          <w:sz w:val="32"/>
          <w:szCs w:val="32"/>
          <w:highlight w:val="none"/>
        </w:rPr>
        <w:t>%。增加原因为人员增加。</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3、农林水支出</w:t>
      </w:r>
      <w:r>
        <w:rPr>
          <w:rFonts w:hint="eastAsia" w:ascii="仿宋_GB2312" w:eastAsia="仿宋_GB2312"/>
          <w:sz w:val="32"/>
          <w:szCs w:val="32"/>
          <w:highlight w:val="none"/>
        </w:rPr>
        <w:t>（类）水利</w:t>
      </w:r>
      <w:r>
        <w:rPr>
          <w:rFonts w:ascii="仿宋_GB2312" w:hAnsi="宋体" w:eastAsia="仿宋_GB2312" w:cs="宋体"/>
          <w:kern w:val="0"/>
          <w:sz w:val="32"/>
          <w:szCs w:val="32"/>
          <w:highlight w:val="none"/>
        </w:rPr>
        <w:t>（款）行政运行（项）</w:t>
      </w:r>
      <w:r>
        <w:rPr>
          <w:rFonts w:hint="eastAsia" w:ascii="仿宋_GB2312" w:hAnsi="宋体" w:eastAsia="仿宋_GB2312" w:cs="宋体"/>
          <w:kern w:val="0"/>
          <w:sz w:val="32"/>
          <w:szCs w:val="32"/>
          <w:highlight w:val="none"/>
        </w:rPr>
        <w:t>：2019年预算数为 69.9万元。比上年执行数减少35.3 万元，减少 36%，减少原因为2019年绩效奖金及业务费未纳入预算及公积金调整科目。</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4、房屋保障支出</w:t>
      </w:r>
      <w:r>
        <w:rPr>
          <w:rFonts w:hint="eastAsia" w:ascii="仿宋_GB2312" w:eastAsia="仿宋_GB2312"/>
          <w:sz w:val="32"/>
          <w:szCs w:val="32"/>
          <w:highlight w:val="none"/>
        </w:rPr>
        <w:t>（类）住房改革支出</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住房公积金</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2019年预算数为6.42万元。比上年执行数增加6.42万元。增长100%。增加原因2019年调整了预算科目。</w:t>
      </w:r>
    </w:p>
    <w:p>
      <w:pPr>
        <w:widowControl/>
        <w:spacing w:line="580" w:lineRule="exact"/>
        <w:jc w:val="left"/>
        <w:rPr>
          <w:rFonts w:ascii="楷体_GB2312" w:hAnsi="宋体" w:eastAsia="楷体_GB2312" w:cs="宋体"/>
          <w:b/>
          <w:kern w:val="0"/>
          <w:sz w:val="32"/>
          <w:szCs w:val="32"/>
          <w:highlight w:val="none"/>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六、关于阜康市农业局2019年一般公共预算基本支出情况说明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阜康市农业局2019年一般公共预算基本支出96.64万元，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82.34万元，主要包括：基本工资、津贴补贴、奖金、机关事业单位基本养老保险缴费、职工基本医疗保险缴费、公务员医疗补助缴费、其他社会保障缴费、住房公积金、医疗费、其他工资福利支出、退休费、奖励金、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公用经费14.3万元，主要包括：办公费、水费、电费、邮电费、取暖费、差旅费、工会经费、福利费、公务用车运行维护费等。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七、关于阜康市农业局2019年项目支出情况说明</w:t>
      </w:r>
    </w:p>
    <w:p>
      <w:pPr>
        <w:widowControl/>
        <w:outlineLvl w:val="1"/>
        <w:rPr>
          <w:rFonts w:ascii="仿宋_GB2312" w:hAnsi="宋体" w:eastAsia="仿宋_GB2312"/>
          <w:bCs/>
          <w:kern w:val="0"/>
          <w:sz w:val="32"/>
          <w:szCs w:val="32"/>
        </w:rPr>
      </w:pPr>
      <w:r>
        <w:rPr>
          <w:rFonts w:hint="eastAsia" w:ascii="仿宋_GB2312" w:hAnsi="宋体" w:eastAsia="仿宋_GB2312"/>
          <w:bCs/>
          <w:kern w:val="0"/>
          <w:sz w:val="32"/>
          <w:szCs w:val="32"/>
        </w:rPr>
        <w:t xml:space="preserve">    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八、关于阜康市农业局2019年年一般公共预算“三公”经费预算情况说明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阜康市农业局2019年“三公”经费财政拨款预算数为4.52 万元，其中：因公出国（境）费 0万元，公务用车购置0万元，公务用车运行费2.52万元，公务接待费预算控制数2万元。</w:t>
      </w:r>
    </w:p>
    <w:p>
      <w:pPr>
        <w:pStyle w:val="6"/>
        <w:ind w:firstLine="640" w:firstLineChars="200"/>
        <w:rPr>
          <w:rFonts w:ascii="仿宋_GB2312" w:eastAsia="仿宋_GB2312"/>
          <w:sz w:val="32"/>
          <w:szCs w:val="32"/>
        </w:rPr>
      </w:pPr>
      <w:r>
        <w:rPr>
          <w:rFonts w:hint="eastAsia" w:ascii="仿宋_GB2312" w:eastAsia="仿宋_GB2312"/>
          <w:sz w:val="32"/>
          <w:szCs w:val="32"/>
        </w:rPr>
        <w:t>2019年“三公”经费财政拨款预算比上年增加   0万元，其中：因公出国（境）费增加 0  万元，主要原因是主要原因是我单位严格执行中央八项规定和自治区十条规定压减 0 经费；</w:t>
      </w:r>
      <w:r>
        <w:rPr>
          <w:rFonts w:hint="eastAsia" w:ascii="仿宋_GB2312" w:eastAsia="仿宋_GB2312"/>
          <w:sz w:val="32"/>
          <w:szCs w:val="32"/>
          <w:highlight w:val="none"/>
        </w:rPr>
        <w:t>公务用车购置费为0</w:t>
      </w:r>
      <w:r>
        <w:rPr>
          <w:rFonts w:hint="eastAsia" w:ascii="仿宋_GB2312" w:eastAsia="仿宋_GB2312"/>
          <w:sz w:val="32"/>
          <w:szCs w:val="32"/>
          <w:highlight w:val="none"/>
          <w:lang w:val="en-US" w:eastAsia="zh-CN"/>
        </w:rPr>
        <w:t>万元，</w:t>
      </w:r>
      <w:r>
        <w:rPr>
          <w:rFonts w:hint="eastAsia" w:ascii="仿宋_GB2312" w:eastAsia="仿宋_GB2312"/>
          <w:sz w:val="32"/>
          <w:szCs w:val="32"/>
        </w:rPr>
        <w:t>公务用车运行费增加0万元，主要原因是我单位严格执行中央八项规定和自治区十条规定压减 0 经费；公务接待费增加0万元，主要原因是我单位严格执行中央八项规定和自治区十条规定压减三公经费。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九、关于阜康市农业局2019年政府性基金预算拨款情况说明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阜康市农业局2019年没有使用政府性基金预算拨款安排的支出，政府性基金预算支出情况表为空表。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color w:val="000000"/>
          <w:sz w:val="36"/>
          <w:szCs w:val="36"/>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none"/>
        </w:rPr>
        <w:t>阜康市农业局</w:t>
      </w:r>
      <w:r>
        <w:rPr>
          <w:rFonts w:hint="eastAsia" w:ascii="仿宋_GB2312" w:hAnsi="宋体" w:eastAsia="仿宋_GB2312" w:cs="宋体"/>
          <w:kern w:val="0"/>
          <w:sz w:val="32"/>
          <w:szCs w:val="32"/>
        </w:rPr>
        <w:t>本级及下属  0家行政单位、  0家参公管理事业单位和 0 家事业单位的机关运行经费财政拨款预算</w:t>
      </w:r>
      <w:r>
        <w:rPr>
          <w:rFonts w:hint="eastAsia" w:ascii="仿宋_GB2312" w:hAnsi="宋体" w:eastAsia="仿宋_GB2312" w:cs="宋体"/>
          <w:kern w:val="0"/>
          <w:sz w:val="32"/>
          <w:szCs w:val="32"/>
          <w:lang w:val="en-US" w:eastAsia="zh-CN"/>
        </w:rPr>
        <w:t>14.3</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2.44</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0.57%。主要原因是人员增加，导致机关运行经费增加</w:t>
      </w:r>
      <w:r>
        <w:rPr>
          <w:color w:val="000000"/>
          <w:sz w:val="36"/>
          <w:szCs w:val="36"/>
        </w:rPr>
        <w:t>。</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2019年，阜康市农业局及下属单位政府采购预算0万元，其中：政府采购货物预算0万元，政府采购工程预算0万元，政府采购服务预算0万元。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截至2018年底，阜康市农业局占用使用国有资产总体情况为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 1378.77 平方米，价值 244.76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 辆，价值 23.3 万元；其中：一般公务用车 1</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辆，价值 23.3 万元；执法执勤用车 0 辆，价值 0 万元；其他车辆 0 辆，价值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1.7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4.其他资产价值63.47万元。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 50 万元以上大型设备 0 台（套），单位价值100 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 年部门预算未安排购置车辆经费（或安排购置车辆经费 0 万元），安排购置 50 万元以上大型设备 0 台（套），单位价值 100 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 个，涉及预算金额0 万元。具体情况见下表（按项目分别填报）：</w:t>
      </w:r>
    </w:p>
    <w:p>
      <w:pPr>
        <w:widowControl/>
        <w:spacing w:line="600" w:lineRule="exact"/>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XX单位</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yellow"/>
        </w:rPr>
      </w:pPr>
      <w:r>
        <w:rPr>
          <w:rFonts w:hint="eastAsia" w:ascii="楷体_GB2312" w:hAnsi="宋体" w:eastAsia="楷体_GB2312" w:cs="宋体"/>
          <w:b/>
          <w:kern w:val="0"/>
          <w:sz w:val="32"/>
          <w:szCs w:val="32"/>
        </w:rPr>
        <w:t>（</w:t>
      </w:r>
      <w:r>
        <w:rPr>
          <w:rFonts w:hint="eastAsia" w:ascii="楷体_GB2312" w:hAnsi="宋体" w:eastAsia="楷体_GB2312" w:cs="宋体"/>
          <w:b/>
          <w:kern w:val="0"/>
          <w:sz w:val="32"/>
          <w:szCs w:val="32"/>
          <w:highlight w:val="yellow"/>
        </w:rPr>
        <w:t>五）其他需说明的事项</w:t>
      </w:r>
    </w:p>
    <w:p>
      <w:pPr>
        <w:widowControl/>
        <w:spacing w:line="560" w:lineRule="exact"/>
        <w:ind w:firstLine="640" w:firstLineChars="200"/>
        <w:jc w:val="left"/>
        <w:rPr>
          <w:rFonts w:ascii="仿宋_GB2312" w:hAnsi="宋体" w:eastAsia="仿宋_GB2312" w:cs="宋体"/>
          <w:kern w:val="0"/>
          <w:sz w:val="32"/>
          <w:szCs w:val="32"/>
          <w:highlight w:val="yellow"/>
        </w:rPr>
      </w:pPr>
      <w:r>
        <w:rPr>
          <w:rFonts w:hint="eastAsia" w:ascii="仿宋_GB2312" w:hAnsi="宋体" w:eastAsia="仿宋_GB2312" w:cs="宋体"/>
          <w:kern w:val="0"/>
          <w:sz w:val="32"/>
          <w:szCs w:val="32"/>
          <w:highlight w:val="yellow"/>
        </w:rPr>
        <w:t>……</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阜康市农业局</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01A999"/>
    <w:multiLevelType w:val="singleLevel"/>
    <w:tmpl w:val="2301A99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01011E"/>
    <w:rsid w:val="000242A1"/>
    <w:rsid w:val="001833B0"/>
    <w:rsid w:val="002B5144"/>
    <w:rsid w:val="00325B17"/>
    <w:rsid w:val="003C4A3D"/>
    <w:rsid w:val="004D75AC"/>
    <w:rsid w:val="00687887"/>
    <w:rsid w:val="00757310"/>
    <w:rsid w:val="00841512"/>
    <w:rsid w:val="008A3533"/>
    <w:rsid w:val="00911C9E"/>
    <w:rsid w:val="00A82175"/>
    <w:rsid w:val="00CE372A"/>
    <w:rsid w:val="00D627FF"/>
    <w:rsid w:val="00D95B2F"/>
    <w:rsid w:val="00E36146"/>
    <w:rsid w:val="00EE458B"/>
    <w:rsid w:val="00F00C5D"/>
    <w:rsid w:val="00F449A9"/>
    <w:rsid w:val="00FC6ABD"/>
    <w:rsid w:val="01286618"/>
    <w:rsid w:val="03102F5E"/>
    <w:rsid w:val="03CF69EE"/>
    <w:rsid w:val="09274E48"/>
    <w:rsid w:val="0B270A34"/>
    <w:rsid w:val="103D6953"/>
    <w:rsid w:val="19A81AA5"/>
    <w:rsid w:val="1D5C446B"/>
    <w:rsid w:val="1F301D03"/>
    <w:rsid w:val="24907C1A"/>
    <w:rsid w:val="250F2BC6"/>
    <w:rsid w:val="28503F98"/>
    <w:rsid w:val="29482BF3"/>
    <w:rsid w:val="29536A32"/>
    <w:rsid w:val="31E15190"/>
    <w:rsid w:val="34E521C3"/>
    <w:rsid w:val="3F611D03"/>
    <w:rsid w:val="44D2127D"/>
    <w:rsid w:val="494738E0"/>
    <w:rsid w:val="4E7047CF"/>
    <w:rsid w:val="4EBA1389"/>
    <w:rsid w:val="507066C1"/>
    <w:rsid w:val="50E04081"/>
    <w:rsid w:val="51967D4E"/>
    <w:rsid w:val="58A66561"/>
    <w:rsid w:val="59214B29"/>
    <w:rsid w:val="5C0B1AAC"/>
    <w:rsid w:val="5C6E6CE1"/>
    <w:rsid w:val="5FE30BCB"/>
    <w:rsid w:val="60CA6832"/>
    <w:rsid w:val="638E5A3F"/>
    <w:rsid w:val="63E8299A"/>
    <w:rsid w:val="692557B2"/>
    <w:rsid w:val="770042AE"/>
    <w:rsid w:val="770A69E3"/>
    <w:rsid w:val="7AFE09DC"/>
    <w:rsid w:val="7DD64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1515</Words>
  <Characters>8639</Characters>
  <Lines>71</Lines>
  <Paragraphs>20</Paragraphs>
  <TotalTime>79</TotalTime>
  <ScaleCrop>false</ScaleCrop>
  <LinksUpToDate>false</LinksUpToDate>
  <CharactersWithSpaces>10134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cp:lastPrinted>2021-05-28T03:23:43Z</cp:lastPrinted>
  <dcterms:modified xsi:type="dcterms:W3CDTF">2021-05-28T08:34:12Z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7779D746B67F4144A959E446D0419511</vt:lpwstr>
  </property>
</Properties>
</file>