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olor w:val="auto"/>
          <w:sz w:val="32"/>
          <w:szCs w:val="32"/>
        </w:rPr>
      </w:pPr>
      <w:r>
        <w:rPr>
          <w:rFonts w:hint="eastAsia" w:ascii="黑体" w:hAnsi="黑体" w:eastAsia="黑体"/>
          <w:color w:val="auto"/>
          <w:sz w:val="32"/>
          <w:szCs w:val="32"/>
        </w:rPr>
        <w:t>附件：</w:t>
      </w:r>
    </w:p>
    <w:p>
      <w:pPr>
        <w:rPr>
          <w:color w:val="auto"/>
        </w:rPr>
      </w:pPr>
    </w:p>
    <w:p>
      <w:pPr>
        <w:rPr>
          <w:color w:val="auto"/>
        </w:rPr>
      </w:pPr>
    </w:p>
    <w:p>
      <w:pPr>
        <w:widowControl/>
        <w:spacing w:before="100" w:beforeAutospacing="1" w:after="100" w:afterAutospacing="1"/>
        <w:outlineLvl w:val="1"/>
        <w:rPr>
          <w:rFonts w:ascii="黑体" w:hAnsi="黑体" w:eastAsia="黑体" w:cs="宋体"/>
          <w:color w:val="auto"/>
          <w:kern w:val="0"/>
          <w:sz w:val="32"/>
          <w:szCs w:val="32"/>
        </w:rPr>
      </w:pPr>
    </w:p>
    <w:p>
      <w:pPr>
        <w:widowControl/>
        <w:spacing w:before="100" w:beforeAutospacing="1" w:after="100" w:afterAutospacing="1"/>
        <w:outlineLvl w:val="1"/>
        <w:rPr>
          <w:rFonts w:ascii="黑体" w:hAnsi="黑体" w:eastAsia="黑体" w:cs="宋体"/>
          <w:color w:val="auto"/>
          <w:kern w:val="0"/>
          <w:sz w:val="32"/>
          <w:szCs w:val="32"/>
        </w:rPr>
      </w:pPr>
      <w:r>
        <w:rPr>
          <w:rFonts w:hint="eastAsia" w:ascii="黑体" w:hAnsi="黑体" w:eastAsia="黑体" w:cs="宋体"/>
          <w:color w:val="auto"/>
          <w:kern w:val="0"/>
          <w:sz w:val="32"/>
          <w:szCs w:val="32"/>
        </w:rPr>
        <w:t xml:space="preserve"> </w:t>
      </w:r>
    </w:p>
    <w:p>
      <w:pPr>
        <w:widowControl/>
        <w:spacing w:before="100" w:beforeAutospacing="1" w:after="100" w:afterAutospacing="1"/>
        <w:outlineLvl w:val="1"/>
        <w:rPr>
          <w:rFonts w:ascii="宋体" w:hAnsi="宋体" w:cs="宋体"/>
          <w:b/>
          <w:bCs/>
          <w:color w:val="auto"/>
          <w:kern w:val="0"/>
          <w:sz w:val="44"/>
          <w:szCs w:val="44"/>
        </w:rPr>
      </w:pPr>
    </w:p>
    <w:p>
      <w:pPr>
        <w:widowControl/>
        <w:spacing w:before="100" w:beforeAutospacing="1" w:after="100" w:afterAutospacing="1"/>
        <w:jc w:val="center"/>
        <w:outlineLvl w:val="1"/>
        <w:rPr>
          <w:rFonts w:ascii="方正小标宋_GBK" w:hAnsi="宋体" w:eastAsia="方正小标宋_GBK"/>
          <w:color w:val="auto"/>
          <w:kern w:val="0"/>
          <w:sz w:val="44"/>
          <w:szCs w:val="44"/>
        </w:rPr>
      </w:pPr>
      <w:r>
        <w:rPr>
          <w:rFonts w:hint="eastAsia" w:ascii="方正小标宋_GBK" w:hAnsi="宋体" w:eastAsia="方正小标宋_GBK"/>
          <w:color w:val="auto"/>
          <w:kern w:val="0"/>
          <w:sz w:val="44"/>
          <w:szCs w:val="44"/>
        </w:rPr>
        <w:t>昌吉州阜康市畜牧兽医综合执法大队2019年部门预算公开</w:t>
      </w: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before="100" w:beforeAutospacing="1" w:after="100" w:afterAutospacing="1"/>
        <w:jc w:val="center"/>
        <w:outlineLvl w:val="1"/>
        <w:rPr>
          <w:rFonts w:ascii="宋体" w:hAnsi="宋体"/>
          <w:b/>
          <w:color w:val="auto"/>
          <w:kern w:val="0"/>
          <w:sz w:val="44"/>
          <w:szCs w:val="44"/>
        </w:rPr>
      </w:pPr>
    </w:p>
    <w:p>
      <w:pPr>
        <w:widowControl/>
        <w:spacing w:line="500" w:lineRule="exact"/>
        <w:jc w:val="center"/>
        <w:outlineLvl w:val="1"/>
        <w:rPr>
          <w:rFonts w:ascii="黑体" w:hAnsi="黑体" w:eastAsia="黑体"/>
          <w:color w:val="auto"/>
          <w:kern w:val="0"/>
          <w:sz w:val="44"/>
          <w:szCs w:val="44"/>
        </w:rPr>
      </w:pPr>
      <w:r>
        <w:rPr>
          <w:rFonts w:hint="eastAsia" w:ascii="黑体" w:hAnsi="黑体" w:eastAsia="黑体"/>
          <w:color w:val="auto"/>
          <w:kern w:val="0"/>
          <w:sz w:val="44"/>
          <w:szCs w:val="44"/>
        </w:rPr>
        <w:t>目录</w:t>
      </w:r>
    </w:p>
    <w:p>
      <w:pPr>
        <w:widowControl/>
        <w:spacing w:line="460" w:lineRule="exac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第一部分  阜康市畜牧兽医综合执法大队单位概况</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一、主要职能</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二、机构设置及人员情况</w:t>
      </w:r>
    </w:p>
    <w:p>
      <w:pPr>
        <w:widowControl/>
        <w:spacing w:line="460" w:lineRule="exac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 xml:space="preserve">第二部分  </w:t>
      </w:r>
      <w:r>
        <w:rPr>
          <w:rFonts w:hint="eastAsia" w:ascii="宋体" w:hAnsi="宋体" w:eastAsia="仿宋_GB2312"/>
          <w:b/>
          <w:color w:val="auto"/>
          <w:kern w:val="0"/>
          <w:sz w:val="32"/>
          <w:szCs w:val="32"/>
        </w:rPr>
        <w:t>2019</w:t>
      </w:r>
      <w:r>
        <w:rPr>
          <w:rFonts w:hint="eastAsia" w:ascii="仿宋_GB2312" w:hAnsi="宋体" w:eastAsia="仿宋_GB2312"/>
          <w:b/>
          <w:color w:val="auto"/>
          <w:kern w:val="0"/>
          <w:sz w:val="32"/>
          <w:szCs w:val="32"/>
        </w:rPr>
        <w:t>年部门预算公开表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一、部门收支总体情况表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二、部门收入总体情况表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三、部门支出总体情况表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四、财政拨款收支总体情况表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五、一般公共预算支出情况表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六、一般公共预算基本支出情况表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七、</w:t>
      </w:r>
      <w:r>
        <w:rPr>
          <w:rFonts w:hint="eastAsia" w:ascii="仿宋_GB2312" w:hAnsi="宋体" w:eastAsia="仿宋_GB2312"/>
          <w:bCs/>
          <w:color w:val="auto"/>
          <w:kern w:val="0"/>
          <w:sz w:val="32"/>
          <w:szCs w:val="32"/>
        </w:rPr>
        <w:t>项目支出情况表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八、一般公共预算“三公”经费支出情况表</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九、政府性基金预算支出情况表</w:t>
      </w:r>
    </w:p>
    <w:p>
      <w:pPr>
        <w:widowControl/>
        <w:spacing w:line="460" w:lineRule="exac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 xml:space="preserve">第三部分  </w:t>
      </w:r>
      <w:r>
        <w:rPr>
          <w:rFonts w:hint="eastAsia" w:ascii="宋体" w:hAnsi="宋体" w:eastAsia="仿宋_GB2312"/>
          <w:b/>
          <w:color w:val="auto"/>
          <w:kern w:val="0"/>
          <w:sz w:val="32"/>
          <w:szCs w:val="32"/>
        </w:rPr>
        <w:t>2019</w:t>
      </w:r>
      <w:r>
        <w:rPr>
          <w:rFonts w:hint="eastAsia" w:ascii="仿宋_GB2312" w:hAnsi="宋体" w:eastAsia="仿宋_GB2312"/>
          <w:b/>
          <w:color w:val="auto"/>
          <w:kern w:val="0"/>
          <w:sz w:val="32"/>
          <w:szCs w:val="32"/>
        </w:rPr>
        <w:t>年部门预算情况说明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一、关于阜康市畜牧兽医综合执法大队2019年收支预算情况的总体说明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二、关于阜康市畜牧兽医综合执法大队2019年收入预算情况说明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三、关于阜康市畜牧兽医综合执法大队2019年年支出预算情况说明</w:t>
      </w:r>
    </w:p>
    <w:p>
      <w:pPr>
        <w:widowControl/>
        <w:spacing w:line="460" w:lineRule="exact"/>
        <w:outlineLvl w:val="1"/>
        <w:rPr>
          <w:rFonts w:ascii="仿宋_GB2312" w:hAnsi="宋体" w:eastAsia="仿宋_GB2312"/>
          <w:bCs/>
          <w:color w:val="auto"/>
          <w:kern w:val="0"/>
          <w:sz w:val="32"/>
          <w:szCs w:val="32"/>
        </w:rPr>
      </w:pPr>
      <w:r>
        <w:rPr>
          <w:rFonts w:hint="eastAsia" w:ascii="仿宋_GB2312" w:hAnsi="宋体" w:eastAsia="仿宋_GB2312"/>
          <w:bCs/>
          <w:color w:val="auto"/>
          <w:kern w:val="0"/>
          <w:sz w:val="32"/>
          <w:szCs w:val="32"/>
        </w:rPr>
        <w:t>四、关于</w:t>
      </w:r>
      <w:r>
        <w:rPr>
          <w:rFonts w:hint="eastAsia" w:ascii="仿宋_GB2312" w:hAnsi="宋体" w:eastAsia="仿宋_GB2312"/>
          <w:color w:val="auto"/>
          <w:kern w:val="0"/>
          <w:sz w:val="32"/>
          <w:szCs w:val="32"/>
        </w:rPr>
        <w:t>阜康市畜牧兽医综合执法大队2019年</w:t>
      </w:r>
      <w:r>
        <w:rPr>
          <w:rFonts w:hint="eastAsia" w:ascii="仿宋_GB2312" w:hAnsi="宋体" w:eastAsia="仿宋_GB2312"/>
          <w:bCs/>
          <w:color w:val="auto"/>
          <w:kern w:val="0"/>
          <w:sz w:val="32"/>
          <w:szCs w:val="32"/>
        </w:rPr>
        <w:t>年财政拨款收支预算情况的总体说明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五、关于阜康市畜牧兽医综合执法大队2019年一般公共预算当年拨款情况说明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六、关于阜康市畜牧兽医综合执法大队2019年一般公共预算基本支出情况说明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七、关于阜康市畜牧兽医综合执法大队2019年项目支出情况说明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八、关于阜康市畜牧兽医综合执法大队2019年一般公共预算“三公”经费预算情况说明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九、关于阜康市畜牧兽医综合执法大队2019年政府性基金预算拨款情况说明</w:t>
      </w:r>
    </w:p>
    <w:p>
      <w:pPr>
        <w:widowControl/>
        <w:spacing w:line="460" w:lineRule="exac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十、其他重要事项的情况说明</w:t>
      </w:r>
    </w:p>
    <w:p>
      <w:pPr>
        <w:widowControl/>
        <w:spacing w:line="460" w:lineRule="exac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第四部分  名词解释</w:t>
      </w:r>
    </w:p>
    <w:p>
      <w:pPr>
        <w:widowControl/>
        <w:jc w:val="center"/>
        <w:outlineLvl w:val="1"/>
        <w:rPr>
          <w:rFonts w:ascii="黑体" w:hAnsi="黑体" w:eastAsia="黑体"/>
          <w:color w:val="auto"/>
          <w:kern w:val="0"/>
          <w:sz w:val="32"/>
          <w:szCs w:val="32"/>
        </w:rPr>
      </w:pPr>
      <w:r>
        <w:rPr>
          <w:rFonts w:hint="eastAsia" w:ascii="黑体" w:hAnsi="黑体" w:eastAsia="黑体"/>
          <w:color w:val="auto"/>
          <w:kern w:val="0"/>
          <w:sz w:val="32"/>
          <w:szCs w:val="32"/>
        </w:rPr>
        <w:t>第一部分  阜康市畜牧兽医综合执法大队概况</w:t>
      </w:r>
    </w:p>
    <w:p>
      <w:pPr>
        <w:widowControl/>
        <w:jc w:val="center"/>
        <w:outlineLvl w:val="1"/>
        <w:rPr>
          <w:rFonts w:ascii="宋体" w:hAnsi="宋体"/>
          <w:b/>
          <w:color w:val="auto"/>
          <w:kern w:val="0"/>
          <w:sz w:val="32"/>
          <w:szCs w:val="32"/>
        </w:rPr>
      </w:pPr>
    </w:p>
    <w:p>
      <w:pPr>
        <w:widowControl/>
        <w:spacing w:line="560" w:lineRule="exact"/>
        <w:jc w:val="left"/>
        <w:rPr>
          <w:rFonts w:ascii="黑体" w:hAnsi="黑体" w:eastAsia="黑体" w:cs="宋体"/>
          <w:bCs/>
          <w:color w:val="auto"/>
          <w:kern w:val="0"/>
          <w:sz w:val="32"/>
          <w:szCs w:val="32"/>
        </w:rPr>
      </w:pPr>
      <w:r>
        <w:rPr>
          <w:rFonts w:hint="eastAsia" w:ascii="仿宋_GB2312" w:hAnsi="宋体" w:eastAsia="仿宋_GB2312" w:cs="宋体"/>
          <w:color w:val="auto"/>
          <w:kern w:val="0"/>
          <w:sz w:val="32"/>
          <w:szCs w:val="32"/>
        </w:rPr>
        <w:t xml:space="preserve">　  </w:t>
      </w:r>
      <w:r>
        <w:rPr>
          <w:rFonts w:hint="eastAsia" w:ascii="黑体" w:hAnsi="黑体" w:eastAsia="黑体" w:cs="宋体"/>
          <w:bCs/>
          <w:color w:val="auto"/>
          <w:kern w:val="0"/>
          <w:sz w:val="32"/>
          <w:szCs w:val="32"/>
        </w:rPr>
        <w:t>一、主要职能</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 承担本市区域内动物防疫检疫监督工作，负责动</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物防疫检疫法律、法规执行情况的监督检查，对违反动物防 疫法律、法规的行为进行查处；</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 做好本市范围内动物防疫检疫，兽药饲料监督的</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具体管理工作，承担市动物防疫检疫办公室的日常工作，依法查处动物防疫检疫饲料经营等案件；</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 承办动物防疫、检疫监督检查，动物防疫和检疫</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票证管理，兽药、饲料经营监督管理工作。</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 承担本市区域内草原管理工作，负责草原法律、</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法规执行情况的监督检查，对违反草原法律、法规的行为进行查处；</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 做好本市范围内草原预防火灾的具体管理工作，</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承担市草原防火指挥部办公室的日常工作，依法查处草原</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火灾案件；</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（6） 承办草原野生植物资源保护管理和合理开发利用</w:t>
      </w:r>
    </w:p>
    <w:p>
      <w:pPr>
        <w:widowControl/>
        <w:spacing w:line="560" w:lineRule="exact"/>
        <w:ind w:left="319" w:leftChars="152" w:firstLine="652" w:firstLineChars="204"/>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工作</w:t>
      </w:r>
    </w:p>
    <w:p>
      <w:pPr>
        <w:widowControl/>
        <w:spacing w:line="560" w:lineRule="exact"/>
        <w:ind w:firstLine="640"/>
        <w:jc w:val="left"/>
        <w:rPr>
          <w:rFonts w:ascii="仿宋_GB2312" w:hAnsi="宋体" w:eastAsia="仿宋_GB2312" w:cs="宋体"/>
          <w:color w:val="auto"/>
          <w:kern w:val="0"/>
          <w:sz w:val="32"/>
          <w:szCs w:val="32"/>
        </w:rPr>
      </w:pPr>
    </w:p>
    <w:p>
      <w:pPr>
        <w:widowControl/>
        <w:spacing w:line="560" w:lineRule="exact"/>
        <w:jc w:val="left"/>
        <w:rPr>
          <w:rFonts w:ascii="黑体" w:hAnsi="黑体" w:eastAsia="黑体" w:cs="宋体"/>
          <w:bCs/>
          <w:color w:val="auto"/>
          <w:kern w:val="0"/>
          <w:sz w:val="32"/>
          <w:szCs w:val="32"/>
        </w:rPr>
      </w:pPr>
      <w:r>
        <w:rPr>
          <w:rFonts w:hint="eastAsia" w:ascii="仿宋_GB2312" w:hAnsi="宋体" w:eastAsia="仿宋_GB2312" w:cs="宋体"/>
          <w:color w:val="auto"/>
          <w:kern w:val="0"/>
          <w:sz w:val="32"/>
          <w:szCs w:val="32"/>
        </w:rPr>
        <w:t xml:space="preserve">　  </w:t>
      </w:r>
      <w:r>
        <w:rPr>
          <w:rFonts w:hint="eastAsia" w:ascii="黑体" w:hAnsi="黑体" w:eastAsia="黑体" w:cs="宋体"/>
          <w:bCs/>
          <w:color w:val="auto"/>
          <w:kern w:val="0"/>
          <w:sz w:val="32"/>
          <w:szCs w:val="32"/>
        </w:rPr>
        <w:t>二、机构设置及人员情况</w:t>
      </w:r>
    </w:p>
    <w:p>
      <w:pPr>
        <w:pStyle w:val="6"/>
        <w:ind w:firstLine="960" w:firstLineChars="300"/>
        <w:rPr>
          <w:rFonts w:ascii="仿宋_GB2312" w:eastAsia="仿宋_GB2312"/>
          <w:color w:val="auto"/>
          <w:sz w:val="32"/>
          <w:szCs w:val="32"/>
        </w:rPr>
      </w:pPr>
      <w:r>
        <w:rPr>
          <w:rFonts w:hint="eastAsia" w:ascii="仿宋_GB2312" w:eastAsia="仿宋_GB2312"/>
          <w:color w:val="auto"/>
          <w:sz w:val="32"/>
          <w:szCs w:val="32"/>
        </w:rPr>
        <w:t>阜康市畜牧兽医综合执法大队无下属预算单位，下设处室3个，分别是：办公室、草原执法科、动物执法科</w:t>
      </w:r>
    </w:p>
    <w:p>
      <w:pPr>
        <w:widowControl/>
        <w:spacing w:line="560" w:lineRule="exact"/>
        <w:ind w:firstLine="960" w:firstLineChars="3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阜康市畜牧兽医综合执法大队编制数17名，实有人数18人，其中：在职18人，增加0人； 退休10人，增加0人；离休0人，增加0人。</w:t>
      </w:r>
    </w:p>
    <w:p>
      <w:pPr>
        <w:widowControl/>
        <w:spacing w:beforeLines="50"/>
        <w:ind w:firstLine="1600" w:firstLineChars="500"/>
        <w:outlineLvl w:val="1"/>
        <w:rPr>
          <w:rFonts w:ascii="黑体" w:hAnsi="黑体" w:eastAsia="黑体"/>
          <w:color w:val="auto"/>
          <w:kern w:val="0"/>
          <w:sz w:val="32"/>
          <w:szCs w:val="32"/>
        </w:rPr>
      </w:pPr>
    </w:p>
    <w:p>
      <w:pPr>
        <w:widowControl/>
        <w:spacing w:beforeLines="50"/>
        <w:ind w:firstLine="1600" w:firstLineChars="500"/>
        <w:outlineLvl w:val="1"/>
        <w:rPr>
          <w:rFonts w:ascii="黑体" w:hAnsi="黑体" w:eastAsia="黑体"/>
          <w:color w:val="auto"/>
          <w:kern w:val="0"/>
          <w:sz w:val="32"/>
          <w:szCs w:val="32"/>
        </w:rPr>
      </w:pPr>
    </w:p>
    <w:p>
      <w:pPr>
        <w:widowControl/>
        <w:spacing w:beforeLines="50"/>
        <w:ind w:firstLine="1600" w:firstLineChars="5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ind w:firstLine="960" w:firstLineChars="300"/>
        <w:outlineLvl w:val="1"/>
        <w:rPr>
          <w:rFonts w:ascii="黑体" w:hAnsi="黑体" w:eastAsia="黑体"/>
          <w:color w:val="auto"/>
          <w:kern w:val="0"/>
          <w:sz w:val="32"/>
          <w:szCs w:val="32"/>
        </w:rPr>
      </w:pPr>
    </w:p>
    <w:p>
      <w:pPr>
        <w:widowControl/>
        <w:spacing w:beforeLines="50"/>
        <w:outlineLvl w:val="1"/>
        <w:rPr>
          <w:rFonts w:ascii="黑体" w:hAnsi="黑体" w:eastAsia="黑体"/>
          <w:color w:val="auto"/>
          <w:kern w:val="0"/>
          <w:sz w:val="32"/>
          <w:szCs w:val="32"/>
        </w:rPr>
      </w:pPr>
      <w:r>
        <w:rPr>
          <w:rFonts w:hint="eastAsia" w:ascii="黑体" w:hAnsi="黑体" w:eastAsia="黑体"/>
          <w:color w:val="auto"/>
          <w:kern w:val="0"/>
          <w:sz w:val="32"/>
          <w:szCs w:val="32"/>
        </w:rPr>
        <w:t>第二部分  2019年阜康市畜牧兽医综合执法大队预算公开表</w:t>
      </w:r>
    </w:p>
    <w:p>
      <w:pPr>
        <w:widowControl/>
        <w:spacing w:beforeLines="50"/>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表一：</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部门收支总体情况表</w:t>
      </w:r>
    </w:p>
    <w:p>
      <w:pPr>
        <w:widowControl/>
        <w:outlineLvl w:val="1"/>
        <w:rPr>
          <w:rFonts w:ascii="仿宋_GB2312" w:hAnsi="宋体" w:eastAsia="仿宋_GB2312"/>
          <w:color w:val="auto"/>
          <w:kern w:val="0"/>
          <w:sz w:val="24"/>
        </w:rPr>
      </w:pPr>
      <w:r>
        <w:rPr>
          <w:rFonts w:hint="eastAsia" w:ascii="仿宋_GB2312" w:hAnsi="宋体" w:eastAsia="仿宋_GB2312"/>
          <w:color w:val="auto"/>
          <w:kern w:val="0"/>
          <w:sz w:val="24"/>
        </w:rPr>
        <w:t xml:space="preserve">编制部门：  阜康市畜牧兽医综合执法大队 </w:t>
      </w:r>
      <w:r>
        <w:rPr>
          <w:rFonts w:hint="eastAsia" w:ascii="仿宋_GB2312" w:hAnsi="宋体" w:eastAsia="仿宋_GB2312"/>
          <w:color w:val="auto"/>
          <w:kern w:val="0"/>
          <w:sz w:val="24"/>
        </w:rPr>
        <w:t xml:space="preserve">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316.92</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316.92</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25.73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252.13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17.96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316.92</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316.92</w:t>
            </w:r>
          </w:p>
        </w:tc>
      </w:tr>
      <w:tr>
        <w:tblPrEx>
          <w:tblCellMar>
            <w:top w:w="0" w:type="dxa"/>
            <w:left w:w="108" w:type="dxa"/>
            <w:bottom w:w="0" w:type="dxa"/>
            <w:right w:w="108" w:type="dxa"/>
          </w:tblCellMar>
        </w:tblPrEx>
        <w:trPr>
          <w:trHeight w:val="314"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316.92</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316.92</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表二：</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部门收入总体情况表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填报部门：阜康市畜牧兽医综合执法大队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1120"/>
        <w:gridCol w:w="240"/>
        <w:gridCol w:w="680"/>
        <w:gridCol w:w="680"/>
        <w:gridCol w:w="680"/>
        <w:gridCol w:w="680"/>
        <w:gridCol w:w="680"/>
        <w:gridCol w:w="678"/>
      </w:tblGrid>
      <w:tr>
        <w:tblPrEx>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总  计</w:t>
            </w:r>
          </w:p>
        </w:tc>
        <w:tc>
          <w:tcPr>
            <w:tcW w:w="11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一般公共预算拨款</w:t>
            </w:r>
          </w:p>
        </w:tc>
        <w:tc>
          <w:tcPr>
            <w:tcW w:w="2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rPr>
            </w:pPr>
            <w:r>
              <w:rPr>
                <w:rFonts w:hint="eastAsia" w:ascii="仿宋_GB2312" w:eastAsia="仿宋_GB2312"/>
                <w:b/>
                <w:color w:val="auto"/>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18"/>
                <w:szCs w:val="18"/>
              </w:rPr>
            </w:pPr>
            <w:r>
              <w:rPr>
                <w:rFonts w:hint="eastAsia" w:ascii="仿宋_GB2312" w:eastAsia="仿宋_GB2312"/>
                <w:b/>
                <w:color w:val="auto"/>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rPr>
            </w:pPr>
            <w:r>
              <w:rPr>
                <w:rFonts w:hint="eastAsia" w:ascii="仿宋_GB2312" w:eastAsia="仿宋_GB2312"/>
                <w:b/>
                <w:color w:val="auto"/>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11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2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rPr>
            </w:pP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归口管理的行政单位离退休</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r>
              <w:rPr>
                <w:rFonts w:hint="eastAsia" w:ascii="仿宋_GB2312" w:eastAsia="仿宋_GB2312"/>
                <w:color w:val="auto"/>
                <w:sz w:val="20"/>
                <w:szCs w:val="20"/>
              </w:rPr>
              <w:t>0.85</w:t>
            </w:r>
          </w:p>
        </w:tc>
        <w:tc>
          <w:tcPr>
            <w:tcW w:w="112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r>
              <w:rPr>
                <w:rFonts w:hint="eastAsia" w:ascii="仿宋_GB2312" w:eastAsia="仿宋_GB2312"/>
                <w:color w:val="auto"/>
                <w:sz w:val="20"/>
                <w:szCs w:val="20"/>
              </w:rPr>
              <w:t>0.85</w:t>
            </w:r>
          </w:p>
        </w:tc>
        <w:tc>
          <w:tcPr>
            <w:tcW w:w="24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auto"/>
                <w:sz w:val="20"/>
                <w:szCs w:val="20"/>
              </w:rPr>
            </w:pP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24.88</w:t>
            </w:r>
          </w:p>
        </w:tc>
        <w:tc>
          <w:tcPr>
            <w:tcW w:w="11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24.88</w:t>
            </w:r>
          </w:p>
        </w:tc>
        <w:tc>
          <w:tcPr>
            <w:tcW w:w="24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行政单位医疗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7.06</w:t>
            </w: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7.06</w:t>
            </w: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02</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事业单位医疗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7.57</w:t>
            </w: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7.57</w:t>
            </w: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公务员医疗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6.47</w:t>
            </w: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6.47</w:t>
            </w: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57.53</w:t>
            </w: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57.53</w:t>
            </w: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04</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r>
              <w:rPr>
                <w:rFonts w:hint="eastAsia" w:ascii="仿宋_GB2312" w:eastAsia="仿宋_GB2312"/>
                <w:color w:val="auto"/>
                <w:sz w:val="18"/>
                <w:szCs w:val="18"/>
              </w:rPr>
              <w:t>事业运行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194.6</w:t>
            </w: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194.6</w:t>
            </w: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rPr>
            </w:pPr>
            <w:r>
              <w:rPr>
                <w:rFonts w:hint="eastAsia" w:ascii="仿宋_GB2312" w:eastAsia="仿宋_GB2312"/>
                <w:color w:val="auto"/>
                <w:sz w:val="18"/>
                <w:szCs w:val="18"/>
              </w:rPr>
              <w:t>住房公积金</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17.96</w:t>
            </w: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17.96</w:t>
            </w: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auto"/>
                <w:sz w:val="18"/>
                <w:szCs w:val="18"/>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rPr>
            </w:pP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316.92</w:t>
            </w:r>
          </w:p>
        </w:tc>
        <w:tc>
          <w:tcPr>
            <w:tcW w:w="11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316.92</w:t>
            </w:r>
          </w:p>
        </w:tc>
        <w:tc>
          <w:tcPr>
            <w:tcW w:w="24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rPr>
            </w:pPr>
            <w:r>
              <w:rPr>
                <w:rFonts w:hint="eastAsia" w:ascii="仿宋_GB2312" w:eastAsia="仿宋_GB2312"/>
                <w:color w:val="auto"/>
                <w:sz w:val="20"/>
                <w:szCs w:val="20"/>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表三：</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部门支出总体情况表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编制部门：  阜康市畜牧兽医综合执法大队                         单位：万元</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支出预算</w:t>
            </w:r>
          </w:p>
        </w:tc>
      </w:tr>
      <w:tr>
        <w:tblPrEx>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rPr>
            </w:pPr>
            <w:r>
              <w:rPr>
                <w:rFonts w:hint="eastAsia" w:ascii="宋体" w:hAnsi="宋体" w:cs="宋体"/>
                <w:b/>
                <w:bCs/>
                <w:color w:val="auto"/>
                <w:kern w:val="0"/>
                <w:sz w:val="20"/>
                <w:szCs w:val="20"/>
              </w:rPr>
              <w:t>项目支出</w:t>
            </w:r>
          </w:p>
        </w:tc>
      </w:tr>
      <w:tr>
        <w:tblPrEx>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归口管理的行政单位离退休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0.85</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0.85</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机关事业单位基本养老保险缴费支出</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24.88</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24.88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行政单位医疗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7.06</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7.06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02</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事业单位医疗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7.57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20"/>
                <w:szCs w:val="20"/>
              </w:rPr>
              <w:t>7.57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6.47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6.47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行政运行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57.53</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57.53</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04</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事业运行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194.6</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194.6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16"/>
                <w:szCs w:val="16"/>
              </w:rPr>
            </w:pPr>
            <w:r>
              <w:rPr>
                <w:rFonts w:hint="eastAsia" w:ascii="仿宋_GB2312" w:eastAsia="仿宋_GB2312"/>
                <w:color w:val="auto"/>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eastAsia="仿宋_GB2312"/>
                <w:color w:val="auto"/>
                <w:sz w:val="18"/>
                <w:szCs w:val="18"/>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17.96</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auto"/>
                <w:kern w:val="0"/>
                <w:sz w:val="22"/>
                <w:szCs w:val="22"/>
              </w:rPr>
            </w:pPr>
            <w:r>
              <w:rPr>
                <w:rFonts w:hint="eastAsia" w:ascii="仿宋_GB2312" w:hAnsi="宋体" w:eastAsia="仿宋_GB2312" w:cs="宋体"/>
                <w:color w:val="auto"/>
                <w:sz w:val="20"/>
                <w:szCs w:val="20"/>
              </w:rPr>
              <w:t>17.96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rPr>
            </w:pPr>
            <w:r>
              <w:rPr>
                <w:rFonts w:hint="eastAsia" w:ascii="宋体" w:hAnsi="宋体" w:cs="宋体"/>
                <w:b/>
                <w:bCs/>
                <w:color w:val="auto"/>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rPr>
            </w:pPr>
            <w:r>
              <w:rPr>
                <w:rFonts w:hint="eastAsia" w:ascii="宋体" w:hAnsi="宋体" w:cs="宋体"/>
                <w:color w:val="auto"/>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rPr>
            </w:pPr>
            <w:r>
              <w:rPr>
                <w:rFonts w:hint="eastAsia" w:ascii="宋体" w:hAnsi="宋体" w:cs="宋体"/>
                <w:color w:val="auto"/>
                <w:kern w:val="0"/>
                <w:sz w:val="22"/>
                <w:szCs w:val="22"/>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合计</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4"/>
              </w:rPr>
            </w:pPr>
            <w:r>
              <w:rPr>
                <w:rFonts w:hint="eastAsia" w:ascii="仿宋_GB2312" w:eastAsia="仿宋_GB2312"/>
                <w:color w:val="auto"/>
                <w:sz w:val="20"/>
                <w:szCs w:val="20"/>
              </w:rPr>
              <w:t>316.92</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4"/>
              </w:rPr>
            </w:pPr>
            <w:r>
              <w:rPr>
                <w:rFonts w:hint="eastAsia" w:ascii="仿宋_GB2312" w:eastAsia="仿宋_GB2312"/>
                <w:color w:val="auto"/>
                <w:sz w:val="20"/>
                <w:szCs w:val="20"/>
              </w:rPr>
              <w:t>316.92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spacing w:beforeLines="50"/>
        <w:outlineLvl w:val="1"/>
        <w:rPr>
          <w:rFonts w:ascii="仿宋_GB2312" w:hAnsi="宋体" w:eastAsia="仿宋_GB2312"/>
          <w:b/>
          <w:color w:val="auto"/>
          <w:kern w:val="0"/>
          <w:sz w:val="32"/>
          <w:szCs w:val="32"/>
        </w:rPr>
      </w:pPr>
    </w:p>
    <w:p>
      <w:pPr>
        <w:widowControl/>
        <w:spacing w:beforeLines="50"/>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表四：</w:t>
      </w:r>
    </w:p>
    <w:p>
      <w:pPr>
        <w:widowControl/>
        <w:spacing w:beforeLines="50"/>
        <w:outlineLvl w:val="1"/>
        <w:rPr>
          <w:rFonts w:ascii="仿宋_GB2312" w:hAnsi="宋体" w:eastAsia="仿宋_GB2312"/>
          <w:b/>
          <w:color w:val="auto"/>
          <w:kern w:val="0"/>
          <w:sz w:val="32"/>
          <w:szCs w:val="32"/>
        </w:rPr>
      </w:pPr>
    </w:p>
    <w:p>
      <w:pPr>
        <w:widowControl/>
        <w:spacing w:beforeLines="50"/>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财政拨款收支预算总体情况表</w:t>
      </w:r>
    </w:p>
    <w:p>
      <w:pPr>
        <w:widowControl/>
        <w:spacing w:beforeLines="50"/>
        <w:outlineLvl w:val="1"/>
        <w:rPr>
          <w:rFonts w:ascii="仿宋_GB2312" w:hAnsi="宋体" w:eastAsia="仿宋_GB2312"/>
          <w:color w:val="auto"/>
          <w:kern w:val="0"/>
          <w:sz w:val="28"/>
          <w:szCs w:val="28"/>
        </w:rPr>
      </w:pPr>
      <w:r>
        <w:rPr>
          <w:rFonts w:hint="eastAsia" w:ascii="仿宋_GB2312" w:hAnsi="宋体" w:eastAsia="仿宋_GB2312"/>
          <w:color w:val="auto"/>
          <w:kern w:val="0"/>
          <w:sz w:val="28"/>
          <w:szCs w:val="28"/>
        </w:rPr>
        <w:t>编制部门： 阜康市畜牧兽医综合执法大队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316.92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6"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316.92</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25.73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25.73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rPr>
            </w:pPr>
            <w:r>
              <w:rPr>
                <w:rFonts w:hint="eastAsia" w:ascii="仿宋_GB2312" w:hAnsi="宋体" w:eastAsia="仿宋_GB2312" w:cs="宋体"/>
                <w:color w:val="auto"/>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21.1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21.1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252.13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252.13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17.96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17.96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rPr>
            </w:pPr>
            <w:r>
              <w:rPr>
                <w:rFonts w:hint="eastAsia" w:ascii="仿宋_GB2312" w:hAnsi="宋体" w:eastAsia="仿宋_GB2312" w:cs="宋体"/>
                <w:color w:val="auto"/>
                <w:kern w:val="0"/>
                <w:sz w:val="15"/>
                <w:szCs w:val="15"/>
              </w:rPr>
              <w:t>2</w:t>
            </w:r>
            <w:r>
              <w:rPr>
                <w:rFonts w:hint="eastAsia" w:ascii="仿宋_GB2312" w:hAnsi="宋体" w:eastAsia="仿宋_GB2312" w:cs="宋体"/>
                <w:color w:val="auto"/>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w:t>
            </w:r>
            <w:r>
              <w:rPr>
                <w:rFonts w:hint="eastAsia" w:ascii="仿宋_GB2312" w:hAnsi="宋体" w:eastAsia="仿宋_GB2312" w:cs="宋体"/>
                <w:color w:val="auto"/>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w:t>
            </w:r>
            <w:r>
              <w:rPr>
                <w:rFonts w:hint="eastAsia" w:ascii="仿宋_GB2312" w:hAnsi="宋体" w:eastAsia="仿宋_GB2312" w:cs="宋体"/>
                <w:color w:val="auto"/>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233</w:t>
            </w:r>
            <w:r>
              <w:rPr>
                <w:rFonts w:hint="eastAsia" w:ascii="仿宋_GB2312" w:hAnsi="宋体" w:eastAsia="仿宋_GB2312" w:cs="宋体"/>
                <w:color w:val="auto"/>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auto"/>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auto"/>
                <w:kern w:val="0"/>
                <w:sz w:val="18"/>
                <w:szCs w:val="18"/>
              </w:rPr>
            </w:pPr>
            <w:r>
              <w:rPr>
                <w:rFonts w:hint="eastAsia" w:ascii="宋体" w:hAnsi="宋体" w:cs="宋体"/>
                <w:b/>
                <w:bCs/>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316.92</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rPr>
            </w:pPr>
            <w:r>
              <w:rPr>
                <w:rFonts w:hint="eastAsia" w:ascii="仿宋_GB2312" w:hAnsi="宋体" w:eastAsia="仿宋_GB2312" w:cs="宋体"/>
                <w:color w:val="auto"/>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316.92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316.92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rPr>
            </w:pPr>
            <w:r>
              <w:rPr>
                <w:rFonts w:hint="eastAsia" w:ascii="宋体" w:hAnsi="宋体" w:cs="宋体"/>
                <w:color w:val="auto"/>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353"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316.92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316.92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22"/>
                <w:szCs w:val="22"/>
              </w:rPr>
              <w:t>316.92</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rPr>
            </w:pPr>
            <w:r>
              <w:rPr>
                <w:rFonts w:hint="eastAsia" w:ascii="宋体" w:hAnsi="宋体" w:cs="宋体"/>
                <w:color w:val="auto"/>
                <w:kern w:val="0"/>
                <w:sz w:val="18"/>
                <w:szCs w:val="18"/>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14"/>
        <w:gridCol w:w="419"/>
        <w:gridCol w:w="417"/>
        <w:gridCol w:w="2614"/>
        <w:gridCol w:w="556"/>
        <w:gridCol w:w="1024"/>
        <w:gridCol w:w="216"/>
        <w:gridCol w:w="1626"/>
        <w:gridCol w:w="1701"/>
      </w:tblGrid>
      <w:tr>
        <w:tblPrEx>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964"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编制部门：阜康市畜牧综合执法大队</w:t>
            </w:r>
          </w:p>
        </w:tc>
        <w:tc>
          <w:tcPr>
            <w:tcW w:w="556" w:type="dxa"/>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3327" w:type="dxa"/>
            <w:gridSpan w:val="2"/>
            <w:tcBorders>
              <w:top w:val="nil"/>
              <w:left w:val="nil"/>
              <w:bottom w:val="nil"/>
              <w:right w:val="nil"/>
            </w:tcBorders>
            <w:shd w:val="clear" w:color="auto" w:fill="auto"/>
            <w:vAlign w:val="center"/>
          </w:tcPr>
          <w:p>
            <w:pPr>
              <w:widowControl/>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CellMar>
            <w:top w:w="0" w:type="dxa"/>
            <w:left w:w="108" w:type="dxa"/>
            <w:bottom w:w="0" w:type="dxa"/>
            <w:right w:w="108" w:type="dxa"/>
          </w:tblCellMar>
        </w:tblPrEx>
        <w:trPr>
          <w:trHeight w:val="405" w:hRule="atLeast"/>
        </w:trPr>
        <w:tc>
          <w:tcPr>
            <w:tcW w:w="3964"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项目</w:t>
            </w:r>
          </w:p>
        </w:tc>
        <w:tc>
          <w:tcPr>
            <w:tcW w:w="512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一般公共预算支出</w:t>
            </w:r>
          </w:p>
        </w:tc>
      </w:tr>
      <w:tr>
        <w:tblPrEx>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功能分类科目编码</w:t>
            </w:r>
          </w:p>
        </w:tc>
        <w:tc>
          <w:tcPr>
            <w:tcW w:w="261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功能分类科目名称</w:t>
            </w:r>
          </w:p>
        </w:tc>
        <w:tc>
          <w:tcPr>
            <w:tcW w:w="158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项目支出</w:t>
            </w:r>
          </w:p>
        </w:tc>
      </w:tr>
      <w:tr>
        <w:tblPrEx>
          <w:tblCellMar>
            <w:top w:w="0" w:type="dxa"/>
            <w:left w:w="108" w:type="dxa"/>
            <w:bottom w:w="0" w:type="dxa"/>
            <w:right w:w="108" w:type="dxa"/>
          </w:tblCellMar>
        </w:tblPrEx>
        <w:trPr>
          <w:trHeight w:val="30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类</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项</w:t>
            </w:r>
          </w:p>
        </w:tc>
        <w:tc>
          <w:tcPr>
            <w:tcW w:w="261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5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208</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01</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18"/>
                <w:szCs w:val="18"/>
              </w:rPr>
              <w:t>归口管理的行政单位离退休</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20"/>
                <w:szCs w:val="20"/>
              </w:rPr>
              <w:t>0.85</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eastAsia="仿宋_GB2312"/>
                <w:color w:val="auto"/>
                <w:sz w:val="20"/>
                <w:szCs w:val="20"/>
              </w:rPr>
              <w:t>0.85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208</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05</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机关事业单位基本养老保险缴费支出</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24.88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24.88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210</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01</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行政单位医疗</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7.06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7.06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210</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02</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事业单位医疗</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7.57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20"/>
                <w:szCs w:val="20"/>
              </w:rPr>
              <w:t>7.57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210</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03</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公务员医疗</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6.47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6.47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213</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01</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行政运行</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57.53</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57.53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213</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04</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事业运行</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194.6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194.6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221</w:t>
            </w:r>
          </w:p>
        </w:tc>
        <w:tc>
          <w:tcPr>
            <w:tcW w:w="419"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01</w:t>
            </w:r>
          </w:p>
        </w:tc>
        <w:tc>
          <w:tcPr>
            <w:tcW w:w="261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eastAsia="仿宋_GB2312"/>
                <w:color w:val="auto"/>
                <w:sz w:val="18"/>
                <w:szCs w:val="18"/>
              </w:rPr>
              <w:t>住房公积金</w:t>
            </w:r>
          </w:p>
        </w:tc>
        <w:tc>
          <w:tcPr>
            <w:tcW w:w="1580"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17.96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auto"/>
                <w:kern w:val="0"/>
                <w:sz w:val="20"/>
                <w:szCs w:val="20"/>
              </w:rPr>
            </w:pPr>
            <w:r>
              <w:rPr>
                <w:rFonts w:hint="eastAsia" w:ascii="仿宋_GB2312" w:hAnsi="宋体" w:eastAsia="仿宋_GB2312" w:cs="宋体"/>
                <w:color w:val="auto"/>
                <w:sz w:val="20"/>
                <w:szCs w:val="20"/>
              </w:rPr>
              <w:t>17.96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26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r>
        <w:tblPrEx>
          <w:tblCellMar>
            <w:top w:w="0" w:type="dxa"/>
            <w:left w:w="108" w:type="dxa"/>
            <w:bottom w:w="0" w:type="dxa"/>
            <w:right w:w="108" w:type="dxa"/>
          </w:tblCellMar>
        </w:tblPrEx>
        <w:trPr>
          <w:trHeight w:val="45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c>
          <w:tcPr>
            <w:tcW w:w="26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合计</w:t>
            </w:r>
          </w:p>
        </w:tc>
        <w:tc>
          <w:tcPr>
            <w:tcW w:w="158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316.92</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316.92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编制部门：阜康市畜牧综合执法大队</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一般公共预算基本支出</w:t>
            </w:r>
          </w:p>
        </w:tc>
      </w:tr>
      <w:tr>
        <w:tblPrEx>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rPr>
            </w:pPr>
            <w:r>
              <w:rPr>
                <w:rFonts w:hint="eastAsia" w:ascii="仿宋_GB2312" w:hAnsi="宋体" w:eastAsia="仿宋_GB2312" w:cs="宋体"/>
                <w:b/>
                <w:bCs/>
                <w:color w:val="auto"/>
                <w:kern w:val="0"/>
                <w:szCs w:val="21"/>
              </w:rPr>
              <w:t>公用经费</w:t>
            </w:r>
          </w:p>
        </w:tc>
      </w:tr>
      <w:tr>
        <w:tblPrEx>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71.69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71.69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51.47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51.47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39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5.67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5.67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24.88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24.88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14.63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14.63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600" w:firstLineChars="300"/>
              <w:rPr>
                <w:rFonts w:ascii="宋体" w:hAnsi="宋体" w:cs="宋体"/>
                <w:color w:val="auto"/>
                <w:kern w:val="0"/>
                <w:sz w:val="20"/>
                <w:szCs w:val="20"/>
              </w:rPr>
            </w:pPr>
            <w:r>
              <w:rPr>
                <w:rFonts w:hint="eastAsia" w:ascii="宋体" w:hAnsi="宋体" w:cs="宋体"/>
                <w:color w:val="auto"/>
                <w:kern w:val="0"/>
                <w:sz w:val="20"/>
                <w:szCs w:val="20"/>
              </w:rPr>
              <w:t>6.47</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firstLine="600" w:firstLineChars="300"/>
              <w:rPr>
                <w:rFonts w:ascii="宋体" w:hAnsi="宋体" w:cs="宋体"/>
                <w:color w:val="auto"/>
                <w:kern w:val="0"/>
                <w:sz w:val="20"/>
                <w:szCs w:val="20"/>
              </w:rPr>
            </w:pPr>
            <w:r>
              <w:rPr>
                <w:rFonts w:hint="eastAsia" w:ascii="宋体" w:hAnsi="宋体" w:cs="宋体"/>
                <w:color w:val="auto"/>
                <w:kern w:val="0"/>
                <w:sz w:val="20"/>
                <w:szCs w:val="20"/>
              </w:rPr>
              <w:t>6.47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17.96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17.96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122.04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122.04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0.54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0.54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0.31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0.31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color w:val="auto"/>
                <w:sz w:val="18"/>
                <w:szCs w:val="18"/>
              </w:rPr>
            </w:pPr>
            <w:r>
              <w:rPr>
                <w:rFonts w:hint="eastAsia" w:ascii="仿宋_GB2312" w:eastAsia="仿宋_GB2312"/>
                <w:color w:val="auto"/>
                <w:sz w:val="18"/>
                <w:szCs w:val="18"/>
              </w:rPr>
              <w:t>其他对个人和家庭补助支出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0.03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0.03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279"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rPr>
            </w:pPr>
            <w:r>
              <w:rPr>
                <w:rFonts w:hint="eastAsia" w:ascii="宋体" w:hAnsi="宋体" w:cs="宋体"/>
                <w:color w:val="auto"/>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b/>
                <w:bCs/>
                <w:color w:val="auto"/>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316.92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r>
              <w:rPr>
                <w:rFonts w:hint="eastAsia" w:ascii="宋体" w:hAnsi="宋体" w:cs="宋体"/>
                <w:color w:val="auto"/>
                <w:kern w:val="0"/>
                <w:sz w:val="20"/>
                <w:szCs w:val="20"/>
              </w:rPr>
              <w:t>316.92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rPr>
            </w:pP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备注：无内容应公开空表并说明情况。</w:t>
      </w:r>
    </w:p>
    <w:p>
      <w:pPr>
        <w:widowControl/>
        <w:jc w:val="left"/>
        <w:outlineLvl w:val="1"/>
        <w:rPr>
          <w:rFonts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370"/>
        <w:gridCol w:w="199"/>
        <w:gridCol w:w="536"/>
        <w:gridCol w:w="652"/>
        <w:gridCol w:w="652"/>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461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编制部门：阜康市畜牧兽医综合执法大队</w:t>
            </w:r>
          </w:p>
        </w:tc>
        <w:tc>
          <w:tcPr>
            <w:tcW w:w="73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auto"/>
                <w:kern w:val="0"/>
                <w:sz w:val="24"/>
              </w:rPr>
            </w:pPr>
            <w:r>
              <w:rPr>
                <w:rFonts w:hint="eastAsia" w:ascii="仿宋_GB2312" w:hAnsi="宋体" w:eastAsia="仿宋_GB2312" w:cs="宋体"/>
                <w:color w:val="auto"/>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科目</w:t>
            </w:r>
          </w:p>
        </w:tc>
        <w:tc>
          <w:tcPr>
            <w:tcW w:w="1456" w:type="dxa"/>
            <w:vMerge w:val="restart"/>
            <w:shd w:val="clear" w:color="auto" w:fill="auto"/>
            <w:vAlign w:val="center"/>
          </w:tcPr>
          <w:p>
            <w:pPr>
              <w:jc w:val="center"/>
              <w:rPr>
                <w:rFonts w:ascii="Calibri" w:hAnsi="Calibri"/>
                <w:color w:val="auto"/>
                <w:sz w:val="24"/>
              </w:rPr>
            </w:pPr>
            <w:r>
              <w:rPr>
                <w:rFonts w:hint="eastAsia" w:ascii="仿宋_GB2312" w:hAnsi="宋体" w:eastAsia="仿宋_GB2312"/>
                <w:b/>
                <w:color w:val="auto"/>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r>
              <w:rPr>
                <w:rFonts w:hint="eastAsia" w:ascii="仿宋_GB2312" w:hAnsi="宋体" w:eastAsia="仿宋_GB2312"/>
                <w:b/>
                <w:color w:val="auto"/>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p>
        </w:tc>
        <w:tc>
          <w:tcPr>
            <w:tcW w:w="397" w:type="dxa"/>
            <w:shd w:val="clear" w:color="auto" w:fill="auto"/>
          </w:tcPr>
          <w:p>
            <w:pPr>
              <w:widowControl/>
              <w:jc w:val="left"/>
              <w:outlineLvl w:val="1"/>
              <w:rPr>
                <w:rFonts w:ascii="仿宋_GB2312" w:hAnsi="宋体" w:eastAsia="仿宋_GB2312"/>
                <w:color w:val="auto"/>
                <w:kern w:val="0"/>
                <w:sz w:val="32"/>
                <w:szCs w:val="32"/>
              </w:rPr>
            </w:pPr>
          </w:p>
        </w:tc>
        <w:tc>
          <w:tcPr>
            <w:tcW w:w="397" w:type="dxa"/>
            <w:shd w:val="clear" w:color="auto" w:fill="auto"/>
          </w:tcPr>
          <w:p>
            <w:pPr>
              <w:widowControl/>
              <w:jc w:val="left"/>
              <w:outlineLvl w:val="1"/>
              <w:rPr>
                <w:rFonts w:ascii="仿宋_GB2312" w:hAnsi="宋体" w:eastAsia="仿宋_GB2312"/>
                <w:color w:val="auto"/>
                <w:kern w:val="0"/>
                <w:sz w:val="32"/>
                <w:szCs w:val="32"/>
              </w:rPr>
            </w:pPr>
          </w:p>
        </w:tc>
        <w:tc>
          <w:tcPr>
            <w:tcW w:w="851" w:type="dxa"/>
            <w:shd w:val="clear" w:color="auto" w:fill="auto"/>
          </w:tcPr>
          <w:p>
            <w:pPr>
              <w:widowControl/>
              <w:jc w:val="left"/>
              <w:outlineLvl w:val="1"/>
              <w:rPr>
                <w:rFonts w:ascii="仿宋_GB2312" w:hAnsi="宋体" w:eastAsia="仿宋_GB2312"/>
                <w:color w:val="auto"/>
                <w:kern w:val="0"/>
                <w:sz w:val="32"/>
                <w:szCs w:val="32"/>
              </w:rPr>
            </w:pPr>
          </w:p>
        </w:tc>
        <w:tc>
          <w:tcPr>
            <w:tcW w:w="1456" w:type="dxa"/>
            <w:shd w:val="clear" w:color="auto" w:fill="auto"/>
          </w:tcPr>
          <w:p>
            <w:pPr>
              <w:widowControl/>
              <w:jc w:val="left"/>
              <w:outlineLvl w:val="1"/>
              <w:rPr>
                <w:rFonts w:ascii="仿宋_GB2312" w:hAnsi="宋体" w:eastAsia="仿宋_GB2312"/>
                <w:color w:val="auto"/>
                <w:kern w:val="0"/>
                <w:sz w:val="32"/>
                <w:szCs w:val="32"/>
              </w:rPr>
            </w:pPr>
          </w:p>
        </w:tc>
        <w:tc>
          <w:tcPr>
            <w:tcW w:w="750" w:type="dxa"/>
            <w:shd w:val="clear" w:color="auto" w:fill="auto"/>
          </w:tcPr>
          <w:p>
            <w:pPr>
              <w:widowControl/>
              <w:jc w:val="left"/>
              <w:outlineLvl w:val="1"/>
              <w:rPr>
                <w:rFonts w:ascii="仿宋_GB2312" w:hAnsi="宋体" w:eastAsia="仿宋_GB2312"/>
                <w:color w:val="auto"/>
                <w:kern w:val="0"/>
                <w:sz w:val="32"/>
                <w:szCs w:val="32"/>
              </w:rPr>
            </w:pP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p>
        </w:tc>
        <w:tc>
          <w:tcPr>
            <w:tcW w:w="536" w:type="dxa"/>
            <w:shd w:val="clear" w:color="auto" w:fill="auto"/>
          </w:tcPr>
          <w:p>
            <w:pPr>
              <w:widowControl/>
              <w:jc w:val="left"/>
              <w:outlineLvl w:val="1"/>
              <w:rPr>
                <w:rFonts w:ascii="仿宋_GB2312" w:hAnsi="宋体" w:eastAsia="仿宋_GB2312"/>
                <w:color w:val="auto"/>
                <w:kern w:val="0"/>
                <w:sz w:val="32"/>
                <w:szCs w:val="32"/>
              </w:rPr>
            </w:pPr>
          </w:p>
        </w:tc>
        <w:tc>
          <w:tcPr>
            <w:tcW w:w="652" w:type="dxa"/>
            <w:shd w:val="clear" w:color="auto" w:fill="auto"/>
          </w:tcPr>
          <w:p>
            <w:pPr>
              <w:widowControl/>
              <w:jc w:val="left"/>
              <w:outlineLvl w:val="1"/>
              <w:rPr>
                <w:rFonts w:ascii="仿宋_GB2312" w:hAnsi="宋体" w:eastAsia="仿宋_GB2312"/>
                <w:color w:val="auto"/>
                <w:kern w:val="0"/>
                <w:sz w:val="32"/>
                <w:szCs w:val="32"/>
              </w:rPr>
            </w:pPr>
          </w:p>
        </w:tc>
        <w:tc>
          <w:tcPr>
            <w:tcW w:w="652" w:type="dxa"/>
            <w:shd w:val="clear" w:color="auto" w:fill="auto"/>
          </w:tcPr>
          <w:p>
            <w:pPr>
              <w:widowControl/>
              <w:jc w:val="left"/>
              <w:outlineLvl w:val="1"/>
              <w:rPr>
                <w:rFonts w:ascii="仿宋_GB2312" w:hAnsi="宋体" w:eastAsia="仿宋_GB2312"/>
                <w:color w:val="auto"/>
                <w:kern w:val="0"/>
                <w:sz w:val="32"/>
                <w:szCs w:val="32"/>
              </w:rPr>
            </w:pP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p>
        </w:tc>
        <w:tc>
          <w:tcPr>
            <w:tcW w:w="419" w:type="dxa"/>
            <w:shd w:val="clear" w:color="auto" w:fill="auto"/>
          </w:tcPr>
          <w:p>
            <w:pPr>
              <w:widowControl/>
              <w:jc w:val="left"/>
              <w:outlineLvl w:val="1"/>
              <w:rPr>
                <w:rFonts w:ascii="仿宋_GB2312" w:hAnsi="宋体" w:eastAsia="仿宋_GB2312"/>
                <w:color w:val="auto"/>
                <w:kern w:val="0"/>
                <w:sz w:val="32"/>
                <w:szCs w:val="32"/>
              </w:rPr>
            </w:pPr>
          </w:p>
        </w:tc>
        <w:tc>
          <w:tcPr>
            <w:tcW w:w="578" w:type="dxa"/>
            <w:shd w:val="clear" w:color="auto" w:fill="auto"/>
          </w:tcPr>
          <w:p>
            <w:pPr>
              <w:widowControl/>
              <w:jc w:val="left"/>
              <w:outlineLvl w:val="1"/>
              <w:rPr>
                <w:rFonts w:ascii="仿宋_GB2312" w:hAnsi="宋体" w:eastAsia="仿宋_GB2312"/>
                <w:color w:val="auto"/>
                <w:kern w:val="0"/>
                <w:sz w:val="32"/>
                <w:szCs w:val="32"/>
              </w:rPr>
            </w:pPr>
          </w:p>
        </w:tc>
        <w:tc>
          <w:tcPr>
            <w:tcW w:w="420" w:type="dxa"/>
            <w:shd w:val="clear" w:color="auto" w:fill="auto"/>
          </w:tcPr>
          <w:p>
            <w:pPr>
              <w:widowControl/>
              <w:jc w:val="left"/>
              <w:outlineLvl w:val="1"/>
              <w:rPr>
                <w:rFonts w:ascii="仿宋_GB2312" w:hAnsi="宋体" w:eastAsia="仿宋_GB2312"/>
                <w:color w:val="auto"/>
                <w:kern w:val="0"/>
                <w:sz w:val="32"/>
                <w:szCs w:val="32"/>
              </w:rPr>
            </w:pPr>
          </w:p>
        </w:tc>
        <w:tc>
          <w:tcPr>
            <w:tcW w:w="420" w:type="dxa"/>
            <w:shd w:val="clear" w:color="auto" w:fill="auto"/>
          </w:tcPr>
          <w:p>
            <w:pPr>
              <w:widowControl/>
              <w:jc w:val="left"/>
              <w:outlineLvl w:val="1"/>
              <w:rPr>
                <w:rFonts w:ascii="仿宋_GB2312" w:hAnsi="宋体" w:eastAsia="仿宋_GB2312"/>
                <w:color w:val="auto"/>
                <w:kern w:val="0"/>
                <w:sz w:val="32"/>
                <w:szCs w:val="32"/>
              </w:rPr>
            </w:pP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5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shd w:val="clear" w:color="auto" w:fill="auto"/>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shd w:val="clear" w:color="auto" w:fill="auto"/>
            <w:vAlign w:val="center"/>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合计</w:t>
            </w:r>
          </w:p>
        </w:tc>
        <w:tc>
          <w:tcPr>
            <w:tcW w:w="750" w:type="dxa"/>
            <w:shd w:val="clear" w:color="auto" w:fill="auto"/>
            <w:vAlign w:val="center"/>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69"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36"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652"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652"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78"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19"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578"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20"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420" w:type="dxa"/>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c>
          <w:tcPr>
            <w:tcW w:w="397" w:type="dxa"/>
            <w:gridSpan w:val="2"/>
            <w:shd w:val="clear" w:color="auto" w:fill="auto"/>
          </w:tcPr>
          <w:p>
            <w:pPr>
              <w:widowControl/>
              <w:jc w:val="center"/>
              <w:outlineLvl w:val="1"/>
              <w:rPr>
                <w:rFonts w:ascii="仿宋_GB2312" w:hAnsi="宋体" w:eastAsia="仿宋_GB2312"/>
                <w:color w:val="auto"/>
                <w:kern w:val="0"/>
                <w:szCs w:val="21"/>
              </w:rPr>
            </w:pPr>
            <w:r>
              <w:rPr>
                <w:rFonts w:hint="eastAsia" w:ascii="仿宋_GB2312" w:hAnsi="宋体" w:eastAsia="仿宋_GB2312"/>
                <w:color w:val="auto"/>
                <w:kern w:val="0"/>
                <w:szCs w:val="21"/>
              </w:rPr>
              <w:t>0</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备注：2019年未安排项目支出预算，因此没有使用项目支出预算拨款安排的支出，项目支出预算支出情况表为空表。</w:t>
      </w:r>
    </w:p>
    <w:p>
      <w:pPr>
        <w:widowControl/>
        <w:outlineLvl w:val="1"/>
        <w:rPr>
          <w:rFonts w:ascii="仿宋_GB2312" w:hAnsi="宋体" w:eastAsia="仿宋_GB2312"/>
          <w:b/>
          <w:color w:val="auto"/>
          <w:kern w:val="0"/>
          <w:sz w:val="28"/>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表八：</w:t>
      </w:r>
    </w:p>
    <w:p>
      <w:pPr>
        <w:widowControl/>
        <w:jc w:val="left"/>
        <w:outlineLvl w:val="1"/>
        <w:rPr>
          <w:rFonts w:ascii="仿宋_GB2312" w:hAnsi="宋体" w:eastAsia="仿宋_GB2312"/>
          <w:b/>
          <w:color w:val="auto"/>
          <w:kern w:val="0"/>
          <w:sz w:val="32"/>
          <w:szCs w:val="32"/>
        </w:rPr>
      </w:pP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一般公共预算“三公”经费支出情况表</w:t>
      </w:r>
    </w:p>
    <w:p>
      <w:pPr>
        <w:widowControl/>
        <w:jc w:val="left"/>
        <w:outlineLvl w:val="1"/>
        <w:rPr>
          <w:rFonts w:ascii="仿宋_GB2312" w:hAnsi="宋体" w:eastAsia="仿宋_GB2312"/>
          <w:color w:val="auto"/>
          <w:kern w:val="0"/>
          <w:sz w:val="24"/>
        </w:rPr>
      </w:pPr>
      <w:r>
        <w:rPr>
          <w:rFonts w:hint="eastAsia" w:ascii="仿宋_GB2312" w:hAnsi="宋体" w:eastAsia="仿宋_GB2312"/>
          <w:color w:val="auto"/>
          <w:kern w:val="0"/>
          <w:sz w:val="24"/>
        </w:rPr>
        <w:t>编制单位：阜康市畜牧兽医综合执法大队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auto"/>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3.25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.25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1</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bl>
    <w:p>
      <w:pPr>
        <w:widowControl/>
        <w:outlineLvl w:val="1"/>
        <w:rPr>
          <w:rFonts w:ascii="仿宋_GB2312" w:hAnsi="宋体" w:eastAsia="仿宋_GB2312"/>
          <w:b/>
          <w:color w:val="auto"/>
          <w:kern w:val="0"/>
          <w:sz w:val="32"/>
          <w:szCs w:val="32"/>
        </w:rPr>
      </w:pPr>
      <w:r>
        <w:rPr>
          <w:rFonts w:hint="eastAsia" w:ascii="仿宋_GB2312" w:hAnsi="宋体" w:eastAsia="仿宋_GB2312"/>
          <w:b/>
          <w:color w:val="auto"/>
          <w:kern w:val="0"/>
          <w:sz w:val="28"/>
          <w:szCs w:val="32"/>
        </w:rPr>
        <w:t>备注：无内容应公开空表并说明情况。</w:t>
      </w: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outlineLvl w:val="1"/>
        <w:rPr>
          <w:rFonts w:ascii="仿宋_GB2312" w:hAnsi="宋体" w:eastAsia="仿宋_GB2312"/>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表九：</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政府性基金预算支出情况表</w:t>
      </w:r>
    </w:p>
    <w:p>
      <w:pPr>
        <w:widowControl/>
        <w:outlineLvl w:val="1"/>
        <w:rPr>
          <w:rFonts w:ascii="仿宋_GB2312" w:hAnsi="宋体" w:eastAsia="仿宋_GB2312"/>
          <w:color w:val="auto"/>
          <w:kern w:val="0"/>
          <w:sz w:val="24"/>
        </w:rPr>
      </w:pPr>
      <w:r>
        <w:rPr>
          <w:rFonts w:hint="eastAsia" w:ascii="仿宋_GB2312" w:hAnsi="宋体" w:eastAsia="仿宋_GB2312"/>
          <w:color w:val="auto"/>
          <w:kern w:val="0"/>
          <w:sz w:val="24"/>
        </w:rPr>
        <w:t>编制单位：阜康市畜牧综合执法大队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18"/>
                <w:szCs w:val="18"/>
              </w:rPr>
            </w:pPr>
            <w:r>
              <w:rPr>
                <w:rFonts w:hint="eastAsia" w:ascii="仿宋_GB2312" w:hAnsi="宋体" w:eastAsia="仿宋_GB2312" w:cs="宋体"/>
                <w:b/>
                <w:bCs/>
                <w:color w:val="auto"/>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bl>
    <w:p>
      <w:pPr>
        <w:widowControl/>
        <w:outlineLvl w:val="1"/>
        <w:rPr>
          <w:rFonts w:ascii="仿宋_GB2312" w:hAnsi="宋体" w:eastAsia="仿宋_GB2312"/>
          <w:b/>
          <w:color w:val="auto"/>
          <w:kern w:val="0"/>
          <w:sz w:val="28"/>
          <w:szCs w:val="32"/>
        </w:rPr>
      </w:pPr>
      <w:r>
        <w:rPr>
          <w:rFonts w:hint="eastAsia" w:ascii="仿宋_GB2312" w:hAnsi="宋体" w:eastAsia="仿宋_GB2312"/>
          <w:b/>
          <w:color w:val="auto"/>
          <w:kern w:val="0"/>
          <w:sz w:val="28"/>
          <w:szCs w:val="32"/>
        </w:rPr>
        <w:t>备注：2019年未安排</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预算，因此没有使用</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预算拨款安排的支出，</w:t>
      </w:r>
      <w:r>
        <w:rPr>
          <w:rFonts w:hint="eastAsia" w:ascii="仿宋_GB2312" w:hAnsi="宋体" w:eastAsia="仿宋_GB2312"/>
          <w:b/>
          <w:color w:val="auto"/>
          <w:kern w:val="0"/>
          <w:sz w:val="32"/>
          <w:szCs w:val="32"/>
        </w:rPr>
        <w:t>政府性基金</w:t>
      </w:r>
      <w:r>
        <w:rPr>
          <w:rFonts w:hint="eastAsia" w:ascii="仿宋_GB2312" w:hAnsi="宋体" w:eastAsia="仿宋_GB2312"/>
          <w:b/>
          <w:color w:val="auto"/>
          <w:kern w:val="0"/>
          <w:sz w:val="28"/>
          <w:szCs w:val="32"/>
        </w:rPr>
        <w:t>预算支出情况表为空表。</w:t>
      </w:r>
    </w:p>
    <w:p>
      <w:pPr>
        <w:widowControl/>
        <w:jc w:val="left"/>
        <w:outlineLvl w:val="1"/>
        <w:rPr>
          <w:rFonts w:ascii="仿宋_GB2312" w:hAnsi="宋体" w:eastAsia="仿宋_GB2312"/>
          <w:color w:val="auto"/>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auto"/>
          <w:kern w:val="0"/>
          <w:sz w:val="32"/>
          <w:szCs w:val="32"/>
        </w:rPr>
      </w:pPr>
      <w:r>
        <w:rPr>
          <w:rFonts w:hint="eastAsia" w:ascii="黑体" w:hAnsi="黑体" w:eastAsia="黑体"/>
          <w:color w:val="auto"/>
          <w:kern w:val="0"/>
          <w:sz w:val="32"/>
          <w:szCs w:val="32"/>
        </w:rPr>
        <w:t>第三部分  2019年部门预算情况说明</w:t>
      </w:r>
    </w:p>
    <w:p>
      <w:pPr>
        <w:widowControl/>
        <w:spacing w:line="580" w:lineRule="exact"/>
        <w:ind w:firstLine="640"/>
        <w:jc w:val="left"/>
        <w:rPr>
          <w:rFonts w:ascii="黑体" w:hAnsi="宋体" w:eastAsia="黑体" w:cs="宋体"/>
          <w:color w:val="auto"/>
          <w:kern w:val="0"/>
          <w:sz w:val="32"/>
          <w:szCs w:val="32"/>
        </w:rPr>
      </w:pPr>
      <w:r>
        <w:rPr>
          <w:rFonts w:hint="eastAsia" w:ascii="黑体" w:hAnsi="黑体" w:eastAsia="黑体" w:cs="宋体"/>
          <w:bCs/>
          <w:color w:val="auto"/>
          <w:kern w:val="0"/>
          <w:sz w:val="32"/>
          <w:szCs w:val="32"/>
        </w:rPr>
        <w:t>一、</w:t>
      </w:r>
      <w:r>
        <w:rPr>
          <w:rFonts w:hint="eastAsia" w:ascii="黑体" w:hAnsi="宋体" w:eastAsia="黑体" w:cs="宋体"/>
          <w:color w:val="auto"/>
          <w:kern w:val="0"/>
          <w:sz w:val="32"/>
          <w:szCs w:val="32"/>
        </w:rPr>
        <w:t>关于阜康市畜牧兽医综合执法大队收支预算情况的总体说明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按照全口径预算的原则，阜康市畜牧兽医综合执法大队所有收入和支出均纳入部门预算管理。收支总预算316.92万元。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收入预算包括：一般公共预算316.92万元 。</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支出预算包括：社会保障和就业支出25.73万元、医疗卫生与计划生育支出21.1万元、农林水支出252.13万元、住房保障支出17.96万元等。</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二、关于阜康市畜牧兽医综合执法大队2019年收入预算情况说明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阜康市畜牧兽医综合执法大队收入预算316.92元，其中：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一般公共预算316.92万元，占100%，比上年增加18.6万元，主要原因是2019年人员临时工工资增加； </w:t>
      </w:r>
    </w:p>
    <w:p>
      <w:pPr>
        <w:widowControl/>
        <w:spacing w:line="580" w:lineRule="exact"/>
        <w:ind w:firstLine="640" w:firstLineChars="2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政府性基金预算未安排。</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三、关于阜康市畜牧兽医综合执法大队2019年支出预算情况说明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阜康市畜牧兽医综合执法大队2019年支出预算316.92元，其中：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基本支出316.92万元，占100 %，比上年增加18.6万元，主要原因是2019年人员临时工工资增加</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 xml:space="preserve"> </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项目支出</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万元，占</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 xml:space="preserve">  %，比上年增加</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 xml:space="preserve"> 万元，主要原因是</w:t>
      </w:r>
      <w:r>
        <w:rPr>
          <w:rFonts w:hint="eastAsia" w:ascii="仿宋_GB2312" w:hAnsi="宋体" w:eastAsia="仿宋_GB2312" w:cs="宋体"/>
          <w:color w:val="auto"/>
          <w:kern w:val="0"/>
          <w:sz w:val="32"/>
          <w:szCs w:val="32"/>
          <w:lang w:val="en-US" w:eastAsia="zh-CN"/>
        </w:rPr>
        <w:t>无。</w:t>
      </w:r>
      <w:r>
        <w:rPr>
          <w:rFonts w:hint="eastAsia" w:ascii="仿宋_GB2312" w:hAnsi="宋体" w:eastAsia="仿宋_GB2312" w:cs="宋体"/>
          <w:color w:val="auto"/>
          <w:kern w:val="0"/>
          <w:sz w:val="32"/>
          <w:szCs w:val="32"/>
        </w:rPr>
        <w:t xml:space="preserve">       </w:t>
      </w:r>
    </w:p>
    <w:p>
      <w:pPr>
        <w:widowControl/>
        <w:spacing w:line="580" w:lineRule="exact"/>
        <w:ind w:firstLine="640"/>
        <w:jc w:val="left"/>
        <w:rPr>
          <w:rFonts w:ascii="黑体" w:hAnsi="黑体" w:eastAsia="黑体" w:cs="宋体"/>
          <w:bCs/>
          <w:color w:val="auto"/>
          <w:kern w:val="0"/>
          <w:sz w:val="32"/>
          <w:szCs w:val="32"/>
        </w:rPr>
      </w:pPr>
      <w:r>
        <w:rPr>
          <w:rFonts w:hint="eastAsia" w:ascii="仿宋_GB2312" w:hAnsi="宋体" w:eastAsia="仿宋_GB2312" w:cs="宋体"/>
          <w:color w:val="auto"/>
          <w:kern w:val="0"/>
          <w:sz w:val="32"/>
          <w:szCs w:val="32"/>
        </w:rPr>
        <w:t xml:space="preserve">  </w:t>
      </w:r>
      <w:r>
        <w:rPr>
          <w:rFonts w:hint="eastAsia" w:ascii="黑体" w:hAnsi="黑体" w:eastAsia="黑体" w:cs="宋体"/>
          <w:bCs/>
          <w:color w:val="auto"/>
          <w:kern w:val="0"/>
          <w:sz w:val="32"/>
          <w:szCs w:val="32"/>
        </w:rPr>
        <w:t>四、关于阜康市畜牧兽医综合执法大队2019年财政拨款收支预算情况的总体说明</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2019年财政拨款收支总预算316.92万元。</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收入全部为一般公共预算拨款，无政府性基金预算拨</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支出预算包括：社会保障和就业支出25.73万元，主要用于单位职工离退休人员津贴补贴、机关事业单位基本养老保险费等；</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医疗卫生与计划生育支出21.1万元，主要用于单位公务员医疗补助。</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农林水支出252.13万元，主要用于单位人员生育、医疗、工伤保险、奖金等；</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住房保障支出17.96万元，主要用于单位职工住房公积金。</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五、关于阜康市畜牧兽医综合执法大队2019年年一般公共预算当年拨款情况说明</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（一）一般公用预算当年拨款规模变化情况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rPr>
        <w:t>阜康市畜牧兽医综合执法大队2019年一般公共预算拨</w:t>
      </w:r>
      <w:r>
        <w:rPr>
          <w:rFonts w:hint="eastAsia" w:ascii="仿宋_GB2312" w:hAnsi="宋体" w:eastAsia="仿宋_GB2312" w:cs="宋体"/>
          <w:color w:val="auto"/>
          <w:kern w:val="0"/>
          <w:sz w:val="32"/>
          <w:szCs w:val="32"/>
          <w:highlight w:val="none"/>
        </w:rPr>
        <w:t>款基本支出316.92 万元，比上年执行数增加18.6万元，</w:t>
      </w:r>
      <w:r>
        <w:rPr>
          <w:rFonts w:hint="eastAsia" w:ascii="仿宋_GB2312" w:hAnsi="宋体" w:eastAsia="仿宋_GB2312" w:cs="宋体"/>
          <w:color w:val="auto"/>
          <w:kern w:val="0"/>
          <w:sz w:val="32"/>
          <w:szCs w:val="32"/>
          <w:highlight w:val="none"/>
          <w:lang w:val="en-US" w:eastAsia="zh-CN"/>
        </w:rPr>
        <w:t>增长了5.54%，</w:t>
      </w:r>
      <w:r>
        <w:rPr>
          <w:rFonts w:hint="eastAsia" w:ascii="仿宋_GB2312" w:hAnsi="宋体" w:eastAsia="仿宋_GB2312" w:cs="宋体"/>
          <w:color w:val="auto"/>
          <w:kern w:val="0"/>
          <w:sz w:val="32"/>
          <w:szCs w:val="32"/>
          <w:highlight w:val="none"/>
        </w:rPr>
        <w:t>主要原因是2019年人员临时工工资增加。</w:t>
      </w:r>
    </w:p>
    <w:p>
      <w:pPr>
        <w:widowControl/>
        <w:spacing w:line="580" w:lineRule="exact"/>
        <w:ind w:firstLine="643" w:firstLineChars="200"/>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（二）一般公共预算当年拨款结构情况</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lang w:val="en-US" w:eastAsia="zh-CN"/>
        </w:rPr>
        <w:t xml:space="preserve"> 1、</w:t>
      </w:r>
      <w:r>
        <w:rPr>
          <w:rFonts w:hint="eastAsia" w:ascii="仿宋_GB2312" w:hAnsi="宋体" w:eastAsia="仿宋_GB2312" w:cs="宋体"/>
          <w:color w:val="auto"/>
          <w:kern w:val="0"/>
          <w:sz w:val="32"/>
          <w:szCs w:val="32"/>
          <w:highlight w:val="none"/>
        </w:rPr>
        <w:t>社会保障和就业支出25.73万元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 xml:space="preserve">占 </w:t>
      </w:r>
      <w:r>
        <w:rPr>
          <w:rFonts w:hint="eastAsia" w:ascii="仿宋_GB2312" w:hAnsi="宋体" w:eastAsia="仿宋_GB2312" w:cs="宋体"/>
          <w:color w:val="auto"/>
          <w:kern w:val="0"/>
          <w:sz w:val="32"/>
          <w:szCs w:val="32"/>
          <w:highlight w:val="none"/>
          <w:lang w:val="en-US" w:eastAsia="zh-CN"/>
        </w:rPr>
        <w:t>8.12</w:t>
      </w:r>
      <w:r>
        <w:rPr>
          <w:rFonts w:hint="eastAsia" w:ascii="仿宋_GB2312" w:hAnsi="宋体" w:eastAsia="仿宋_GB2312" w:cs="宋体"/>
          <w:color w:val="auto"/>
          <w:kern w:val="0"/>
          <w:sz w:val="32"/>
          <w:szCs w:val="32"/>
          <w:highlight w:val="none"/>
        </w:rPr>
        <w:t>%。</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医疗卫生与计划生育支出21.1万元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 xml:space="preserve">占 </w:t>
      </w:r>
      <w:r>
        <w:rPr>
          <w:rFonts w:hint="eastAsia" w:ascii="仿宋_GB2312" w:hAnsi="宋体" w:eastAsia="仿宋_GB2312" w:cs="宋体"/>
          <w:color w:val="auto"/>
          <w:kern w:val="0"/>
          <w:sz w:val="32"/>
          <w:szCs w:val="32"/>
          <w:highlight w:val="none"/>
          <w:lang w:val="en-US" w:eastAsia="zh-CN"/>
        </w:rPr>
        <w:t>6.65</w:t>
      </w:r>
      <w:r>
        <w:rPr>
          <w:rFonts w:hint="eastAsia" w:ascii="仿宋_GB2312" w:hAnsi="宋体" w:eastAsia="仿宋_GB2312" w:cs="宋体"/>
          <w:color w:val="auto"/>
          <w:kern w:val="0"/>
          <w:sz w:val="32"/>
          <w:szCs w:val="32"/>
          <w:highlight w:val="none"/>
        </w:rPr>
        <w:t>%。</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农林水支出252.13万元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 xml:space="preserve">占 </w:t>
      </w:r>
      <w:r>
        <w:rPr>
          <w:rFonts w:hint="eastAsia" w:ascii="仿宋_GB2312" w:hAnsi="宋体" w:eastAsia="仿宋_GB2312" w:cs="宋体"/>
          <w:color w:val="auto"/>
          <w:kern w:val="0"/>
          <w:sz w:val="32"/>
          <w:szCs w:val="32"/>
          <w:highlight w:val="none"/>
          <w:lang w:val="en-US" w:eastAsia="zh-CN"/>
        </w:rPr>
        <w:t>79.56</w:t>
      </w:r>
      <w:r>
        <w:rPr>
          <w:rFonts w:hint="eastAsia" w:ascii="仿宋_GB2312" w:hAnsi="宋体" w:eastAsia="仿宋_GB2312" w:cs="宋体"/>
          <w:color w:val="auto"/>
          <w:kern w:val="0"/>
          <w:sz w:val="32"/>
          <w:szCs w:val="32"/>
          <w:highlight w:val="none"/>
        </w:rPr>
        <w:t>%。</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rPr>
        <w:t>住房保障支出17.96万元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 xml:space="preserve">占 </w:t>
      </w:r>
      <w:r>
        <w:rPr>
          <w:rFonts w:hint="eastAsia" w:ascii="仿宋_GB2312" w:hAnsi="宋体" w:eastAsia="仿宋_GB2312" w:cs="宋体"/>
          <w:color w:val="auto"/>
          <w:kern w:val="0"/>
          <w:sz w:val="32"/>
          <w:szCs w:val="32"/>
          <w:highlight w:val="none"/>
          <w:lang w:val="en-US" w:eastAsia="zh-CN"/>
        </w:rPr>
        <w:t>5.67</w:t>
      </w:r>
      <w:r>
        <w:rPr>
          <w:rFonts w:hint="eastAsia" w:ascii="仿宋_GB2312" w:hAnsi="宋体" w:eastAsia="仿宋_GB2312" w:cs="宋体"/>
          <w:color w:val="auto"/>
          <w:kern w:val="0"/>
          <w:sz w:val="32"/>
          <w:szCs w:val="32"/>
          <w:highlight w:val="none"/>
        </w:rPr>
        <w:t>%。</w:t>
      </w:r>
    </w:p>
    <w:p>
      <w:pPr>
        <w:spacing w:line="580" w:lineRule="exact"/>
        <w:ind w:firstLine="640"/>
        <w:rPr>
          <w:rFonts w:ascii="仿宋_GB2312" w:hAnsi="宋体" w:eastAsia="仿宋_GB2312" w:cs="宋体"/>
          <w:color w:val="auto"/>
          <w:kern w:val="0"/>
          <w:sz w:val="32"/>
          <w:szCs w:val="32"/>
          <w:highlight w:val="yellow"/>
        </w:rPr>
      </w:pPr>
    </w:p>
    <w:p>
      <w:pPr>
        <w:widowControl/>
        <w:numPr>
          <w:ilvl w:val="0"/>
          <w:numId w:val="1"/>
        </w:numPr>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一般公共预算当年拨款具体使用情况</w:t>
      </w:r>
    </w:p>
    <w:p>
      <w:pPr>
        <w:spacing w:line="580" w:lineRule="exact"/>
        <w:ind w:firstLine="640"/>
        <w:rPr>
          <w:rFonts w:hint="eastAsia" w:ascii="仿宋_GB2312" w:hAnsi="宋体" w:eastAsia="仿宋_GB2312" w:cs="宋体"/>
          <w:color w:val="auto"/>
          <w:kern w:val="0"/>
          <w:sz w:val="32"/>
          <w:szCs w:val="32"/>
          <w:highlight w:val="none"/>
          <w:lang w:eastAsia="zh-CN"/>
        </w:rPr>
      </w:pPr>
      <w:r>
        <w:rPr>
          <w:rFonts w:hint="eastAsia" w:ascii="仿宋_GB2312" w:eastAsia="仿宋_GB2312"/>
          <w:color w:val="auto"/>
          <w:sz w:val="32"/>
          <w:szCs w:val="32"/>
        </w:rPr>
        <w:t>1、</w:t>
      </w:r>
      <w:r>
        <w:rPr>
          <w:rFonts w:hint="eastAsia" w:ascii="仿宋_GB2312" w:hAnsi="宋体" w:eastAsia="仿宋_GB2312" w:cs="宋体"/>
          <w:color w:val="auto"/>
          <w:kern w:val="0"/>
          <w:sz w:val="32"/>
          <w:szCs w:val="32"/>
        </w:rPr>
        <w:t>社会保障和就业</w:t>
      </w:r>
      <w:r>
        <w:rPr>
          <w:rFonts w:hint="eastAsia" w:ascii="仿宋_GB2312" w:eastAsia="仿宋_GB2312"/>
          <w:color w:val="auto"/>
          <w:sz w:val="32"/>
          <w:szCs w:val="32"/>
        </w:rPr>
        <w:t>（类）行政事业单位单位离退休</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归口管理的行政单位离退休</w:t>
      </w:r>
      <w:r>
        <w:rPr>
          <w:rFonts w:ascii="仿宋_GB2312" w:hAnsi="宋体" w:eastAsia="仿宋_GB2312" w:cs="宋体"/>
          <w:color w:val="auto"/>
          <w:kern w:val="0"/>
          <w:sz w:val="32"/>
          <w:szCs w:val="32"/>
        </w:rPr>
        <w:t>（项）</w:t>
      </w:r>
      <w:r>
        <w:rPr>
          <w:rFonts w:hint="eastAsia" w:ascii="仿宋_GB2312" w:eastAsia="仿宋_GB2312"/>
          <w:color w:val="auto"/>
          <w:sz w:val="32"/>
          <w:szCs w:val="32"/>
          <w:lang w:val="en-US" w:eastAsia="zh-CN"/>
        </w:rPr>
        <w:t>0.85</w:t>
      </w:r>
      <w:r>
        <w:rPr>
          <w:rFonts w:hint="eastAsia" w:ascii="仿宋_GB2312" w:hAnsi="宋体" w:eastAsia="仿宋_GB2312" w:cs="宋体"/>
          <w:color w:val="auto"/>
          <w:kern w:val="0"/>
          <w:sz w:val="32"/>
          <w:szCs w:val="32"/>
        </w:rPr>
        <w:t>万元，比上年执行</w:t>
      </w:r>
      <w:r>
        <w:rPr>
          <w:rFonts w:hint="eastAsia" w:ascii="仿宋_GB2312" w:hAnsi="宋体" w:eastAsia="仿宋_GB2312" w:cs="宋体"/>
          <w:color w:val="auto"/>
          <w:kern w:val="0"/>
          <w:sz w:val="32"/>
          <w:szCs w:val="32"/>
          <w:highlight w:val="none"/>
        </w:rPr>
        <w:t>增加0.</w:t>
      </w:r>
      <w:r>
        <w:rPr>
          <w:rFonts w:hint="eastAsia" w:ascii="仿宋_GB2312" w:hAnsi="宋体" w:eastAsia="仿宋_GB2312" w:cs="宋体"/>
          <w:color w:val="auto"/>
          <w:kern w:val="0"/>
          <w:sz w:val="32"/>
          <w:szCs w:val="32"/>
          <w:highlight w:val="none"/>
          <w:lang w:val="en-US" w:eastAsia="zh-CN"/>
        </w:rPr>
        <w:t>13</w:t>
      </w:r>
      <w:r>
        <w:rPr>
          <w:rFonts w:hint="eastAsia" w:ascii="仿宋_GB2312" w:hAnsi="宋体" w:eastAsia="仿宋_GB2312" w:cs="宋体"/>
          <w:color w:val="auto"/>
          <w:kern w:val="0"/>
          <w:sz w:val="32"/>
          <w:szCs w:val="32"/>
          <w:highlight w:val="none"/>
        </w:rPr>
        <w:t>万元，增长</w:t>
      </w:r>
      <w:r>
        <w:rPr>
          <w:rFonts w:hint="eastAsia" w:ascii="仿宋_GB2312" w:hAnsi="宋体" w:eastAsia="仿宋_GB2312" w:cs="宋体"/>
          <w:color w:val="auto"/>
          <w:kern w:val="0"/>
          <w:sz w:val="32"/>
          <w:szCs w:val="32"/>
          <w:highlight w:val="none"/>
          <w:lang w:val="en-US" w:eastAsia="zh-CN"/>
        </w:rPr>
        <w:t>18.05</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主要</w:t>
      </w:r>
      <w:r>
        <w:rPr>
          <w:rFonts w:hint="eastAsia" w:ascii="仿宋_GB2312" w:hAnsi="宋体" w:eastAsia="仿宋_GB2312" w:cs="宋体"/>
          <w:color w:val="auto"/>
          <w:kern w:val="0"/>
          <w:sz w:val="32"/>
          <w:szCs w:val="32"/>
          <w:highlight w:val="none"/>
        </w:rPr>
        <w:t>原因为</w:t>
      </w:r>
      <w:r>
        <w:rPr>
          <w:rFonts w:hint="eastAsia" w:ascii="仿宋_GB2312" w:hAnsi="宋体" w:eastAsia="仿宋_GB2312" w:cs="宋体"/>
          <w:color w:val="auto"/>
          <w:kern w:val="0"/>
          <w:sz w:val="32"/>
          <w:szCs w:val="32"/>
          <w:highlight w:val="none"/>
          <w:lang w:val="en-US" w:eastAsia="zh-CN"/>
        </w:rPr>
        <w:t>增加</w:t>
      </w:r>
      <w:r>
        <w:rPr>
          <w:rFonts w:hint="eastAsia" w:ascii="仿宋_GB2312" w:hAnsi="宋体" w:eastAsia="仿宋_GB2312" w:cs="宋体"/>
          <w:color w:val="auto"/>
          <w:kern w:val="0"/>
          <w:sz w:val="32"/>
          <w:szCs w:val="32"/>
          <w:highlight w:val="none"/>
        </w:rPr>
        <w:t>退休人员</w:t>
      </w:r>
      <w:r>
        <w:rPr>
          <w:rFonts w:hint="eastAsia" w:ascii="仿宋_GB2312" w:hAnsi="宋体" w:eastAsia="仿宋_GB2312" w:cs="宋体"/>
          <w:color w:val="auto"/>
          <w:kern w:val="0"/>
          <w:sz w:val="32"/>
          <w:szCs w:val="32"/>
          <w:highlight w:val="none"/>
          <w:lang w:eastAsia="zh-CN"/>
        </w:rPr>
        <w:t>。</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highlight w:val="none"/>
        </w:rPr>
        <w:t>2、社会保障和就业</w:t>
      </w:r>
      <w:r>
        <w:rPr>
          <w:rFonts w:hint="eastAsia" w:ascii="仿宋_GB2312" w:eastAsia="仿宋_GB2312"/>
          <w:color w:val="auto"/>
          <w:sz w:val="32"/>
          <w:szCs w:val="32"/>
          <w:highlight w:val="none"/>
        </w:rPr>
        <w:t>（类）行政事业单位单位离退休</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机关事业单位基本养老保险缴费</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val="en-US" w:eastAsia="zh-CN"/>
        </w:rPr>
        <w:t>24.88</w:t>
      </w:r>
      <w:r>
        <w:rPr>
          <w:rFonts w:hint="eastAsia" w:ascii="仿宋_GB2312" w:hAnsi="宋体" w:eastAsia="仿宋_GB2312" w:cs="宋体"/>
          <w:color w:val="auto"/>
          <w:kern w:val="0"/>
          <w:sz w:val="32"/>
          <w:szCs w:val="32"/>
          <w:highlight w:val="none"/>
        </w:rPr>
        <w:t>万元。比上年执行数增加</w:t>
      </w:r>
      <w:r>
        <w:rPr>
          <w:rFonts w:hint="eastAsia" w:ascii="仿宋_GB2312" w:hAnsi="宋体" w:eastAsia="仿宋_GB2312" w:cs="宋体"/>
          <w:color w:val="auto"/>
          <w:kern w:val="0"/>
          <w:sz w:val="32"/>
          <w:szCs w:val="32"/>
          <w:highlight w:val="none"/>
          <w:lang w:val="en-US" w:eastAsia="zh-CN"/>
        </w:rPr>
        <w:t>0.39</w:t>
      </w:r>
      <w:r>
        <w:rPr>
          <w:rFonts w:hint="eastAsia" w:ascii="仿宋_GB2312" w:hAnsi="宋体" w:eastAsia="仿宋_GB2312" w:cs="宋体"/>
          <w:color w:val="auto"/>
          <w:kern w:val="0"/>
          <w:sz w:val="32"/>
          <w:szCs w:val="32"/>
          <w:highlight w:val="none"/>
        </w:rPr>
        <w:t>万元，增长</w:t>
      </w:r>
      <w:r>
        <w:rPr>
          <w:rFonts w:hint="eastAsia" w:ascii="仿宋_GB2312" w:hAnsi="宋体" w:eastAsia="仿宋_GB2312" w:cs="宋体"/>
          <w:color w:val="auto"/>
          <w:kern w:val="0"/>
          <w:sz w:val="32"/>
          <w:szCs w:val="32"/>
          <w:highlight w:val="none"/>
          <w:lang w:val="en-US" w:eastAsia="zh-CN"/>
        </w:rPr>
        <w:t>1.6</w:t>
      </w:r>
      <w:r>
        <w:rPr>
          <w:rFonts w:hint="eastAsia" w:ascii="仿宋_GB2312" w:hAnsi="宋体" w:eastAsia="仿宋_GB2312" w:cs="宋体"/>
          <w:color w:val="auto"/>
          <w:kern w:val="0"/>
          <w:sz w:val="32"/>
          <w:szCs w:val="32"/>
          <w:highlight w:val="none"/>
        </w:rPr>
        <w:t>%。主要原因是临时工工资</w:t>
      </w:r>
      <w:r>
        <w:rPr>
          <w:rFonts w:hint="eastAsia" w:ascii="仿宋_GB2312" w:hAnsi="宋体" w:eastAsia="仿宋_GB2312" w:cs="宋体"/>
          <w:color w:val="auto"/>
          <w:kern w:val="0"/>
          <w:sz w:val="32"/>
          <w:szCs w:val="32"/>
        </w:rPr>
        <w:t>增加,社保交费基数增加。</w:t>
      </w:r>
    </w:p>
    <w:p>
      <w:pPr>
        <w:spacing w:line="58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3、医疗卫生与计划生育</w:t>
      </w:r>
      <w:r>
        <w:rPr>
          <w:rFonts w:hint="eastAsia" w:ascii="仿宋_GB2312" w:eastAsia="仿宋_GB2312"/>
          <w:color w:val="auto"/>
          <w:sz w:val="32"/>
          <w:szCs w:val="32"/>
        </w:rPr>
        <w:t>（类）行政事业单位医疗</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行政单位医疗</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val="en-US" w:eastAsia="zh-CN"/>
        </w:rPr>
        <w:t>7.06</w:t>
      </w:r>
      <w:r>
        <w:rPr>
          <w:rFonts w:hint="eastAsia" w:ascii="仿宋_GB2312" w:hAnsi="宋体" w:eastAsia="仿宋_GB2312" w:cs="宋体"/>
          <w:color w:val="auto"/>
          <w:kern w:val="0"/>
          <w:sz w:val="32"/>
          <w:szCs w:val="32"/>
        </w:rPr>
        <w:t xml:space="preserve"> 万元，比上年执行</w:t>
      </w:r>
      <w:r>
        <w:rPr>
          <w:rFonts w:hint="eastAsia" w:ascii="仿宋_GB2312" w:hAnsi="宋体" w:eastAsia="仿宋_GB2312" w:cs="宋体"/>
          <w:color w:val="auto"/>
          <w:kern w:val="0"/>
          <w:sz w:val="32"/>
          <w:szCs w:val="32"/>
          <w:highlight w:val="none"/>
        </w:rPr>
        <w:t>数增加</w:t>
      </w:r>
      <w:r>
        <w:rPr>
          <w:rFonts w:hint="eastAsia" w:ascii="仿宋_GB2312" w:hAnsi="宋体" w:eastAsia="仿宋_GB2312" w:cs="宋体"/>
          <w:color w:val="auto"/>
          <w:kern w:val="0"/>
          <w:sz w:val="32"/>
          <w:szCs w:val="32"/>
          <w:highlight w:val="none"/>
          <w:lang w:val="en-US" w:eastAsia="zh-CN"/>
        </w:rPr>
        <w:t>0.18</w:t>
      </w:r>
      <w:r>
        <w:rPr>
          <w:rFonts w:hint="eastAsia"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lang w:val="en-US" w:eastAsia="zh-CN"/>
        </w:rPr>
        <w:t>增长2.61</w:t>
      </w:r>
      <w:r>
        <w:rPr>
          <w:rFonts w:hint="eastAsia" w:ascii="仿宋_GB2312" w:hAnsi="宋体" w:eastAsia="仿宋_GB2312" w:cs="宋体"/>
          <w:color w:val="auto"/>
          <w:kern w:val="0"/>
          <w:sz w:val="32"/>
          <w:szCs w:val="32"/>
          <w:highlight w:val="none"/>
        </w:rPr>
        <w:t xml:space="preserve"> %，主要原因是临时工工资增加,社保交费基</w:t>
      </w:r>
      <w:r>
        <w:rPr>
          <w:rFonts w:hint="eastAsia" w:ascii="仿宋_GB2312" w:hAnsi="宋体" w:eastAsia="仿宋_GB2312" w:cs="宋体"/>
          <w:color w:val="auto"/>
          <w:kern w:val="0"/>
          <w:sz w:val="32"/>
          <w:szCs w:val="32"/>
        </w:rPr>
        <w:t>数增加。</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4、医疗卫生与计划生育</w:t>
      </w:r>
      <w:r>
        <w:rPr>
          <w:rFonts w:hint="eastAsia" w:ascii="仿宋_GB2312" w:eastAsia="仿宋_GB2312"/>
          <w:color w:val="auto"/>
          <w:sz w:val="32"/>
          <w:szCs w:val="32"/>
        </w:rPr>
        <w:t>（类）行政事业单位医疗</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事业单位医疗</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auto"/>
          <w:kern w:val="0"/>
          <w:sz w:val="32"/>
          <w:szCs w:val="32"/>
          <w:lang w:val="en-US" w:eastAsia="zh-CN"/>
        </w:rPr>
        <w:t>7.57</w:t>
      </w:r>
      <w:r>
        <w:rPr>
          <w:rFonts w:hint="eastAsia" w:ascii="仿宋_GB2312" w:hAnsi="宋体" w:eastAsia="仿宋_GB2312" w:cs="宋体"/>
          <w:color w:val="auto"/>
          <w:kern w:val="0"/>
          <w:sz w:val="32"/>
          <w:szCs w:val="32"/>
        </w:rPr>
        <w:t>万元，比上年执行数</w:t>
      </w:r>
      <w:r>
        <w:rPr>
          <w:rFonts w:hint="eastAsia" w:ascii="仿宋_GB2312" w:hAnsi="宋体" w:eastAsia="仿宋_GB2312" w:cs="宋体"/>
          <w:color w:val="auto"/>
          <w:kern w:val="0"/>
          <w:sz w:val="32"/>
          <w:szCs w:val="32"/>
          <w:lang w:val="en-US" w:eastAsia="zh-CN"/>
        </w:rPr>
        <w:t>减少</w:t>
      </w: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auto"/>
          <w:kern w:val="0"/>
          <w:sz w:val="32"/>
          <w:szCs w:val="32"/>
          <w:lang w:val="en-US" w:eastAsia="zh-CN"/>
        </w:rPr>
        <w:t>0.14</w:t>
      </w:r>
      <w:r>
        <w:rPr>
          <w:rFonts w:hint="eastAsia"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lang w:val="en-US" w:eastAsia="zh-CN"/>
        </w:rPr>
        <w:t>下降</w:t>
      </w: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auto"/>
          <w:kern w:val="0"/>
          <w:sz w:val="32"/>
          <w:szCs w:val="32"/>
          <w:lang w:val="en-US" w:eastAsia="zh-CN"/>
        </w:rPr>
        <w:t>1.81</w:t>
      </w:r>
      <w:r>
        <w:rPr>
          <w:rFonts w:hint="eastAsia" w:ascii="仿宋_GB2312" w:hAnsi="宋体" w:eastAsia="仿宋_GB2312" w:cs="宋体"/>
          <w:color w:val="auto"/>
          <w:kern w:val="0"/>
          <w:sz w:val="32"/>
          <w:szCs w:val="32"/>
        </w:rPr>
        <w:t>%，主要原因是：基数</w:t>
      </w:r>
      <w:r>
        <w:rPr>
          <w:rFonts w:hint="eastAsia" w:ascii="仿宋_GB2312" w:hAnsi="宋体" w:eastAsia="仿宋_GB2312" w:cs="宋体"/>
          <w:color w:val="auto"/>
          <w:kern w:val="0"/>
          <w:sz w:val="32"/>
          <w:szCs w:val="32"/>
          <w:lang w:val="en-US" w:eastAsia="zh-CN"/>
        </w:rPr>
        <w:t>调整</w:t>
      </w:r>
      <w:r>
        <w:rPr>
          <w:rFonts w:hint="eastAsia" w:ascii="仿宋_GB2312" w:hAnsi="宋体" w:eastAsia="仿宋_GB2312" w:cs="宋体"/>
          <w:color w:val="auto"/>
          <w:kern w:val="0"/>
          <w:sz w:val="32"/>
          <w:szCs w:val="32"/>
        </w:rPr>
        <w:t>。</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5、医疗卫生与计划生育</w:t>
      </w:r>
      <w:r>
        <w:rPr>
          <w:rFonts w:hint="eastAsia" w:ascii="仿宋_GB2312" w:eastAsia="仿宋_GB2312"/>
          <w:color w:val="auto"/>
          <w:sz w:val="32"/>
          <w:szCs w:val="32"/>
        </w:rPr>
        <w:t>（类）行政事业单位医疗</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公务员医疗补助</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val="en-US" w:eastAsia="zh-CN"/>
        </w:rPr>
        <w:t>6.47</w:t>
      </w:r>
      <w:r>
        <w:rPr>
          <w:rFonts w:hint="eastAsia" w:ascii="仿宋_GB2312" w:hAnsi="宋体" w:eastAsia="仿宋_GB2312" w:cs="宋体"/>
          <w:color w:val="auto"/>
          <w:kern w:val="0"/>
          <w:sz w:val="32"/>
          <w:szCs w:val="32"/>
        </w:rPr>
        <w:t>万元，比上年执行数</w:t>
      </w:r>
      <w:r>
        <w:rPr>
          <w:rFonts w:hint="eastAsia" w:ascii="仿宋_GB2312" w:hAnsi="宋体" w:eastAsia="仿宋_GB2312" w:cs="宋体"/>
          <w:color w:val="auto"/>
          <w:kern w:val="0"/>
          <w:sz w:val="32"/>
          <w:szCs w:val="32"/>
          <w:lang w:val="en-US" w:eastAsia="zh-CN"/>
        </w:rPr>
        <w:t>增加</w:t>
      </w:r>
      <w:r>
        <w:rPr>
          <w:rFonts w:hint="eastAsia" w:ascii="仿宋_GB2312" w:hAnsi="宋体" w:eastAsia="仿宋_GB2312" w:cs="宋体"/>
          <w:color w:val="auto"/>
          <w:kern w:val="0"/>
          <w:sz w:val="32"/>
          <w:szCs w:val="32"/>
        </w:rPr>
        <w:t xml:space="preserve"> 0.</w:t>
      </w:r>
      <w:r>
        <w:rPr>
          <w:rFonts w:hint="eastAsia" w:ascii="仿宋_GB2312" w:hAnsi="宋体" w:eastAsia="仿宋_GB2312" w:cs="宋体"/>
          <w:color w:val="auto"/>
          <w:kern w:val="0"/>
          <w:sz w:val="32"/>
          <w:szCs w:val="32"/>
          <w:lang w:val="en-US" w:eastAsia="zh-CN"/>
        </w:rPr>
        <w:t>84</w:t>
      </w:r>
      <w:r>
        <w:rPr>
          <w:rFonts w:hint="eastAsia"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lang w:val="en-US" w:eastAsia="zh-CN"/>
        </w:rPr>
        <w:t>增长14.92</w:t>
      </w:r>
      <w:r>
        <w:rPr>
          <w:rFonts w:hint="eastAsia" w:ascii="仿宋_GB2312" w:hAnsi="宋体" w:eastAsia="仿宋_GB2312" w:cs="宋体"/>
          <w:color w:val="auto"/>
          <w:kern w:val="0"/>
          <w:sz w:val="32"/>
          <w:szCs w:val="32"/>
        </w:rPr>
        <w:t xml:space="preserve"> %，主要原因是：主要原因是临时工工资增加,社保交费基数增加。</w:t>
      </w:r>
    </w:p>
    <w:p>
      <w:pPr>
        <w:spacing w:line="58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6、农林水支出</w:t>
      </w:r>
      <w:r>
        <w:rPr>
          <w:rFonts w:hint="eastAsia" w:ascii="仿宋_GB2312" w:eastAsia="仿宋_GB2312"/>
          <w:color w:val="auto"/>
          <w:sz w:val="32"/>
          <w:szCs w:val="32"/>
        </w:rPr>
        <w:t>（类）</w:t>
      </w:r>
      <w:r>
        <w:rPr>
          <w:rFonts w:hint="eastAsia" w:ascii="仿宋_GB2312" w:eastAsia="仿宋_GB2312"/>
          <w:color w:val="auto"/>
          <w:sz w:val="32"/>
          <w:szCs w:val="32"/>
          <w:lang w:val="en-US" w:eastAsia="zh-CN"/>
        </w:rPr>
        <w:t>农业</w:t>
      </w:r>
      <w:r>
        <w:rPr>
          <w:rFonts w:ascii="仿宋_GB2312" w:hAnsi="宋体" w:eastAsia="仿宋_GB2312" w:cs="宋体"/>
          <w:color w:val="auto"/>
          <w:kern w:val="0"/>
          <w:sz w:val="32"/>
          <w:szCs w:val="32"/>
        </w:rPr>
        <w:t>（款）行政运行（项）</w:t>
      </w:r>
      <w:r>
        <w:rPr>
          <w:rFonts w:hint="eastAsia" w:ascii="仿宋_GB2312" w:eastAsia="仿宋_GB2312"/>
          <w:color w:val="auto"/>
          <w:sz w:val="32"/>
          <w:szCs w:val="32"/>
          <w:lang w:val="en-US" w:eastAsia="zh-CN"/>
        </w:rPr>
        <w:t>57.53</w:t>
      </w:r>
      <w:r>
        <w:rPr>
          <w:rFonts w:hint="eastAsia"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比上年执行数</w:t>
      </w:r>
      <w:r>
        <w:rPr>
          <w:rFonts w:hint="eastAsia" w:ascii="仿宋_GB2312" w:hAnsi="宋体" w:eastAsia="仿宋_GB2312" w:cs="宋体"/>
          <w:color w:val="auto"/>
          <w:kern w:val="0"/>
          <w:sz w:val="32"/>
          <w:szCs w:val="32"/>
          <w:lang w:val="en-US" w:eastAsia="zh-CN"/>
        </w:rPr>
        <w:t>增加91.99</w:t>
      </w:r>
      <w:r>
        <w:rPr>
          <w:rFonts w:hint="eastAsia"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lang w:val="en-US" w:eastAsia="zh-CN"/>
        </w:rPr>
        <w:t>增长61.52</w:t>
      </w:r>
      <w:r>
        <w:rPr>
          <w:rFonts w:hint="eastAsia" w:ascii="仿宋_GB2312" w:hAnsi="宋体" w:eastAsia="仿宋_GB2312" w:cs="宋体"/>
          <w:color w:val="auto"/>
          <w:kern w:val="0"/>
          <w:sz w:val="32"/>
          <w:szCs w:val="32"/>
        </w:rPr>
        <w:t>%，主要原因是：</w:t>
      </w:r>
      <w:r>
        <w:rPr>
          <w:rFonts w:hint="eastAsia" w:ascii="仿宋_GB2312" w:hAnsi="宋体" w:eastAsia="仿宋_GB2312" w:cs="宋体"/>
          <w:color w:val="auto"/>
          <w:kern w:val="0"/>
          <w:sz w:val="32"/>
          <w:szCs w:val="32"/>
        </w:rPr>
        <w:t>临时工工资增加及</w:t>
      </w:r>
      <w:r>
        <w:rPr>
          <w:rFonts w:hint="eastAsia" w:ascii="仿宋_GB2312" w:hAnsi="宋体" w:eastAsia="仿宋_GB2312" w:cs="宋体"/>
          <w:color w:val="auto"/>
          <w:kern w:val="0"/>
          <w:sz w:val="32"/>
          <w:szCs w:val="32"/>
        </w:rPr>
        <w:t>2019年</w:t>
      </w:r>
      <w:r>
        <w:rPr>
          <w:rFonts w:hint="eastAsia" w:ascii="仿宋_GB2312" w:hAnsi="宋体" w:eastAsia="仿宋_GB2312" w:cs="宋体"/>
          <w:color w:val="auto"/>
          <w:kern w:val="0"/>
          <w:sz w:val="32"/>
          <w:szCs w:val="32"/>
          <w:lang w:val="en-US" w:eastAsia="zh-CN"/>
        </w:rPr>
        <w:t>没有</w:t>
      </w:r>
      <w:r>
        <w:rPr>
          <w:rFonts w:hint="eastAsia" w:ascii="仿宋_GB2312" w:hAnsi="宋体" w:eastAsia="仿宋_GB2312" w:cs="宋体"/>
          <w:color w:val="auto"/>
          <w:kern w:val="0"/>
          <w:sz w:val="32"/>
          <w:szCs w:val="32"/>
        </w:rPr>
        <w:t>预算</w:t>
      </w:r>
      <w:r>
        <w:rPr>
          <w:rFonts w:hint="eastAsia" w:ascii="仿宋_GB2312" w:hAnsi="宋体" w:eastAsia="仿宋_GB2312" w:cs="宋体"/>
          <w:color w:val="auto"/>
          <w:kern w:val="0"/>
          <w:sz w:val="32"/>
          <w:szCs w:val="32"/>
        </w:rPr>
        <w:t>绩效奖。</w:t>
      </w:r>
    </w:p>
    <w:p>
      <w:pPr>
        <w:spacing w:line="580" w:lineRule="exact"/>
        <w:ind w:firstLine="64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7、农林水支出</w:t>
      </w:r>
      <w:r>
        <w:rPr>
          <w:rFonts w:hint="eastAsia" w:ascii="仿宋_GB2312" w:eastAsia="仿宋_GB2312"/>
          <w:color w:val="auto"/>
          <w:sz w:val="32"/>
          <w:szCs w:val="32"/>
        </w:rPr>
        <w:t>（类）</w:t>
      </w:r>
      <w:r>
        <w:rPr>
          <w:rFonts w:hint="eastAsia" w:ascii="仿宋_GB2312" w:eastAsia="仿宋_GB2312"/>
          <w:color w:val="auto"/>
          <w:sz w:val="32"/>
          <w:szCs w:val="32"/>
          <w:lang w:val="en-US" w:eastAsia="zh-CN"/>
        </w:rPr>
        <w:t>农业</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lang w:val="en-US" w:eastAsia="zh-CN"/>
        </w:rPr>
        <w:t>事业</w:t>
      </w:r>
      <w:r>
        <w:rPr>
          <w:rFonts w:ascii="仿宋_GB2312" w:hAnsi="宋体" w:eastAsia="仿宋_GB2312" w:cs="宋体"/>
          <w:color w:val="auto"/>
          <w:kern w:val="0"/>
          <w:sz w:val="32"/>
          <w:szCs w:val="32"/>
        </w:rPr>
        <w:t>运行（项）</w:t>
      </w:r>
      <w:r>
        <w:rPr>
          <w:rFonts w:hint="eastAsia" w:ascii="仿宋_GB2312" w:eastAsia="仿宋_GB2312"/>
          <w:color w:val="auto"/>
          <w:sz w:val="32"/>
          <w:szCs w:val="32"/>
          <w:lang w:val="en-US" w:eastAsia="zh-CN"/>
        </w:rPr>
        <w:t>194.6</w:t>
      </w:r>
      <w:r>
        <w:rPr>
          <w:rFonts w:hint="eastAsia"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比上年执行数减少</w:t>
      </w:r>
      <w:r>
        <w:rPr>
          <w:rFonts w:hint="eastAsia" w:ascii="仿宋_GB2312" w:hAnsi="宋体" w:eastAsia="仿宋_GB2312" w:cs="宋体"/>
          <w:color w:val="auto"/>
          <w:kern w:val="0"/>
          <w:sz w:val="32"/>
          <w:szCs w:val="32"/>
          <w:lang w:val="en-US" w:eastAsia="zh-CN"/>
        </w:rPr>
        <w:t>65.51</w:t>
      </w:r>
      <w:r>
        <w:rPr>
          <w:rFonts w:hint="eastAsia" w:ascii="仿宋_GB2312" w:hAnsi="宋体" w:eastAsia="仿宋_GB2312" w:cs="宋体"/>
          <w:color w:val="auto"/>
          <w:kern w:val="0"/>
          <w:sz w:val="32"/>
          <w:szCs w:val="32"/>
        </w:rPr>
        <w:t xml:space="preserve"> 万元，下降</w:t>
      </w:r>
      <w:r>
        <w:rPr>
          <w:rFonts w:hint="eastAsia" w:ascii="仿宋_GB2312" w:hAnsi="宋体" w:eastAsia="仿宋_GB2312" w:cs="宋体"/>
          <w:color w:val="auto"/>
          <w:kern w:val="0"/>
          <w:sz w:val="32"/>
          <w:szCs w:val="32"/>
          <w:lang w:val="en-US" w:eastAsia="zh-CN"/>
        </w:rPr>
        <w:t>50.74</w:t>
      </w:r>
      <w:r>
        <w:rPr>
          <w:rFonts w:hint="eastAsia" w:ascii="仿宋_GB2312" w:hAnsi="宋体" w:eastAsia="仿宋_GB2312" w:cs="宋体"/>
          <w:color w:val="auto"/>
          <w:kern w:val="0"/>
          <w:sz w:val="32"/>
          <w:szCs w:val="32"/>
        </w:rPr>
        <w:t>%，主要原因是：</w:t>
      </w:r>
      <w:r>
        <w:rPr>
          <w:rFonts w:hint="eastAsia" w:ascii="仿宋_GB2312" w:hAnsi="宋体" w:eastAsia="仿宋_GB2312" w:cs="宋体"/>
          <w:color w:val="auto"/>
          <w:kern w:val="0"/>
          <w:sz w:val="32"/>
          <w:szCs w:val="32"/>
        </w:rPr>
        <w:t>2019年</w:t>
      </w:r>
      <w:r>
        <w:rPr>
          <w:rFonts w:hint="eastAsia" w:ascii="仿宋_GB2312" w:hAnsi="宋体" w:eastAsia="仿宋_GB2312" w:cs="宋体"/>
          <w:color w:val="auto"/>
          <w:kern w:val="0"/>
          <w:sz w:val="32"/>
          <w:szCs w:val="32"/>
          <w:lang w:val="en-US" w:eastAsia="zh-CN"/>
        </w:rPr>
        <w:t>经费拨入行政运行项</w:t>
      </w:r>
      <w:r>
        <w:rPr>
          <w:rFonts w:hint="eastAsia" w:ascii="仿宋_GB2312" w:hAnsi="宋体" w:eastAsia="仿宋_GB2312" w:cs="宋体"/>
          <w:color w:val="auto"/>
          <w:kern w:val="0"/>
          <w:sz w:val="32"/>
          <w:szCs w:val="32"/>
        </w:rPr>
        <w:t>。</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8、房屋保障支出</w:t>
      </w:r>
      <w:r>
        <w:rPr>
          <w:rFonts w:hint="eastAsia" w:ascii="仿宋_GB2312" w:eastAsia="仿宋_GB2312"/>
          <w:color w:val="auto"/>
          <w:sz w:val="32"/>
          <w:szCs w:val="32"/>
        </w:rPr>
        <w:t>（类）住房改革支出</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住房公积金</w:t>
      </w:r>
      <w:r>
        <w:rPr>
          <w:rFonts w:ascii="仿宋_GB2312" w:hAnsi="宋体" w:eastAsia="仿宋_GB2312" w:cs="宋体"/>
          <w:color w:val="auto"/>
          <w:kern w:val="0"/>
          <w:sz w:val="32"/>
          <w:szCs w:val="32"/>
        </w:rPr>
        <w:t>（项）</w:t>
      </w:r>
      <w:r>
        <w:rPr>
          <w:rFonts w:hint="eastAsia" w:ascii="仿宋_GB2312" w:eastAsia="仿宋_GB2312"/>
          <w:color w:val="auto"/>
          <w:sz w:val="32"/>
          <w:szCs w:val="32"/>
          <w:lang w:val="en-US" w:eastAsia="zh-CN"/>
        </w:rPr>
        <w:t>17.96</w:t>
      </w:r>
      <w:r>
        <w:rPr>
          <w:rFonts w:hint="eastAsia" w:ascii="仿宋_GB2312" w:hAnsi="宋体" w:eastAsia="仿宋_GB2312" w:cs="宋体"/>
          <w:color w:val="auto"/>
          <w:kern w:val="0"/>
          <w:sz w:val="32"/>
          <w:szCs w:val="32"/>
        </w:rPr>
        <w:t>万元，比上年执行数增加</w:t>
      </w:r>
      <w:r>
        <w:rPr>
          <w:rFonts w:hint="eastAsia" w:ascii="仿宋_GB2312" w:hAnsi="宋体" w:eastAsia="仿宋_GB2312" w:cs="宋体"/>
          <w:color w:val="auto"/>
          <w:kern w:val="0"/>
          <w:sz w:val="32"/>
          <w:szCs w:val="32"/>
          <w:lang w:val="en-US" w:eastAsia="zh-CN"/>
        </w:rPr>
        <w:t>17.96</w:t>
      </w:r>
      <w:r>
        <w:rPr>
          <w:rFonts w:hint="eastAsia" w:ascii="仿宋_GB2312" w:hAnsi="宋体" w:eastAsia="仿宋_GB2312" w:cs="宋体"/>
          <w:color w:val="auto"/>
          <w:kern w:val="0"/>
          <w:sz w:val="32"/>
          <w:szCs w:val="32"/>
        </w:rPr>
        <w:t>万元，增长100%，主要原因是：本科目为2019年新增款项。</w:t>
      </w:r>
    </w:p>
    <w:p>
      <w:pPr>
        <w:widowControl/>
        <w:spacing w:line="580" w:lineRule="exact"/>
        <w:ind w:firstLine="640" w:firstLineChars="20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六、关于阜康市畜牧兽医综合执法大队2019年一般公共预算基本支出情况说明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阜康市畜牧兽医综合执法大队2019年一般公共预算基本支出316.92万元， 其中：</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人员经费316.92万元，主要包括：基本工资71.69万元、津贴补贴51.47万元、奖金5.67万元、机关事业单位基本养老保险缴费24.88万元、职工基本医疗保险缴费14.63万元、公务员医疗补助缴费6.47万元、其他社会保障缴费1.23万元、住房公积金17.96万元、其他工资福利支出122.04万元、退休费0.54万元、奖励金0.31万元、其他对个人和家庭的补助0.03万元等。</w:t>
      </w:r>
    </w:p>
    <w:p>
      <w:pPr>
        <w:widowControl/>
        <w:numPr>
          <w:ilvl w:val="0"/>
          <w:numId w:val="2"/>
        </w:numPr>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关于阜康市畜牧兽医综合执法大队2019年项目支出情况说明</w:t>
      </w:r>
    </w:p>
    <w:p>
      <w:pPr>
        <w:widowControl/>
        <w:outlineLvl w:val="1"/>
        <w:rPr>
          <w:rFonts w:ascii="黑体" w:hAnsi="宋体" w:eastAsia="黑体" w:cs="宋体"/>
          <w:color w:val="auto"/>
          <w:kern w:val="0"/>
          <w:sz w:val="32"/>
          <w:szCs w:val="32"/>
        </w:rPr>
      </w:pPr>
      <w:r>
        <w:rPr>
          <w:rFonts w:hint="eastAsia" w:ascii="黑体" w:hAnsi="宋体" w:eastAsia="黑体" w:cs="宋体"/>
          <w:color w:val="auto"/>
          <w:kern w:val="0"/>
          <w:sz w:val="32"/>
          <w:szCs w:val="32"/>
        </w:rPr>
        <w:t xml:space="preserve">     </w:t>
      </w:r>
      <w:r>
        <w:rPr>
          <w:rFonts w:hint="eastAsia" w:ascii="仿宋_GB2312" w:hAnsi="宋体" w:eastAsia="仿宋_GB2312"/>
          <w:color w:val="auto"/>
          <w:kern w:val="0"/>
          <w:sz w:val="32"/>
          <w:szCs w:val="32"/>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八、关于阜康市畜牧兽医综合执法大队2019年年一般公共预算“三公”经费预算情况说明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阜康市畜牧兽医综合执法大队2019年“三公”经费财政拨款控制数为3.25万元，其中：因公出国（境）费 0万元，公务用车购置0万元，公务用车运行2.25万元，公务接待费预算控制数1万元。</w:t>
      </w:r>
    </w:p>
    <w:p>
      <w:pPr>
        <w:pStyle w:val="6"/>
        <w:ind w:firstLine="640" w:firstLineChars="200"/>
        <w:rPr>
          <w:rFonts w:ascii="仿宋_GB2312" w:eastAsia="仿宋_GB2312"/>
          <w:color w:val="auto"/>
          <w:sz w:val="32"/>
          <w:szCs w:val="32"/>
        </w:rPr>
      </w:pPr>
      <w:r>
        <w:rPr>
          <w:rFonts w:hint="eastAsia" w:ascii="仿宋_GB2312" w:eastAsia="仿宋_GB2312"/>
          <w:color w:val="auto"/>
          <w:sz w:val="32"/>
          <w:szCs w:val="32"/>
        </w:rPr>
        <w:t>2019年“三公”经费财政拨款预算比上年增加0万元，其中：因公出国（境）费增加 0 万元，主要原因是主要原因是我单位严格执行中央八项规定和自治区十条规定压减 0 经费；</w:t>
      </w:r>
      <w:r>
        <w:rPr>
          <w:rFonts w:hint="eastAsia" w:ascii="仿宋_GB2312" w:eastAsia="仿宋_GB2312"/>
          <w:color w:val="auto"/>
          <w:sz w:val="32"/>
          <w:szCs w:val="32"/>
          <w:highlight w:val="none"/>
        </w:rPr>
        <w:t>公务用车购置费为0</w:t>
      </w:r>
      <w:r>
        <w:rPr>
          <w:rFonts w:hint="eastAsia" w:ascii="仿宋_GB2312" w:eastAsia="仿宋_GB2312"/>
          <w:color w:val="auto"/>
          <w:sz w:val="32"/>
          <w:szCs w:val="32"/>
        </w:rPr>
        <w:t>。公务用车运行费增加0万元，主要原因是我单位严格执行中央八项规定和自治区十条规定压减 0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九、关于阜康市畜牧兽医综合执法大队2019年政府性基金预算拨款情况说明</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阜康市畜牧兽医综合执法大队2019年没有使用政府性基金预算拨款安排的支出，政府性基金预算支出情况表为空表。</w:t>
      </w:r>
    </w:p>
    <w:p>
      <w:pPr>
        <w:widowControl/>
        <w:spacing w:line="58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十、其他重要事项的情况说明</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（一）机关运行经费情况</w:t>
      </w:r>
    </w:p>
    <w:p>
      <w:pPr>
        <w:widowControl/>
        <w:spacing w:line="580" w:lineRule="exact"/>
        <w:ind w:firstLine="640"/>
        <w:jc w:val="left"/>
        <w:rPr>
          <w:color w:val="auto"/>
          <w:sz w:val="36"/>
          <w:szCs w:val="36"/>
        </w:rPr>
      </w:pPr>
      <w:r>
        <w:rPr>
          <w:rFonts w:hint="eastAsia" w:ascii="仿宋_GB2312" w:hAnsi="宋体" w:eastAsia="仿宋_GB2312" w:cs="宋体"/>
          <w:color w:val="auto"/>
          <w:kern w:val="0"/>
          <w:sz w:val="32"/>
          <w:szCs w:val="32"/>
        </w:rPr>
        <w:t>2019年，阜康市畜牧兽医综合执法大队本级机关运行经费财政拨款预算0万元，比上年预算数减少33.96万元，下降100%。主要原因是机构改革，没有机关运行经费预算</w:t>
      </w:r>
      <w:r>
        <w:rPr>
          <w:color w:val="auto"/>
          <w:sz w:val="36"/>
          <w:szCs w:val="36"/>
        </w:rPr>
        <w:t>。</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（二）政府采购情况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2019年，阜康市畜牧兽医综合执法大队及下属单位政府采购预算0万元，其中：政府采购货物预算0万元，政府采购工程预算0万元，政府采购服务预算0万元。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仿宋_GB2312" w:eastAsia="仿宋_GB2312"/>
          <w:color w:val="auto"/>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（三）国有资产占用使用情况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截至2018年底，阜康市畜牧兽医综合执法大队占用使用国有资产总体情况为</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1.房屋341平方米，价值 6.64万元。</w:t>
      </w:r>
    </w:p>
    <w:p>
      <w:pPr>
        <w:widowControl/>
        <w:spacing w:line="580" w:lineRule="exact"/>
        <w:ind w:firstLine="640" w:firstLineChars="2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2.车辆3辆，价值77.31万元；其中：一般公务用车 3</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辆，价值 77.31万元；执法执勤用车 0 辆，价值 0 万元；其他车辆 0 辆，价值 0 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3.办公家具价值 0万元。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4.其他资产价值128.38万元。</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单位价值 50 万元以上大型设备 0 台（套），单位价值100 万元以上大型设备 0 台（套）。</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（四）预算绩效情况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2019年度，本年度实行绩效管理的项目 0个，涉及预算金额 0 万元。具体情况见下表：</w:t>
      </w:r>
    </w:p>
    <w:p>
      <w:pPr>
        <w:spacing w:line="500" w:lineRule="exact"/>
        <w:rPr>
          <w:rFonts w:ascii="仿宋_GB2312" w:hAnsi="宋体" w:eastAsia="仿宋_GB2312" w:cs="宋体"/>
          <w:color w:val="auto"/>
          <w:kern w:val="0"/>
          <w:sz w:val="32"/>
          <w:szCs w:val="32"/>
        </w:rPr>
      </w:pPr>
    </w:p>
    <w:p>
      <w:pPr>
        <w:spacing w:line="500" w:lineRule="exact"/>
        <w:rPr>
          <w:rFonts w:ascii="仿宋_GB2312" w:hAnsi="宋体" w:eastAsia="仿宋_GB2312" w:cs="宋体"/>
          <w:color w:val="auto"/>
          <w:kern w:val="0"/>
          <w:sz w:val="32"/>
          <w:szCs w:val="32"/>
        </w:rPr>
      </w:pPr>
    </w:p>
    <w:p>
      <w:pPr>
        <w:spacing w:line="500" w:lineRule="exact"/>
        <w:rPr>
          <w:rFonts w:ascii="仿宋_GB2312" w:hAnsi="宋体" w:eastAsia="仿宋_GB2312" w:cs="宋体"/>
          <w:color w:val="auto"/>
          <w:kern w:val="0"/>
          <w:sz w:val="32"/>
          <w:szCs w:val="32"/>
        </w:rPr>
      </w:pPr>
    </w:p>
    <w:p>
      <w:pPr>
        <w:widowControl/>
        <w:spacing w:line="600" w:lineRule="exact"/>
        <w:rPr>
          <w:rFonts w:ascii="仿宋_GB2312" w:hAnsi="宋体" w:eastAsia="仿宋_GB2312" w:cs="宋体"/>
          <w:color w:val="auto"/>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color w:val="auto"/>
                <w:kern w:val="0"/>
                <w:sz w:val="32"/>
                <w:szCs w:val="32"/>
              </w:rPr>
            </w:pPr>
            <w:r>
              <w:rPr>
                <w:rFonts w:hint="eastAsia" w:ascii="仿宋_GB2312" w:hAnsi="宋体" w:eastAsia="仿宋_GB2312"/>
                <w:b/>
                <w:color w:val="auto"/>
                <w:kern w:val="0"/>
                <w:sz w:val="32"/>
                <w:szCs w:val="32"/>
              </w:rPr>
              <w:t>项  目  支  出  绩  效  目  标  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XXXXX</w:t>
            </w: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rPr>
            </w:pPr>
            <w:r>
              <w:rPr>
                <w:rFonts w:hint="eastAsia" w:ascii="宋体" w:hAnsi="宋体" w:cs="宋体"/>
                <w:color w:val="auto"/>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　</w:t>
            </w:r>
          </w:p>
        </w:tc>
      </w:tr>
    </w:tbl>
    <w:p>
      <w:pPr>
        <w:widowControl/>
        <w:spacing w:line="560" w:lineRule="exact"/>
        <w:ind w:firstLine="630" w:firstLineChars="196"/>
        <w:jc w:val="left"/>
        <w:rPr>
          <w:rFonts w:ascii="楷体_GB2312" w:hAnsi="宋体" w:eastAsia="楷体_GB2312" w:cs="宋体"/>
          <w:b/>
          <w:color w:val="auto"/>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（五）其他需说明的事项</w:t>
      </w:r>
    </w:p>
    <w:p>
      <w:pPr>
        <w:widowControl/>
        <w:spacing w:line="560" w:lineRule="exact"/>
        <w:ind w:firstLine="960" w:firstLineChars="3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highlight w:val="none"/>
          <w:lang w:val="en-US" w:eastAsia="zh-CN"/>
        </w:rPr>
        <w:t>无。</w:t>
      </w:r>
      <w:r>
        <w:rPr>
          <w:rFonts w:hint="eastAsia"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rPr>
        <w:t xml:space="preserve">  </w:t>
      </w:r>
    </w:p>
    <w:p>
      <w:pPr>
        <w:widowControl/>
        <w:spacing w:beforeLines="50"/>
        <w:jc w:val="center"/>
        <w:outlineLvl w:val="1"/>
        <w:rPr>
          <w:rFonts w:ascii="黑体" w:hAnsi="黑体" w:eastAsia="黑体"/>
          <w:color w:val="auto"/>
          <w:kern w:val="0"/>
          <w:sz w:val="32"/>
          <w:szCs w:val="32"/>
        </w:rPr>
      </w:pPr>
      <w:r>
        <w:rPr>
          <w:rFonts w:hint="eastAsia" w:ascii="黑体" w:hAnsi="黑体" w:eastAsia="黑体"/>
          <w:color w:val="auto"/>
          <w:kern w:val="0"/>
          <w:sz w:val="32"/>
          <w:szCs w:val="32"/>
        </w:rPr>
        <w:t>第四部分  名词解释</w:t>
      </w:r>
    </w:p>
    <w:p>
      <w:pPr>
        <w:widowControl/>
        <w:spacing w:line="56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名词解释：</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一、财政拨款：</w:t>
      </w:r>
      <w:r>
        <w:rPr>
          <w:rFonts w:hint="eastAsia" w:ascii="仿宋_GB2312" w:eastAsia="仿宋_GB2312"/>
          <w:color w:val="auto"/>
          <w:sz w:val="32"/>
          <w:szCs w:val="32"/>
        </w:rPr>
        <w:t>指由一般公共预算、政府性基金预算安排的财政拨款数。</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二、一般公共预算：</w:t>
      </w:r>
      <w:r>
        <w:rPr>
          <w:rFonts w:hint="eastAsia" w:ascii="仿宋_GB2312" w:eastAsia="仿宋_GB2312"/>
          <w:color w:val="auto"/>
          <w:sz w:val="32"/>
          <w:szCs w:val="32"/>
        </w:rPr>
        <w:t>包括公共财政拨款（补助）资金、专项收入。</w:t>
      </w:r>
    </w:p>
    <w:p>
      <w:pPr>
        <w:spacing w:line="550" w:lineRule="exact"/>
        <w:ind w:firstLine="642"/>
        <w:rPr>
          <w:rFonts w:ascii="仿宋_GB2312" w:eastAsia="仿宋_GB2312"/>
          <w:color w:val="auto"/>
          <w:sz w:val="32"/>
          <w:szCs w:val="32"/>
        </w:rPr>
      </w:pPr>
      <w:r>
        <w:rPr>
          <w:rFonts w:ascii="黑体" w:hAnsi="黑体" w:eastAsia="黑体"/>
          <w:color w:val="auto"/>
          <w:sz w:val="32"/>
          <w:szCs w:val="32"/>
        </w:rPr>
        <w:t>三</w:t>
      </w:r>
      <w:r>
        <w:rPr>
          <w:rFonts w:hint="eastAsia" w:ascii="黑体" w:hAnsi="黑体" w:eastAsia="黑体"/>
          <w:color w:val="auto"/>
          <w:sz w:val="32"/>
          <w:szCs w:val="32"/>
        </w:rPr>
        <w:t>、其他资金：</w:t>
      </w:r>
      <w:r>
        <w:rPr>
          <w:rFonts w:hint="eastAsia" w:ascii="仿宋_GB2312" w:eastAsia="仿宋_GB2312"/>
          <w:color w:val="auto"/>
          <w:sz w:val="32"/>
          <w:szCs w:val="32"/>
        </w:rPr>
        <w:t>包括事业收入、经营收入、其他收入等。</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四、基本支出：</w:t>
      </w:r>
      <w:r>
        <w:rPr>
          <w:rFonts w:hint="eastAsia" w:ascii="仿宋_GB2312" w:eastAsia="仿宋_GB2312"/>
          <w:color w:val="auto"/>
          <w:sz w:val="32"/>
          <w:szCs w:val="32"/>
        </w:rPr>
        <w:t>包括人员经费、商品和服务支出（定额）。其中，人员经费包括工资福</w:t>
      </w:r>
      <w:bookmarkStart w:id="0" w:name="_GoBack"/>
      <w:bookmarkEnd w:id="0"/>
      <w:r>
        <w:rPr>
          <w:rFonts w:hint="eastAsia" w:ascii="仿宋_GB2312" w:eastAsia="仿宋_GB2312"/>
          <w:color w:val="auto"/>
          <w:sz w:val="32"/>
          <w:szCs w:val="32"/>
        </w:rPr>
        <w:t>利支出、对个人和家庭的补助。</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五、项目支出：</w:t>
      </w:r>
      <w:r>
        <w:rPr>
          <w:rFonts w:hint="eastAsia" w:ascii="仿宋_GB2312" w:eastAsia="仿宋_GB2312"/>
          <w:color w:val="auto"/>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六、“三公”经费：</w:t>
      </w:r>
      <w:r>
        <w:rPr>
          <w:rFonts w:hint="eastAsia" w:ascii="仿宋_GB2312" w:eastAsia="仿宋_GB2312"/>
          <w:color w:val="auto"/>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七、机关运行经费：</w:t>
      </w:r>
      <w:r>
        <w:rPr>
          <w:rFonts w:hint="eastAsia" w:ascii="仿宋_GB2312" w:eastAsia="仿宋_GB2312"/>
          <w:color w:val="auto"/>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color w:val="auto"/>
          <w:kern w:val="0"/>
          <w:sz w:val="32"/>
          <w:szCs w:val="32"/>
        </w:rPr>
      </w:pPr>
    </w:p>
    <w:p>
      <w:pPr>
        <w:widowControl/>
        <w:spacing w:line="560" w:lineRule="exact"/>
        <w:jc w:val="left"/>
        <w:rPr>
          <w:rFonts w:ascii="仿宋_GB2312" w:hAnsi="宋体" w:eastAsia="仿宋_GB2312" w:cs="宋体"/>
          <w:color w:val="auto"/>
          <w:kern w:val="0"/>
          <w:sz w:val="32"/>
          <w:szCs w:val="32"/>
        </w:rPr>
      </w:pPr>
    </w:p>
    <w:p>
      <w:pPr>
        <w:widowControl/>
        <w:spacing w:line="560" w:lineRule="exact"/>
        <w:jc w:val="left"/>
        <w:rPr>
          <w:rFonts w:ascii="仿宋_GB2312" w:hAnsi="宋体" w:eastAsia="仿宋_GB2312" w:cs="宋体"/>
          <w:color w:val="auto"/>
          <w:kern w:val="0"/>
          <w:sz w:val="32"/>
          <w:szCs w:val="32"/>
        </w:rPr>
      </w:pPr>
    </w:p>
    <w:p>
      <w:pPr>
        <w:widowControl/>
        <w:spacing w:line="560" w:lineRule="exact"/>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阜康市畜牧兽医综合执法大队</w:t>
      </w:r>
    </w:p>
    <w:p>
      <w:pPr>
        <w:widowControl/>
        <w:spacing w:line="560" w:lineRule="exact"/>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                               2019</w:t>
      </w:r>
      <w:r>
        <w:rPr>
          <w:rFonts w:ascii="仿宋_GB2312" w:hAnsi="宋体" w:eastAsia="仿宋_GB2312" w:cs="宋体"/>
          <w:color w:val="auto"/>
          <w:kern w:val="0"/>
          <w:sz w:val="32"/>
          <w:szCs w:val="32"/>
        </w:rPr>
        <w:t>年</w:t>
      </w:r>
      <w:r>
        <w:rPr>
          <w:rFonts w:hint="eastAsia" w:ascii="仿宋_GB2312" w:hAnsi="宋体" w:eastAsia="仿宋_GB2312" w:cs="宋体"/>
          <w:color w:val="auto"/>
          <w:kern w:val="0"/>
          <w:sz w:val="32"/>
          <w:szCs w:val="32"/>
        </w:rPr>
        <w:t>2</w:t>
      </w:r>
      <w:r>
        <w:rPr>
          <w:rFonts w:ascii="仿宋_GB2312" w:hAnsi="宋体" w:eastAsia="仿宋_GB2312" w:cs="宋体"/>
          <w:color w:val="auto"/>
          <w:kern w:val="0"/>
          <w:sz w:val="32"/>
          <w:szCs w:val="32"/>
        </w:rPr>
        <w:t>月</w:t>
      </w:r>
      <w:r>
        <w:rPr>
          <w:rFonts w:hint="eastAsia" w:ascii="仿宋_GB2312" w:hAnsi="宋体" w:eastAsia="仿宋_GB2312" w:cs="宋体"/>
          <w:color w:val="auto"/>
          <w:kern w:val="0"/>
          <w:sz w:val="32"/>
          <w:szCs w:val="32"/>
        </w:rPr>
        <w:t>10</w:t>
      </w:r>
      <w:r>
        <w:rPr>
          <w:rFonts w:ascii="仿宋_GB2312" w:hAnsi="宋体" w:eastAsia="仿宋_GB2312" w:cs="宋体"/>
          <w:color w:val="auto"/>
          <w:kern w:val="0"/>
          <w:sz w:val="32"/>
          <w:szCs w:val="32"/>
        </w:rPr>
        <w:t>日</w:t>
      </w:r>
    </w:p>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01A999"/>
    <w:multiLevelType w:val="singleLevel"/>
    <w:tmpl w:val="2301A999"/>
    <w:lvl w:ilvl="0" w:tentative="0">
      <w:start w:val="3"/>
      <w:numFmt w:val="chineseCounting"/>
      <w:suff w:val="nothing"/>
      <w:lvlText w:val="（%1）"/>
      <w:lvlJc w:val="left"/>
      <w:rPr>
        <w:rFonts w:hint="eastAsia"/>
      </w:rPr>
    </w:lvl>
  </w:abstractNum>
  <w:abstractNum w:abstractNumId="1">
    <w:nsid w:val="5CC1978E"/>
    <w:multiLevelType w:val="singleLevel"/>
    <w:tmpl w:val="5CC1978E"/>
    <w:lvl w:ilvl="0" w:tentative="0">
      <w:start w:val="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242A1"/>
    <w:rsid w:val="001833B0"/>
    <w:rsid w:val="002B5144"/>
    <w:rsid w:val="00325B17"/>
    <w:rsid w:val="00505B0A"/>
    <w:rsid w:val="005410F7"/>
    <w:rsid w:val="006B4CA9"/>
    <w:rsid w:val="006E7DD8"/>
    <w:rsid w:val="00757310"/>
    <w:rsid w:val="00766623"/>
    <w:rsid w:val="00767BC6"/>
    <w:rsid w:val="007C0524"/>
    <w:rsid w:val="007F20C6"/>
    <w:rsid w:val="00841512"/>
    <w:rsid w:val="00A66F6F"/>
    <w:rsid w:val="00B847E4"/>
    <w:rsid w:val="00D74956"/>
    <w:rsid w:val="00D95B2F"/>
    <w:rsid w:val="00D96510"/>
    <w:rsid w:val="00DA0116"/>
    <w:rsid w:val="00E54FB2"/>
    <w:rsid w:val="00E726EB"/>
    <w:rsid w:val="00EE458B"/>
    <w:rsid w:val="00EE7C7C"/>
    <w:rsid w:val="00F0526F"/>
    <w:rsid w:val="00F449A9"/>
    <w:rsid w:val="00F5607D"/>
    <w:rsid w:val="00F77357"/>
    <w:rsid w:val="00FC6ABD"/>
    <w:rsid w:val="010D3CBE"/>
    <w:rsid w:val="03477618"/>
    <w:rsid w:val="03885336"/>
    <w:rsid w:val="058A11F0"/>
    <w:rsid w:val="09D3475B"/>
    <w:rsid w:val="0D7037C5"/>
    <w:rsid w:val="0F6B2163"/>
    <w:rsid w:val="0FC2771E"/>
    <w:rsid w:val="169306A6"/>
    <w:rsid w:val="18AB0DF2"/>
    <w:rsid w:val="1D5C446B"/>
    <w:rsid w:val="222D6046"/>
    <w:rsid w:val="23376AA1"/>
    <w:rsid w:val="23476DF5"/>
    <w:rsid w:val="24280B9B"/>
    <w:rsid w:val="24907C1A"/>
    <w:rsid w:val="25004EFC"/>
    <w:rsid w:val="250F2BC6"/>
    <w:rsid w:val="2662028F"/>
    <w:rsid w:val="270E003F"/>
    <w:rsid w:val="287863D0"/>
    <w:rsid w:val="29482BF3"/>
    <w:rsid w:val="2C843C85"/>
    <w:rsid w:val="2D7D2E46"/>
    <w:rsid w:val="31E15190"/>
    <w:rsid w:val="34E521C3"/>
    <w:rsid w:val="354732D3"/>
    <w:rsid w:val="39122053"/>
    <w:rsid w:val="3A435312"/>
    <w:rsid w:val="3C0962C4"/>
    <w:rsid w:val="3F017989"/>
    <w:rsid w:val="3F611D03"/>
    <w:rsid w:val="4669657F"/>
    <w:rsid w:val="46BA49D5"/>
    <w:rsid w:val="48527466"/>
    <w:rsid w:val="4894017B"/>
    <w:rsid w:val="48D31085"/>
    <w:rsid w:val="496F6424"/>
    <w:rsid w:val="507066C1"/>
    <w:rsid w:val="50762225"/>
    <w:rsid w:val="50E04081"/>
    <w:rsid w:val="51967D4E"/>
    <w:rsid w:val="59214B29"/>
    <w:rsid w:val="59856A9D"/>
    <w:rsid w:val="59C75008"/>
    <w:rsid w:val="5C0B1AAC"/>
    <w:rsid w:val="5C6E6CE1"/>
    <w:rsid w:val="6098478A"/>
    <w:rsid w:val="609A7F16"/>
    <w:rsid w:val="60CA6832"/>
    <w:rsid w:val="631323AA"/>
    <w:rsid w:val="63E8299A"/>
    <w:rsid w:val="682068BB"/>
    <w:rsid w:val="692557B2"/>
    <w:rsid w:val="6D204A7A"/>
    <w:rsid w:val="6D594C26"/>
    <w:rsid w:val="741060A1"/>
    <w:rsid w:val="76DE5E79"/>
    <w:rsid w:val="770A69E3"/>
    <w:rsid w:val="7A096C50"/>
    <w:rsid w:val="7AFE09DC"/>
    <w:rsid w:val="7F061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1608</Words>
  <Characters>9169</Characters>
  <Lines>76</Lines>
  <Paragraphs>21</Paragraphs>
  <TotalTime>6</TotalTime>
  <ScaleCrop>false</ScaleCrop>
  <LinksUpToDate>false</LinksUpToDate>
  <CharactersWithSpaces>10756</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财务室</cp:lastModifiedBy>
  <cp:lastPrinted>2019-04-23T07:59:00Z</cp:lastPrinted>
  <dcterms:modified xsi:type="dcterms:W3CDTF">2021-07-08T04:16:40Z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933BD07BCC5340BDA7896B75BEA2B887</vt:lpwstr>
  </property>
</Properties>
</file>