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outlineLvl w:val="0"/>
        <w:rPr>
          <w:rFonts w:hint="eastAsia" w:cs="宋体"/>
          <w:b/>
          <w:bCs/>
          <w:color w:val="auto"/>
          <w:sz w:val="40"/>
          <w:szCs w:val="40"/>
          <w:highlight w:val="none"/>
          <w:shd w:val="clear" w:color="auto" w:fill="auto"/>
          <w:lang w:val="en-US" w:eastAsia="zh-CN"/>
        </w:rPr>
      </w:pPr>
      <w:bookmarkStart w:id="0" w:name="_Toc15679"/>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lang w:val="en-US" w:eastAsia="zh-CN"/>
        </w:rPr>
        <w:t>2023年中央补助地方美术馆图书馆文化馆免费开放补助资金项目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bookmarkStart w:id="86" w:name="_GoBack"/>
      <w:bookmarkEnd w:id="86"/>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项目名称：昌州财教【2022】63号提前下达2023年中央补助地方美术馆图书馆文化馆免费开放补助资金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阜康市公共文化体育事业发展服务中心</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阜康市文化体育广播电视和旅游局</w:t>
      </w:r>
    </w:p>
    <w:p>
      <w:pPr>
        <w:pStyle w:val="10"/>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2023年中央补助地方美术馆图书馆文化馆免费开放补助项目</w:t>
      </w:r>
      <w:r>
        <w:rPr>
          <w:rFonts w:hint="eastAsia" w:ascii="宋体" w:hAnsi="宋体" w:eastAsia="宋体" w:cs="宋体"/>
          <w:b/>
          <w:bCs/>
          <w:color w:val="auto"/>
          <w:sz w:val="36"/>
          <w:szCs w:val="36"/>
          <w:highlight w:val="none"/>
          <w:shd w:val="clear" w:color="auto" w:fill="auto"/>
        </w:rPr>
        <w:t>支出绩效评价报告</w:t>
      </w:r>
      <w:bookmarkEnd w:id="1"/>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ind w:left="0" w:leftChars="0" w:firstLine="560" w:firstLineChars="200"/>
        <w:rPr>
          <w:rFonts w:hint="eastAsia"/>
          <w:color w:val="auto"/>
          <w:highlight w:val="none"/>
          <w:lang w:val="en-US" w:eastAsia="zh-CN"/>
        </w:rPr>
      </w:pPr>
      <w:r>
        <w:rPr>
          <w:rFonts w:hint="eastAsia" w:ascii="宋体" w:hAnsi="宋体" w:eastAsia="宋体" w:cs="宋体"/>
          <w:color w:val="auto"/>
          <w:szCs w:val="30"/>
          <w:highlight w:val="none"/>
          <w:lang w:val="en-US" w:eastAsia="zh-CN"/>
        </w:rPr>
        <w:t>中央补助地方</w:t>
      </w:r>
      <w:r>
        <w:rPr>
          <w:rFonts w:hint="eastAsia" w:ascii="宋体" w:hAnsi="宋体" w:eastAsia="宋体" w:cs="宋体"/>
          <w:color w:val="auto"/>
          <w:szCs w:val="30"/>
          <w:highlight w:val="none"/>
        </w:rPr>
        <w:t>美术馆</w:t>
      </w:r>
      <w:r>
        <w:rPr>
          <w:rFonts w:hint="eastAsia" w:cs="宋体"/>
          <w:color w:val="auto"/>
          <w:szCs w:val="30"/>
          <w:highlight w:val="none"/>
          <w:lang w:eastAsia="zh-CN"/>
        </w:rPr>
        <w:t>、</w:t>
      </w:r>
      <w:r>
        <w:rPr>
          <w:rFonts w:hint="eastAsia" w:ascii="宋体" w:hAnsi="宋体" w:eastAsia="宋体" w:cs="宋体"/>
          <w:color w:val="auto"/>
          <w:szCs w:val="30"/>
          <w:highlight w:val="none"/>
        </w:rPr>
        <w:t>公共图书馆</w:t>
      </w:r>
      <w:r>
        <w:rPr>
          <w:rFonts w:hint="eastAsia" w:cs="宋体"/>
          <w:color w:val="auto"/>
          <w:szCs w:val="30"/>
          <w:highlight w:val="none"/>
          <w:lang w:eastAsia="zh-CN"/>
        </w:rPr>
        <w:t>、</w:t>
      </w:r>
      <w:r>
        <w:rPr>
          <w:rFonts w:hint="eastAsia" w:ascii="宋体" w:hAnsi="宋体" w:eastAsia="宋体" w:cs="宋体"/>
          <w:color w:val="auto"/>
          <w:szCs w:val="30"/>
          <w:highlight w:val="none"/>
        </w:rPr>
        <w:t>文化馆（站）</w:t>
      </w:r>
      <w:r>
        <w:rPr>
          <w:rFonts w:hint="eastAsia" w:ascii="宋体" w:hAnsi="宋体" w:eastAsia="宋体" w:cs="宋体"/>
          <w:color w:val="auto"/>
          <w:szCs w:val="30"/>
          <w:highlight w:val="none"/>
          <w:lang w:val="en-US" w:eastAsia="zh-CN"/>
        </w:rPr>
        <w:t>免</w:t>
      </w:r>
      <w:r>
        <w:rPr>
          <w:rFonts w:hint="eastAsia" w:ascii="宋体" w:hAnsi="宋体" w:eastAsia="宋体" w:cs="宋体"/>
          <w:color w:val="auto"/>
          <w:szCs w:val="30"/>
          <w:highlight w:val="none"/>
        </w:rPr>
        <w:t>费开放</w:t>
      </w:r>
      <w:r>
        <w:rPr>
          <w:rFonts w:hint="eastAsia" w:cs="宋体"/>
          <w:color w:val="auto"/>
          <w:szCs w:val="30"/>
          <w:highlight w:val="none"/>
          <w:lang w:val="en-US" w:eastAsia="zh-CN"/>
        </w:rPr>
        <w:t>项目</w:t>
      </w:r>
      <w:r>
        <w:rPr>
          <w:rFonts w:hint="eastAsia" w:ascii="宋体" w:hAnsi="宋体" w:eastAsia="宋体" w:cs="宋体"/>
          <w:color w:val="auto"/>
          <w:szCs w:val="30"/>
          <w:highlight w:val="none"/>
        </w:rPr>
        <w:t>专项资金由中央财政和自治区财政设立，用于支持自治区美术馆、图书馆、文化馆和各地文化主管部门归口管理的地市级和县级美术馆、图书馆、文化馆以及乡镇综合文化站免费开展基本公共文化服务。</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r>
        <w:rPr>
          <w:rFonts w:hint="eastAsia" w:ascii="宋体" w:hAnsi="宋体" w:eastAsia="宋体" w:cs="宋体"/>
          <w:color w:val="auto"/>
          <w:szCs w:val="30"/>
          <w:highlight w:val="none"/>
        </w:rPr>
        <w:t>专项资金主要用于举办普及性文化艺术类培训项目，举办公益性讲座、展览，开展宣传活动，组织公益性群众文化活动，基层文化骨干业务辅导，民间文化传承活动，业务活动用房小型修缮及零星业务设备更新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w:t>
      </w:r>
      <w:r>
        <w:rPr>
          <w:rFonts w:hint="eastAsia" w:cs="宋体"/>
          <w:color w:val="auto"/>
          <w:highlight w:val="none"/>
          <w:shd w:val="clear" w:color="auto" w:fill="auto"/>
          <w:lang w:val="en-US" w:eastAsia="zh-CN"/>
        </w:rPr>
        <w:t>根据昌州财教【2022】63号提前下达2023年中央补助地方美术馆图书馆文化馆免费开放补助资金</w:t>
      </w:r>
      <w:r>
        <w:rPr>
          <w:rFonts w:hint="eastAsia" w:ascii="宋体" w:hAnsi="宋体" w:eastAsia="宋体" w:cs="宋体"/>
          <w:color w:val="auto"/>
          <w:highlight w:val="none"/>
          <w:shd w:val="clear" w:color="auto" w:fill="auto"/>
          <w:lang w:val="en-US" w:eastAsia="zh-CN"/>
        </w:rPr>
        <w:t>文件</w:t>
      </w:r>
      <w:r>
        <w:rPr>
          <w:rFonts w:hint="eastAsia" w:cs="宋体"/>
          <w:color w:val="auto"/>
          <w:highlight w:val="none"/>
          <w:shd w:val="clear" w:color="auto" w:fill="auto"/>
          <w:lang w:val="en-US" w:eastAsia="zh-CN"/>
        </w:rPr>
        <w:t>要求</w:t>
      </w:r>
      <w:r>
        <w:rPr>
          <w:rFonts w:hint="eastAsia" w:ascii="宋体" w:hAnsi="宋体" w:eastAsia="宋体" w:cs="宋体"/>
          <w:color w:val="auto"/>
          <w:highlight w:val="none"/>
          <w:shd w:val="clear" w:color="auto" w:fill="auto"/>
          <w:lang w:val="en-US" w:eastAsia="zh-CN"/>
        </w:rPr>
        <w:t>，经</w:t>
      </w:r>
      <w:r>
        <w:rPr>
          <w:rFonts w:hint="eastAsia" w:cs="宋体"/>
          <w:color w:val="auto"/>
          <w:highlight w:val="none"/>
          <w:shd w:val="clear" w:color="auto" w:fill="auto"/>
          <w:lang w:val="en-US" w:eastAsia="zh-CN"/>
        </w:rPr>
        <w:t>阜康市文化体育广播电视和旅游局党组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李虹</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崔晓</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项目负责人为王向明,</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孟远、李锦、朱慧</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崔晓</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孟远</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朱慧</w:t>
      </w:r>
      <w:r>
        <w:rPr>
          <w:rFonts w:hint="eastAsia" w:ascii="宋体" w:hAnsi="宋体" w:eastAsia="宋体" w:cs="宋体"/>
          <w:color w:val="auto"/>
          <w:highlight w:val="none"/>
          <w:shd w:val="clear" w:color="auto" w:fill="auto"/>
          <w:lang w:val="en-US" w:eastAsia="zh-CN"/>
        </w:rPr>
        <w:t>负责资金拨付工作。</w:t>
      </w:r>
      <w:bookmarkStart w:id="6" w:name="_Toc1858"/>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2023年中央补助地方美术馆图书馆文化馆免费开放补助资金项目</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金20</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截至2023年12月31日，2023年中央补助地方美术馆图书馆文化馆免费开放补助资金项目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18.49</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92.45</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1.51</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文化</w:t>
      </w:r>
      <w:r>
        <w:rPr>
          <w:rFonts w:hint="eastAsia" w:ascii="宋体" w:hAnsi="宋体" w:eastAsia="宋体" w:cs="宋体"/>
          <w:color w:val="auto"/>
          <w:highlight w:val="none"/>
          <w:shd w:val="clear" w:color="auto" w:fill="auto"/>
          <w:lang w:val="en-US" w:eastAsia="zh-CN"/>
        </w:rPr>
        <w:t>场馆免费或低收费开放</w:t>
      </w:r>
      <w:r>
        <w:rPr>
          <w:rFonts w:hint="eastAsia" w:cs="宋体"/>
          <w:color w:val="auto"/>
          <w:highlight w:val="none"/>
          <w:shd w:val="clear" w:color="auto" w:fill="auto"/>
          <w:lang w:val="en-US" w:eastAsia="zh-CN"/>
        </w:rPr>
        <w:t>、组织群众文化活动，进行文化宣传</w:t>
      </w:r>
      <w:r>
        <w:rPr>
          <w:rFonts w:hint="eastAsia" w:ascii="宋体" w:hAnsi="宋体" w:eastAsia="宋体" w:cs="宋体"/>
          <w:color w:val="auto"/>
          <w:highlight w:val="none"/>
          <w:shd w:val="clear" w:color="auto" w:fill="auto"/>
          <w:lang w:val="en-US" w:eastAsia="zh-CN"/>
        </w:rPr>
        <w:t>服务</w:t>
      </w:r>
      <w:r>
        <w:rPr>
          <w:rFonts w:hint="eastAsia" w:cs="宋体"/>
          <w:color w:val="auto"/>
          <w:highlight w:val="none"/>
          <w:shd w:val="clear" w:color="auto" w:fill="auto"/>
          <w:lang w:val="en-US" w:eastAsia="zh-CN"/>
        </w:rPr>
        <w:t>、组织相关培训以及相关文化产业经营等繁荣群众文化等方面。</w:t>
      </w:r>
    </w:p>
    <w:p>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7" w:name="_Toc2879"/>
      <w:r>
        <w:rPr>
          <w:rFonts w:hint="eastAsia" w:ascii="宋体" w:hAnsi="宋体" w:eastAsia="宋体" w:cs="宋体"/>
          <w:color w:val="auto"/>
          <w:highlight w:val="none"/>
          <w:shd w:val="clear" w:color="auto" w:fill="auto"/>
        </w:rPr>
        <w:t>项目绩效目标</w:t>
      </w:r>
      <w:bookmarkEnd w:id="7"/>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8" w:name="_Toc10047"/>
      <w:r>
        <w:rPr>
          <w:rFonts w:hint="eastAsia" w:ascii="宋体" w:hAnsi="宋体" w:eastAsia="宋体" w:cs="宋体"/>
          <w:color w:val="auto"/>
          <w:highlight w:val="none"/>
          <w:shd w:val="clear" w:color="auto" w:fill="auto"/>
          <w:lang w:val="en-US" w:eastAsia="zh-CN"/>
        </w:rPr>
        <w:t>1.总体目标</w:t>
      </w:r>
      <w:bookmarkEnd w:id="8"/>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中央补助地方美术馆图书馆文化馆免费开放补助资金项目绩效总体目标为：以文化馆免费开放为契机，组织群众文化活动，进行文化宣传，组织相关培训以及相关文化产业经营等繁荣群众文化事业。阜康市公共文化体育事业发展服务中心2023年预计完成免费开放国画、书法、红色教育、非物质文化遗产等特色展厅8次，举办百日文化广场文化活动22场次，送文化下乡、进社区、进校园、进企业文艺演出活动65场次，下基层、业余文艺骨干、少儿艺术开展的免费培训15次，通过活动有效保障群众精神文化需求，弘扬传承中华优秀传统文化。</w:t>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4487"/>
      <w:r>
        <w:rPr>
          <w:rFonts w:hint="eastAsia" w:ascii="宋体" w:hAnsi="宋体" w:eastAsia="宋体" w:cs="宋体"/>
          <w:color w:val="auto"/>
          <w:highlight w:val="none"/>
          <w:shd w:val="clear" w:color="auto" w:fill="auto"/>
          <w:lang w:val="en-US" w:eastAsia="zh-CN"/>
        </w:rPr>
        <w:t>2.阶段性目标</w:t>
      </w:r>
      <w:bookmarkEnd w:id="9"/>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免费开放国画、书法、红色教育、非物质文化遗产等特色展厅</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为8次；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举办百日文化广场文化活动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为22场次；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送文化下乡、进社区、进校园、进企业文艺演出活动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为65场次；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下基层、业余文艺骨干、少儿艺术开展的免费培训</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为15次；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免费开放任务完成率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开展群众文化活动完成率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免费开放时间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为2023年1月-12月；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开展各类免费培训及时率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指标，预期目标值为100%；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保障群众精神文化需求</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为有效保障；</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弘扬传承中华优秀传统文化</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为有效保障；</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基层群众及培训人员满意度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0" w:name="_Toc2549"/>
      <w:r>
        <w:rPr>
          <w:rFonts w:hint="eastAsia" w:ascii="宋体" w:hAnsi="宋体" w:eastAsia="宋体" w:cs="宋体"/>
          <w:b/>
          <w:bCs/>
          <w:color w:val="auto"/>
          <w:highlight w:val="none"/>
          <w:shd w:val="clear" w:color="auto" w:fill="auto"/>
        </w:rPr>
        <w:t>二、绩效评价工作开展情况</w:t>
      </w:r>
      <w:bookmarkEnd w:id="10"/>
    </w:p>
    <w:p>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1" w:name="_Toc22922"/>
      <w:bookmarkStart w:id="12" w:name="_Toc21664"/>
      <w:bookmarkStart w:id="13" w:name="_Toc12868"/>
      <w:bookmarkStart w:id="14" w:name="_Toc22169_WPSOffice_Level2"/>
      <w:bookmarkStart w:id="15" w:name="_Toc480473081"/>
      <w:bookmarkStart w:id="16" w:name="_Toc5258"/>
      <w:bookmarkStart w:id="17" w:name="_Toc26632"/>
      <w:bookmarkStart w:id="18" w:name="_Toc5462343"/>
      <w:bookmarkStart w:id="19" w:name="_Toc21778"/>
      <w:r>
        <w:rPr>
          <w:rFonts w:hint="eastAsia" w:ascii="宋体" w:hAnsi="宋体" w:eastAsia="宋体" w:cs="宋体"/>
          <w:color w:val="auto"/>
          <w:sz w:val="32"/>
          <w:szCs w:val="32"/>
          <w:highlight w:val="none"/>
          <w:shd w:val="clear" w:color="auto" w:fill="auto"/>
          <w:lang w:eastAsia="zh-CN"/>
        </w:rPr>
        <w:t>绩效评价的目的</w:t>
      </w:r>
      <w:bookmarkEnd w:id="11"/>
      <w:bookmarkEnd w:id="12"/>
      <w:bookmarkEnd w:id="13"/>
      <w:bookmarkEnd w:id="14"/>
      <w:bookmarkEnd w:id="15"/>
      <w:bookmarkEnd w:id="16"/>
      <w:bookmarkEnd w:id="17"/>
      <w:bookmarkEnd w:id="18"/>
      <w:r>
        <w:rPr>
          <w:rFonts w:hint="eastAsia" w:ascii="宋体" w:hAnsi="宋体" w:eastAsia="宋体" w:cs="宋体"/>
          <w:color w:val="auto"/>
          <w:sz w:val="32"/>
          <w:szCs w:val="32"/>
          <w:highlight w:val="none"/>
          <w:shd w:val="clear" w:color="auto" w:fill="auto"/>
          <w:lang w:eastAsia="zh-CN"/>
        </w:rPr>
        <w:t>、对象和范围</w:t>
      </w:r>
      <w:bookmarkEnd w:id="19"/>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0"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0"/>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1" w:name="_Toc30609"/>
      <w:r>
        <w:rPr>
          <w:rFonts w:hint="eastAsia" w:ascii="宋体" w:hAnsi="宋体" w:eastAsia="宋体" w:cs="宋体"/>
          <w:color w:val="auto"/>
          <w:highlight w:val="none"/>
          <w:shd w:val="clear" w:color="auto" w:fill="auto"/>
          <w:lang w:val="en-US" w:eastAsia="zh-CN"/>
        </w:rPr>
        <w:t>2.绩效评价的对象和范围</w:t>
      </w:r>
      <w:bookmarkEnd w:id="2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2023年中央补助地方美术馆图书馆文化馆免费开放补助资金项目</w:t>
      </w:r>
      <w:r>
        <w:rPr>
          <w:rFonts w:hint="eastAsia" w:ascii="宋体" w:hAnsi="宋体" w:eastAsia="宋体" w:cs="宋体"/>
          <w:color w:val="auto"/>
          <w:highlight w:val="none"/>
          <w:shd w:val="clear" w:color="auto" w:fill="auto"/>
          <w:lang w:val="en-US" w:eastAsia="zh-CN"/>
        </w:rPr>
        <w:t>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2"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2"/>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3"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3"/>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2023年中央补助地方美术馆图书馆文化馆免费开放补助资金项目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4" w:name="_Toc26131"/>
      <w:bookmarkStart w:id="25" w:name="_Toc419984722"/>
      <w:bookmarkStart w:id="26" w:name="_Toc428278230"/>
      <w:bookmarkStart w:id="27" w:name="_Toc1913"/>
      <w:bookmarkStart w:id="28"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4"/>
      <w:bookmarkEnd w:id="25"/>
      <w:bookmarkEnd w:id="26"/>
      <w:bookmarkEnd w:id="27"/>
      <w:r>
        <w:rPr>
          <w:rFonts w:hint="eastAsia" w:ascii="宋体" w:hAnsi="宋体" w:eastAsia="宋体" w:cs="宋体"/>
          <w:color w:val="auto"/>
          <w:highlight w:val="none"/>
          <w:shd w:val="clear" w:color="auto" w:fill="auto"/>
          <w:lang w:val="en-US" w:eastAsia="zh-CN"/>
        </w:rPr>
        <w:t>标准</w:t>
      </w:r>
      <w:bookmarkEnd w:id="28"/>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9"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2023年中央补助地方美术馆图书馆文化馆免费开放补助资金项目</w:t>
      </w:r>
      <w:r>
        <w:rPr>
          <w:rFonts w:hint="eastAsia" w:ascii="宋体" w:hAnsi="宋体" w:eastAsia="宋体" w:cs="宋体"/>
          <w:color w:val="auto"/>
          <w:highlight w:val="none"/>
          <w:shd w:val="clear" w:color="auto" w:fill="auto"/>
          <w:lang w:val="en-US" w:eastAsia="zh-CN"/>
        </w:rPr>
        <w:t>进行评价。</w:t>
      </w:r>
    </w:p>
    <w:p>
      <w:pPr>
        <w:pStyle w:val="4"/>
        <w:rPr>
          <w:rFonts w:hint="default" w:ascii="宋体" w:hAnsi="宋体" w:eastAsia="宋体" w:cs="宋体"/>
          <w:color w:val="auto"/>
          <w:highlight w:val="none"/>
          <w:shd w:val="clear" w:color="auto" w:fill="auto"/>
          <w:lang w:val="en-US" w:eastAsia="zh-CN"/>
        </w:rPr>
      </w:pPr>
      <w:bookmarkStart w:id="30" w:name="_Toc25391"/>
      <w:r>
        <w:rPr>
          <w:rFonts w:hint="eastAsia" w:ascii="宋体" w:hAnsi="宋体" w:eastAsia="宋体" w:cs="宋体"/>
          <w:color w:val="auto"/>
          <w:highlight w:val="none"/>
          <w:shd w:val="clear" w:color="auto" w:fill="auto"/>
          <w:lang w:val="en-US" w:eastAsia="zh-CN"/>
        </w:rPr>
        <w:t>4.评价标准</w:t>
      </w:r>
      <w:bookmarkEnd w:id="3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4"/>
        <w:outlineLvl w:val="1"/>
        <w:rPr>
          <w:rFonts w:hint="default" w:ascii="宋体" w:hAnsi="宋体" w:eastAsia="宋体" w:cs="宋体"/>
          <w:color w:val="auto"/>
          <w:highlight w:val="none"/>
          <w:shd w:val="clear" w:color="auto" w:fill="auto"/>
          <w:lang w:val="en-US" w:eastAsia="zh-CN"/>
        </w:rPr>
      </w:pPr>
      <w:bookmarkStart w:id="31" w:name="_Toc1070"/>
      <w:r>
        <w:rPr>
          <w:rFonts w:hint="eastAsia" w:ascii="宋体" w:hAnsi="宋体" w:eastAsia="宋体" w:cs="宋体"/>
          <w:color w:val="auto"/>
          <w:highlight w:val="none"/>
          <w:shd w:val="clear" w:color="auto" w:fill="auto"/>
          <w:lang w:val="en-US" w:eastAsia="zh-CN"/>
        </w:rPr>
        <w:t>（三）绩效评价工作过程</w:t>
      </w:r>
      <w:bookmarkEnd w:id="31"/>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2" w:name="_Toc12862"/>
      <w:r>
        <w:rPr>
          <w:rFonts w:hint="eastAsia" w:ascii="宋体" w:hAnsi="宋体" w:eastAsia="宋体" w:cs="宋体"/>
          <w:color w:val="auto"/>
          <w:highlight w:val="none"/>
          <w:shd w:val="clear" w:color="auto" w:fill="auto"/>
          <w:lang w:val="en-US" w:eastAsia="zh-CN"/>
        </w:rPr>
        <w:t>1.前期准备</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3"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2023年中央补助地方美术馆图书馆文化馆免费开放补助资金项目实施内容、目标信息、预算信息以及其他的一些项目基本信息，有了初步了解，为制定绩效评价工作方案做好准备。</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8"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49"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1"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2"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3"/>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4"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4"/>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2023年中央补助地方美术馆图书馆文化馆免费开放补助资金项目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98.7</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表3-1：公共体育场馆免费或低收费开放补助资金项目得分表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19.7</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98.7</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98.7</w:t>
            </w:r>
            <w:r>
              <w:rPr>
                <w:rFonts w:hint="eastAsia" w:ascii="宋体" w:hAnsi="宋体" w:eastAsia="宋体" w:cs="宋体"/>
                <w:color w:val="auto"/>
                <w:kern w:val="0"/>
                <w:sz w:val="21"/>
                <w:szCs w:val="21"/>
                <w:highlight w:val="none"/>
                <w:shd w:val="clear" w:color="auto" w:fill="auto"/>
                <w:lang w:val="en-US" w:eastAsia="zh-CN"/>
              </w:rPr>
              <w:t>%</w:t>
            </w:r>
          </w:p>
        </w:tc>
      </w:tr>
    </w:tbl>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5" w:name="_Toc9421"/>
      <w:r>
        <w:rPr>
          <w:rFonts w:hint="eastAsia" w:ascii="宋体" w:hAnsi="宋体" w:eastAsia="宋体" w:cs="宋体"/>
          <w:b/>
          <w:bCs/>
          <w:color w:val="auto"/>
          <w:highlight w:val="none"/>
          <w:shd w:val="clear" w:color="auto" w:fill="auto"/>
          <w:lang w:val="en-US" w:eastAsia="zh-CN"/>
        </w:rPr>
        <w:t>四、绩效评价指标分析</w:t>
      </w:r>
      <w:bookmarkEnd w:id="55"/>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6" w:name="_Toc15355"/>
      <w:r>
        <w:rPr>
          <w:rFonts w:hint="eastAsia" w:ascii="宋体" w:hAnsi="宋体" w:eastAsia="宋体" w:cs="宋体"/>
          <w:color w:val="auto"/>
          <w:highlight w:val="none"/>
          <w:shd w:val="clear" w:color="auto" w:fill="auto"/>
        </w:rPr>
        <w:t>（一）项目决策情况</w:t>
      </w:r>
      <w:bookmarkEnd w:id="56"/>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cs="宋体"/>
          <w:b/>
          <w:bCs/>
          <w:color w:val="auto"/>
          <w:kern w:val="0"/>
          <w:sz w:val="28"/>
          <w:szCs w:val="28"/>
          <w:highlight w:val="none"/>
          <w:shd w:val="clear" w:color="auto" w:fill="auto"/>
          <w:lang w:val="zh-TW"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Ind w:w="0" w:type="dxa"/>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outlineLvl w:val="2"/>
        <w:rPr>
          <w:rFonts w:hint="default"/>
          <w:b/>
          <w:bCs/>
          <w:color w:val="auto"/>
          <w:highlight w:val="none"/>
          <w:lang w:val="en-US" w:eastAsia="zh-CN"/>
        </w:rPr>
      </w:pPr>
      <w:bookmarkStart w:id="57" w:name="_Toc13522"/>
      <w:r>
        <w:rPr>
          <w:rFonts w:hint="eastAsia"/>
          <w:b/>
          <w:bCs/>
          <w:color w:val="auto"/>
          <w:highlight w:val="none"/>
          <w:lang w:val="en-US" w:eastAsia="zh-CN"/>
        </w:rPr>
        <w:t>1.立项依据充分性</w:t>
      </w:r>
      <w:bookmarkEnd w:id="57"/>
    </w:p>
    <w:p>
      <w:pPr>
        <w:bidi w:val="0"/>
        <w:rPr>
          <w:rFonts w:hint="eastAsia"/>
          <w:color w:val="auto"/>
          <w:highlight w:val="none"/>
          <w:lang w:eastAsia="zh-CN"/>
        </w:rPr>
      </w:pPr>
      <w:r>
        <w:rPr>
          <w:rFonts w:hint="eastAsia"/>
          <w:color w:val="auto"/>
          <w:highlight w:val="none"/>
          <w:lang w:eastAsia="zh-CN"/>
        </w:rPr>
        <w:t>①项目立项符合国家法律法规、国民经济发展规划和《阜康市“十四五”规划》；</w:t>
      </w:r>
    </w:p>
    <w:p>
      <w:pPr>
        <w:bidi w:val="0"/>
        <w:rPr>
          <w:rFonts w:hint="eastAsia"/>
          <w:color w:val="auto"/>
          <w:highlight w:val="none"/>
          <w:lang w:eastAsia="zh-CN"/>
        </w:rPr>
      </w:pPr>
      <w:r>
        <w:rPr>
          <w:rFonts w:hint="eastAsia"/>
          <w:color w:val="auto"/>
          <w:highlight w:val="none"/>
          <w:lang w:eastAsia="zh-CN"/>
        </w:rPr>
        <w:t>②项目立项符合行业发展规划和《阜康市“十四五”规划》；</w:t>
      </w:r>
    </w:p>
    <w:p>
      <w:pPr>
        <w:bidi w:val="0"/>
        <w:rPr>
          <w:rFonts w:hint="eastAsia"/>
          <w:color w:val="auto"/>
          <w:highlight w:val="none"/>
          <w:lang w:eastAsia="zh-CN"/>
        </w:rPr>
      </w:pPr>
      <w:r>
        <w:rPr>
          <w:rFonts w:hint="eastAsia"/>
          <w:color w:val="auto"/>
          <w:highlight w:val="none"/>
          <w:lang w:eastAsia="zh-CN"/>
        </w:rPr>
        <w:t>③项目立项与阜康市公共文化体育事业发展服务中心职责范围相符，属于部门履职所需；</w:t>
      </w:r>
    </w:p>
    <w:p>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8" w:name="_Toc21976"/>
      <w:r>
        <w:rPr>
          <w:rFonts w:hint="eastAsia"/>
          <w:b/>
          <w:bCs/>
          <w:color w:val="auto"/>
          <w:highlight w:val="none"/>
          <w:lang w:val="en-US" w:eastAsia="zh-CN"/>
        </w:rPr>
        <w:t>2.立项程序规范性</w:t>
      </w:r>
      <w:bookmarkEnd w:id="58"/>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color w:val="auto"/>
          <w:highlight w:val="none"/>
          <w:lang w:eastAsia="zh-CN"/>
        </w:rPr>
      </w:pPr>
      <w:r>
        <w:rPr>
          <w:rFonts w:hint="eastAsia"/>
          <w:color w:val="auto"/>
          <w:highlight w:val="none"/>
          <w:lang w:eastAsia="zh-CN"/>
        </w:rPr>
        <w:t>③事前</w:t>
      </w:r>
      <w:r>
        <w:rPr>
          <w:rFonts w:hint="eastAsia"/>
          <w:color w:val="auto"/>
          <w:highlight w:val="none"/>
          <w:lang w:val="en-US" w:eastAsia="zh-CN"/>
        </w:rPr>
        <w:t>未</w:t>
      </w:r>
      <w:r>
        <w:rPr>
          <w:rFonts w:hint="eastAsia"/>
          <w:color w:val="auto"/>
          <w:highlight w:val="none"/>
          <w:lang w:eastAsia="zh-CN"/>
        </w:rPr>
        <w:t>经过必要的可行性研究、专家论证、风险评估、绩效评估、集体决策，</w:t>
      </w:r>
      <w:r>
        <w:rPr>
          <w:rFonts w:hint="eastAsia"/>
          <w:color w:val="auto"/>
          <w:highlight w:val="none"/>
          <w:lang w:val="en-US" w:eastAsia="zh-CN"/>
        </w:rPr>
        <w:t>扣1分</w:t>
      </w:r>
      <w:r>
        <w:rPr>
          <w:rFonts w:hint="eastAsia"/>
          <w:color w:val="auto"/>
          <w:highlight w:val="none"/>
          <w:lang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综上，该项指标满分3分，得分2分。</w:t>
      </w:r>
    </w:p>
    <w:p>
      <w:pPr>
        <w:bidi w:val="0"/>
        <w:outlineLvl w:val="2"/>
        <w:rPr>
          <w:rFonts w:hint="default"/>
          <w:b/>
          <w:bCs/>
          <w:color w:val="auto"/>
          <w:highlight w:val="none"/>
          <w:lang w:val="en-US" w:eastAsia="zh-CN"/>
        </w:rPr>
      </w:pPr>
      <w:bookmarkStart w:id="59" w:name="_Toc15382"/>
      <w:r>
        <w:rPr>
          <w:rFonts w:hint="eastAsia"/>
          <w:b/>
          <w:bCs/>
          <w:color w:val="auto"/>
          <w:highlight w:val="none"/>
          <w:lang w:val="en-US" w:eastAsia="zh-CN"/>
        </w:rPr>
        <w:t>3.绩效目标合理性</w:t>
      </w:r>
      <w:bookmarkEnd w:id="59"/>
    </w:p>
    <w:p>
      <w:pPr>
        <w:bidi w:val="0"/>
        <w:rPr>
          <w:rFonts w:hint="eastAsia"/>
          <w:color w:val="auto"/>
          <w:highlight w:val="none"/>
          <w:lang w:eastAsia="zh-CN"/>
        </w:rPr>
      </w:pPr>
      <w:r>
        <w:rPr>
          <w:rFonts w:hint="eastAsia"/>
          <w:color w:val="auto"/>
          <w:highlight w:val="none"/>
          <w:lang w:eastAsia="zh-CN"/>
        </w:rPr>
        <w:t>①项目有绩效目标；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0" w:name="_Toc10650"/>
      <w:r>
        <w:rPr>
          <w:rFonts w:hint="eastAsia"/>
          <w:b/>
          <w:bCs/>
          <w:color w:val="auto"/>
          <w:highlight w:val="none"/>
          <w:lang w:val="en-US" w:eastAsia="zh-CN"/>
        </w:rPr>
        <w:t>4.绩效指标明确性</w:t>
      </w:r>
      <w:bookmarkEnd w:id="60"/>
    </w:p>
    <w:p>
      <w:pPr>
        <w:bidi w:val="0"/>
        <w:rPr>
          <w:rFonts w:hint="eastAsia"/>
          <w:color w:val="auto"/>
          <w:highlight w:val="none"/>
          <w:lang w:eastAsia="zh-CN"/>
        </w:rPr>
      </w:pPr>
      <w:r>
        <w:rPr>
          <w:rFonts w:hint="eastAsia"/>
          <w:color w:val="auto"/>
          <w:highlight w:val="none"/>
          <w:lang w:eastAsia="zh-CN"/>
        </w:rPr>
        <w:t>①将项目绩效目标细化分解为：</w:t>
      </w:r>
      <w:r>
        <w:rPr>
          <w:rFonts w:hint="eastAsia"/>
          <w:color w:val="auto"/>
          <w:highlight w:val="none"/>
          <w:lang w:val="en-US" w:eastAsia="zh-CN"/>
        </w:rPr>
        <w:t>一级指标4个，二级指标5个，三级指标共11条</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w:t>
      </w:r>
      <w:r>
        <w:rPr>
          <w:rFonts w:hint="eastAsia"/>
          <w:color w:val="auto"/>
          <w:highlight w:val="none"/>
          <w:lang w:val="en-US" w:eastAsia="zh-CN"/>
        </w:rPr>
        <w:t>本项目定量指标9个，定性指标2个，指标量化率为：81.82%；</w:t>
      </w:r>
    </w:p>
    <w:p>
      <w:pPr>
        <w:bidi w:val="0"/>
        <w:rPr>
          <w:rFonts w:hint="eastAsia"/>
          <w:color w:val="auto"/>
          <w:highlight w:val="none"/>
          <w:lang w:eastAsia="zh-CN"/>
        </w:rPr>
      </w:pPr>
      <w:r>
        <w:rPr>
          <w:rFonts w:hint="eastAsia"/>
          <w:color w:val="auto"/>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9401"/>
      <w:r>
        <w:rPr>
          <w:rFonts w:hint="eastAsia"/>
          <w:b/>
          <w:bCs/>
          <w:color w:val="auto"/>
          <w:highlight w:val="none"/>
          <w:lang w:val="en-US" w:eastAsia="zh-CN"/>
        </w:rPr>
        <w:t>5.预算编制科学性</w:t>
      </w:r>
      <w:bookmarkEnd w:id="61"/>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2" w:name="_Toc697"/>
      <w:r>
        <w:rPr>
          <w:rFonts w:hint="eastAsia"/>
          <w:b/>
          <w:bCs/>
          <w:color w:val="auto"/>
          <w:highlight w:val="none"/>
          <w:lang w:val="en-US" w:eastAsia="zh-CN"/>
        </w:rPr>
        <w:t>6.资金分配合理性</w:t>
      </w:r>
      <w:bookmarkEnd w:id="62"/>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3"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3"/>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19.7</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3.7</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19.7</w:t>
            </w:r>
          </w:p>
        </w:tc>
      </w:tr>
    </w:tbl>
    <w:p>
      <w:pPr>
        <w:bidi w:val="0"/>
        <w:outlineLvl w:val="2"/>
        <w:rPr>
          <w:rFonts w:hint="default"/>
          <w:b/>
          <w:bCs/>
          <w:color w:val="auto"/>
          <w:highlight w:val="none"/>
          <w:lang w:val="en-US" w:eastAsia="zh-CN"/>
        </w:rPr>
      </w:pPr>
      <w:bookmarkStart w:id="64" w:name="_Toc3886"/>
      <w:r>
        <w:rPr>
          <w:rFonts w:hint="eastAsia"/>
          <w:b/>
          <w:bCs/>
          <w:color w:val="auto"/>
          <w:highlight w:val="none"/>
          <w:lang w:val="en-US" w:eastAsia="zh-CN"/>
        </w:rPr>
        <w:t>1.资金到位率</w:t>
      </w:r>
      <w:bookmarkEnd w:id="64"/>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20万元</w:t>
      </w:r>
      <w:r>
        <w:rPr>
          <w:rFonts w:hint="eastAsia"/>
          <w:color w:val="auto"/>
          <w:highlight w:val="none"/>
          <w:lang w:eastAsia="zh-CN"/>
        </w:rPr>
        <w:t>/</w:t>
      </w:r>
      <w:r>
        <w:rPr>
          <w:rFonts w:hint="eastAsia"/>
          <w:color w:val="auto"/>
          <w:highlight w:val="none"/>
          <w:lang w:val="en-US" w:eastAsia="zh-CN"/>
        </w:rPr>
        <w:t>20万元</w:t>
      </w:r>
      <w:r>
        <w:rPr>
          <w:rFonts w:hint="eastAsia"/>
          <w:color w:val="auto"/>
          <w:highlight w:val="none"/>
          <w:lang w:eastAsia="zh-CN"/>
        </w:rPr>
        <w:t>）×100%</w:t>
      </w:r>
      <w:r>
        <w:rPr>
          <w:rFonts w:hint="eastAsia"/>
          <w:b/>
          <w:bCs/>
          <w:color w:val="auto"/>
          <w:highlight w:val="none"/>
          <w:lang w:val="en-US" w:eastAsia="zh-CN"/>
        </w:rPr>
        <w:t>=</w:t>
      </w:r>
      <w:r>
        <w:rPr>
          <w:rFonts w:hint="eastAsia"/>
          <w:color w:val="auto"/>
          <w:highlight w:val="none"/>
          <w:lang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5" w:name="_Toc9705"/>
      <w:r>
        <w:rPr>
          <w:rFonts w:hint="eastAsia"/>
          <w:b/>
          <w:bCs/>
          <w:color w:val="auto"/>
          <w:highlight w:val="none"/>
          <w:lang w:val="en-US" w:eastAsia="zh-CN"/>
        </w:rPr>
        <w:t>2.预算执行率</w:t>
      </w:r>
      <w:bookmarkEnd w:id="65"/>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18.49万元</w:t>
      </w:r>
      <w:r>
        <w:rPr>
          <w:rFonts w:hint="eastAsia"/>
          <w:color w:val="auto"/>
          <w:highlight w:val="none"/>
          <w:lang w:eastAsia="zh-CN"/>
        </w:rPr>
        <w:t>/</w:t>
      </w:r>
      <w:r>
        <w:rPr>
          <w:rFonts w:hint="eastAsia"/>
          <w:color w:val="auto"/>
          <w:highlight w:val="none"/>
          <w:lang w:val="en-US" w:eastAsia="zh-CN"/>
        </w:rPr>
        <w:t>20万元</w:t>
      </w:r>
      <w:r>
        <w:rPr>
          <w:rFonts w:hint="eastAsia"/>
          <w:color w:val="auto"/>
          <w:highlight w:val="none"/>
          <w:lang w:eastAsia="zh-CN"/>
        </w:rPr>
        <w:t>）×100%</w:t>
      </w:r>
      <w:r>
        <w:rPr>
          <w:rFonts w:hint="eastAsia"/>
          <w:b/>
          <w:bCs/>
          <w:color w:val="auto"/>
          <w:highlight w:val="none"/>
          <w:lang w:val="en-US" w:eastAsia="zh-CN"/>
        </w:rPr>
        <w:t>=92.45%</w:t>
      </w:r>
    </w:p>
    <w:p>
      <w:pPr>
        <w:bidi w:val="0"/>
        <w:rPr>
          <w:rFonts w:hint="eastAsia"/>
          <w:color w:val="auto"/>
          <w:highlight w:val="none"/>
          <w:lang w:eastAsia="zh-CN"/>
        </w:rPr>
      </w:pPr>
      <w:r>
        <w:rPr>
          <w:rFonts w:hint="eastAsia"/>
          <w:b/>
          <w:bCs/>
          <w:color w:val="auto"/>
          <w:highlight w:val="none"/>
          <w:lang w:val="en-US" w:eastAsia="zh-CN"/>
        </w:rPr>
        <w:t>综上，该项指标满分4分，得分3.7分。</w:t>
      </w:r>
    </w:p>
    <w:p>
      <w:pPr>
        <w:bidi w:val="0"/>
        <w:outlineLvl w:val="2"/>
        <w:rPr>
          <w:rFonts w:hint="default"/>
          <w:b/>
          <w:bCs/>
          <w:color w:val="auto"/>
          <w:highlight w:val="none"/>
          <w:lang w:val="en-US" w:eastAsia="zh-CN"/>
        </w:rPr>
      </w:pPr>
      <w:bookmarkStart w:id="66" w:name="_Toc18691"/>
      <w:r>
        <w:rPr>
          <w:rFonts w:hint="eastAsia"/>
          <w:b/>
          <w:bCs/>
          <w:color w:val="auto"/>
          <w:highlight w:val="none"/>
          <w:lang w:val="en-US" w:eastAsia="zh-CN"/>
        </w:rPr>
        <w:t>3.资金使用合规性</w:t>
      </w:r>
      <w:bookmarkEnd w:id="66"/>
    </w:p>
    <w:p>
      <w:pPr>
        <w:bidi w:val="0"/>
        <w:rPr>
          <w:rFonts w:hint="eastAsia"/>
          <w:color w:val="auto"/>
          <w:highlight w:val="none"/>
          <w:lang w:eastAsia="zh-CN"/>
        </w:rPr>
      </w:pPr>
      <w:r>
        <w:rPr>
          <w:rFonts w:hint="eastAsia"/>
          <w:color w:val="auto"/>
          <w:highlight w:val="none"/>
          <w:lang w:eastAsia="zh-CN"/>
        </w:rPr>
        <w:t>①符合国家财经法规和《阜康市公共文化体育事业发展服务中心财务管理制度》以及</w:t>
      </w:r>
      <w:r>
        <w:rPr>
          <w:rFonts w:hint="eastAsia"/>
          <w:color w:val="auto"/>
          <w:highlight w:val="none"/>
          <w:lang w:val="en-US" w:eastAsia="zh-CN"/>
        </w:rPr>
        <w:t>昌州财教【2022】63号《2023年中央补助地方美术馆图书馆文化馆免费开放补助资金管理使用办法》</w:t>
      </w:r>
      <w:r>
        <w:rPr>
          <w:rFonts w:hint="eastAsia"/>
          <w:color w:val="auto"/>
          <w:highlight w:val="none"/>
          <w:lang w:eastAsia="zh-CN"/>
        </w:rPr>
        <w:t>的规定；</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rPr>
          <w:rFonts w:hint="default"/>
          <w:b/>
          <w:bCs/>
          <w:color w:val="auto"/>
          <w:highlight w:val="none"/>
          <w:lang w:val="en-US" w:eastAsia="zh-CN"/>
        </w:rPr>
      </w:pPr>
      <w:r>
        <w:rPr>
          <w:rFonts w:hint="eastAsia"/>
          <w:b/>
          <w:bCs/>
          <w:color w:val="auto"/>
          <w:highlight w:val="none"/>
          <w:lang w:val="en-US" w:eastAsia="zh-CN"/>
        </w:rPr>
        <w:t>4.管理制度健全性</w:t>
      </w:r>
    </w:p>
    <w:p>
      <w:pPr>
        <w:bidi w:val="0"/>
        <w:rPr>
          <w:rFonts w:hint="eastAsia"/>
          <w:color w:val="auto"/>
          <w:highlight w:val="none"/>
          <w:lang w:eastAsia="zh-CN"/>
        </w:rPr>
      </w:pPr>
      <w:r>
        <w:rPr>
          <w:rFonts w:hint="eastAsia"/>
          <w:color w:val="auto"/>
          <w:highlight w:val="none"/>
          <w:lang w:eastAsia="zh-CN"/>
        </w:rPr>
        <w:t>①已制定或具有相应的《阜康市公共文化体育事业发展服务中心财务管理制度》；</w:t>
      </w:r>
    </w:p>
    <w:p>
      <w:pPr>
        <w:bidi w:val="0"/>
        <w:rPr>
          <w:rFonts w:hint="eastAsia"/>
          <w:color w:val="auto"/>
          <w:highlight w:val="none"/>
          <w:lang w:eastAsia="zh-CN"/>
        </w:rPr>
      </w:pPr>
      <w:r>
        <w:rPr>
          <w:rFonts w:hint="eastAsia"/>
          <w:color w:val="auto"/>
          <w:highlight w:val="none"/>
          <w:lang w:eastAsia="zh-CN"/>
        </w:rPr>
        <w:t>②《阜康市公共文化体育事业发展服务中心财务管理制度》合法、合规、完整。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7" w:name="_Toc31684"/>
      <w:r>
        <w:rPr>
          <w:rFonts w:hint="eastAsia"/>
          <w:b/>
          <w:bCs/>
          <w:color w:val="auto"/>
          <w:highlight w:val="none"/>
          <w:lang w:val="en-US" w:eastAsia="zh-CN"/>
        </w:rPr>
        <w:t>5.制度执行有效性</w:t>
      </w:r>
      <w:bookmarkEnd w:id="67"/>
    </w:p>
    <w:p>
      <w:pPr>
        <w:bidi w:val="0"/>
        <w:rPr>
          <w:rFonts w:hint="eastAsia"/>
          <w:color w:val="auto"/>
          <w:highlight w:val="none"/>
          <w:lang w:eastAsia="zh-CN"/>
        </w:rPr>
      </w:pPr>
      <w:r>
        <w:rPr>
          <w:rFonts w:hint="eastAsia"/>
          <w:color w:val="auto"/>
          <w:highlight w:val="none"/>
          <w:lang w:eastAsia="zh-CN"/>
        </w:rPr>
        <w:t>①遵守相关法律法规和相关管理规定；</w:t>
      </w:r>
    </w:p>
    <w:p>
      <w:pPr>
        <w:bidi w:val="0"/>
        <w:rPr>
          <w:rFonts w:hint="eastAsia"/>
          <w:color w:val="auto"/>
          <w:highlight w:val="none"/>
          <w:lang w:eastAsia="zh-CN"/>
        </w:rPr>
      </w:pPr>
      <w:r>
        <w:rPr>
          <w:rFonts w:hint="eastAsia"/>
          <w:color w:val="auto"/>
          <w:highlight w:val="none"/>
          <w:lang w:eastAsia="zh-CN"/>
        </w:rPr>
        <w:t>②项目调整及支出调整手续完备；</w:t>
      </w:r>
    </w:p>
    <w:p>
      <w:pPr>
        <w:bidi w:val="0"/>
        <w:rPr>
          <w:rFonts w:hint="eastAsia"/>
          <w:color w:val="auto"/>
          <w:highlight w:val="none"/>
          <w:lang w:eastAsia="zh-CN"/>
        </w:rPr>
      </w:pPr>
      <w:r>
        <w:rPr>
          <w:rFonts w:hint="eastAsia"/>
          <w:color w:val="auto"/>
          <w:highlight w:val="none"/>
          <w:lang w:eastAsia="zh-CN"/>
        </w:rPr>
        <w:t>③租赁舞蹈服装项目合同书、布展验收报告、场馆运行项目合同书、场馆免费开放活动项目合同书等资料齐全并及时归档；</w:t>
      </w:r>
    </w:p>
    <w:p>
      <w:pPr>
        <w:pStyle w:val="5"/>
        <w:rPr>
          <w:rFonts w:hint="eastAsia"/>
          <w:color w:val="auto"/>
          <w:highlight w:val="none"/>
          <w:lang w:eastAsia="zh-CN"/>
        </w:rPr>
      </w:pPr>
      <w:r>
        <w:rPr>
          <w:rFonts w:hint="eastAsia"/>
          <w:color w:val="auto"/>
          <w:highlight w:val="none"/>
          <w:lang w:eastAsia="zh-CN"/>
        </w:rPr>
        <w:t>④项目实施</w:t>
      </w:r>
      <w:r>
        <w:rPr>
          <w:rFonts w:hint="eastAsia"/>
          <w:color w:val="auto"/>
          <w:highlight w:val="none"/>
          <w:lang w:val="en-US" w:eastAsia="zh-CN"/>
        </w:rPr>
        <w:t>已</w:t>
      </w:r>
      <w:r>
        <w:rPr>
          <w:rFonts w:hint="eastAsia"/>
          <w:color w:val="auto"/>
          <w:highlight w:val="none"/>
          <w:lang w:eastAsia="zh-CN"/>
        </w:rPr>
        <w:t>组建由承建方及各共建单位组成的项目领导小组及其办事机构。在项目领导小组的领导下，在领导小组办公室的具体组织下，充分发挥各共建单位的积极性，解决项目建设和运行中出现的问题。运营维护和技术支持人员</w:t>
      </w:r>
      <w:r>
        <w:rPr>
          <w:rFonts w:hint="eastAsia"/>
          <w:color w:val="auto"/>
          <w:highlight w:val="none"/>
          <w:lang w:val="en-US" w:eastAsia="zh-CN"/>
        </w:rPr>
        <w:t>已</w:t>
      </w:r>
      <w:r>
        <w:rPr>
          <w:rFonts w:hint="eastAsia"/>
          <w:color w:val="auto"/>
          <w:highlight w:val="none"/>
          <w:lang w:eastAsia="zh-CN"/>
        </w:rPr>
        <w:t>参加供应商组织的培训，能熟练进行系统的全部运行操作、系统维护和故障的分析处理，经考核合格后上岗；对于业务人员，确保能够掌握与自身职责相关的系统操作，熟练高效的使用本系统，保障业务经办的顺利开展。</w:t>
      </w:r>
      <w:r>
        <w:rPr>
          <w:rFonts w:hint="eastAsia"/>
          <w:color w:val="auto"/>
          <w:highlight w:val="none"/>
          <w:lang w:val="en-US" w:eastAsia="zh-CN"/>
        </w:rPr>
        <w:t>本</w:t>
      </w:r>
      <w:r>
        <w:rPr>
          <w:rFonts w:hint="eastAsia"/>
          <w:color w:val="auto"/>
          <w:highlight w:val="none"/>
          <w:lang w:eastAsia="zh-CN"/>
        </w:rPr>
        <w:t>项目开展所需的物质资源和设备</w:t>
      </w:r>
      <w:r>
        <w:rPr>
          <w:rFonts w:hint="eastAsia"/>
          <w:color w:val="auto"/>
          <w:highlight w:val="none"/>
          <w:lang w:val="en-US" w:eastAsia="zh-CN"/>
        </w:rPr>
        <w:t>均</w:t>
      </w:r>
      <w:r>
        <w:rPr>
          <w:rFonts w:hint="eastAsia"/>
          <w:color w:val="auto"/>
          <w:highlight w:val="none"/>
          <w:lang w:eastAsia="zh-CN"/>
        </w:rPr>
        <w:t>满足要求，确保项目所需的物质资源和设备的可用性、数量和质量，并制定采购计划。</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8"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8"/>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8</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82"/>
        <w:gridCol w:w="2590"/>
        <w:gridCol w:w="1437"/>
        <w:gridCol w:w="558"/>
        <w:gridCol w:w="1365"/>
        <w:gridCol w:w="631"/>
      </w:tblGrid>
      <w:tr>
        <w:tblPrEx>
          <w:shd w:val="clear" w:color="auto" w:fill="auto"/>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8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免费开放国画、书法、红色教育、非物质文化遗产等特色展厅</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54"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举办百日文化广场文化活动</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22场次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22场次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送文化下乡、进社区、进校园、进企业文艺演出活动</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65场次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65场次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下基层、业余文艺骨干、少儿艺术开展的免费培训</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15次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15次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免费开放任务完成率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开展群众文化活动完成率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免费开放时间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2023年1月-12月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2023年1月-12月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开展各类免费培训及时率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eastAsia"/>
          <w:b/>
          <w:bCs/>
          <w:color w:val="auto"/>
          <w:sz w:val="28"/>
          <w:szCs w:val="28"/>
          <w:highlight w:val="none"/>
          <w:lang w:val="en-US" w:eastAsia="zh-CN"/>
        </w:rPr>
      </w:pPr>
      <w:bookmarkStart w:id="69" w:name="_Toc11067"/>
      <w:r>
        <w:rPr>
          <w:rFonts w:hint="eastAsia"/>
          <w:b/>
          <w:bCs/>
          <w:color w:val="auto"/>
          <w:sz w:val="28"/>
          <w:szCs w:val="28"/>
          <w:highlight w:val="none"/>
          <w:lang w:val="en-US" w:eastAsia="zh-CN"/>
        </w:rPr>
        <w:t>1.项目完成数量</w:t>
      </w:r>
      <w:bookmarkEnd w:id="69"/>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免费开放国画、书法、红色教育、非物质文化遗产等特色展厅</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8次</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8次</w:t>
      </w:r>
      <w:r>
        <w:rPr>
          <w:rFonts w:hint="eastAsia"/>
          <w:color w:val="auto"/>
          <w:sz w:val="28"/>
          <w:szCs w:val="28"/>
          <w:highlight w:val="none"/>
          <w:lang w:val="en-US" w:eastAsia="zh-CN"/>
        </w:rPr>
        <w:t>。</w:t>
      </w:r>
    </w:p>
    <w:p>
      <w:pPr>
        <w:bidi w:val="0"/>
        <w:rPr>
          <w:rFonts w:hint="eastAsia"/>
          <w:color w:val="auto"/>
          <w:sz w:val="28"/>
          <w:szCs w:val="28"/>
          <w:highlight w:val="none"/>
          <w:lang w:val="en-US" w:eastAsia="zh-CN"/>
        </w:rPr>
      </w:pPr>
      <w:r>
        <w:rPr>
          <w:rFonts w:hint="eastAsia"/>
          <w:color w:val="auto"/>
          <w:sz w:val="28"/>
          <w:szCs w:val="28"/>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8次</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8次</w:t>
      </w:r>
      <w:r>
        <w:rPr>
          <w:rFonts w:hint="eastAsia"/>
          <w:color w:val="auto"/>
          <w:sz w:val="28"/>
          <w:szCs w:val="28"/>
          <w:highlight w:val="none"/>
          <w:lang w:val="en-US" w:eastAsia="zh-CN"/>
        </w:rPr>
        <w:t>）×100%=100%。</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举办百日文化广场文化活动</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22场次</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22场次</w:t>
      </w:r>
      <w:r>
        <w:rPr>
          <w:rFonts w:hint="eastAsia"/>
          <w:color w:val="auto"/>
          <w:sz w:val="28"/>
          <w:szCs w:val="28"/>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22场次</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22场次</w:t>
      </w:r>
      <w:r>
        <w:rPr>
          <w:rFonts w:hint="eastAsia"/>
          <w:color w:val="auto"/>
          <w:sz w:val="28"/>
          <w:szCs w:val="28"/>
          <w:highlight w:val="none"/>
          <w:lang w:val="en-US" w:eastAsia="zh-CN"/>
        </w:rPr>
        <w:t>）×100%=100%。</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送文化下乡、进社区、进校园、进企业文艺演出活动</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65场次</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65场次</w:t>
      </w:r>
      <w:r>
        <w:rPr>
          <w:rFonts w:hint="eastAsia"/>
          <w:color w:val="auto"/>
          <w:sz w:val="28"/>
          <w:szCs w:val="28"/>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65场次</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65场次</w:t>
      </w:r>
      <w:r>
        <w:rPr>
          <w:rFonts w:hint="eastAsia"/>
          <w:color w:val="auto"/>
          <w:sz w:val="28"/>
          <w:szCs w:val="28"/>
          <w:highlight w:val="none"/>
          <w:lang w:val="en-US" w:eastAsia="zh-CN"/>
        </w:rPr>
        <w:t>）×100%=100%</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下基层、业余文艺骨干、少儿艺术开展的免费培训</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15次</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15次</w:t>
      </w:r>
      <w:r>
        <w:rPr>
          <w:rFonts w:hint="eastAsia"/>
          <w:color w:val="auto"/>
          <w:sz w:val="28"/>
          <w:szCs w:val="28"/>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15次</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15次</w:t>
      </w:r>
      <w:r>
        <w:rPr>
          <w:rFonts w:hint="eastAsia"/>
          <w:color w:val="auto"/>
          <w:sz w:val="28"/>
          <w:szCs w:val="28"/>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综上，该项指标满分14分，得分14分。</w:t>
      </w:r>
    </w:p>
    <w:p>
      <w:pPr>
        <w:bidi w:val="0"/>
        <w:outlineLvl w:val="2"/>
        <w:rPr>
          <w:rFonts w:hint="default"/>
          <w:b/>
          <w:bCs/>
          <w:color w:val="auto"/>
          <w:highlight w:val="none"/>
          <w:lang w:val="en-US" w:eastAsia="zh-CN"/>
        </w:rPr>
      </w:pPr>
      <w:bookmarkStart w:id="70" w:name="_Toc31739"/>
      <w:r>
        <w:rPr>
          <w:rFonts w:hint="eastAsia"/>
          <w:b/>
          <w:bCs/>
          <w:color w:val="auto"/>
          <w:highlight w:val="none"/>
          <w:lang w:val="en-US" w:eastAsia="zh-CN"/>
        </w:rPr>
        <w:t>2.项目完成质量</w:t>
      </w:r>
      <w:bookmarkEnd w:id="70"/>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免费开放任务完成率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≥95%</w:t>
      </w:r>
      <w:r>
        <w:rPr>
          <w:rFonts w:hint="eastAsia"/>
          <w:color w:val="auto"/>
          <w:sz w:val="28"/>
          <w:szCs w:val="28"/>
          <w:highlight w:val="none"/>
          <w:lang w:val="en-US" w:eastAsia="zh-CN"/>
        </w:rPr>
        <w:t>，实际完成为</w:t>
      </w:r>
      <w:r>
        <w:rPr>
          <w:rFonts w:hint="eastAsia" w:ascii="宋体" w:hAnsi="宋体" w:eastAsia="宋体" w:cs="宋体"/>
          <w:color w:val="auto"/>
          <w:kern w:val="0"/>
          <w:sz w:val="20"/>
          <w:szCs w:val="20"/>
          <w:highlight w:val="none"/>
          <w:shd w:val="clear" w:color="auto" w:fill="auto"/>
          <w:lang w:val="en-US" w:eastAsia="zh-CN"/>
        </w:rPr>
        <w:t>2023年1月-12月</w:t>
      </w:r>
      <w:r>
        <w:rPr>
          <w:rFonts w:hint="eastAsia"/>
          <w:color w:val="auto"/>
          <w:sz w:val="28"/>
          <w:szCs w:val="28"/>
          <w:highlight w:val="none"/>
          <w:lang w:val="en-US" w:eastAsia="zh-CN"/>
        </w:rPr>
        <w:t>。</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开展群众文化活动完成率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≥95%</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综上，该项指标满分6分，得分6分。</w:t>
      </w:r>
    </w:p>
    <w:p>
      <w:pPr>
        <w:bidi w:val="0"/>
        <w:outlineLvl w:val="2"/>
        <w:rPr>
          <w:rFonts w:hint="default"/>
          <w:b/>
          <w:bCs/>
          <w:color w:val="auto"/>
          <w:sz w:val="28"/>
          <w:szCs w:val="28"/>
          <w:highlight w:val="none"/>
          <w:lang w:val="en-US" w:eastAsia="zh-CN"/>
        </w:rPr>
      </w:pPr>
      <w:bookmarkStart w:id="71" w:name="_Toc18307"/>
      <w:r>
        <w:rPr>
          <w:rFonts w:hint="eastAsia"/>
          <w:b/>
          <w:bCs/>
          <w:color w:val="auto"/>
          <w:sz w:val="28"/>
          <w:szCs w:val="28"/>
          <w:highlight w:val="none"/>
          <w:lang w:val="en-US" w:eastAsia="zh-CN"/>
        </w:rPr>
        <w:t>3.项目完成时效</w:t>
      </w:r>
      <w:bookmarkEnd w:id="71"/>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免费开放时间</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highlight w:val="none"/>
          <w:lang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开展各类免费培训及时率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综上，该项指标满分10分，得分10分。</w:t>
      </w:r>
    </w:p>
    <w:p>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2"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2"/>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default" w:ascii="宋体" w:hAnsi="宋体" w:eastAsia="宋体" w:cs="宋体"/>
          <w:color w:val="auto"/>
          <w:kern w:val="2"/>
          <w:highlight w:val="none"/>
          <w:u w:color="000000"/>
          <w:shd w:val="clear" w:color="auto" w:fill="auto"/>
          <w:lang w:val="en-US" w:eastAsia="zh-TW"/>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1084"/>
        <w:gridCol w:w="431"/>
        <w:gridCol w:w="1050"/>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vMerge w:val="restart"/>
            <w:tcBorders>
              <w:top w:val="single" w:color="auto" w:sz="4" w:space="0"/>
              <w:left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保障群众精神文化需求</w:t>
            </w: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有效保障</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570"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弘扬传承中华优秀传统文化</w:t>
            </w: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有效保障</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基层群众及培训人员满意度</w:t>
            </w:r>
          </w:p>
        </w:tc>
        <w:tc>
          <w:tcPr>
            <w:tcW w:w="10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69" w:hRule="atLeast"/>
          <w:jc w:val="center"/>
        </w:trPr>
        <w:tc>
          <w:tcPr>
            <w:tcW w:w="6238"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4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eastAsia"/>
          <w:b/>
          <w:bCs/>
          <w:color w:val="auto"/>
          <w:highlight w:val="none"/>
          <w:lang w:val="en-US" w:eastAsia="zh-CN"/>
        </w:rPr>
      </w:pPr>
      <w:bookmarkStart w:id="73" w:name="_Toc8010"/>
      <w:r>
        <w:rPr>
          <w:rFonts w:hint="eastAsia"/>
          <w:b/>
          <w:bCs/>
          <w:color w:val="auto"/>
          <w:highlight w:val="none"/>
          <w:lang w:val="en-US" w:eastAsia="zh-CN"/>
        </w:rPr>
        <w:t>1.</w:t>
      </w:r>
      <w:bookmarkEnd w:id="73"/>
      <w:bookmarkStart w:id="74" w:name="_Toc27006"/>
      <w:r>
        <w:rPr>
          <w:rFonts w:hint="eastAsia"/>
          <w:b/>
          <w:bCs/>
          <w:color w:val="auto"/>
          <w:highlight w:val="none"/>
          <w:lang w:val="en-US" w:eastAsia="zh-CN"/>
        </w:rPr>
        <w:t>社会效益指标</w:t>
      </w:r>
      <w:bookmarkEnd w:id="74"/>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保障群众精神文化需求</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default" w:ascii="宋体" w:hAnsi="宋体" w:eastAsia="宋体" w:cs="宋体"/>
          <w:color w:val="auto"/>
          <w:kern w:val="0"/>
          <w:sz w:val="28"/>
          <w:szCs w:val="28"/>
          <w:highlight w:val="none"/>
          <w:shd w:val="clear" w:color="auto" w:fill="auto"/>
          <w:lang w:val="en-US" w:eastAsia="zh-CN"/>
        </w:rPr>
        <w:t>有效保障</w:t>
      </w:r>
      <w:r>
        <w:rPr>
          <w:rFonts w:hint="eastAsia"/>
          <w:color w:val="auto"/>
          <w:sz w:val="28"/>
          <w:szCs w:val="28"/>
          <w:highlight w:val="none"/>
          <w:lang w:val="en-US" w:eastAsia="zh-CN"/>
        </w:rPr>
        <w:t>，实际完成为</w:t>
      </w:r>
      <w:r>
        <w:rPr>
          <w:rFonts w:hint="default"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弘扬传承中华优秀传统文化</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default" w:ascii="宋体" w:hAnsi="宋体" w:eastAsia="宋体" w:cs="宋体"/>
          <w:color w:val="auto"/>
          <w:kern w:val="0"/>
          <w:sz w:val="28"/>
          <w:szCs w:val="28"/>
          <w:highlight w:val="none"/>
          <w:shd w:val="clear" w:color="auto" w:fill="auto"/>
          <w:lang w:val="en-US" w:eastAsia="zh-CN"/>
        </w:rPr>
        <w:t>有效保障</w:t>
      </w:r>
      <w:r>
        <w:rPr>
          <w:rFonts w:hint="eastAsia"/>
          <w:color w:val="auto"/>
          <w:sz w:val="28"/>
          <w:szCs w:val="28"/>
          <w:highlight w:val="none"/>
          <w:lang w:val="en-US" w:eastAsia="zh-CN"/>
        </w:rPr>
        <w:t>，实际完成为</w:t>
      </w:r>
      <w:r>
        <w:rPr>
          <w:rFonts w:hint="default"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default"/>
          <w:b w:val="0"/>
          <w:bCs w:val="0"/>
          <w:color w:val="auto"/>
          <w:highlight w:val="none"/>
          <w:lang w:val="en-US" w:eastAsia="zh-CN"/>
        </w:rPr>
      </w:pPr>
      <w:r>
        <w:rPr>
          <w:rFonts w:hint="eastAsia"/>
          <w:b w:val="0"/>
          <w:bCs w:val="0"/>
          <w:color w:val="auto"/>
          <w:sz w:val="28"/>
          <w:szCs w:val="28"/>
          <w:highlight w:val="none"/>
          <w:lang w:val="en-US" w:eastAsia="zh-CN"/>
        </w:rPr>
        <w:t>通过项目的实施，不断提高运营管理能力和公共服务水平，满足</w:t>
      </w:r>
      <w:r>
        <w:rPr>
          <w:rFonts w:hint="eastAsia"/>
          <w:b w:val="0"/>
          <w:bCs w:val="0"/>
          <w:color w:val="auto"/>
          <w:highlight w:val="none"/>
          <w:lang w:val="en-US" w:eastAsia="zh-CN"/>
        </w:rPr>
        <w:t>人民群众日益增长的文化需求。</w:t>
      </w:r>
    </w:p>
    <w:p>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pPr>
        <w:bidi w:val="0"/>
        <w:outlineLvl w:val="2"/>
        <w:rPr>
          <w:rFonts w:hint="eastAsia"/>
          <w:b/>
          <w:bCs/>
          <w:color w:val="auto"/>
          <w:highlight w:val="none"/>
          <w:lang w:val="en-US" w:eastAsia="zh-CN"/>
        </w:rPr>
      </w:pPr>
      <w:bookmarkStart w:id="75" w:name="_Toc23106"/>
      <w:r>
        <w:rPr>
          <w:rFonts w:hint="eastAsia"/>
          <w:b/>
          <w:bCs/>
          <w:color w:val="auto"/>
          <w:highlight w:val="none"/>
          <w:lang w:val="en-US" w:eastAsia="zh-CN"/>
        </w:rPr>
        <w:t>2.</w:t>
      </w:r>
      <w:bookmarkEnd w:id="75"/>
      <w:bookmarkStart w:id="76" w:name="_Toc3271"/>
      <w:r>
        <w:rPr>
          <w:rFonts w:hint="eastAsia"/>
          <w:b/>
          <w:bCs/>
          <w:color w:val="auto"/>
          <w:highlight w:val="none"/>
          <w:lang w:val="en-US" w:eastAsia="zh-CN"/>
        </w:rPr>
        <w:t>满意度指标</w:t>
      </w:r>
      <w:bookmarkEnd w:id="76"/>
    </w:p>
    <w:p>
      <w:pPr>
        <w:bidi w:val="0"/>
        <w:rPr>
          <w:rFonts w:hint="eastAsia"/>
          <w:b/>
          <w:bCs/>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基层群众及培训人员满意度</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≥90%</w:t>
      </w:r>
      <w:r>
        <w:rPr>
          <w:rFonts w:hint="eastAsia"/>
          <w:color w:val="auto"/>
          <w:sz w:val="28"/>
          <w:szCs w:val="28"/>
          <w:highlight w:val="none"/>
          <w:lang w:val="en-US" w:eastAsia="zh-CN"/>
        </w:rPr>
        <w:t>，实际完成为</w:t>
      </w:r>
      <w:r>
        <w:rPr>
          <w:rFonts w:hint="default"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7" w:name="_Toc19962"/>
      <w:r>
        <w:rPr>
          <w:rFonts w:hint="eastAsia" w:ascii="宋体" w:hAnsi="宋体" w:eastAsia="宋体" w:cs="宋体"/>
          <w:b/>
          <w:bCs/>
          <w:color w:val="auto"/>
          <w:highlight w:val="none"/>
          <w:shd w:val="clear" w:color="auto" w:fill="auto"/>
          <w:lang w:val="en-US" w:eastAsia="zh-CN"/>
        </w:rPr>
        <w:t>五、预算执行进度与指标偏差</w:t>
      </w:r>
      <w:bookmarkEnd w:id="77"/>
    </w:p>
    <w:p>
      <w:pPr>
        <w:keepNext w:val="0"/>
        <w:keepLines w:val="0"/>
        <w:pageBreakBefore w:val="0"/>
        <w:widowControl w:val="0"/>
        <w:numPr>
          <w:ilvl w:val="0"/>
          <w:numId w:val="0"/>
        </w:numPr>
        <w:kinsoku/>
        <w:wordWrap/>
        <w:overflowPunct/>
        <w:topLinePunct w:val="0"/>
        <w:autoSpaceDE/>
        <w:autoSpaceDN/>
        <w:bidi w:val="0"/>
        <w:adjustRightInd w:val="0"/>
        <w:snapToGrid w:val="0"/>
        <w:ind w:leftChars="200"/>
        <w:textAlignment w:val="auto"/>
        <w:rPr>
          <w:rFonts w:hint="eastAsia" w:ascii="仿宋_GB2312" w:hAnsi="仿宋_GB2312" w:cs="仿宋_GB2312"/>
          <w:color w:val="auto"/>
          <w:sz w:val="28"/>
          <w:szCs w:val="28"/>
          <w:highlight w:val="none"/>
          <w:lang w:val="en-US" w:eastAsia="zh-CN"/>
        </w:rPr>
      </w:pPr>
      <w:r>
        <w:rPr>
          <w:rFonts w:hint="eastAsia"/>
          <w:color w:val="auto"/>
          <w:highlight w:val="none"/>
          <w:lang w:val="en-US" w:eastAsia="zh-CN"/>
        </w:rPr>
        <w:t>若无偏差：</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olor w:val="auto"/>
          <w:highlight w:val="none"/>
          <w:lang w:val="en-US" w:eastAsia="zh-CN"/>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20</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18.49</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92.45</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7.55</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rPr>
        <w:t>。</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highlight w:val="none"/>
          <w:lang w:val="en-US" w:eastAsia="zh-CN"/>
        </w:rPr>
      </w:pPr>
      <w:r>
        <w:rPr>
          <w:rFonts w:hint="eastAsia" w:cs="仿宋_GB2312"/>
          <w:color w:val="auto"/>
          <w:sz w:val="28"/>
          <w:szCs w:val="28"/>
          <w:highlight w:val="none"/>
          <w:lang w:val="en-US" w:eastAsia="zh-CN"/>
        </w:rPr>
        <w:t>存在偏差情况的原因是：</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cs="仿宋_GB2312"/>
          <w:color w:val="auto"/>
          <w:sz w:val="28"/>
          <w:szCs w:val="28"/>
          <w:highlight w:val="none"/>
          <w:lang w:val="en-US" w:eastAsia="zh-CN"/>
        </w:rPr>
      </w:pPr>
      <w:r>
        <w:rPr>
          <w:rFonts w:hint="eastAsia" w:cs="仿宋_GB2312"/>
          <w:color w:val="auto"/>
          <w:sz w:val="28"/>
          <w:szCs w:val="28"/>
          <w:highlight w:val="none"/>
          <w:lang w:val="en-US" w:eastAsia="zh-CN"/>
        </w:rPr>
        <w:t>2023年年末，由于机构改革，导致资金未能及时支付。</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8"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8"/>
    </w:p>
    <w:p>
      <w:pPr>
        <w:numPr>
          <w:ilvl w:val="0"/>
          <w:numId w:val="0"/>
        </w:numPr>
        <w:bidi w:val="0"/>
        <w:ind w:left="560" w:leftChars="0"/>
        <w:outlineLvl w:val="1"/>
        <w:rPr>
          <w:rFonts w:hint="eastAsia"/>
          <w:b/>
          <w:bCs/>
          <w:color w:val="auto"/>
          <w:highlight w:val="none"/>
          <w:lang w:eastAsia="zh-CN"/>
        </w:rPr>
      </w:pPr>
      <w:bookmarkStart w:id="79" w:name="_Toc13160"/>
      <w:bookmarkStart w:id="80" w:name="_Toc28290"/>
      <w:bookmarkStart w:id="81"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79"/>
    </w:p>
    <w:p>
      <w:pPr>
        <w:bidi w:val="0"/>
        <w:rPr>
          <w:rFonts w:hint="eastAsia"/>
          <w:color w:val="auto"/>
          <w:highlight w:val="none"/>
          <w:lang w:eastAsia="zh-CN"/>
        </w:rPr>
      </w:pPr>
      <w:r>
        <w:rPr>
          <w:rFonts w:hint="eastAsia" w:cs="宋体"/>
          <w:color w:val="auto"/>
          <w:highlight w:val="none"/>
          <w:shd w:val="clear" w:color="auto" w:fill="auto"/>
          <w:lang w:val="en-US" w:eastAsia="zh-CN"/>
        </w:rPr>
        <w:t>2023年中央补助地方美术馆图书馆文化馆免费开放补助资金项目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20</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18.49</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92.45</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阜康市公共文化体育事业发展服务中心</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阜康市公共文化体育事业发展服务中心</w:t>
      </w:r>
      <w:r>
        <w:rPr>
          <w:rFonts w:hint="eastAsia"/>
          <w:color w:val="auto"/>
          <w:highlight w:val="none"/>
          <w:lang w:eastAsia="zh-CN"/>
        </w:rPr>
        <w:t>事业发展中关系民生与稳定的项目，切实优化资源配置，提高了资金使用的效率和效果。</w:t>
      </w:r>
    </w:p>
    <w:bookmarkEnd w:id="80"/>
    <w:bookmarkEnd w:id="81"/>
    <w:p>
      <w:pPr>
        <w:bidi w:val="0"/>
        <w:outlineLvl w:val="1"/>
        <w:rPr>
          <w:rFonts w:hint="eastAsia"/>
          <w:b/>
          <w:bCs/>
          <w:color w:val="auto"/>
          <w:highlight w:val="none"/>
          <w:lang w:eastAsia="zh-CN"/>
        </w:rPr>
      </w:pPr>
      <w:bookmarkStart w:id="82"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2"/>
    </w:p>
    <w:p>
      <w:pPr>
        <w:bidi w:val="0"/>
        <w:rPr>
          <w:rFonts w:hint="eastAsia"/>
          <w:color w:val="auto"/>
          <w:highlight w:val="none"/>
          <w:lang w:val="en-US" w:eastAsia="zh-CN"/>
        </w:rPr>
      </w:pPr>
      <w:bookmarkStart w:id="83" w:name="_Toc5230"/>
      <w:r>
        <w:rPr>
          <w:rFonts w:hint="eastAsia"/>
          <w:color w:val="auto"/>
          <w:highlight w:val="none"/>
          <w:lang w:val="en-US" w:eastAsia="zh-CN"/>
        </w:rPr>
        <w:t>1.单位内控职责不够细化，项目预算的绩效设定与实际的项目支出存在些许差距。</w:t>
      </w:r>
    </w:p>
    <w:p>
      <w:pPr>
        <w:bidi w:val="0"/>
        <w:rPr>
          <w:rFonts w:hint="eastAsia"/>
          <w:color w:val="auto"/>
          <w:highlight w:val="none"/>
          <w:lang w:val="en-US" w:eastAsia="zh-CN"/>
        </w:rPr>
      </w:pPr>
      <w:r>
        <w:rPr>
          <w:rFonts w:hint="eastAsia"/>
          <w:color w:val="auto"/>
          <w:highlight w:val="none"/>
          <w:lang w:val="en-US" w:eastAsia="zh-CN"/>
        </w:rPr>
        <w:t>2.目前财务人员工作量较大，任务繁重。人员交接存在问题，财务人员对此项工作不熟悉，影响工作进度。</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3"/>
    </w:p>
    <w:p>
      <w:pPr>
        <w:bidi w:val="0"/>
        <w:rPr>
          <w:rFonts w:hint="eastAsia"/>
          <w:color w:val="auto"/>
          <w:highlight w:val="none"/>
          <w:lang w:val="en-US" w:eastAsia="zh-CN"/>
        </w:rPr>
      </w:pPr>
      <w:r>
        <w:rPr>
          <w:rFonts w:hint="eastAsia"/>
          <w:color w:val="auto"/>
          <w:highlight w:val="none"/>
          <w:lang w:val="en-US" w:eastAsia="zh-CN"/>
        </w:rPr>
        <w:t>（一）进一步细化单位内控职责，进一步细化预算编制工作，认真做好预算的编制。进一步加强单位内部机构的内控管理机制，严格按照预算编制的相关制度和要求进行预算编制。</w:t>
      </w:r>
    </w:p>
    <w:p>
      <w:pPr>
        <w:bidi w:val="0"/>
        <w:rPr>
          <w:rFonts w:hint="eastAsia" w:ascii="宋体" w:hAnsi="宋体" w:eastAsia="宋体" w:cs="宋体"/>
          <w:color w:val="auto"/>
          <w:highlight w:val="none"/>
          <w:lang w:eastAsia="zh-CN"/>
        </w:rPr>
      </w:pPr>
      <w:r>
        <w:rPr>
          <w:rFonts w:hint="eastAsia"/>
          <w:color w:val="auto"/>
          <w:highlight w:val="none"/>
          <w:lang w:val="en-US" w:eastAsia="zh-CN"/>
        </w:rPr>
        <w:t>（二）加强财务管理，严格财务审核。加强单位财务管理，健全单位财务管理制度体系，规范单位财务行为。财务人员培训力度，提高业务水平和能力。</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4" w:name="_Toc15618"/>
      <w:r>
        <w:rPr>
          <w:rFonts w:hint="eastAsia" w:ascii="宋体" w:hAnsi="宋体" w:eastAsia="宋体" w:cs="宋体"/>
          <w:b/>
          <w:bCs/>
          <w:color w:val="auto"/>
          <w:highlight w:val="none"/>
          <w:shd w:val="clear" w:color="auto" w:fill="auto"/>
          <w:lang w:val="en-US" w:eastAsia="zh-CN"/>
        </w:rPr>
        <w:t>八、其他需要说明的问题</w:t>
      </w:r>
      <w:bookmarkEnd w:id="84"/>
    </w:p>
    <w:p>
      <w:pPr>
        <w:bidi w:val="0"/>
        <w:rPr>
          <w:color w:val="auto"/>
          <w:highlight w:val="none"/>
        </w:rPr>
      </w:pPr>
      <w:r>
        <w:rPr>
          <w:rFonts w:hint="eastAsia" w:ascii="宋体" w:hAnsi="宋体" w:eastAsia="宋体" w:cs="宋体"/>
          <w:color w:val="auto"/>
          <w:highlight w:val="none"/>
          <w:lang w:val="en-US" w:eastAsia="zh-CN"/>
        </w:rPr>
        <w:t>无其他需要说明的问题。</w:t>
      </w:r>
    </w:p>
    <w:p>
      <w:pPr>
        <w:ind w:left="-560" w:leftChars="-200" w:firstLine="0" w:firstLineChars="0"/>
        <w:rPr>
          <w:rFonts w:hint="eastAsia" w:ascii="宋体" w:hAnsi="宋体" w:eastAsia="宋体" w:cs="宋体"/>
          <w:b/>
          <w:bCs/>
          <w:color w:val="auto"/>
          <w:sz w:val="32"/>
          <w:szCs w:val="32"/>
          <w:highlight w:val="none"/>
          <w:shd w:val="clear" w:color="auto" w:fill="auto"/>
          <w:lang w:val="en-US" w:eastAsia="zh-CN"/>
        </w:rPr>
        <w:sectPr>
          <w:footerReference r:id="rId3" w:type="default"/>
          <w:pgSz w:w="11906" w:h="16838"/>
          <w:pgMar w:top="1440" w:right="1803" w:bottom="1440" w:left="1803" w:header="737" w:footer="850" w:gutter="0"/>
          <w:pgBorders>
            <w:top w:val="none" w:sz="0" w:space="0"/>
            <w:left w:val="none" w:sz="0" w:space="0"/>
            <w:bottom w:val="none" w:sz="0" w:space="0"/>
            <w:right w:val="none" w:sz="0" w:space="0"/>
          </w:pgBorders>
          <w:pgNumType w:fmt="decimal" w:start="1"/>
          <w:cols w:space="0" w:num="1"/>
          <w:rtlGutter w:val="0"/>
          <w:docGrid w:type="lines" w:linePitch="415" w:charSpace="0"/>
        </w:sectPr>
      </w:pPr>
    </w:p>
    <w:p>
      <w:pPr>
        <w:ind w:left="-560" w:leftChars="-200" w:firstLine="0" w:firstLineChars="0"/>
        <w:rPr>
          <w:rFonts w:hint="eastAsia" w:ascii="宋体" w:hAnsi="宋体" w:eastAsia="宋体" w:cs="宋体"/>
          <w:b/>
          <w:bCs/>
          <w:color w:val="auto"/>
          <w:sz w:val="32"/>
          <w:szCs w:val="32"/>
          <w:highlight w:val="none"/>
          <w:shd w:val="clear" w:color="auto" w:fill="auto"/>
          <w:lang w:val="en-US" w:eastAsia="zh-CN"/>
        </w:rPr>
      </w:pPr>
      <w:r>
        <w:rPr>
          <w:rFonts w:hint="eastAsia" w:ascii="宋体" w:hAnsi="宋体" w:eastAsia="宋体" w:cs="宋体"/>
          <w:b/>
          <w:bCs/>
          <w:color w:val="auto"/>
          <w:sz w:val="32"/>
          <w:szCs w:val="32"/>
          <w:highlight w:val="none"/>
          <w:shd w:val="clear" w:color="auto" w:fill="auto"/>
          <w:lang w:val="en-US" w:eastAsia="zh-CN"/>
        </w:rPr>
        <w:t>附件一、项目支出绩效自评表</w:t>
      </w:r>
    </w:p>
    <w:tbl>
      <w:tblPr>
        <w:tblStyle w:val="11"/>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70"/>
        <w:gridCol w:w="690"/>
        <w:gridCol w:w="798"/>
        <w:gridCol w:w="1172"/>
        <w:gridCol w:w="1057"/>
        <w:gridCol w:w="828"/>
        <w:gridCol w:w="829"/>
        <w:gridCol w:w="899"/>
        <w:gridCol w:w="899"/>
        <w:gridCol w:w="1002"/>
        <w:gridCol w:w="960"/>
        <w:gridCol w:w="1063"/>
        <w:gridCol w:w="1187"/>
        <w:gridCol w:w="20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Ex>
        <w:trPr>
          <w:trHeight w:val="80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6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14" w:type="dxa"/>
            <w:gridSpan w:val="1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昌州财教【2022】63号提前下达2023年中央补助地方美术馆图书馆文化馆免费开放补助资金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6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684"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阜康市文化体育广播电视和旅游局</w:t>
            </w:r>
          </w:p>
        </w:tc>
        <w:tc>
          <w:tcPr>
            <w:tcW w:w="179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6232"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阜康市公共文化体育事业发展服务中心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60" w:type="dxa"/>
            <w:gridSpan w:val="2"/>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7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65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79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96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25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0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60"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165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179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18.49 </w:t>
            </w:r>
          </w:p>
        </w:tc>
        <w:tc>
          <w:tcPr>
            <w:tcW w:w="196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25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92.45%</w:t>
            </w:r>
          </w:p>
        </w:tc>
        <w:tc>
          <w:tcPr>
            <w:tcW w:w="20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60"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165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179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18.49 </w:t>
            </w:r>
          </w:p>
        </w:tc>
        <w:tc>
          <w:tcPr>
            <w:tcW w:w="196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5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460"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5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9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62"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25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77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172"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6232"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172"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职能：组织群众文化活动，进行文化宣传，组织相关培训以及相关文化产业经营等繁荣群众文化事业。阜康市公共文化体育事业发展服务中心2023年预计完成免费开放国画、书法、红色教育、非物质文化遗产等特色展厅8次，举办百日文化广场文化活动22场次，送文化下乡、进社区、进校园、进企业文艺演出活动65场次，下基层、业余文艺骨干、少儿艺术开展的免费培训15次，通过活动有效保障群众精神文化需求，弘扬传承中华优秀传统文化。</w:t>
            </w:r>
          </w:p>
        </w:tc>
        <w:tc>
          <w:tcPr>
            <w:tcW w:w="6232"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免费开放国画、书法、红色教育、非物质文化遗产等特色展厅8次，举办百日文化广场文化活动22场次，送文化下乡、进社区、进校园、进企业文艺演出活动65场次，下基层、业余文艺骨干、少儿艺术开展的免费培训15次，免费开放任务完成率100%,开展群众文化活动完成率100%,开展各类免费培训及时率100%,通过活动达到有效保障群众精神文化需求，弘扬传承中华优秀传统文化的效益，基层群众及培训人员满意度达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77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202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20" w:hRule="atLeast"/>
        </w:trPr>
        <w:tc>
          <w:tcPr>
            <w:tcW w:w="77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9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98"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免费开放国画、书法、红色教育、非物质文化遗产等特色展厅</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ascii="Arial" w:hAnsi="Arial" w:eastAsia="宋体"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8</w:t>
            </w:r>
            <w:r>
              <w:rPr>
                <w:rFonts w:hint="eastAsia" w:ascii="宋体" w:hAnsi="宋体" w:eastAsia="宋体" w:cs="宋体"/>
                <w:i w:val="0"/>
                <w:iCs w:val="0"/>
                <w:color w:val="000000"/>
                <w:kern w:val="0"/>
                <w:sz w:val="20"/>
                <w:szCs w:val="20"/>
                <w:u w:val="none"/>
                <w:lang w:val="en-US" w:eastAsia="zh-CN" w:bidi="ar"/>
              </w:rPr>
              <w:t>次</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8次</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8次</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2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举办百日文化广场文化活动</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default" w:ascii="Arial" w:hAnsi="Arial" w:eastAsia="宋体"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22</w:t>
            </w:r>
            <w:r>
              <w:rPr>
                <w:rFonts w:hint="eastAsia" w:ascii="宋体" w:hAnsi="宋体" w:eastAsia="宋体" w:cs="宋体"/>
                <w:i w:val="0"/>
                <w:iCs w:val="0"/>
                <w:color w:val="000000"/>
                <w:kern w:val="0"/>
                <w:sz w:val="20"/>
                <w:szCs w:val="20"/>
                <w:u w:val="none"/>
                <w:lang w:val="en-US" w:eastAsia="zh-CN" w:bidi="ar"/>
              </w:rPr>
              <w:t>场次</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22场次</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22场次</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6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送文化下乡、进社区、进校园、进企业文艺演出活动</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default" w:ascii="Arial" w:hAnsi="Arial" w:eastAsia="宋体"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65</w:t>
            </w:r>
            <w:r>
              <w:rPr>
                <w:rFonts w:hint="eastAsia" w:ascii="宋体" w:hAnsi="宋体" w:eastAsia="宋体" w:cs="宋体"/>
                <w:i w:val="0"/>
                <w:iCs w:val="0"/>
                <w:color w:val="000000"/>
                <w:kern w:val="0"/>
                <w:sz w:val="20"/>
                <w:szCs w:val="20"/>
                <w:u w:val="none"/>
                <w:lang w:val="en-US" w:eastAsia="zh-CN" w:bidi="ar"/>
              </w:rPr>
              <w:t>场次</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65场次</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65场次</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4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下基层、业余文艺骨干、少儿艺术开展的免费培训</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default" w:ascii="Arial" w:hAnsi="Arial" w:eastAsia="宋体"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15</w:t>
            </w:r>
            <w:r>
              <w:rPr>
                <w:rFonts w:hint="eastAsia" w:ascii="宋体" w:hAnsi="宋体" w:eastAsia="宋体" w:cs="宋体"/>
                <w:i w:val="0"/>
                <w:iCs w:val="0"/>
                <w:color w:val="000000"/>
                <w:kern w:val="0"/>
                <w:sz w:val="20"/>
                <w:szCs w:val="20"/>
                <w:u w:val="none"/>
                <w:lang w:val="en-US" w:eastAsia="zh-CN" w:bidi="ar"/>
              </w:rPr>
              <w:t>次</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15次</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15次</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免费开放任务完成率</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开展群众文化活动完成率</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免费开放时间</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工作计划</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开展各类免费培训及时率</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工作计划</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8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2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4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保障群众精神文化需求</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弘扬传承中华优秀传统文化</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0" w:hRule="atLeast"/>
        </w:trPr>
        <w:tc>
          <w:tcPr>
            <w:tcW w:w="770"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9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7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基层群众及培训人员满意度</w:t>
            </w:r>
          </w:p>
        </w:tc>
        <w:tc>
          <w:tcPr>
            <w:tcW w:w="105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2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2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按照满意度赋分</w:t>
            </w:r>
          </w:p>
        </w:tc>
        <w:tc>
          <w:tcPr>
            <w:tcW w:w="100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6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6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60" w:hRule="atLeast"/>
        </w:trPr>
        <w:tc>
          <w:tcPr>
            <w:tcW w:w="3430" w:type="dxa"/>
            <w:gridSpan w:val="4"/>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5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8"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829"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899"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6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6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100</w:t>
            </w:r>
          </w:p>
        </w:tc>
        <w:tc>
          <w:tcPr>
            <w:tcW w:w="202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ind w:left="-560" w:leftChars="-200" w:firstLine="0" w:firstLineChars="0"/>
        <w:rPr>
          <w:rFonts w:hint="default"/>
          <w:color w:val="auto"/>
          <w:sz w:val="32"/>
          <w:szCs w:val="32"/>
          <w:highlight w:val="none"/>
          <w:lang w:val="en-US" w:eastAsia="zh-CN"/>
        </w:rPr>
      </w:pPr>
    </w:p>
    <w:p>
      <w:pPr>
        <w:pStyle w:val="10"/>
        <w:rPr>
          <w:rFonts w:hint="default"/>
          <w:color w:val="auto"/>
          <w:highlight w:val="none"/>
          <w:lang w:val="en-US" w:eastAsia="zh-CN"/>
        </w:rPr>
        <w:sectPr>
          <w:pgSz w:w="16838" w:h="11906" w:orient="landscape"/>
          <w:pgMar w:top="1803" w:right="1440" w:bottom="1803" w:left="1440" w:header="737" w:footer="850" w:gutter="0"/>
          <w:pgBorders>
            <w:top w:val="none" w:sz="0" w:space="0"/>
            <w:left w:val="none" w:sz="0" w:space="0"/>
            <w:bottom w:val="none" w:sz="0" w:space="0"/>
            <w:right w:val="none" w:sz="0" w:space="0"/>
          </w:pgBorders>
          <w:pgNumType w:fmt="decimal" w:start="1"/>
          <w:cols w:space="0" w:num="1"/>
          <w:rtlGutter w:val="0"/>
          <w:docGrid w:type="lines" w:linePitch="415" w:charSpace="0"/>
        </w:sectPr>
      </w:pPr>
    </w:p>
    <w:p>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5"/>
    </w:p>
    <w:tbl>
      <w:tblPr>
        <w:tblStyle w:val="11"/>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1495"/>
        <w:gridCol w:w="2168"/>
        <w:gridCol w:w="7119"/>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1495"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68"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119"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11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11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11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495"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1495"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77"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数量</w:t>
            </w:r>
            <w:r>
              <w:rPr>
                <w:rFonts w:hint="eastAsia" w:cs="宋体"/>
                <w:color w:val="auto"/>
                <w:kern w:val="0"/>
                <w:sz w:val="22"/>
                <w:szCs w:val="22"/>
                <w:highlight w:val="none"/>
                <w:lang w:eastAsia="zh-CN"/>
              </w:rPr>
              <w:t>指标</w:t>
            </w:r>
          </w:p>
        </w:tc>
        <w:tc>
          <w:tcPr>
            <w:tcW w:w="1495"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免费开放国画、书法、红色教育、非物质文化遗产等特色展厅</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举办百日文化广场文化活动</w:t>
            </w:r>
          </w:p>
        </w:tc>
        <w:tc>
          <w:tcPr>
            <w:tcW w:w="216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送文化下乡、进社区、进校园、进企业文艺演出活动</w:t>
            </w:r>
          </w:p>
        </w:tc>
        <w:tc>
          <w:tcPr>
            <w:tcW w:w="216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下基层、业余文艺骨干、少儿艺术开展的免费培训</w:t>
            </w:r>
          </w:p>
        </w:tc>
        <w:tc>
          <w:tcPr>
            <w:tcW w:w="216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质量</w:t>
            </w:r>
            <w:r>
              <w:rPr>
                <w:rFonts w:hint="eastAsia" w:cs="宋体"/>
                <w:color w:val="auto"/>
                <w:kern w:val="0"/>
                <w:sz w:val="22"/>
                <w:szCs w:val="22"/>
                <w:highlight w:val="none"/>
                <w:lang w:eastAsia="zh-CN"/>
              </w:rPr>
              <w:t>指标</w:t>
            </w:r>
          </w:p>
        </w:tc>
        <w:tc>
          <w:tcPr>
            <w:tcW w:w="1495"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免费开放任务完成率</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开展群众文化活动完成率</w:t>
            </w:r>
          </w:p>
        </w:tc>
        <w:tc>
          <w:tcPr>
            <w:tcW w:w="216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时效</w:t>
            </w:r>
            <w:r>
              <w:rPr>
                <w:rFonts w:hint="eastAsia" w:cs="宋体"/>
                <w:color w:val="auto"/>
                <w:kern w:val="0"/>
                <w:sz w:val="22"/>
                <w:szCs w:val="22"/>
                <w:highlight w:val="none"/>
                <w:lang w:eastAsia="zh-CN"/>
              </w:rPr>
              <w:t>指标</w:t>
            </w:r>
          </w:p>
        </w:tc>
        <w:tc>
          <w:tcPr>
            <w:tcW w:w="1495"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免费开放时间</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开展各类免费培训及时率</w:t>
            </w:r>
          </w:p>
        </w:tc>
        <w:tc>
          <w:tcPr>
            <w:tcW w:w="2168"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　</w:t>
            </w:r>
          </w:p>
        </w:tc>
        <w:tc>
          <w:tcPr>
            <w:tcW w:w="1495"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保障群众精神文化需求</w:t>
            </w:r>
          </w:p>
        </w:tc>
        <w:tc>
          <w:tcPr>
            <w:tcW w:w="2168" w:type="dxa"/>
            <w:shd w:val="clear" w:color="auto" w:fill="auto"/>
            <w:noWrap w:val="0"/>
            <w:vAlign w:val="center"/>
          </w:tcPr>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119"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restart"/>
            <w:shd w:val="clear" w:color="auto" w:fill="auto"/>
            <w:noWrap w:val="0"/>
            <w:vAlign w:val="center"/>
          </w:tcPr>
          <w:p>
            <w:pPr>
              <w:widowControl/>
              <w:tabs>
                <w:tab w:val="left" w:pos="506"/>
              </w:tabs>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eastAsia="zh-CN"/>
              </w:rPr>
              <w:t>效益</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w:t>
            </w:r>
          </w:p>
        </w:tc>
        <w:tc>
          <w:tcPr>
            <w:tcW w:w="1495"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弘扬传承中华优秀传统文化</w:t>
            </w:r>
          </w:p>
        </w:tc>
        <w:tc>
          <w:tcPr>
            <w:tcW w:w="2168"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项目实施所产生的效益。</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满意度指标</w:t>
            </w:r>
          </w:p>
        </w:tc>
        <w:tc>
          <w:tcPr>
            <w:tcW w:w="1495"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基层群众及培训人员满意度</w:t>
            </w:r>
          </w:p>
        </w:tc>
        <w:tc>
          <w:tcPr>
            <w:tcW w:w="2168"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119"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7" w:hRule="atLeast"/>
          <w:jc w:val="center"/>
        </w:trPr>
        <w:tc>
          <w:tcPr>
            <w:tcW w:w="5251"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1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98.7</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3" w:right="1440" w:bottom="1803" w:left="1440" w:header="737" w:footer="850" w:gutter="0"/>
      <w:pgBorders>
        <w:top w:val="none" w:sz="0" w:space="0"/>
        <w:left w:val="none" w:sz="0" w:space="0"/>
        <w:bottom w:val="none" w:sz="0" w:space="0"/>
        <w:right w:val="none" w:sz="0" w:space="0"/>
      </w:pgBorders>
      <w:pgNumType w:fmt="decimal"/>
      <w:cols w:space="0" w:num="1"/>
      <w:rtlGutter w:val="0"/>
      <w:docGrid w:type="lines" w:linePitch="4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20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45AD1"/>
    <w:rsid w:val="04D12EE4"/>
    <w:rsid w:val="04D63993"/>
    <w:rsid w:val="07890F4F"/>
    <w:rsid w:val="07C35693"/>
    <w:rsid w:val="080C71DB"/>
    <w:rsid w:val="08892439"/>
    <w:rsid w:val="08EB30F3"/>
    <w:rsid w:val="09237408"/>
    <w:rsid w:val="0946032A"/>
    <w:rsid w:val="09781BD6"/>
    <w:rsid w:val="09F359DF"/>
    <w:rsid w:val="0A575E65"/>
    <w:rsid w:val="0A9E5F43"/>
    <w:rsid w:val="0ACA0AB6"/>
    <w:rsid w:val="0B550CF8"/>
    <w:rsid w:val="0BB93035"/>
    <w:rsid w:val="0C032502"/>
    <w:rsid w:val="0C27698C"/>
    <w:rsid w:val="0D4452F3"/>
    <w:rsid w:val="0F5E5042"/>
    <w:rsid w:val="0FDF5034"/>
    <w:rsid w:val="0FE95707"/>
    <w:rsid w:val="10510571"/>
    <w:rsid w:val="10787A20"/>
    <w:rsid w:val="108672DE"/>
    <w:rsid w:val="10EC685A"/>
    <w:rsid w:val="11FA6155"/>
    <w:rsid w:val="12CF0947"/>
    <w:rsid w:val="12F1313F"/>
    <w:rsid w:val="136C678E"/>
    <w:rsid w:val="13EB2FF5"/>
    <w:rsid w:val="15A46B04"/>
    <w:rsid w:val="161B48EC"/>
    <w:rsid w:val="165825BC"/>
    <w:rsid w:val="16BC5D73"/>
    <w:rsid w:val="176F36D7"/>
    <w:rsid w:val="1795226D"/>
    <w:rsid w:val="18456B1E"/>
    <w:rsid w:val="18C748B7"/>
    <w:rsid w:val="1C1171C5"/>
    <w:rsid w:val="1D265138"/>
    <w:rsid w:val="1D7B6BCA"/>
    <w:rsid w:val="1DA41A79"/>
    <w:rsid w:val="1DF53469"/>
    <w:rsid w:val="1E2F24F2"/>
    <w:rsid w:val="1E58492F"/>
    <w:rsid w:val="1E5B6757"/>
    <w:rsid w:val="1ED10AC6"/>
    <w:rsid w:val="1F89225F"/>
    <w:rsid w:val="1F900A1F"/>
    <w:rsid w:val="1FC0575D"/>
    <w:rsid w:val="206132C7"/>
    <w:rsid w:val="215B2665"/>
    <w:rsid w:val="21B00C1D"/>
    <w:rsid w:val="22347461"/>
    <w:rsid w:val="23031BEB"/>
    <w:rsid w:val="23917691"/>
    <w:rsid w:val="23A75A11"/>
    <w:rsid w:val="244D65B8"/>
    <w:rsid w:val="245E1E24"/>
    <w:rsid w:val="25AD5E5D"/>
    <w:rsid w:val="2732478D"/>
    <w:rsid w:val="27661469"/>
    <w:rsid w:val="27667499"/>
    <w:rsid w:val="27900EAD"/>
    <w:rsid w:val="279B538A"/>
    <w:rsid w:val="280B2A12"/>
    <w:rsid w:val="286F545C"/>
    <w:rsid w:val="292602EA"/>
    <w:rsid w:val="29314FBC"/>
    <w:rsid w:val="29537FBD"/>
    <w:rsid w:val="2AA131BA"/>
    <w:rsid w:val="2C024B86"/>
    <w:rsid w:val="2C8C39F6"/>
    <w:rsid w:val="2C927671"/>
    <w:rsid w:val="2D7C5CD6"/>
    <w:rsid w:val="2E483E7E"/>
    <w:rsid w:val="2E690493"/>
    <w:rsid w:val="2E9854BD"/>
    <w:rsid w:val="2EF44200"/>
    <w:rsid w:val="2F0D407F"/>
    <w:rsid w:val="2F454B19"/>
    <w:rsid w:val="30FF2A88"/>
    <w:rsid w:val="310224D9"/>
    <w:rsid w:val="31B4621C"/>
    <w:rsid w:val="31E3230A"/>
    <w:rsid w:val="325B6344"/>
    <w:rsid w:val="330957E0"/>
    <w:rsid w:val="33356F64"/>
    <w:rsid w:val="33944516"/>
    <w:rsid w:val="34B62907"/>
    <w:rsid w:val="3538296D"/>
    <w:rsid w:val="36BD137C"/>
    <w:rsid w:val="385D37E7"/>
    <w:rsid w:val="38782EDD"/>
    <w:rsid w:val="3A4076C3"/>
    <w:rsid w:val="3B337E5E"/>
    <w:rsid w:val="3B42664A"/>
    <w:rsid w:val="3D836A4E"/>
    <w:rsid w:val="3E463CFB"/>
    <w:rsid w:val="3EA37E97"/>
    <w:rsid w:val="3EA41760"/>
    <w:rsid w:val="3FBE0BC5"/>
    <w:rsid w:val="4048103A"/>
    <w:rsid w:val="40736643"/>
    <w:rsid w:val="40D24A7A"/>
    <w:rsid w:val="42621029"/>
    <w:rsid w:val="435241E2"/>
    <w:rsid w:val="43975C51"/>
    <w:rsid w:val="439E3FA7"/>
    <w:rsid w:val="44B32266"/>
    <w:rsid w:val="44FC64F4"/>
    <w:rsid w:val="467F4585"/>
    <w:rsid w:val="470628CB"/>
    <w:rsid w:val="47555BD4"/>
    <w:rsid w:val="47E96399"/>
    <w:rsid w:val="48E12B50"/>
    <w:rsid w:val="499441BE"/>
    <w:rsid w:val="499A6C1C"/>
    <w:rsid w:val="4A2138F0"/>
    <w:rsid w:val="4A583887"/>
    <w:rsid w:val="4B9F6E02"/>
    <w:rsid w:val="4C89637B"/>
    <w:rsid w:val="4D5679DC"/>
    <w:rsid w:val="4D7C5695"/>
    <w:rsid w:val="4E6E48A8"/>
    <w:rsid w:val="4EEC036B"/>
    <w:rsid w:val="4FFF435B"/>
    <w:rsid w:val="501D2673"/>
    <w:rsid w:val="50C80BF1"/>
    <w:rsid w:val="51852833"/>
    <w:rsid w:val="518A4CC9"/>
    <w:rsid w:val="52F11AC8"/>
    <w:rsid w:val="5316218D"/>
    <w:rsid w:val="534F49D9"/>
    <w:rsid w:val="53555F0F"/>
    <w:rsid w:val="535D23D5"/>
    <w:rsid w:val="54297BF9"/>
    <w:rsid w:val="55185BC7"/>
    <w:rsid w:val="559317CE"/>
    <w:rsid w:val="55C67DF5"/>
    <w:rsid w:val="564927D4"/>
    <w:rsid w:val="56F4341A"/>
    <w:rsid w:val="575A7321"/>
    <w:rsid w:val="580C3AB9"/>
    <w:rsid w:val="583C7AE0"/>
    <w:rsid w:val="586C1E9A"/>
    <w:rsid w:val="586E0800"/>
    <w:rsid w:val="59216F96"/>
    <w:rsid w:val="598C4145"/>
    <w:rsid w:val="59957D1B"/>
    <w:rsid w:val="59AF255A"/>
    <w:rsid w:val="59D4294E"/>
    <w:rsid w:val="5B634312"/>
    <w:rsid w:val="5B9D2CCD"/>
    <w:rsid w:val="5B9E71EA"/>
    <w:rsid w:val="5D1A7137"/>
    <w:rsid w:val="5E226FBC"/>
    <w:rsid w:val="5FE72BD2"/>
    <w:rsid w:val="60120613"/>
    <w:rsid w:val="618D5292"/>
    <w:rsid w:val="622E78FA"/>
    <w:rsid w:val="62A3501A"/>
    <w:rsid w:val="63343F70"/>
    <w:rsid w:val="64296E1C"/>
    <w:rsid w:val="649E64A2"/>
    <w:rsid w:val="65E5270A"/>
    <w:rsid w:val="663D3C54"/>
    <w:rsid w:val="66482160"/>
    <w:rsid w:val="66862C89"/>
    <w:rsid w:val="66BB486D"/>
    <w:rsid w:val="67394C7D"/>
    <w:rsid w:val="68126B38"/>
    <w:rsid w:val="68291A1A"/>
    <w:rsid w:val="68352BB8"/>
    <w:rsid w:val="691B1594"/>
    <w:rsid w:val="693A016B"/>
    <w:rsid w:val="6A17429C"/>
    <w:rsid w:val="6A567EA3"/>
    <w:rsid w:val="6B4B4368"/>
    <w:rsid w:val="6B79100E"/>
    <w:rsid w:val="6C6A0D3C"/>
    <w:rsid w:val="6C844C00"/>
    <w:rsid w:val="6E10212C"/>
    <w:rsid w:val="6E43561A"/>
    <w:rsid w:val="6E557973"/>
    <w:rsid w:val="6E701A86"/>
    <w:rsid w:val="6E9568DB"/>
    <w:rsid w:val="6F0D6C22"/>
    <w:rsid w:val="6F47657F"/>
    <w:rsid w:val="6FAF23D9"/>
    <w:rsid w:val="6FED1C05"/>
    <w:rsid w:val="70635CF6"/>
    <w:rsid w:val="70670707"/>
    <w:rsid w:val="7116755D"/>
    <w:rsid w:val="711C252B"/>
    <w:rsid w:val="71406F01"/>
    <w:rsid w:val="720E3691"/>
    <w:rsid w:val="723311BB"/>
    <w:rsid w:val="724E244C"/>
    <w:rsid w:val="7298429A"/>
    <w:rsid w:val="72DA6946"/>
    <w:rsid w:val="732764B3"/>
    <w:rsid w:val="74026044"/>
    <w:rsid w:val="74746410"/>
    <w:rsid w:val="75457920"/>
    <w:rsid w:val="75E5007C"/>
    <w:rsid w:val="75FD3172"/>
    <w:rsid w:val="77813724"/>
    <w:rsid w:val="77861774"/>
    <w:rsid w:val="77E42D6F"/>
    <w:rsid w:val="78F31435"/>
    <w:rsid w:val="79300B45"/>
    <w:rsid w:val="794D3E18"/>
    <w:rsid w:val="79584D11"/>
    <w:rsid w:val="79F3729A"/>
    <w:rsid w:val="7A880722"/>
    <w:rsid w:val="7ACB0498"/>
    <w:rsid w:val="7AED0B4D"/>
    <w:rsid w:val="7C1E4487"/>
    <w:rsid w:val="7C215E02"/>
    <w:rsid w:val="7CDC065D"/>
    <w:rsid w:val="7CF23764"/>
    <w:rsid w:val="7D220AB6"/>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qFormat/>
    <w:uiPriority w:val="0"/>
    <w:rPr>
      <w:rFonts w:ascii="Arial" w:hAnsi="Arial" w:eastAsia="楷体"/>
      <w:b/>
      <w:sz w:val="3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 w:type="character" w:customStyle="1" w:styleId="18">
    <w:name w:val="font61"/>
    <w:basedOn w:val="12"/>
    <w:qFormat/>
    <w:uiPriority w:val="0"/>
    <w:rPr>
      <w:rFonts w:hint="default" w:ascii="Arial" w:hAnsi="Arial" w:cs="Arial"/>
      <w:color w:val="000000"/>
      <w:sz w:val="20"/>
      <w:szCs w:val="20"/>
      <w:u w:val="none"/>
    </w:rPr>
  </w:style>
  <w:style w:type="character" w:customStyle="1" w:styleId="19">
    <w:name w:val="font4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14093</Words>
  <Characters>14798</Characters>
  <Lines>0</Lines>
  <Paragraphs>0</Paragraphs>
  <TotalTime>3</TotalTime>
  <ScaleCrop>false</ScaleCrop>
  <LinksUpToDate>false</LinksUpToDate>
  <CharactersWithSpaces>14876</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2025-02-06T05:16:48Z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498426A30F5B4067A4F66E2DFB628682_13</vt:lpwstr>
  </property>
</Properties>
</file>