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pPr>
      <w:bookmarkStart w:id="0" w:name="_Toc15679"/>
      <w:r>
        <w:rPr>
          <w:rFonts w:hint="eastAsia" w:cs="宋体"/>
          <w:b/>
          <w:bCs/>
          <w:color w:val="auto"/>
          <w:sz w:val="40"/>
          <w:szCs w:val="40"/>
          <w:highlight w:val="none"/>
          <w:shd w:val="clear" w:color="auto" w:fill="auto"/>
          <w:lang w:val="en-US" w:eastAsia="zh-CN"/>
        </w:rPr>
        <w:t>自主就业退役士兵一次性经济补助</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t>支出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pPr>
      <w:r>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t>绩效评价报告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自主就业退役士兵一次性经济补助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阜康市退役军人事务局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阜康市退役军人事务局</w:t>
      </w:r>
    </w:p>
    <w:p>
      <w:pPr>
        <w:pStyle w:val="2"/>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pPr>
        <w:rPr>
          <w:rFonts w:hint="eastAsia"/>
          <w:lang w:val="en-US" w:eastAsia="zh-CN"/>
        </w:rPr>
      </w:pPr>
      <w:r>
        <w:rPr>
          <w:rFonts w:hint="eastAsia"/>
          <w:lang w:val="en-US" w:eastAsia="zh-CN"/>
        </w:rPr>
        <w:br w:type="page"/>
      </w:r>
    </w:p>
    <w:sdt>
      <w:sdtPr>
        <w:rPr>
          <w:rFonts w:ascii="宋体" w:hAnsi="宋体" w:eastAsia="宋体" w:cs="宋体"/>
          <w:b/>
          <w:bCs/>
          <w:kern w:val="2"/>
          <w:sz w:val="28"/>
          <w:szCs w:val="40"/>
          <w:lang w:val="en-US" w:eastAsia="zh-CN" w:bidi="ar-SA"/>
        </w:rPr>
        <w:id w:val="147474046"/>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sz w:val="40"/>
              <w:szCs w:val="40"/>
            </w:rPr>
          </w:pPr>
          <w:r>
            <w:rPr>
              <w:rFonts w:ascii="宋体" w:hAnsi="宋体" w:eastAsia="宋体"/>
              <w:b/>
              <w:bCs/>
              <w:sz w:val="40"/>
              <w:szCs w:val="40"/>
            </w:rPr>
            <w:t>目录</w:t>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TOC \o "1-3" \h \u </w:instrText>
          </w:r>
          <w:r>
            <w:rPr>
              <w:rFonts w:hint="eastAsia"/>
              <w:sz w:val="28"/>
              <w:szCs w:val="28"/>
              <w:lang w:val="en-US" w:eastAsia="zh-CN"/>
            </w:rPr>
            <w:fldChar w:fldCharType="separate"/>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_Toc17540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一、基本情况</w:t>
          </w:r>
          <w:r>
            <w:rPr>
              <w:b/>
              <w:bCs/>
              <w:sz w:val="28"/>
              <w:szCs w:val="28"/>
            </w:rPr>
            <w:tab/>
          </w:r>
          <w:r>
            <w:rPr>
              <w:b/>
              <w:bCs/>
              <w:sz w:val="28"/>
              <w:szCs w:val="28"/>
            </w:rPr>
            <w:fldChar w:fldCharType="begin"/>
          </w:r>
          <w:r>
            <w:rPr>
              <w:b/>
              <w:bCs/>
              <w:sz w:val="28"/>
              <w:szCs w:val="28"/>
            </w:rPr>
            <w:instrText xml:space="preserve"> PAGEREF _Toc17540 \h </w:instrText>
          </w:r>
          <w:r>
            <w:rPr>
              <w:b/>
              <w:bCs/>
              <w:sz w:val="28"/>
              <w:szCs w:val="28"/>
            </w:rPr>
            <w:fldChar w:fldCharType="separate"/>
          </w:r>
          <w:r>
            <w:rPr>
              <w:b/>
              <w:bCs/>
              <w:sz w:val="28"/>
              <w:szCs w:val="28"/>
            </w:rPr>
            <w:t>1</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_Toc18966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（一）项目概况</w:t>
          </w:r>
          <w:r>
            <w:rPr>
              <w:sz w:val="28"/>
              <w:szCs w:val="28"/>
            </w:rPr>
            <w:tab/>
          </w:r>
          <w:r>
            <w:rPr>
              <w:sz w:val="28"/>
              <w:szCs w:val="28"/>
            </w:rPr>
            <w:fldChar w:fldCharType="begin"/>
          </w:r>
          <w:r>
            <w:rPr>
              <w:sz w:val="28"/>
              <w:szCs w:val="28"/>
            </w:rPr>
            <w:instrText xml:space="preserve"> PAGEREF _Toc18966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_Toc2879 </w:instrText>
          </w:r>
          <w:r>
            <w:rPr>
              <w:rFonts w:hint="eastAsia"/>
              <w:sz w:val="28"/>
              <w:szCs w:val="28"/>
              <w:lang w:val="en-US" w:eastAsia="zh-CN"/>
            </w:rPr>
            <w:fldChar w:fldCharType="separate"/>
          </w:r>
          <w:r>
            <w:rPr>
              <w:rFonts w:hint="eastAsia" w:ascii="宋体" w:hAnsi="宋体" w:eastAsia="宋体" w:cs="宋体"/>
              <w:sz w:val="28"/>
              <w:szCs w:val="28"/>
              <w:shd w:val="clear" w:fill="auto"/>
            </w:rPr>
            <w:t>（二）</w:t>
          </w:r>
          <w:r>
            <w:rPr>
              <w:rFonts w:hint="eastAsia" w:ascii="宋体" w:hAnsi="宋体" w:eastAsia="宋体" w:cs="宋体"/>
              <w:sz w:val="28"/>
              <w:szCs w:val="28"/>
              <w:highlight w:val="none"/>
              <w:shd w:val="clear" w:color="auto" w:fill="auto"/>
            </w:rPr>
            <w:t>项目绩效目标</w:t>
          </w:r>
          <w:r>
            <w:rPr>
              <w:sz w:val="28"/>
              <w:szCs w:val="28"/>
            </w:rPr>
            <w:tab/>
          </w:r>
          <w:r>
            <w:rPr>
              <w:sz w:val="28"/>
              <w:szCs w:val="28"/>
            </w:rPr>
            <w:fldChar w:fldCharType="begin"/>
          </w:r>
          <w:r>
            <w:rPr>
              <w:sz w:val="28"/>
              <w:szCs w:val="28"/>
            </w:rPr>
            <w:instrText xml:space="preserve"> PAGEREF _Toc2879 \h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_Toc2549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二、绩效评价工作开展情况</w:t>
          </w:r>
          <w:r>
            <w:rPr>
              <w:b/>
              <w:bCs/>
              <w:sz w:val="28"/>
              <w:szCs w:val="28"/>
            </w:rPr>
            <w:tab/>
          </w:r>
          <w:r>
            <w:rPr>
              <w:b/>
              <w:bCs/>
              <w:sz w:val="28"/>
              <w:szCs w:val="28"/>
            </w:rPr>
            <w:fldChar w:fldCharType="begin"/>
          </w:r>
          <w:r>
            <w:rPr>
              <w:b/>
              <w:bCs/>
              <w:sz w:val="28"/>
              <w:szCs w:val="28"/>
            </w:rPr>
            <w:instrText xml:space="preserve"> PAGEREF _Toc2549 \h </w:instrText>
          </w:r>
          <w:r>
            <w:rPr>
              <w:b/>
              <w:bCs/>
              <w:sz w:val="28"/>
              <w:szCs w:val="28"/>
            </w:rPr>
            <w:fldChar w:fldCharType="separate"/>
          </w:r>
          <w:r>
            <w:rPr>
              <w:b/>
              <w:bCs/>
              <w:sz w:val="28"/>
              <w:szCs w:val="28"/>
            </w:rPr>
            <w:t>4</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_Toc21778 </w:instrText>
          </w:r>
          <w:r>
            <w:rPr>
              <w:rFonts w:hint="eastAsia"/>
              <w:sz w:val="28"/>
              <w:szCs w:val="28"/>
              <w:lang w:val="en-US" w:eastAsia="zh-CN"/>
            </w:rPr>
            <w:fldChar w:fldCharType="separate"/>
          </w:r>
          <w:r>
            <w:rPr>
              <w:rFonts w:hint="eastAsia" w:ascii="宋体" w:hAnsi="宋体" w:eastAsia="宋体" w:cs="宋体"/>
              <w:sz w:val="28"/>
              <w:szCs w:val="28"/>
              <w:shd w:val="clear" w:fill="auto"/>
              <w:lang w:eastAsia="zh-CN"/>
            </w:rPr>
            <w:t>（一）</w:t>
          </w:r>
          <w:r>
            <w:rPr>
              <w:rFonts w:hint="eastAsia" w:ascii="宋体" w:hAnsi="宋体" w:eastAsia="宋体" w:cs="宋体"/>
              <w:sz w:val="28"/>
              <w:szCs w:val="28"/>
              <w:highlight w:val="none"/>
              <w:shd w:val="clear" w:color="auto" w:fill="auto"/>
              <w:lang w:eastAsia="zh-CN"/>
            </w:rPr>
            <w:t>绩效评价的目的、对象和范围</w:t>
          </w:r>
          <w:r>
            <w:rPr>
              <w:sz w:val="28"/>
              <w:szCs w:val="28"/>
            </w:rPr>
            <w:tab/>
          </w:r>
          <w:r>
            <w:rPr>
              <w:sz w:val="28"/>
              <w:szCs w:val="28"/>
            </w:rPr>
            <w:fldChar w:fldCharType="begin"/>
          </w:r>
          <w:r>
            <w:rPr>
              <w:sz w:val="28"/>
              <w:szCs w:val="28"/>
            </w:rPr>
            <w:instrText xml:space="preserve"> PAGEREF _Toc21778 \h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_Toc15902 </w:instrText>
          </w:r>
          <w:r>
            <w:rPr>
              <w:rFonts w:hint="eastAsia"/>
              <w:sz w:val="28"/>
              <w:szCs w:val="28"/>
              <w:lang w:val="en-US" w:eastAsia="zh-CN"/>
            </w:rPr>
            <w:fldChar w:fldCharType="separate"/>
          </w:r>
          <w:r>
            <w:rPr>
              <w:rFonts w:hint="eastAsia" w:ascii="宋体" w:hAnsi="宋体" w:eastAsia="宋体" w:cs="宋体"/>
              <w:sz w:val="28"/>
              <w:szCs w:val="28"/>
              <w:shd w:val="clear" w:fill="auto"/>
              <w:lang w:val="en-US" w:eastAsia="zh-CN"/>
            </w:rPr>
            <w:t>（二）</w:t>
          </w:r>
          <w:r>
            <w:rPr>
              <w:rFonts w:hint="eastAsia" w:ascii="宋体" w:hAnsi="宋体" w:eastAsia="宋体" w:cs="宋体"/>
              <w:sz w:val="28"/>
              <w:szCs w:val="28"/>
              <w:highlight w:val="none"/>
              <w:shd w:val="clear" w:color="auto" w:fill="auto"/>
              <w:lang w:val="en-US" w:eastAsia="zh-CN"/>
            </w:rPr>
            <w:t>绩效评价原则、评价指标体系（附表说明）、评价方法、评价标准</w:t>
          </w:r>
          <w:r>
            <w:rPr>
              <w:sz w:val="28"/>
              <w:szCs w:val="28"/>
            </w:rPr>
            <w:tab/>
          </w:r>
          <w:r>
            <w:rPr>
              <w:sz w:val="28"/>
              <w:szCs w:val="28"/>
            </w:rPr>
            <w:fldChar w:fldCharType="begin"/>
          </w:r>
          <w:r>
            <w:rPr>
              <w:sz w:val="28"/>
              <w:szCs w:val="28"/>
            </w:rPr>
            <w:instrText xml:space="preserve"> PAGEREF _Toc15902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_Toc1070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val="en-US" w:eastAsia="zh-CN"/>
            </w:rPr>
            <w:t>（三）绩效评价工作过程</w:t>
          </w:r>
          <w:r>
            <w:rPr>
              <w:sz w:val="28"/>
              <w:szCs w:val="28"/>
            </w:rPr>
            <w:tab/>
          </w:r>
          <w:r>
            <w:rPr>
              <w:sz w:val="28"/>
              <w:szCs w:val="28"/>
            </w:rPr>
            <w:fldChar w:fldCharType="begin"/>
          </w:r>
          <w:r>
            <w:rPr>
              <w:sz w:val="28"/>
              <w:szCs w:val="28"/>
            </w:rPr>
            <w:instrText xml:space="preserve"> PAGEREF _Toc1070 \h </w:instrText>
          </w:r>
          <w:r>
            <w:rPr>
              <w:sz w:val="28"/>
              <w:szCs w:val="28"/>
            </w:rPr>
            <w:fldChar w:fldCharType="separate"/>
          </w:r>
          <w:r>
            <w:rPr>
              <w:sz w:val="28"/>
              <w:szCs w:val="28"/>
            </w:rPr>
            <w:t>9</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_Toc1100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三、</w:t>
          </w:r>
          <w:r>
            <w:rPr>
              <w:rFonts w:hint="eastAsia" w:ascii="宋体" w:hAnsi="宋体" w:eastAsia="宋体" w:cs="宋体"/>
              <w:b/>
              <w:bCs/>
              <w:sz w:val="28"/>
              <w:szCs w:val="28"/>
              <w:highlight w:val="none"/>
              <w:shd w:val="clear" w:color="auto" w:fill="auto"/>
            </w:rPr>
            <w:t>综合评价情况及评价结论</w:t>
          </w:r>
          <w:r>
            <w:rPr>
              <w:b/>
              <w:bCs/>
              <w:sz w:val="28"/>
              <w:szCs w:val="28"/>
            </w:rPr>
            <w:tab/>
          </w:r>
          <w:r>
            <w:rPr>
              <w:b/>
              <w:bCs/>
              <w:sz w:val="28"/>
              <w:szCs w:val="28"/>
            </w:rPr>
            <w:fldChar w:fldCharType="begin"/>
          </w:r>
          <w:r>
            <w:rPr>
              <w:b/>
              <w:bCs/>
              <w:sz w:val="28"/>
              <w:szCs w:val="28"/>
            </w:rPr>
            <w:instrText xml:space="preserve"> PAGEREF _Toc1100 \h </w:instrText>
          </w:r>
          <w:r>
            <w:rPr>
              <w:b/>
              <w:bCs/>
              <w:sz w:val="28"/>
              <w:szCs w:val="28"/>
            </w:rPr>
            <w:fldChar w:fldCharType="separate"/>
          </w:r>
          <w:r>
            <w:rPr>
              <w:b/>
              <w:bCs/>
              <w:sz w:val="28"/>
              <w:szCs w:val="28"/>
            </w:rPr>
            <w:t>11</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_Toc9421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四、绩效评价指标分析</w:t>
          </w:r>
          <w:r>
            <w:rPr>
              <w:b/>
              <w:bCs/>
              <w:sz w:val="28"/>
              <w:szCs w:val="28"/>
            </w:rPr>
            <w:tab/>
          </w:r>
          <w:r>
            <w:rPr>
              <w:b/>
              <w:bCs/>
              <w:sz w:val="28"/>
              <w:szCs w:val="28"/>
            </w:rPr>
            <w:fldChar w:fldCharType="begin"/>
          </w:r>
          <w:r>
            <w:rPr>
              <w:b/>
              <w:bCs/>
              <w:sz w:val="28"/>
              <w:szCs w:val="28"/>
            </w:rPr>
            <w:instrText xml:space="preserve"> PAGEREF _Toc9421 \h </w:instrText>
          </w:r>
          <w:r>
            <w:rPr>
              <w:b/>
              <w:bCs/>
              <w:sz w:val="28"/>
              <w:szCs w:val="28"/>
            </w:rPr>
            <w:fldChar w:fldCharType="separate"/>
          </w:r>
          <w:r>
            <w:rPr>
              <w:b/>
              <w:bCs/>
              <w:sz w:val="28"/>
              <w:szCs w:val="28"/>
            </w:rPr>
            <w:t>12</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_Toc15355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（一）项目决策情况</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12</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_Toc11361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二</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项目过程情况</w:t>
          </w:r>
          <w:r>
            <w:rPr>
              <w:sz w:val="28"/>
              <w:szCs w:val="28"/>
            </w:rPr>
            <w:tab/>
          </w:r>
          <w:r>
            <w:rPr>
              <w:sz w:val="28"/>
              <w:szCs w:val="28"/>
            </w:rPr>
            <w:fldChar w:fldCharType="begin"/>
          </w:r>
          <w:r>
            <w:rPr>
              <w:sz w:val="28"/>
              <w:szCs w:val="28"/>
            </w:rPr>
            <w:instrText xml:space="preserve"> PAGEREF _Toc11361 \h </w:instrText>
          </w:r>
          <w:r>
            <w:rPr>
              <w:sz w:val="28"/>
              <w:szCs w:val="28"/>
            </w:rPr>
            <w:fldChar w:fldCharType="separate"/>
          </w:r>
          <w:r>
            <w:rPr>
              <w:sz w:val="28"/>
              <w:szCs w:val="28"/>
            </w:rPr>
            <w:t>14</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_Toc16268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三</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项目产出情况</w:t>
          </w:r>
          <w:r>
            <w:rPr>
              <w:sz w:val="28"/>
              <w:szCs w:val="28"/>
            </w:rPr>
            <w:tab/>
          </w:r>
          <w:r>
            <w:rPr>
              <w:sz w:val="28"/>
              <w:szCs w:val="28"/>
            </w:rPr>
            <w:fldChar w:fldCharType="begin"/>
          </w:r>
          <w:r>
            <w:rPr>
              <w:sz w:val="28"/>
              <w:szCs w:val="28"/>
            </w:rPr>
            <w:instrText xml:space="preserve"> PAGEREF _Toc16268 \h </w:instrText>
          </w:r>
          <w:r>
            <w:rPr>
              <w:sz w:val="28"/>
              <w:szCs w:val="28"/>
            </w:rPr>
            <w:fldChar w:fldCharType="separate"/>
          </w:r>
          <w:r>
            <w:rPr>
              <w:sz w:val="28"/>
              <w:szCs w:val="28"/>
            </w:rPr>
            <w:t>16</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_Toc18446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四</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项目效益情况</w:t>
          </w:r>
          <w:r>
            <w:rPr>
              <w:sz w:val="28"/>
              <w:szCs w:val="28"/>
            </w:rPr>
            <w:tab/>
          </w:r>
          <w:r>
            <w:rPr>
              <w:sz w:val="28"/>
              <w:szCs w:val="28"/>
            </w:rPr>
            <w:fldChar w:fldCharType="begin"/>
          </w:r>
          <w:r>
            <w:rPr>
              <w:sz w:val="28"/>
              <w:szCs w:val="28"/>
            </w:rPr>
            <w:instrText xml:space="preserve"> PAGEREF _Toc18446 \h </w:instrText>
          </w:r>
          <w:r>
            <w:rPr>
              <w:sz w:val="28"/>
              <w:szCs w:val="28"/>
            </w:rPr>
            <w:fldChar w:fldCharType="separate"/>
          </w:r>
          <w:r>
            <w:rPr>
              <w:sz w:val="28"/>
              <w:szCs w:val="28"/>
            </w:rPr>
            <w:t>17</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_Toc19962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五、预算执行进度与指标偏差</w:t>
          </w:r>
          <w:r>
            <w:rPr>
              <w:b/>
              <w:bCs/>
              <w:sz w:val="28"/>
              <w:szCs w:val="28"/>
            </w:rPr>
            <w:tab/>
          </w:r>
          <w:r>
            <w:rPr>
              <w:b/>
              <w:bCs/>
              <w:sz w:val="28"/>
              <w:szCs w:val="28"/>
            </w:rPr>
            <w:fldChar w:fldCharType="begin"/>
          </w:r>
          <w:r>
            <w:rPr>
              <w:b/>
              <w:bCs/>
              <w:sz w:val="28"/>
              <w:szCs w:val="28"/>
            </w:rPr>
            <w:instrText xml:space="preserve"> PAGEREF _Toc19962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_Toc29934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六、主要经验及做法、存在的问题及原因分析</w:t>
          </w:r>
          <w:r>
            <w:rPr>
              <w:b/>
              <w:bCs/>
              <w:sz w:val="28"/>
              <w:szCs w:val="28"/>
            </w:rPr>
            <w:tab/>
          </w:r>
          <w:r>
            <w:rPr>
              <w:b/>
              <w:bCs/>
              <w:sz w:val="28"/>
              <w:szCs w:val="28"/>
            </w:rPr>
            <w:fldChar w:fldCharType="begin"/>
          </w:r>
          <w:r>
            <w:rPr>
              <w:b/>
              <w:bCs/>
              <w:sz w:val="28"/>
              <w:szCs w:val="28"/>
            </w:rPr>
            <w:instrText xml:space="preserve"> PAGEREF _Toc29934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_Toc13160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一</w:t>
          </w:r>
          <w:r>
            <w:rPr>
              <w:rFonts w:hint="eastAsia"/>
              <w:bCs/>
              <w:sz w:val="28"/>
              <w:szCs w:val="28"/>
              <w:lang w:eastAsia="zh-CN"/>
            </w:rPr>
            <w:t>）</w:t>
          </w:r>
          <w:r>
            <w:rPr>
              <w:rFonts w:hint="eastAsia"/>
              <w:bCs/>
              <w:sz w:val="28"/>
              <w:szCs w:val="28"/>
            </w:rPr>
            <w:t>主要经验及做法</w:t>
          </w:r>
          <w:r>
            <w:rPr>
              <w:sz w:val="28"/>
              <w:szCs w:val="28"/>
            </w:rPr>
            <w:tab/>
          </w:r>
          <w:r>
            <w:rPr>
              <w:sz w:val="28"/>
              <w:szCs w:val="28"/>
            </w:rPr>
            <w:fldChar w:fldCharType="begin"/>
          </w:r>
          <w:r>
            <w:rPr>
              <w:sz w:val="28"/>
              <w:szCs w:val="28"/>
            </w:rPr>
            <w:instrText xml:space="preserve"> PAGEREF _Toc13160 \h </w:instrText>
          </w:r>
          <w:r>
            <w:rPr>
              <w:sz w:val="28"/>
              <w:szCs w:val="28"/>
            </w:rPr>
            <w:fldChar w:fldCharType="separate"/>
          </w:r>
          <w:r>
            <w:rPr>
              <w:sz w:val="28"/>
              <w:szCs w:val="28"/>
            </w:rPr>
            <w:t>19</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_Toc9582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二</w:t>
          </w:r>
          <w:r>
            <w:rPr>
              <w:rFonts w:hint="eastAsia"/>
              <w:bCs/>
              <w:sz w:val="28"/>
              <w:szCs w:val="28"/>
              <w:lang w:eastAsia="zh-CN"/>
            </w:rPr>
            <w:t>）</w:t>
          </w:r>
          <w:r>
            <w:rPr>
              <w:rFonts w:hint="eastAsia"/>
              <w:bCs/>
              <w:sz w:val="28"/>
              <w:szCs w:val="28"/>
            </w:rPr>
            <w:t>存在的问题及原因分析</w:t>
          </w:r>
          <w:r>
            <w:rPr>
              <w:sz w:val="28"/>
              <w:szCs w:val="28"/>
            </w:rPr>
            <w:tab/>
          </w:r>
          <w:r>
            <w:rPr>
              <w:sz w:val="28"/>
              <w:szCs w:val="28"/>
            </w:rPr>
            <w:fldChar w:fldCharType="begin"/>
          </w:r>
          <w:r>
            <w:rPr>
              <w:sz w:val="28"/>
              <w:szCs w:val="28"/>
            </w:rPr>
            <w:instrText xml:space="preserve"> PAGEREF _Toc9582 \h </w:instrText>
          </w:r>
          <w:r>
            <w:rPr>
              <w:sz w:val="28"/>
              <w:szCs w:val="28"/>
            </w:rPr>
            <w:fldChar w:fldCharType="separate"/>
          </w:r>
          <w:r>
            <w:rPr>
              <w:sz w:val="28"/>
              <w:szCs w:val="28"/>
            </w:rPr>
            <w:t>19</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_Toc5230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七、有关建议</w:t>
          </w:r>
          <w:r>
            <w:rPr>
              <w:b/>
              <w:bCs/>
              <w:sz w:val="28"/>
              <w:szCs w:val="28"/>
            </w:rPr>
            <w:tab/>
          </w:r>
          <w:r>
            <w:rPr>
              <w:b/>
              <w:bCs/>
              <w:sz w:val="28"/>
              <w:szCs w:val="28"/>
            </w:rPr>
            <w:fldChar w:fldCharType="begin"/>
          </w:r>
          <w:r>
            <w:rPr>
              <w:b/>
              <w:bCs/>
              <w:sz w:val="28"/>
              <w:szCs w:val="28"/>
            </w:rPr>
            <w:instrText xml:space="preserve"> PAGEREF _Toc5230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_Toc15618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八、其他需要说明的问题</w:t>
          </w:r>
          <w:r>
            <w:rPr>
              <w:b/>
              <w:bCs/>
              <w:sz w:val="28"/>
              <w:szCs w:val="28"/>
            </w:rPr>
            <w:tab/>
          </w:r>
          <w:r>
            <w:rPr>
              <w:b/>
              <w:bCs/>
              <w:sz w:val="28"/>
              <w:szCs w:val="28"/>
            </w:rPr>
            <w:fldChar w:fldCharType="begin"/>
          </w:r>
          <w:r>
            <w:rPr>
              <w:b/>
              <w:bCs/>
              <w:sz w:val="28"/>
              <w:szCs w:val="28"/>
            </w:rPr>
            <w:instrText xml:space="preserve"> PAGEREF _Toc15618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p>
        <w:p>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lang w:val="en-US" w:eastAsia="zh-CN"/>
            </w:rPr>
            <w:sectPr>
              <w:pgSz w:w="11906" w:h="16838"/>
              <w:pgMar w:top="1928" w:right="1531" w:bottom="1701" w:left="1531" w:header="737" w:footer="851" w:gutter="0"/>
              <w:cols w:space="720" w:num="1"/>
              <w:docGrid w:type="lines" w:linePitch="408" w:charSpace="0"/>
            </w:sectPr>
          </w:pPr>
          <w:r>
            <w:rPr>
              <w:rFonts w:hint="eastAsia"/>
              <w:sz w:val="28"/>
              <w:szCs w:val="28"/>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bookmarkStart w:id="1" w:name="_Toc1194"/>
      <w:r>
        <w:rPr>
          <w:rFonts w:hint="eastAsia" w:cs="宋体"/>
          <w:b/>
          <w:bCs/>
          <w:color w:val="000000" w:themeColor="text1"/>
          <w:sz w:val="36"/>
          <w:szCs w:val="36"/>
          <w:highlight w:val="none"/>
          <w:shd w:val="clear" w:color="auto" w:fill="auto"/>
          <w:lang w:val="en-US" w:eastAsia="zh-CN"/>
          <w14:textFill>
            <w14:solidFill>
              <w14:schemeClr w14:val="tx1"/>
            </w14:solidFill>
          </w14:textFill>
        </w:rPr>
        <w:t>自主就业退役士兵一次性经济补助</w:t>
      </w:r>
      <w:r>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t>支出绩效</w:t>
      </w:r>
    </w:p>
    <w:p>
      <w:pPr>
        <w:keepNext w:val="0"/>
        <w:keepLines w:val="0"/>
        <w:pageBreakBefore w:val="0"/>
        <w:widowControl w:val="0"/>
        <w:kinsoku/>
        <w:wordWrap/>
        <w:overflowPunct/>
        <w:topLinePunct w:val="0"/>
        <w:autoSpaceDE/>
        <w:autoSpaceDN/>
        <w:bidi w:val="0"/>
        <w:adjustRightInd/>
        <w:snapToGrid/>
        <w:spacing w:line="360" w:lineRule="auto"/>
        <w:ind w:firstLine="3614" w:firstLineChars="1000"/>
        <w:jc w:val="both"/>
        <w:textAlignment w:val="auto"/>
        <w:outlineLvl w:val="0"/>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t>评价报告</w:t>
      </w:r>
      <w:bookmarkEnd w:id="1"/>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2" w:name="_Toc17540"/>
      <w:r>
        <w:rPr>
          <w:rFonts w:hint="eastAsia" w:ascii="宋体" w:hAnsi="宋体" w:eastAsia="宋体" w:cs="宋体"/>
          <w:b/>
          <w:bCs/>
          <w:color w:val="000000" w:themeColor="text1"/>
          <w:highlight w:val="none"/>
          <w:shd w:val="clear" w:color="auto" w:fill="auto"/>
          <w14:textFill>
            <w14:solidFill>
              <w14:schemeClr w14:val="tx1"/>
            </w14:solidFill>
          </w14:textFill>
        </w:rPr>
        <w:t>一、基本情况</w:t>
      </w:r>
      <w:bookmarkEnd w:id="2"/>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3" w:name="_Toc18966"/>
      <w:r>
        <w:rPr>
          <w:rFonts w:hint="eastAsia" w:ascii="宋体" w:hAnsi="宋体" w:eastAsia="宋体" w:cs="宋体"/>
          <w:color w:val="000000" w:themeColor="text1"/>
          <w:highlight w:val="none"/>
          <w:shd w:val="clear" w:color="auto" w:fill="auto"/>
          <w14:textFill>
            <w14:solidFill>
              <w14:schemeClr w14:val="tx1"/>
            </w14:solidFill>
          </w14:textFill>
        </w:rPr>
        <w:t>（一）项目概况</w:t>
      </w:r>
      <w:bookmarkEnd w:id="3"/>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4" w:name="_Toc5043"/>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项目背景</w:t>
      </w:r>
      <w:bookmarkEnd w:id="4"/>
    </w:p>
    <w:p>
      <w:pPr>
        <w:bidi w:val="0"/>
        <w:ind w:firstLine="560" w:firstLineChars="200"/>
        <w:rPr>
          <w:rFonts w:hint="eastAsia"/>
          <w:highlight w:val="none"/>
          <w:lang w:val="en-US" w:eastAsia="zh-CN"/>
        </w:rPr>
      </w:pPr>
      <w:r>
        <w:rPr>
          <w:rFonts w:hint="eastAsia" w:ascii="宋体" w:hAnsi="宋体" w:eastAsia="宋体" w:cs="宋体"/>
          <w:b w:val="0"/>
          <w:bCs w:val="0"/>
          <w:color w:val="auto"/>
          <w:sz w:val="28"/>
          <w:szCs w:val="36"/>
          <w:lang w:val="en-US" w:eastAsia="zh-CN"/>
        </w:rPr>
        <w:t>根据《关</w:t>
      </w:r>
      <w:r>
        <w:rPr>
          <w:rFonts w:hint="eastAsia" w:ascii="宋体" w:hAnsi="宋体" w:eastAsia="宋体" w:cs="宋体"/>
          <w:b w:val="0"/>
          <w:bCs w:val="0"/>
          <w:color w:val="auto"/>
          <w:sz w:val="28"/>
          <w:szCs w:val="36"/>
          <w:highlight w:val="none"/>
          <w:lang w:val="en-US" w:eastAsia="zh-CN"/>
        </w:rPr>
        <w:t>于进一步加强退役士兵安置工作的实施意见》新政办发[2016]19号文件相关规定，自主就业退役士兵一次性经济补助按照城乡一体化原则发放</w:t>
      </w:r>
      <w:r>
        <w:rPr>
          <w:rFonts w:hint="eastAsia"/>
          <w:color w:val="auto"/>
          <w:highlight w:val="none"/>
          <w:lang w:val="en-US" w:eastAsia="zh-CN"/>
        </w:rPr>
        <w:t>自主就业退役士兵一次性经济补助，</w:t>
      </w:r>
      <w:r>
        <w:rPr>
          <w:rFonts w:hint="eastAsia"/>
          <w:color w:val="auto"/>
          <w:highlight w:val="none"/>
          <w:lang w:eastAsia="zh-CN"/>
        </w:rPr>
        <w:t>提高退役士兵自主就业能力，改善其生活水平。</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 w:name="_Toc27343"/>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主要内容及实施情况</w:t>
      </w:r>
      <w:bookmarkEnd w:id="5"/>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sz w:val="28"/>
          <w:szCs w:val="36"/>
          <w:lang w:val="en-US" w:eastAsia="zh-CN"/>
        </w:rPr>
      </w:pPr>
      <w:bookmarkStart w:id="6" w:name="_Toc16592"/>
      <w:r>
        <w:rPr>
          <w:rFonts w:hint="eastAsia" w:cs="宋体"/>
          <w:color w:val="auto"/>
          <w:highlight w:val="none"/>
          <w:shd w:val="clear" w:color="auto" w:fill="auto"/>
          <w:lang w:val="en-US" w:eastAsia="zh-CN"/>
        </w:rPr>
        <w:t>主要内容</w:t>
      </w:r>
      <w:r>
        <w:rPr>
          <w:rFonts w:hint="eastAsia" w:ascii="宋体" w:hAnsi="宋体" w:eastAsia="宋体" w:cs="宋体"/>
          <w:color w:val="auto"/>
          <w:highlight w:val="none"/>
          <w:shd w:val="clear" w:color="auto" w:fill="auto"/>
          <w:lang w:val="en-US" w:eastAsia="zh-CN"/>
        </w:rPr>
        <w:t>：</w:t>
      </w:r>
      <w:bookmarkEnd w:id="6"/>
      <w:r>
        <w:rPr>
          <w:rFonts w:hint="eastAsia" w:ascii="宋体" w:hAnsi="宋体" w:eastAsia="宋体" w:cs="宋体"/>
          <w:b w:val="0"/>
          <w:bCs w:val="0"/>
          <w:color w:val="auto"/>
          <w:sz w:val="28"/>
          <w:szCs w:val="36"/>
          <w:lang w:val="en-US" w:eastAsia="zh-CN"/>
        </w:rPr>
        <w:t>根据《关于进一步加强退役士兵安置工作的实施意见》新政办发[2016]19号文件相关规定，自主就业退役士兵一次性经济补助按照城乡一体化原则发放。具体标准为：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sz w:val="28"/>
          <w:szCs w:val="36"/>
          <w:lang w:val="en-US" w:eastAsia="zh-CN"/>
        </w:rPr>
      </w:pPr>
      <w:r>
        <w:rPr>
          <w:rFonts w:hint="eastAsia" w:ascii="宋体" w:hAnsi="宋体" w:eastAsia="宋体" w:cs="宋体"/>
          <w:b w:val="0"/>
          <w:bCs w:val="0"/>
          <w:color w:val="auto"/>
          <w:sz w:val="28"/>
          <w:szCs w:val="36"/>
          <w:lang w:val="en-US" w:eastAsia="zh-CN"/>
        </w:rPr>
        <w:t>义务兵：（基数30000元）+（服役年限*2000元）；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sz w:val="28"/>
          <w:szCs w:val="36"/>
          <w:lang w:val="en-US" w:eastAsia="zh-CN"/>
        </w:rPr>
      </w:pPr>
      <w:r>
        <w:rPr>
          <w:rFonts w:hint="eastAsia" w:ascii="宋体" w:hAnsi="宋体" w:eastAsia="宋体" w:cs="宋体"/>
          <w:b w:val="0"/>
          <w:bCs w:val="0"/>
          <w:color w:val="auto"/>
          <w:sz w:val="28"/>
          <w:szCs w:val="36"/>
          <w:lang w:val="en-US" w:eastAsia="zh-CN"/>
        </w:rPr>
        <w:t>士官：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sz w:val="28"/>
          <w:szCs w:val="36"/>
          <w:lang w:val="en-US" w:eastAsia="zh-CN"/>
        </w:rPr>
      </w:pPr>
      <w:r>
        <w:rPr>
          <w:rFonts w:hint="eastAsia" w:ascii="宋体" w:hAnsi="宋体" w:eastAsia="宋体" w:cs="宋体"/>
          <w:b w:val="0"/>
          <w:bCs w:val="0"/>
          <w:color w:val="auto"/>
          <w:sz w:val="28"/>
          <w:szCs w:val="36"/>
          <w:lang w:val="en-US" w:eastAsia="zh-CN"/>
        </w:rPr>
        <w:t>（1）服役满5年以内的士官：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sz w:val="28"/>
          <w:szCs w:val="36"/>
          <w:lang w:val="en-US" w:eastAsia="zh-CN"/>
        </w:rPr>
      </w:pPr>
      <w:r>
        <w:rPr>
          <w:rFonts w:hint="eastAsia" w:ascii="宋体" w:hAnsi="宋体" w:eastAsia="宋体" w:cs="宋体"/>
          <w:b w:val="0"/>
          <w:bCs w:val="0"/>
          <w:color w:val="auto"/>
          <w:sz w:val="28"/>
          <w:szCs w:val="36"/>
          <w:lang w:val="en-US" w:eastAsia="zh-CN"/>
        </w:rPr>
        <w:t>（基数30000元）+（服役年限*2000元）；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sz w:val="28"/>
          <w:szCs w:val="36"/>
          <w:lang w:val="en-US" w:eastAsia="zh-CN"/>
        </w:rPr>
      </w:pPr>
      <w:r>
        <w:rPr>
          <w:rFonts w:hint="eastAsia" w:ascii="宋体" w:hAnsi="宋体" w:eastAsia="宋体" w:cs="宋体"/>
          <w:b w:val="0"/>
          <w:bCs w:val="0"/>
          <w:color w:val="auto"/>
          <w:sz w:val="28"/>
          <w:szCs w:val="36"/>
          <w:lang w:val="en-US" w:eastAsia="zh-CN"/>
        </w:rPr>
        <w:t>（2）服役满6年（含6年）至11年的士官：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sz w:val="28"/>
          <w:szCs w:val="36"/>
          <w:lang w:val="en-US" w:eastAsia="zh-CN"/>
        </w:rPr>
      </w:pPr>
      <w:r>
        <w:rPr>
          <w:rFonts w:hint="eastAsia" w:ascii="宋体" w:hAnsi="宋体" w:eastAsia="宋体" w:cs="宋体"/>
          <w:b w:val="0"/>
          <w:bCs w:val="0"/>
          <w:color w:val="auto"/>
          <w:sz w:val="28"/>
          <w:szCs w:val="36"/>
          <w:lang w:val="en-US" w:eastAsia="zh-CN"/>
        </w:rPr>
        <w:t>（基数30000元）+（服役年限*3000元）；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sz w:val="28"/>
          <w:szCs w:val="36"/>
          <w:lang w:val="en-US" w:eastAsia="zh-CN"/>
        </w:rPr>
      </w:pPr>
      <w:r>
        <w:rPr>
          <w:rFonts w:hint="eastAsia" w:ascii="宋体" w:hAnsi="宋体" w:eastAsia="宋体" w:cs="宋体"/>
          <w:b w:val="0"/>
          <w:bCs w:val="0"/>
          <w:color w:val="auto"/>
          <w:sz w:val="28"/>
          <w:szCs w:val="36"/>
          <w:lang w:val="en-US" w:eastAsia="zh-CN"/>
        </w:rPr>
        <w:t>（3）服役满12年（含12年）以上的士官：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sz w:val="28"/>
          <w:szCs w:val="36"/>
          <w:lang w:val="en-US" w:eastAsia="zh-CN"/>
        </w:rPr>
      </w:pPr>
      <w:r>
        <w:rPr>
          <w:rFonts w:hint="eastAsia" w:ascii="宋体" w:hAnsi="宋体" w:eastAsia="宋体" w:cs="宋体"/>
          <w:b w:val="0"/>
          <w:bCs w:val="0"/>
          <w:color w:val="auto"/>
          <w:sz w:val="28"/>
          <w:szCs w:val="36"/>
          <w:lang w:val="en-US" w:eastAsia="zh-CN"/>
        </w:rPr>
        <w:t>（基数50000元）+（服役年限*3000元）；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sz w:val="28"/>
          <w:szCs w:val="36"/>
          <w:lang w:val="en-US" w:eastAsia="zh-CN"/>
        </w:rPr>
      </w:pPr>
      <w:r>
        <w:rPr>
          <w:rFonts w:hint="eastAsia" w:ascii="宋体" w:hAnsi="宋体" w:eastAsia="宋体" w:cs="宋体"/>
          <w:b w:val="0"/>
          <w:bCs w:val="0"/>
          <w:color w:val="auto"/>
          <w:sz w:val="28"/>
          <w:szCs w:val="36"/>
          <w:lang w:val="en-US" w:eastAsia="zh-CN"/>
        </w:rPr>
        <w:t>退役士兵服役期间立功受奖的，以义务兵自主就业一次性经济补助基数为标准，一等功增发15%，二等功增发10%，三等功增发5%，多次立功者，按最高等级增发，不累计。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5</w:t>
      </w:r>
      <w:r>
        <w:rPr>
          <w:rFonts w:hint="eastAsia" w:ascii="宋体" w:hAnsi="宋体" w:eastAsia="宋体" w:cs="宋体"/>
          <w:color w:val="auto"/>
          <w:highlight w:val="none"/>
          <w:shd w:val="clear" w:color="auto" w:fill="auto"/>
          <w:lang w:val="en-US" w:eastAsia="zh-CN"/>
        </w:rPr>
        <w:t>日经</w:t>
      </w:r>
      <w:r>
        <w:rPr>
          <w:rFonts w:hint="eastAsia" w:cs="宋体"/>
          <w:color w:val="auto"/>
          <w:highlight w:val="none"/>
          <w:shd w:val="clear" w:color="auto" w:fill="auto"/>
          <w:lang w:val="en-US" w:eastAsia="zh-CN"/>
        </w:rPr>
        <w:t>依据</w:t>
      </w:r>
      <w:r>
        <w:rPr>
          <w:rFonts w:hint="eastAsia" w:ascii="宋体" w:hAnsi="宋体" w:eastAsia="宋体" w:cs="宋体"/>
          <w:b w:val="0"/>
          <w:bCs w:val="0"/>
          <w:color w:val="auto"/>
          <w:sz w:val="28"/>
          <w:szCs w:val="36"/>
          <w:lang w:val="en-US" w:eastAsia="zh-CN"/>
        </w:rPr>
        <w:t>新政办发[2016]19号</w:t>
      </w:r>
      <w:r>
        <w:rPr>
          <w:rFonts w:hint="eastAsia" w:ascii="宋体" w:hAnsi="宋体" w:eastAsia="宋体" w:cs="宋体"/>
          <w:color w:val="auto"/>
          <w:highlight w:val="none"/>
          <w:shd w:val="clear" w:color="auto" w:fill="auto"/>
          <w:lang w:val="en-US" w:eastAsia="zh-CN"/>
        </w:rPr>
        <w:t>文件批复，经</w:t>
      </w:r>
      <w:r>
        <w:rPr>
          <w:rFonts w:hint="eastAsia" w:cs="宋体"/>
          <w:color w:val="auto"/>
          <w:highlight w:val="none"/>
          <w:shd w:val="clear" w:color="auto" w:fill="auto"/>
          <w:lang w:val="en-US" w:eastAsia="zh-CN"/>
        </w:rPr>
        <w:t>阜康市退役军人事务局</w:t>
      </w:r>
      <w:r>
        <w:rPr>
          <w:rFonts w:hint="eastAsia" w:ascii="宋体" w:hAnsi="宋体" w:eastAsia="宋体" w:cs="宋体"/>
          <w:color w:val="auto"/>
          <w:highlight w:val="none"/>
          <w:shd w:val="clear" w:color="auto" w:fill="auto"/>
          <w:lang w:val="en-US" w:eastAsia="zh-CN"/>
        </w:rPr>
        <w:t>会议，确定了项目领导小组，明确了责任分工：组长为</w:t>
      </w:r>
      <w:r>
        <w:rPr>
          <w:rFonts w:hint="eastAsia" w:cs="宋体"/>
          <w:color w:val="auto"/>
          <w:highlight w:val="none"/>
          <w:shd w:val="clear" w:color="auto" w:fill="auto"/>
          <w:lang w:val="en-US" w:eastAsia="zh-CN"/>
        </w:rPr>
        <w:t>冉强</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赫海涛</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项目负责人为肖昕锐,</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马艳</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尹玉斐</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冉强</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肖昕锐</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马艳</w:t>
      </w:r>
      <w:r>
        <w:rPr>
          <w:rFonts w:hint="eastAsia" w:ascii="宋体" w:hAnsi="宋体" w:eastAsia="宋体" w:cs="宋体"/>
          <w:color w:val="auto"/>
          <w:highlight w:val="none"/>
          <w:shd w:val="clear" w:color="auto" w:fill="auto"/>
          <w:lang w:val="en-US" w:eastAsia="zh-CN"/>
        </w:rPr>
        <w:t>负责资金拨付工作。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lang w:val="en-US" w:eastAsia="zh-CN"/>
        </w:rPr>
      </w:pPr>
      <w:r>
        <w:rPr>
          <w:rFonts w:hint="eastAsia" w:cs="宋体"/>
          <w:b w:val="0"/>
          <w:bCs w:val="0"/>
          <w:color w:val="auto"/>
          <w:sz w:val="28"/>
          <w:szCs w:val="36"/>
          <w:lang w:val="en-US" w:eastAsia="zh-CN"/>
        </w:rPr>
        <w:t>项目完成了</w:t>
      </w:r>
      <w:r>
        <w:rPr>
          <w:rFonts w:hint="eastAsia" w:ascii="宋体" w:hAnsi="宋体" w:eastAsia="宋体" w:cs="宋体"/>
          <w:b w:val="0"/>
          <w:bCs w:val="0"/>
          <w:color w:val="auto"/>
          <w:sz w:val="28"/>
          <w:szCs w:val="36"/>
          <w:lang w:val="en-US" w:eastAsia="zh-CN"/>
        </w:rPr>
        <w:t>符合领取一次性经济补助的退役士兵到安置地县以上安置部门审核后发放</w:t>
      </w:r>
      <w:r>
        <w:rPr>
          <w:rFonts w:hint="eastAsia" w:cs="宋体"/>
          <w:b w:val="0"/>
          <w:bCs w:val="0"/>
          <w:color w:val="auto"/>
          <w:sz w:val="28"/>
          <w:szCs w:val="36"/>
          <w:lang w:val="en-US" w:eastAsia="zh-CN"/>
        </w:rPr>
        <w:t>补助219.45万元</w:t>
      </w:r>
      <w:r>
        <w:rPr>
          <w:rFonts w:hint="eastAsia" w:ascii="宋体" w:hAnsi="宋体" w:eastAsia="宋体" w:cs="宋体"/>
          <w:b w:val="0"/>
          <w:bCs w:val="0"/>
          <w:color w:val="auto"/>
          <w:sz w:val="28"/>
          <w:szCs w:val="36"/>
          <w:lang w:val="en-US" w:eastAsia="zh-CN"/>
        </w:rPr>
        <w:t>，并存档备案。</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7" w:name="_Toc185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3.资金投入和使用情况</w:t>
      </w:r>
      <w:bookmarkEnd w:id="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项目资金安排落实、总投入等情况分析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自主就业退役士兵一次性经济补助项目预算安排总额为</w:t>
      </w:r>
      <w:r>
        <w:rPr>
          <w:rFonts w:hint="eastAsia" w:cs="宋体"/>
          <w:color w:val="auto"/>
          <w:highlight w:val="none"/>
          <w:shd w:val="clear" w:color="auto" w:fill="auto"/>
          <w:lang w:val="en-US" w:eastAsia="zh-CN"/>
        </w:rPr>
        <w:t>219.45</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金219.45</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219.45</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w:t>
      </w:r>
      <w:r>
        <w:rPr>
          <w:rFonts w:hint="eastAsia" w:ascii="宋体" w:hAnsi="宋体" w:eastAsia="宋体" w:cs="宋体"/>
          <w:color w:val="auto"/>
          <w:highlight w:val="none"/>
          <w:shd w:val="clear" w:color="auto" w:fill="auto"/>
          <w:lang w:val="en-US" w:eastAsia="zh-CN"/>
        </w:rPr>
        <w:t>自主就业退役士兵一次性经济补助</w:t>
      </w:r>
      <w:r>
        <w:rPr>
          <w:rFonts w:hint="eastAsia" w:ascii="宋体" w:hAnsi="宋体" w:eastAsia="宋体" w:cs="宋体"/>
          <w:color w:val="auto"/>
          <w:highlight w:val="none"/>
          <w:shd w:val="clear" w:color="auto" w:fill="auto"/>
        </w:rPr>
        <w:t>项目实际支付资金</w:t>
      </w:r>
      <w:r>
        <w:rPr>
          <w:rFonts w:hint="eastAsia" w:cs="宋体"/>
          <w:color w:val="auto"/>
          <w:highlight w:val="none"/>
          <w:shd w:val="clear" w:color="auto" w:fill="auto"/>
          <w:lang w:val="en-US" w:eastAsia="zh-CN"/>
        </w:rPr>
        <w:t>219.45</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万元，已上缴国库。</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val="en-US" w:eastAsia="zh-CN"/>
        </w:rPr>
        <w:t>退役士兵货币化安置等方面。</w:t>
      </w:r>
    </w:p>
    <w:p>
      <w:pPr>
        <w:pStyle w:val="4"/>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8" w:name="_Toc2879"/>
      <w:r>
        <w:rPr>
          <w:rFonts w:hint="eastAsia" w:ascii="宋体" w:hAnsi="宋体" w:eastAsia="宋体" w:cs="宋体"/>
          <w:color w:val="000000" w:themeColor="text1"/>
          <w:highlight w:val="none"/>
          <w:shd w:val="clear" w:color="auto" w:fill="auto"/>
          <w14:textFill>
            <w14:solidFill>
              <w14:schemeClr w14:val="tx1"/>
            </w14:solidFill>
          </w14:textFill>
        </w:rPr>
        <w:t>项目绩效目标</w:t>
      </w:r>
      <w:bookmarkEnd w:id="8"/>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9" w:name="_Toc10047"/>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1.总体目标</w:t>
      </w:r>
      <w:bookmarkEnd w:id="9"/>
    </w:p>
    <w:p>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自主就业退役士兵一次性经济补助</w:t>
      </w:r>
      <w:r>
        <w:rPr>
          <w:rFonts w:hint="eastAsia" w:cs="宋体"/>
          <w:color w:val="auto"/>
          <w:highlight w:val="none"/>
          <w:shd w:val="clear" w:color="auto" w:fill="auto"/>
          <w:lang w:val="en-US" w:eastAsia="zh-CN"/>
        </w:rPr>
        <w:t>项目绩效总体目标为：</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highlight w:val="none"/>
          <w:shd w:val="clear" w:color="auto" w:fill="auto"/>
          <w:lang w:val="en-US" w:eastAsia="zh-CN"/>
        </w:rPr>
      </w:pPr>
      <w:r>
        <w:rPr>
          <w:rFonts w:hint="eastAsia" w:cs="宋体"/>
          <w:color w:val="auto"/>
          <w:highlight w:val="none"/>
          <w:shd w:val="clear" w:color="auto" w:fill="auto"/>
          <w:lang w:val="en-US" w:eastAsia="zh-CN"/>
        </w:rPr>
        <w:t>为进一步推进退役士兵安置改革，规范自主就业退役士兵一次性经济补助的发放管理工作，切实做好退役士兵安置，全面保障退役士兵合法权益。2023年由本级财政根据往年人数、按照《关于印发&lt;新疆维吾尔自治区自助就业退役士兵一次性经济补助发放管理办法&gt;的通知》[2016]95号文件标准3.4万元/2年，在2023.12.31之前及时对退役报道的士兵发放自主就业补助金，从而促进就业，改善生活水平，从而达到自主就业退役士兵满意度。</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10" w:name="_Toc4487"/>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2.阶段性目标</w:t>
      </w:r>
      <w:bookmarkEnd w:id="10"/>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根据《预算法</w:t>
      </w:r>
      <w:r>
        <w:rPr>
          <w:rFonts w:hint="eastAsia"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号）、《自治区党委自治区人民政府关于全面实施预算绩效管理的实施意见》（新党发〔2018〕30号）、</w:t>
      </w:r>
      <w:r>
        <w:rPr>
          <w:rFonts w:hint="eastAsia" w:ascii="宋体" w:hAnsi="宋体" w:eastAsia="宋体" w:cs="宋体"/>
          <w:color w:val="000000" w:themeColor="text1"/>
          <w:highlight w:val="none"/>
          <w:shd w:val="clear" w:color="auto" w:fill="auto"/>
          <w14:textFill>
            <w14:solidFill>
              <w14:schemeClr w14:val="tx1"/>
            </w14:solidFill>
          </w14:textFill>
        </w:rPr>
        <w:t>《自治区财政支出绩效评价管理暂行办法》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新财预〔2018〕189号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等文件</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的规定，结合项目实施单位的规章制度以及财务相关资料，评价小组对项目绩效目标进行了进一步的完善，完善</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后</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①数量指标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义务兵人数（人）</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为≥37人；</w:t>
      </w:r>
    </w:p>
    <w:p>
      <w:pPr>
        <w:pStyle w:val="2"/>
        <w:rPr>
          <w:rFonts w:hint="default"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“士官人数（人）”指标，预期目标值为≥17人；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自主就业退役士兵生活补助工作完成率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自主就业退役士兵生活补助及时发放率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自主就业退役士兵经济补助完成截止时间</w:t>
      </w:r>
      <w:r>
        <w:rPr>
          <w:rFonts w:hint="eastAsia" w:cs="宋体"/>
          <w:color w:val="auto"/>
          <w:highlight w:val="none"/>
          <w:shd w:val="clear" w:color="auto" w:fill="auto"/>
          <w:lang w:val="en-US" w:eastAsia="zh-CN"/>
        </w:rPr>
        <w:t>”指标，预期目标值</w:t>
      </w:r>
      <w:r>
        <w:rPr>
          <w:rFonts w:hint="eastAsia" w:ascii="宋体" w:hAnsi="宋体" w:eastAsia="宋体" w:cs="宋体"/>
          <w:color w:val="auto"/>
          <w:highlight w:val="none"/>
          <w:shd w:val="clear" w:color="auto" w:fill="auto"/>
          <w:lang w:val="en-US" w:eastAsia="zh-CN"/>
        </w:rPr>
        <w:t>为2023.12.31之前；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成本指标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自主就业退役士兵生活补助标准</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为3.4万元/2年；</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本项目不涉及经济效益指标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“提高退役士兵自主就业能力，改善其生活水平。”指标，预期目标值为逐年改善；</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“促进退役士兵自主就业等方面得到保障、保障军队建设需要、促进社会和谐稳定”预期目标值为长期</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生态效益指标</w:t>
      </w:r>
    </w:p>
    <w:p>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本项目不涉及生态效益指标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本项目不涉及可持续影响指标</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⑤满意度指标</w:t>
      </w:r>
    </w:p>
    <w:p>
      <w:pPr>
        <w:pageBreakBefore w:val="0"/>
        <w:widowControl w:val="0"/>
        <w:kinsoku/>
        <w:wordWrap/>
        <w:overflowPunct/>
        <w:topLinePunct w:val="0"/>
        <w:autoSpaceDE/>
        <w:autoSpaceDN/>
        <w:bidi w:val="0"/>
        <w:adjustRightInd/>
        <w:snapToGrid/>
        <w:spacing w:line="560" w:lineRule="exact"/>
        <w:textAlignment w:val="auto"/>
        <w:rPr>
          <w:rFonts w:hint="eastAsia"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“自主就业退役士兵满意度”指标，预期目标值为≥90%。</w:t>
      </w:r>
      <w:bookmarkStart w:id="11" w:name="_Toc2549"/>
    </w:p>
    <w:p>
      <w:pPr>
        <w:pageBreakBefore w:val="0"/>
        <w:widowControl w:val="0"/>
        <w:numPr>
          <w:ilvl w:val="0"/>
          <w:numId w:val="2"/>
        </w:numPr>
        <w:kinsoku/>
        <w:wordWrap/>
        <w:overflowPunct/>
        <w:topLinePunct w:val="0"/>
        <w:autoSpaceDE/>
        <w:autoSpaceDN/>
        <w:bidi w:val="0"/>
        <w:adjustRightInd/>
        <w:snapToGrid/>
        <w:spacing w:line="560" w:lineRule="exact"/>
        <w:ind w:left="-163" w:leftChars="0" w:firstLineChars="0"/>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绩效评价工作开展情况</w:t>
      </w:r>
      <w:bookmarkEnd w:id="11"/>
      <w:bookmarkStart w:id="12" w:name="_Toc5258"/>
      <w:bookmarkStart w:id="13" w:name="_Toc22922"/>
      <w:bookmarkStart w:id="14" w:name="_Toc480473081"/>
      <w:bookmarkStart w:id="15" w:name="_Toc26632"/>
      <w:bookmarkStart w:id="16" w:name="_Toc22169_WPSOffice_Level2"/>
      <w:bookmarkStart w:id="17" w:name="_Toc12868"/>
      <w:bookmarkStart w:id="18" w:name="_Toc21664"/>
      <w:bookmarkStart w:id="19" w:name="_Toc5462343"/>
      <w:bookmarkStart w:id="20" w:name="_Toc21778"/>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000000" w:themeColor="text1"/>
          <w:sz w:val="32"/>
          <w:szCs w:val="32"/>
          <w:highlight w:val="none"/>
          <w:shd w:val="clear" w:color="auto" w:fill="auto"/>
          <w:lang w:eastAsia="zh-CN"/>
          <w14:textFill>
            <w14:solidFill>
              <w14:schemeClr w14:val="tx1"/>
            </w14:solidFill>
          </w14:textFill>
        </w:rPr>
      </w:pPr>
      <w:r>
        <w:rPr>
          <w:rFonts w:hint="eastAsia" w:cs="宋体"/>
          <w:b/>
          <w:bCs/>
          <w:color w:val="000000" w:themeColor="text1"/>
          <w:sz w:val="32"/>
          <w:szCs w:val="32"/>
          <w:highlight w:val="none"/>
          <w:shd w:val="clear" w:color="auto" w:fill="auto"/>
          <w:lang w:eastAsia="zh-CN"/>
          <w14:textFill>
            <w14:solidFill>
              <w14:schemeClr w14:val="tx1"/>
            </w14:solidFill>
          </w14:textFill>
        </w:rPr>
        <w:t>（</w:t>
      </w:r>
      <w:r>
        <w:rPr>
          <w:rFonts w:hint="eastAsia" w:cs="宋体"/>
          <w:b/>
          <w:bCs/>
          <w:color w:val="000000" w:themeColor="text1"/>
          <w:sz w:val="32"/>
          <w:szCs w:val="32"/>
          <w:highlight w:val="none"/>
          <w:shd w:val="clear" w:color="auto" w:fill="auto"/>
          <w:lang w:val="en-US" w:eastAsia="zh-CN"/>
          <w14:textFill>
            <w14:solidFill>
              <w14:schemeClr w14:val="tx1"/>
            </w14:solidFill>
          </w14:textFill>
        </w:rPr>
        <w:t>一）</w:t>
      </w:r>
      <w:r>
        <w:rPr>
          <w:rFonts w:hint="eastAsia" w:ascii="宋体" w:hAnsi="宋体" w:eastAsia="宋体" w:cs="宋体"/>
          <w:b/>
          <w:bCs/>
          <w:color w:val="000000" w:themeColor="text1"/>
          <w:sz w:val="32"/>
          <w:szCs w:val="32"/>
          <w:highlight w:val="none"/>
          <w:shd w:val="clear" w:color="auto" w:fill="auto"/>
          <w:lang w:eastAsia="zh-CN"/>
          <w14:textFill>
            <w14:solidFill>
              <w14:schemeClr w14:val="tx1"/>
            </w14:solidFill>
          </w14:textFill>
        </w:rPr>
        <w:t>绩效评价的目的</w:t>
      </w:r>
      <w:bookmarkEnd w:id="12"/>
      <w:bookmarkEnd w:id="13"/>
      <w:bookmarkEnd w:id="14"/>
      <w:bookmarkEnd w:id="15"/>
      <w:bookmarkEnd w:id="16"/>
      <w:bookmarkEnd w:id="17"/>
      <w:bookmarkEnd w:id="18"/>
      <w:bookmarkEnd w:id="19"/>
      <w:r>
        <w:rPr>
          <w:rFonts w:hint="eastAsia" w:ascii="宋体" w:hAnsi="宋体" w:eastAsia="宋体" w:cs="宋体"/>
          <w:b/>
          <w:bCs/>
          <w:color w:val="000000" w:themeColor="text1"/>
          <w:sz w:val="32"/>
          <w:szCs w:val="32"/>
          <w:highlight w:val="none"/>
          <w:shd w:val="clear" w:color="auto" w:fill="auto"/>
          <w:lang w:eastAsia="zh-CN"/>
          <w14:textFill>
            <w14:solidFill>
              <w14:schemeClr w14:val="tx1"/>
            </w14:solidFill>
          </w14:textFill>
        </w:rPr>
        <w:t>、对象和范围</w:t>
      </w:r>
      <w:bookmarkEnd w:id="20"/>
      <w:bookmarkStart w:id="21" w:name="_Toc15732"/>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21"/>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2" w:name="_Toc30609"/>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2.绩效评价的对象和范围</w:t>
      </w:r>
      <w:bookmarkEnd w:id="2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此次我单位根据</w:t>
      </w:r>
      <w:r>
        <w:rPr>
          <w:rFonts w:hint="eastAsia" w:ascii="宋体" w:hAnsi="宋体" w:eastAsia="宋体" w:cs="宋体"/>
          <w:color w:val="000000" w:themeColor="text1"/>
          <w:highlight w:val="none"/>
          <w:shd w:val="clear" w:color="auto" w:fill="auto"/>
          <w14:textFill>
            <w14:solidFill>
              <w14:schemeClr w14:val="tx1"/>
            </w14:solidFill>
          </w14:textFill>
        </w:rPr>
        <w:t>《财政支出绩效评价管理暂行办法》（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财预〔2020〕10号</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文件要求对</w:t>
      </w:r>
      <w:r>
        <w:rPr>
          <w:rFonts w:hint="eastAsia" w:cs="宋体"/>
          <w:color w:val="000000" w:themeColor="text1"/>
          <w:highlight w:val="none"/>
          <w:shd w:val="clear" w:color="auto" w:fill="auto"/>
          <w:lang w:val="en-US" w:eastAsia="zh-CN"/>
          <w14:textFill>
            <w14:solidFill>
              <w14:schemeClr w14:val="tx1"/>
            </w14:solidFill>
          </w14:textFill>
        </w:rPr>
        <w:t>2023</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年度我单位实施的</w:t>
      </w:r>
      <w:r>
        <w:rPr>
          <w:rFonts w:hint="eastAsia" w:ascii="宋体" w:hAnsi="宋体" w:eastAsia="宋体" w:cs="宋体"/>
          <w:color w:val="auto"/>
          <w:highlight w:val="none"/>
          <w:shd w:val="clear" w:color="auto" w:fill="auto"/>
          <w:lang w:val="en-US" w:eastAsia="zh-CN"/>
        </w:rPr>
        <w:t>自主就业退役士兵一次性经济补助项目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开展部门绩效评价。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4"/>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60" w:lineRule="exact"/>
        <w:ind w:leftChars="200"/>
        <w:jc w:val="both"/>
        <w:textAlignment w:val="auto"/>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pPr>
      <w:bookmarkStart w:id="23" w:name="_Toc15902"/>
      <w:r>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t>（二）绩效评价原则、评价指标体系（附表说明）、评价方法、评价标准</w:t>
      </w:r>
      <w:bookmarkEnd w:id="23"/>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24" w:name="_Toc2450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绩效评价原则</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本次绩效评价秉承科学规范、公正公开、分级分类、绩效相关等原则，按照从投入、过程到产出效果和影响的绩效逻辑路径，结合</w:t>
      </w:r>
      <w:r>
        <w:rPr>
          <w:rFonts w:hint="eastAsia" w:ascii="宋体" w:hAnsi="宋体" w:eastAsia="宋体" w:cs="宋体"/>
          <w:color w:val="auto"/>
          <w:highlight w:val="none"/>
          <w:shd w:val="clear" w:color="auto" w:fill="auto"/>
          <w:lang w:val="en-US" w:eastAsia="zh-CN"/>
        </w:rPr>
        <w:t>自主就业退役士兵一次性经济补助项目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实际开展情况，运用定量和定性分析相结合的方法，总结经验做法，反思项目实施和管理中的问题，以切实提升财政资金管理的科学化、规范化和精细化水平。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1</w:t>
      </w:r>
      <w:r>
        <w:rPr>
          <w:rFonts w:hint="eastAsia"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）公开透明。绩效评价结果应依法依规公开，并自觉接受社会监督。</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25" w:name="_Toc1913"/>
      <w:bookmarkStart w:id="26" w:name="_Toc419984722"/>
      <w:bookmarkStart w:id="27" w:name="_Toc26131"/>
      <w:bookmarkStart w:id="28" w:name="_Toc428278230"/>
      <w:bookmarkStart w:id="29" w:name="_Toc2439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绩效评价指标体系及绩效评价</w:t>
      </w:r>
      <w:bookmarkEnd w:id="25"/>
      <w:bookmarkEnd w:id="26"/>
      <w:bookmarkEnd w:id="27"/>
      <w:bookmarkEnd w:id="2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标准</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jc w:val="center"/>
        <w:rPr>
          <w:rFonts w:hint="default"/>
          <w:b/>
          <w:bCs/>
          <w:sz w:val="28"/>
          <w:szCs w:val="28"/>
          <w:lang w:val="en-US" w:eastAsia="zh-CN"/>
        </w:rPr>
      </w:pPr>
      <w:r>
        <w:rPr>
          <w:rFonts w:hint="eastAsia"/>
          <w:b/>
          <w:bCs/>
          <w:sz w:val="28"/>
          <w:szCs w:val="28"/>
          <w:lang w:val="zh-TW" w:eastAsia="zh-TW"/>
        </w:rPr>
        <w:t>项目绩效评价指标体系</w:t>
      </w:r>
    </w:p>
    <w:tbl>
      <w:tblPr>
        <w:tblStyle w:val="11"/>
        <w:tblW w:w="8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①项目立项是否符合国家法律法规、国民经济发展规划和相关政策；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②项目立项是否符合行业发展规划和政策要求；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③项目立项是否与部门职责范围相符，属于部门履职所需；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⑤项目是否与相关部门同类项目或部门内部相关项目重复。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②审批文件、材料是否符合相关要求；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（如未设定预算绩效目标，也可考核其他工作任务目标）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①项目是否有绩效目标；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②项目绩效目标与实际工作内容是否具有相关性；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③项目预期产出效益和效果是否符合正常的业绩水平；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④是否与预算确定的项目投资额或资金量相匹配。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②是否通过清晰、可衡量的指标值予以体现；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③是否与项目目标任务数或计划数相对应。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①预算编制是否经过科学论证；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②预算内容与项目内容是否匹配；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③预算额度测算依据是否充分，是否按照标准编制；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④预算确定的项目投资额或资金量是否与工作任务相匹配。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①预算资金分配依据是否充分；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②资金分配额度是否合理，与项目单位或地方实际是否相适应。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资金到位率=（实际到位资金/预算资金）×100%。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实际到位资金：一定时期（本年度或项目期）内落实到具体项目的资金。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预算资金：一定时期（本年度或项目期）内预算安排到具体项目的资金。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预算执行率=（实际支出资金/实际到位资金）×100%。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实际支出资金：一定时期（本年度或项目期）内项目实际拨付的资金。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②资金的拨付是否有完整的审批程序和手续；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③是否符合项目预算批复或合同规定的用途；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①是否已制定或具有相应的财务和业务管理制度；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②项目调整及支出调整手续是否完备；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tbl>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0" w:name="_Toc994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评价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方法</w:t>
      </w:r>
      <w:bookmarkEnd w:id="3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000000" w:themeColor="text1"/>
          <w:highlight w:val="none"/>
          <w:shd w:val="clear" w:color="auto" w:fill="auto"/>
          <w14:textFill>
            <w14:solidFill>
              <w14:schemeClr w14:val="tx1"/>
            </w14:solidFill>
          </w14:textFill>
        </w:rPr>
        <w:t>本次绩效评价采用的方法</w:t>
      </w:r>
      <w:r>
        <w:rPr>
          <w:rFonts w:hint="eastAsia" w:cs="宋体"/>
          <w:color w:val="000000" w:themeColor="text1"/>
          <w:highlight w:val="none"/>
          <w:shd w:val="clear" w:color="auto" w:fill="auto"/>
          <w:lang w:val="en-US" w:eastAsia="zh-CN"/>
          <w14:textFill>
            <w14:solidFill>
              <w14:schemeClr w14:val="tx1"/>
            </w14:solidFill>
          </w14:textFill>
        </w:rPr>
        <w:t>为</w:t>
      </w:r>
      <w:r>
        <w:rPr>
          <w:rFonts w:hint="eastAsia" w:ascii="宋体" w:hAnsi="宋体" w:eastAsia="宋体" w:cs="宋体"/>
          <w:color w:val="000000" w:themeColor="text1"/>
          <w:highlight w:val="none"/>
          <w:shd w:val="clear" w:color="auto" w:fill="auto"/>
          <w14:textFill>
            <w14:solidFill>
              <w14:schemeClr w14:val="tx1"/>
            </w14:solidFill>
          </w14:textFill>
        </w:rPr>
        <w:t>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对项目绩效目标</w:t>
      </w:r>
      <w:r>
        <w:rPr>
          <w:rFonts w:hint="eastAsia" w:cs="宋体"/>
          <w:color w:val="000000" w:themeColor="text1"/>
          <w:highlight w:val="none"/>
          <w:shd w:val="clear" w:color="auto" w:fill="auto"/>
          <w:lang w:val="en-US" w:eastAsia="zh-CN"/>
          <w14:textFill>
            <w14:solidFill>
              <w14:schemeClr w14:val="tx1"/>
            </w14:solidFill>
          </w14:textFill>
        </w:rPr>
        <w:t>预期目标值</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与实施情况进行比较，以及采取公众问卷及抽样调查等方式进行评判的方法对</w:t>
      </w:r>
      <w:r>
        <w:rPr>
          <w:rFonts w:hint="eastAsia" w:ascii="宋体" w:hAnsi="宋体" w:eastAsia="宋体" w:cs="宋体"/>
          <w:color w:val="auto"/>
          <w:highlight w:val="none"/>
          <w:shd w:val="clear" w:color="auto" w:fill="auto"/>
          <w:lang w:val="en-US" w:eastAsia="zh-CN"/>
        </w:rPr>
        <w:t>自主就业退役士兵一次性经济补助项目进行评价。</w:t>
      </w:r>
    </w:p>
    <w:p>
      <w:pPr>
        <w:pStyle w:val="5"/>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1" w:name="_Toc2539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4.评价标准</w:t>
      </w:r>
      <w:bookmarkEnd w:id="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pP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（4）财政部门和预算部门确认或认可的其他标准。</w:t>
      </w:r>
    </w:p>
    <w:p>
      <w:pPr>
        <w:pStyle w:val="5"/>
        <w:outlineLvl w:val="1"/>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2" w:name="_Toc1070"/>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（三）绩效评价工作过程</w:t>
      </w:r>
      <w:bookmarkEnd w:id="32"/>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3" w:name="_Toc1286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1.前期准备</w:t>
      </w:r>
      <w:bookmarkEnd w:id="33"/>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4" w:name="_Toc3157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（2）开展前期调研</w:t>
      </w:r>
      <w:bookmarkEnd w:id="34"/>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5" w:name="_Toc21240"/>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绩效评价项目小组依据此次绩效评价受委托内容，对拟评价的项目实施前期调研。通过调研对</w:t>
      </w:r>
      <w:r>
        <w:rPr>
          <w:rFonts w:hint="eastAsia" w:ascii="宋体" w:hAnsi="宋体" w:eastAsia="宋体" w:cs="宋体"/>
          <w:b w:val="0"/>
          <w:bCs w:val="0"/>
          <w:color w:val="auto"/>
          <w:kern w:val="2"/>
          <w:sz w:val="28"/>
          <w:szCs w:val="24"/>
          <w:highlight w:val="none"/>
          <w:shd w:val="clear" w:color="auto" w:fill="auto"/>
          <w:lang w:val="en-US" w:eastAsia="zh-CN" w:bidi="ar-SA"/>
        </w:rPr>
        <w:t>自主就业退役士兵一次性经济补助项目实施内容、目标信息、预算信息以及其他的一些项目基本信息，有了</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初步了解，为制定绩效评价工作方案做好准备。</w:t>
      </w:r>
      <w:bookmarkEnd w:id="35"/>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6" w:name="_Toc2797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（3）制订绩效评价工作方案</w:t>
      </w:r>
      <w:bookmarkEnd w:id="36"/>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7" w:name="_Toc196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bookmarkEnd w:id="37"/>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8" w:name="_Toc1135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2.具体实施</w:t>
      </w:r>
      <w:bookmarkEnd w:id="38"/>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9" w:name="_Toc141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（1）收集基础资料</w:t>
      </w:r>
      <w:bookmarkEnd w:id="39"/>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0" w:name="_Toc28524"/>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bookmarkEnd w:id="40"/>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1" w:name="_Toc32216"/>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bookmarkEnd w:id="41"/>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2" w:name="_Toc1050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②绩效目标及其设立依据和调整情况；</w:t>
      </w:r>
      <w:bookmarkEnd w:id="42"/>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3" w:name="_Toc2836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③管理措施及组织实施情况；</w:t>
      </w:r>
      <w:bookmarkEnd w:id="43"/>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4" w:name="_Toc1009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④被评价单位总结分析的绩效目标完成情况及绩效报告；</w:t>
      </w:r>
      <w:bookmarkEnd w:id="44"/>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5" w:name="_Toc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⑤与绩效评价相关的计划标准、行业标准、历史标准等；</w:t>
      </w:r>
      <w:bookmarkEnd w:id="45"/>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6" w:name="_Toc20059"/>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其他必要的相关资料等。</w:t>
      </w:r>
      <w:bookmarkEnd w:id="46"/>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7" w:name="_Toc319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（2）整理、研读基础资料</w:t>
      </w:r>
      <w:bookmarkEnd w:id="47"/>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8" w:name="_Toc16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9" w:name="_Toc3051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分析评价和撰写报告</w:t>
      </w:r>
      <w:bookmarkEnd w:id="49"/>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0" w:name="_Toc15974"/>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bookmarkEnd w:id="50"/>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1" w:name="_Toc4352"/>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bookmarkEnd w:id="51"/>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4"/>
          <w:highlight w:val="none"/>
          <w:shd w:val="clear" w:color="auto" w:fill="auto"/>
          <w:lang w:val="en-US" w:eastAsia="zh-CN" w:bidi="ar-SA"/>
          <w14:textFill>
            <w14:solidFill>
              <w14:schemeClr w14:val="tx1"/>
            </w14:solidFill>
          </w14:textFill>
        </w:rPr>
      </w:pPr>
      <w:bookmarkStart w:id="52" w:name="_Toc2623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事项、专家咨询意见和有关说明等</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并征求意见。之后，对所征求的意见及时地进行收集和整理。</w:t>
      </w:r>
      <w:bookmarkEnd w:id="52"/>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3" w:name="_Toc277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）撰写报告</w:t>
      </w:r>
      <w:bookmarkEnd w:id="53"/>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4" w:name="_Toc1557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形成评价结果。</w:t>
      </w:r>
      <w:bookmarkEnd w:id="54"/>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55" w:name="_Toc110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b/>
          <w:bCs/>
          <w:color w:val="000000" w:themeColor="text1"/>
          <w:highlight w:val="none"/>
          <w:shd w:val="clear" w:color="auto" w:fill="auto"/>
          <w14:textFill>
            <w14:solidFill>
              <w14:schemeClr w14:val="tx1"/>
            </w14:solidFill>
          </w14:textFill>
        </w:rPr>
        <w:t>综合评价情况及评价结论</w:t>
      </w:r>
      <w:bookmarkEnd w:id="5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ascii="宋体" w:hAnsi="宋体" w:eastAsia="宋体" w:cs="宋体"/>
          <w:b w:val="0"/>
          <w:bCs w:val="0"/>
          <w:color w:val="auto"/>
          <w:kern w:val="2"/>
          <w:sz w:val="28"/>
          <w:szCs w:val="24"/>
          <w:highlight w:val="none"/>
          <w:shd w:val="clear" w:color="auto" w:fill="auto"/>
          <w:lang w:val="en-US" w:eastAsia="zh-CN" w:bidi="ar-SA"/>
        </w:rPr>
        <w:t>自主就业退役士兵一次性经济补助</w:t>
      </w:r>
      <w:r>
        <w:rPr>
          <w:rFonts w:hint="eastAsia" w:ascii="宋体" w:hAnsi="宋体" w:eastAsia="宋体" w:cs="宋体"/>
          <w:color w:val="auto"/>
          <w:highlight w:val="none"/>
          <w:shd w:val="clear" w:color="auto" w:fill="auto"/>
          <w:lang w:eastAsia="zh-CN"/>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99.8</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tblInd w:w="0" w:type="dxa"/>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tblLayout w:type="fixed"/>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表3-1：</w:t>
            </w:r>
            <w:r>
              <w:rPr>
                <w:rFonts w:hint="eastAsia" w:ascii="宋体" w:hAnsi="宋体" w:eastAsia="宋体" w:cs="宋体"/>
                <w:b/>
                <w:bCs/>
                <w:color w:val="auto"/>
                <w:kern w:val="2"/>
                <w:sz w:val="28"/>
                <w:szCs w:val="24"/>
                <w:highlight w:val="none"/>
                <w:shd w:val="clear" w:color="auto" w:fill="auto"/>
                <w:lang w:val="en-US" w:eastAsia="zh-CN" w:bidi="ar-SA"/>
              </w:rPr>
              <w:t>自主就业退役士兵一次性经济补助</w:t>
            </w:r>
            <w:r>
              <w:rPr>
                <w:rFonts w:hint="eastAsia" w:cs="宋体"/>
                <w:b/>
                <w:bCs/>
                <w:color w:val="auto"/>
                <w:kern w:val="2"/>
                <w:sz w:val="28"/>
                <w:szCs w:val="24"/>
                <w:highlight w:val="none"/>
                <w:shd w:val="clear" w:color="auto" w:fill="auto"/>
                <w:lang w:val="en-US" w:eastAsia="zh-CN" w:bidi="ar-SA"/>
              </w:rPr>
              <w:t>项目</w:t>
            </w:r>
            <w:r>
              <w:rPr>
                <w:rFonts w:hint="eastAsia" w:ascii="宋体" w:hAnsi="宋体" w:eastAsia="宋体" w:cs="宋体"/>
                <w:b/>
                <w:bCs/>
                <w:color w:val="auto"/>
                <w:kern w:val="0"/>
                <w:sz w:val="28"/>
                <w:szCs w:val="28"/>
                <w:highlight w:val="none"/>
                <w:shd w:val="clear" w:color="auto" w:fill="auto"/>
                <w:lang w:val="en-US" w:eastAsia="zh-CN"/>
              </w:rPr>
              <w:t>得分表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合计</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19.8</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99.8</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99.8</w:t>
            </w:r>
            <w:r>
              <w:rPr>
                <w:rFonts w:hint="eastAsia" w:ascii="宋体" w:hAnsi="宋体" w:eastAsia="宋体" w:cs="宋体"/>
                <w:color w:val="auto"/>
                <w:kern w:val="0"/>
                <w:sz w:val="21"/>
                <w:szCs w:val="21"/>
                <w:highlight w:val="none"/>
                <w:shd w:val="clear" w:color="auto" w:fill="auto"/>
                <w:lang w:val="en-US" w:eastAsia="zh-CN"/>
              </w:rPr>
              <w:t>%</w:t>
            </w:r>
          </w:p>
        </w:tc>
      </w:tr>
    </w:tbl>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56" w:name="_Toc9421"/>
      <w:r>
        <w:rPr>
          <w:rFonts w:hint="eastAsia" w:ascii="宋体" w:hAnsi="宋体" w:eastAsia="宋体" w:cs="宋体"/>
          <w:b/>
          <w:bCs/>
          <w:color w:val="auto"/>
          <w:highlight w:val="none"/>
          <w:shd w:val="clear" w:color="auto" w:fill="auto"/>
          <w:lang w:val="en-US" w:eastAsia="zh-CN"/>
        </w:rPr>
        <w:t>四、绩效评价指标分析</w:t>
      </w:r>
      <w:bookmarkEnd w:id="56"/>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7" w:name="_Toc15355"/>
      <w:r>
        <w:rPr>
          <w:rFonts w:hint="eastAsia" w:ascii="宋体" w:hAnsi="宋体" w:eastAsia="宋体" w:cs="宋体"/>
          <w:color w:val="000000" w:themeColor="text1"/>
          <w:highlight w:val="none"/>
          <w:shd w:val="clear" w:color="auto" w:fill="auto"/>
          <w14:textFill>
            <w14:solidFill>
              <w14:schemeClr w14:val="tx1"/>
            </w14:solidFill>
          </w14:textFill>
        </w:rPr>
        <w:t>（一）项目决策情况</w:t>
      </w:r>
      <w:bookmarkEnd w:id="57"/>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19.8</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11"/>
        <w:tblW w:w="8447" w:type="dxa"/>
        <w:jc w:val="center"/>
        <w:tblInd w:w="0" w:type="dxa"/>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tblPrEx>
          <w:tblLayout w:type="fixed"/>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2.8</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Layout w:type="fixed"/>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19.8</w:t>
            </w:r>
          </w:p>
        </w:tc>
      </w:tr>
    </w:tbl>
    <w:p>
      <w:pPr>
        <w:bidi w:val="0"/>
        <w:outlineLvl w:val="2"/>
        <w:rPr>
          <w:rFonts w:hint="default"/>
          <w:b/>
          <w:bCs/>
          <w:lang w:val="en-US" w:eastAsia="zh-CN"/>
        </w:rPr>
      </w:pPr>
      <w:bookmarkStart w:id="58" w:name="_Toc13522"/>
      <w:r>
        <w:rPr>
          <w:rFonts w:hint="eastAsia"/>
          <w:b/>
          <w:bCs/>
          <w:lang w:val="en-US" w:eastAsia="zh-CN"/>
        </w:rPr>
        <w:t>1.立项依据充分性</w:t>
      </w:r>
      <w:bookmarkEnd w:id="58"/>
    </w:p>
    <w:p>
      <w:pPr>
        <w:bidi w:val="0"/>
        <w:rPr>
          <w:rFonts w:hint="eastAsia"/>
          <w:lang w:eastAsia="zh-CN"/>
        </w:rPr>
      </w:pPr>
      <w:r>
        <w:rPr>
          <w:rFonts w:hint="eastAsia"/>
          <w:lang w:eastAsia="zh-CN"/>
        </w:rPr>
        <w:t>①项目立项符合</w:t>
      </w:r>
      <w:r>
        <w:rPr>
          <w:rFonts w:hint="eastAsia"/>
          <w:lang w:val="en-US" w:eastAsia="zh-CN"/>
        </w:rPr>
        <w:t>《关于进一步加强退役士兵安置工作的实施意见》（新政办发[2016]19号）等</w:t>
      </w:r>
      <w:r>
        <w:rPr>
          <w:rFonts w:hint="eastAsia"/>
          <w:lang w:eastAsia="zh-CN"/>
        </w:rPr>
        <w:t>国家法律法规、国民经济发展规划和相关政策；</w:t>
      </w:r>
    </w:p>
    <w:p>
      <w:pPr>
        <w:bidi w:val="0"/>
        <w:rPr>
          <w:rFonts w:hint="eastAsia" w:cs="宋体"/>
          <w:color w:val="auto"/>
          <w:highlight w:val="none"/>
          <w:shd w:val="clear" w:color="auto" w:fill="auto"/>
          <w:lang w:val="en-US" w:eastAsia="zh-CN"/>
        </w:rPr>
      </w:pPr>
      <w:r>
        <w:rPr>
          <w:rFonts w:hint="eastAsia"/>
          <w:lang w:eastAsia="zh-CN"/>
        </w:rPr>
        <w:t>②项目立项符合</w:t>
      </w:r>
      <w:r>
        <w:rPr>
          <w:rFonts w:hint="eastAsia" w:cs="宋体"/>
          <w:color w:val="auto"/>
          <w:highlight w:val="none"/>
          <w:shd w:val="clear" w:color="auto" w:fill="auto"/>
          <w:lang w:val="en-US" w:eastAsia="zh-CN"/>
        </w:rPr>
        <w:t>《关于印发&lt;新疆维吾尔自治区自助就业退役士兵一次性经济补助发放管理办法&gt;的通知》文件要求。</w:t>
      </w:r>
    </w:p>
    <w:p>
      <w:pPr>
        <w:bidi w:val="0"/>
        <w:rPr>
          <w:rFonts w:hint="eastAsia"/>
          <w:lang w:eastAsia="zh-CN"/>
        </w:rPr>
      </w:pPr>
      <w:r>
        <w:rPr>
          <w:rFonts w:hint="eastAsia"/>
          <w:lang w:eastAsia="zh-CN"/>
        </w:rPr>
        <w:t>③项目立项与</w:t>
      </w:r>
      <w:r>
        <w:rPr>
          <w:rFonts w:hint="eastAsia"/>
          <w:lang w:val="en-US" w:eastAsia="zh-CN"/>
        </w:rPr>
        <w:t>协调落实就业创业、优待帮扶、权益保障、数据信息采集等有关政策措施，组织实施退役军人适应性培训和职业教育、技能培训;协助做好辖区内单位退役军人组织关系、行政关系、供给关系转接和档案移交，搭建政策咨询、沟通联系、学习交流等活动场所开展精准帮扶援助、矛盾化解和思想稳定工作;报告有关政策落实等工作</w:t>
      </w:r>
      <w:r>
        <w:rPr>
          <w:rFonts w:hint="eastAsia"/>
          <w:lang w:eastAsia="zh-CN"/>
        </w:rPr>
        <w:t>相符，属于部门履职所需；</w:t>
      </w:r>
    </w:p>
    <w:p>
      <w:pPr>
        <w:bidi w:val="0"/>
        <w:rPr>
          <w:rFonts w:hint="eastAsia"/>
          <w:lang w:eastAsia="zh-CN"/>
        </w:rPr>
      </w:pPr>
      <w:r>
        <w:rPr>
          <w:rFonts w:hint="eastAsia"/>
          <w:lang w:eastAsia="zh-CN"/>
        </w:rPr>
        <w:t>④项目属于公共财政支持范围，符合中央、地方事权支出责任划分原则；</w:t>
      </w:r>
    </w:p>
    <w:p>
      <w:pPr>
        <w:bidi w:val="0"/>
        <w:rPr>
          <w:rFonts w:hint="eastAsia"/>
          <w:lang w:eastAsia="zh-CN"/>
        </w:rPr>
      </w:pPr>
      <w:r>
        <w:rPr>
          <w:rFonts w:hint="eastAsia"/>
          <w:lang w:eastAsia="zh-CN"/>
        </w:rPr>
        <w:t>⑤项目与相关部门同类项目或部门内部相关项目</w:t>
      </w:r>
      <w:r>
        <w:rPr>
          <w:rFonts w:hint="eastAsia"/>
          <w:lang w:val="en-US" w:eastAsia="zh-CN"/>
        </w:rPr>
        <w:t>不</w:t>
      </w:r>
      <w:r>
        <w:rPr>
          <w:rFonts w:hint="eastAsia"/>
          <w:lang w:eastAsia="zh-CN"/>
        </w:rPr>
        <w:t>重复。</w:t>
      </w:r>
    </w:p>
    <w:p>
      <w:pPr>
        <w:bidi w:val="0"/>
        <w:rPr>
          <w:rFonts w:hint="default"/>
          <w:color w:val="auto"/>
          <w:lang w:val="en-US" w:eastAsia="zh-CN"/>
        </w:rPr>
      </w:pPr>
      <w:r>
        <w:rPr>
          <w:rFonts w:hint="eastAsia"/>
          <w:b/>
          <w:bCs/>
          <w:color w:val="auto"/>
          <w:lang w:val="en-US" w:eastAsia="zh-CN"/>
        </w:rPr>
        <w:t>综上，该项指标满分2分，得分2分。</w:t>
      </w:r>
    </w:p>
    <w:p>
      <w:pPr>
        <w:bidi w:val="0"/>
        <w:outlineLvl w:val="2"/>
        <w:rPr>
          <w:rFonts w:hint="default"/>
          <w:b/>
          <w:bCs/>
          <w:color w:val="auto"/>
          <w:lang w:val="en-US" w:eastAsia="zh-CN"/>
        </w:rPr>
      </w:pPr>
      <w:bookmarkStart w:id="59" w:name="_Toc21976"/>
      <w:r>
        <w:rPr>
          <w:rFonts w:hint="eastAsia"/>
          <w:b/>
          <w:bCs/>
          <w:color w:val="auto"/>
          <w:lang w:val="en-US" w:eastAsia="zh-CN"/>
        </w:rPr>
        <w:t>2.立项程序规范性</w:t>
      </w:r>
      <w:bookmarkEnd w:id="59"/>
    </w:p>
    <w:p>
      <w:pPr>
        <w:bidi w:val="0"/>
        <w:rPr>
          <w:rFonts w:hint="eastAsia"/>
          <w:lang w:eastAsia="zh-CN"/>
        </w:rPr>
      </w:pPr>
      <w:r>
        <w:rPr>
          <w:rFonts w:hint="eastAsia"/>
          <w:lang w:eastAsia="zh-CN"/>
        </w:rPr>
        <w:t>①项目按照规定的程序申请设立；</w:t>
      </w:r>
    </w:p>
    <w:p>
      <w:pPr>
        <w:bidi w:val="0"/>
        <w:rPr>
          <w:rFonts w:hint="eastAsia"/>
          <w:color w:val="auto"/>
          <w:highlight w:val="none"/>
          <w:lang w:eastAsia="zh-CN"/>
        </w:rPr>
      </w:pPr>
      <w:r>
        <w:rPr>
          <w:rFonts w:hint="eastAsia"/>
          <w:color w:val="auto"/>
          <w:highlight w:val="none"/>
          <w:lang w:eastAsia="zh-CN"/>
        </w:rPr>
        <w:t>②审批文件、材料符合相关要求；</w:t>
      </w:r>
    </w:p>
    <w:p>
      <w:pPr>
        <w:bidi w:val="0"/>
        <w:rPr>
          <w:rFonts w:hint="default"/>
          <w:color w:val="auto"/>
          <w:highlight w:val="none"/>
          <w:lang w:val="en-US" w:eastAsia="zh-CN"/>
        </w:rPr>
      </w:pPr>
      <w:r>
        <w:rPr>
          <w:rFonts w:hint="eastAsia"/>
          <w:color w:val="auto"/>
          <w:highlight w:val="none"/>
          <w:lang w:eastAsia="zh-CN"/>
        </w:rPr>
        <w:t>③事前</w:t>
      </w:r>
      <w:r>
        <w:rPr>
          <w:rFonts w:hint="eastAsia"/>
          <w:color w:val="auto"/>
          <w:highlight w:val="none"/>
          <w:lang w:val="en-US" w:eastAsia="zh-CN"/>
        </w:rPr>
        <w:t>已</w:t>
      </w:r>
      <w:r>
        <w:rPr>
          <w:rFonts w:hint="eastAsia"/>
          <w:color w:val="auto"/>
          <w:highlight w:val="none"/>
          <w:lang w:eastAsia="zh-CN"/>
        </w:rPr>
        <w:t>经过必要的可行性研究、专家论证、风险评估、集体决策，</w:t>
      </w:r>
      <w:r>
        <w:rPr>
          <w:rFonts w:hint="eastAsia"/>
          <w:color w:val="auto"/>
          <w:highlight w:val="none"/>
          <w:lang w:val="en-US" w:eastAsia="zh-CN"/>
        </w:rPr>
        <w:t>未进行</w:t>
      </w:r>
      <w:r>
        <w:rPr>
          <w:rFonts w:hint="eastAsia"/>
          <w:color w:val="auto"/>
          <w:highlight w:val="none"/>
          <w:lang w:eastAsia="zh-CN"/>
        </w:rPr>
        <w:t>绩效评估，</w:t>
      </w:r>
      <w:r>
        <w:rPr>
          <w:rFonts w:hint="eastAsia"/>
          <w:color w:val="auto"/>
          <w:highlight w:val="none"/>
          <w:lang w:val="en-US" w:eastAsia="zh-CN"/>
        </w:rPr>
        <w:t>扣0.2分。</w:t>
      </w:r>
    </w:p>
    <w:p>
      <w:pPr>
        <w:bidi w:val="0"/>
        <w:rPr>
          <w:rFonts w:hint="eastAsia"/>
          <w:color w:val="auto"/>
          <w:highlight w:val="none"/>
          <w:lang w:eastAsia="zh-CN"/>
        </w:rPr>
      </w:pPr>
      <w:r>
        <w:rPr>
          <w:rFonts w:hint="eastAsia"/>
          <w:b/>
          <w:bCs/>
          <w:color w:val="auto"/>
          <w:highlight w:val="none"/>
          <w:lang w:val="en-US" w:eastAsia="zh-CN"/>
        </w:rPr>
        <w:t>综上，该项指标满分3分，得分2.8分。</w:t>
      </w:r>
    </w:p>
    <w:p>
      <w:pPr>
        <w:bidi w:val="0"/>
        <w:outlineLvl w:val="2"/>
        <w:rPr>
          <w:rFonts w:hint="default"/>
          <w:b/>
          <w:bCs/>
          <w:color w:val="auto"/>
          <w:highlight w:val="none"/>
          <w:lang w:val="en-US" w:eastAsia="zh-CN"/>
        </w:rPr>
      </w:pPr>
      <w:bookmarkStart w:id="60" w:name="_Toc15382"/>
      <w:r>
        <w:rPr>
          <w:rFonts w:hint="eastAsia"/>
          <w:b/>
          <w:bCs/>
          <w:color w:val="auto"/>
          <w:highlight w:val="none"/>
          <w:lang w:val="en-US" w:eastAsia="zh-CN"/>
        </w:rPr>
        <w:t>3.绩效目标合理性</w:t>
      </w:r>
      <w:bookmarkEnd w:id="60"/>
    </w:p>
    <w:p>
      <w:pPr>
        <w:bidi w:val="0"/>
        <w:rPr>
          <w:rFonts w:hint="eastAsia"/>
          <w:highlight w:val="none"/>
          <w:lang w:eastAsia="zh-CN"/>
        </w:rPr>
      </w:pPr>
      <w:r>
        <w:rPr>
          <w:rFonts w:hint="eastAsia"/>
          <w:highlight w:val="none"/>
          <w:lang w:eastAsia="zh-CN"/>
        </w:rPr>
        <w:t>①项目有绩效目标；</w:t>
      </w:r>
    </w:p>
    <w:p>
      <w:pPr>
        <w:bidi w:val="0"/>
        <w:rPr>
          <w:rFonts w:hint="eastAsia"/>
          <w:lang w:eastAsia="zh-CN"/>
        </w:rPr>
      </w:pPr>
      <w:r>
        <w:rPr>
          <w:rFonts w:hint="eastAsia"/>
          <w:highlight w:val="none"/>
          <w:lang w:eastAsia="zh-CN"/>
        </w:rPr>
        <w:t>②项目绩效目标与实际</w:t>
      </w:r>
      <w:r>
        <w:rPr>
          <w:rFonts w:hint="eastAsia"/>
          <w:lang w:eastAsia="zh-CN"/>
        </w:rPr>
        <w:t>工作内容具有相关性；</w:t>
      </w:r>
    </w:p>
    <w:p>
      <w:pPr>
        <w:bidi w:val="0"/>
        <w:rPr>
          <w:rFonts w:hint="eastAsia"/>
          <w:lang w:eastAsia="zh-CN"/>
        </w:rPr>
      </w:pPr>
      <w:r>
        <w:rPr>
          <w:rFonts w:hint="eastAsia"/>
          <w:lang w:eastAsia="zh-CN"/>
        </w:rPr>
        <w:t>③项目预期产出效益和效果符合正常的业绩水平；</w:t>
      </w:r>
    </w:p>
    <w:p>
      <w:pPr>
        <w:bidi w:val="0"/>
        <w:rPr>
          <w:rFonts w:hint="eastAsia"/>
          <w:lang w:eastAsia="zh-CN"/>
        </w:rPr>
      </w:pPr>
      <w:r>
        <w:rPr>
          <w:rFonts w:hint="eastAsia"/>
          <w:lang w:eastAsia="zh-CN"/>
        </w:rPr>
        <w:t>④与预算确定的项目投资额或资金量相匹配。</w:t>
      </w:r>
    </w:p>
    <w:p>
      <w:pPr>
        <w:bidi w:val="0"/>
        <w:rPr>
          <w:rFonts w:hint="eastAsia"/>
          <w:color w:val="auto"/>
          <w:lang w:eastAsia="zh-CN"/>
        </w:rPr>
      </w:pPr>
      <w:r>
        <w:rPr>
          <w:rFonts w:hint="eastAsia"/>
          <w:b/>
          <w:bCs/>
          <w:color w:val="auto"/>
          <w:lang w:val="en-US" w:eastAsia="zh-CN"/>
        </w:rPr>
        <w:t>综上，该项指标满分5分，得分5分。</w:t>
      </w:r>
    </w:p>
    <w:p>
      <w:pPr>
        <w:bidi w:val="0"/>
        <w:outlineLvl w:val="2"/>
        <w:rPr>
          <w:rFonts w:hint="default"/>
          <w:b/>
          <w:bCs/>
          <w:lang w:val="en-US" w:eastAsia="zh-CN"/>
        </w:rPr>
      </w:pPr>
      <w:bookmarkStart w:id="61" w:name="_Toc10650"/>
      <w:r>
        <w:rPr>
          <w:rFonts w:hint="eastAsia"/>
          <w:b/>
          <w:bCs/>
          <w:lang w:val="en-US" w:eastAsia="zh-CN"/>
        </w:rPr>
        <w:t>4.绩效指标明确性</w:t>
      </w:r>
      <w:bookmarkEnd w:id="61"/>
    </w:p>
    <w:p>
      <w:pPr>
        <w:bidi w:val="0"/>
        <w:rPr>
          <w:rFonts w:hint="eastAsia"/>
          <w:lang w:eastAsia="zh-CN"/>
        </w:rPr>
      </w:pPr>
      <w:r>
        <w:rPr>
          <w:rFonts w:hint="eastAsia"/>
          <w:lang w:eastAsia="zh-CN"/>
        </w:rPr>
        <w:t>①将项目绩效目标细化分解为具体的绩效指标；</w:t>
      </w:r>
    </w:p>
    <w:p>
      <w:pPr>
        <w:bidi w:val="0"/>
        <w:rPr>
          <w:rFonts w:hint="eastAsia"/>
          <w:lang w:eastAsia="zh-CN"/>
        </w:rPr>
      </w:pPr>
      <w:r>
        <w:rPr>
          <w:rFonts w:hint="eastAsia"/>
          <w:lang w:eastAsia="zh-CN"/>
        </w:rPr>
        <w:t>②通过清晰、可衡量的指标值予以体现；</w:t>
      </w:r>
    </w:p>
    <w:p>
      <w:pPr>
        <w:bidi w:val="0"/>
        <w:rPr>
          <w:rFonts w:hint="eastAsia"/>
          <w:lang w:eastAsia="zh-CN"/>
        </w:rPr>
      </w:pPr>
      <w:r>
        <w:rPr>
          <w:rFonts w:hint="eastAsia"/>
          <w:lang w:eastAsia="zh-CN"/>
        </w:rPr>
        <w:t>③与项目目标任务数或计划数相对应。</w:t>
      </w:r>
    </w:p>
    <w:p>
      <w:pPr>
        <w:bidi w:val="0"/>
        <w:rPr>
          <w:rFonts w:hint="eastAsia"/>
          <w:color w:val="auto"/>
          <w:lang w:eastAsia="zh-CN"/>
        </w:rPr>
      </w:pPr>
      <w:r>
        <w:rPr>
          <w:rFonts w:hint="eastAsia"/>
          <w:b/>
          <w:bCs/>
          <w:color w:val="auto"/>
          <w:lang w:val="en-US" w:eastAsia="zh-CN"/>
        </w:rPr>
        <w:t>综上，该项指标满分5分，得分5分。</w:t>
      </w:r>
    </w:p>
    <w:p>
      <w:pPr>
        <w:bidi w:val="0"/>
        <w:outlineLvl w:val="2"/>
        <w:rPr>
          <w:rFonts w:hint="default"/>
          <w:b/>
          <w:bCs/>
          <w:lang w:val="en-US" w:eastAsia="zh-CN"/>
        </w:rPr>
      </w:pPr>
      <w:bookmarkStart w:id="62" w:name="_Toc19401"/>
      <w:r>
        <w:rPr>
          <w:rFonts w:hint="eastAsia"/>
          <w:b/>
          <w:bCs/>
          <w:lang w:val="en-US" w:eastAsia="zh-CN"/>
        </w:rPr>
        <w:t>5.预算编制科学性</w:t>
      </w:r>
      <w:bookmarkEnd w:id="62"/>
    </w:p>
    <w:p>
      <w:pPr>
        <w:bidi w:val="0"/>
        <w:rPr>
          <w:rFonts w:hint="eastAsia"/>
          <w:lang w:eastAsia="zh-CN"/>
        </w:rPr>
      </w:pPr>
      <w:r>
        <w:rPr>
          <w:rFonts w:hint="eastAsia"/>
          <w:lang w:eastAsia="zh-CN"/>
        </w:rPr>
        <w:t>①预算编制经过科学论证；</w:t>
      </w:r>
    </w:p>
    <w:p>
      <w:pPr>
        <w:bidi w:val="0"/>
        <w:rPr>
          <w:rFonts w:hint="eastAsia"/>
          <w:lang w:eastAsia="zh-CN"/>
        </w:rPr>
      </w:pPr>
      <w:r>
        <w:rPr>
          <w:rFonts w:hint="eastAsia"/>
          <w:lang w:eastAsia="zh-CN"/>
        </w:rPr>
        <w:t>②预算内容与项目内容匹配；</w:t>
      </w:r>
    </w:p>
    <w:p>
      <w:pPr>
        <w:bidi w:val="0"/>
        <w:rPr>
          <w:rFonts w:hint="eastAsia"/>
          <w:lang w:eastAsia="zh-CN"/>
        </w:rPr>
      </w:pPr>
      <w:r>
        <w:rPr>
          <w:rFonts w:hint="eastAsia"/>
          <w:lang w:eastAsia="zh-CN"/>
        </w:rPr>
        <w:t>③预算额度测算依据充分，按照</w:t>
      </w:r>
      <w:r>
        <w:rPr>
          <w:rFonts w:hint="eastAsia"/>
          <w:highlight w:val="none"/>
          <w:lang w:eastAsia="zh-CN"/>
        </w:rPr>
        <w:t>上年度退役士兵人数</w:t>
      </w:r>
      <w:r>
        <w:rPr>
          <w:rFonts w:hint="eastAsia"/>
          <w:lang w:eastAsia="zh-CN"/>
        </w:rPr>
        <w:t>编制；</w:t>
      </w:r>
    </w:p>
    <w:p>
      <w:pPr>
        <w:bidi w:val="0"/>
        <w:rPr>
          <w:rFonts w:hint="eastAsia"/>
          <w:lang w:eastAsia="zh-CN"/>
        </w:rPr>
      </w:pPr>
      <w:r>
        <w:rPr>
          <w:rFonts w:hint="eastAsia"/>
          <w:lang w:eastAsia="zh-CN"/>
        </w:rPr>
        <w:t>④预算确定的项目投资额或资金量与工作任务相匹配。</w:t>
      </w:r>
    </w:p>
    <w:p>
      <w:pPr>
        <w:bidi w:val="0"/>
        <w:rPr>
          <w:rFonts w:hint="eastAsia"/>
          <w:lang w:eastAsia="zh-CN"/>
        </w:rPr>
      </w:pPr>
      <w:r>
        <w:rPr>
          <w:rFonts w:hint="eastAsia"/>
          <w:b/>
          <w:bCs/>
          <w:lang w:val="en-US" w:eastAsia="zh-CN"/>
        </w:rPr>
        <w:t>综上，该项指标</w:t>
      </w:r>
      <w:r>
        <w:rPr>
          <w:rFonts w:hint="eastAsia"/>
          <w:b/>
          <w:bCs/>
          <w:color w:val="auto"/>
          <w:lang w:val="en-US" w:eastAsia="zh-CN"/>
        </w:rPr>
        <w:t>满分2分，得分2分。</w:t>
      </w:r>
    </w:p>
    <w:p>
      <w:pPr>
        <w:bidi w:val="0"/>
        <w:outlineLvl w:val="2"/>
        <w:rPr>
          <w:rFonts w:hint="default"/>
          <w:b/>
          <w:bCs/>
          <w:lang w:val="en-US" w:eastAsia="zh-CN"/>
        </w:rPr>
      </w:pPr>
      <w:bookmarkStart w:id="63" w:name="_Toc697"/>
      <w:r>
        <w:rPr>
          <w:rFonts w:hint="eastAsia"/>
          <w:b/>
          <w:bCs/>
          <w:lang w:val="en-US" w:eastAsia="zh-CN"/>
        </w:rPr>
        <w:t>6.资金分配合理性</w:t>
      </w:r>
      <w:bookmarkEnd w:id="63"/>
    </w:p>
    <w:p>
      <w:pPr>
        <w:bidi w:val="0"/>
        <w:rPr>
          <w:rFonts w:hint="eastAsia"/>
          <w:lang w:eastAsia="zh-CN"/>
        </w:rPr>
      </w:pPr>
      <w:r>
        <w:rPr>
          <w:rFonts w:hint="eastAsia"/>
          <w:lang w:eastAsia="zh-CN"/>
        </w:rPr>
        <w:t>①预算资金分配依据报道退役士兵人数充分有力；</w:t>
      </w:r>
    </w:p>
    <w:p>
      <w:pPr>
        <w:bidi w:val="0"/>
        <w:rPr>
          <w:rFonts w:hint="eastAsia"/>
          <w:lang w:eastAsia="zh-CN"/>
        </w:rPr>
      </w:pPr>
      <w:r>
        <w:rPr>
          <w:rFonts w:hint="eastAsia"/>
          <w:lang w:eastAsia="zh-CN"/>
        </w:rPr>
        <w:t>②资金分配额度合理，与项目单位或地方实际相适应。</w:t>
      </w:r>
    </w:p>
    <w:p>
      <w:pPr>
        <w:bidi w:val="0"/>
        <w:rPr>
          <w:rFonts w:hint="eastAsia"/>
          <w:color w:val="auto"/>
          <w:lang w:eastAsia="zh-CN"/>
        </w:rPr>
      </w:pPr>
      <w:r>
        <w:rPr>
          <w:rFonts w:hint="eastAsia"/>
          <w:b/>
          <w:bCs/>
          <w:color w:val="auto"/>
          <w:lang w:val="en-US" w:eastAsia="zh-CN"/>
        </w:rPr>
        <w:t>综上，该项指标满分3分，得分3分。</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4" w:name="_Toc11361"/>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项目过程情况</w:t>
      </w:r>
      <w:bookmarkEnd w:id="64"/>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17" w:type="dxa"/>
        <w:jc w:val="center"/>
        <w:tblInd w:w="0" w:type="dxa"/>
        <w:tblLayout w:type="fixed"/>
        <w:tblCellMar>
          <w:top w:w="0" w:type="dxa"/>
          <w:left w:w="0" w:type="dxa"/>
          <w:bottom w:w="0" w:type="dxa"/>
          <w:right w:w="0" w:type="dxa"/>
        </w:tblCellMar>
      </w:tblPr>
      <w:tblGrid>
        <w:gridCol w:w="1182"/>
        <w:gridCol w:w="738"/>
        <w:gridCol w:w="1248"/>
        <w:gridCol w:w="1176"/>
        <w:gridCol w:w="1833"/>
        <w:gridCol w:w="987"/>
        <w:gridCol w:w="1153"/>
      </w:tblGrid>
      <w:tr>
        <w:tblPrEx>
          <w:tblLayout w:type="fixed"/>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Layout w:type="fixed"/>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outlineLvl w:val="2"/>
        <w:rPr>
          <w:rFonts w:hint="default"/>
          <w:b/>
          <w:bCs/>
          <w:color w:val="FF0000"/>
          <w:lang w:val="en-US" w:eastAsia="zh-CN"/>
        </w:rPr>
      </w:pPr>
      <w:bookmarkStart w:id="65" w:name="_Toc3886"/>
      <w:r>
        <w:rPr>
          <w:rFonts w:hint="eastAsia"/>
          <w:b/>
          <w:bCs/>
          <w:lang w:val="en-US" w:eastAsia="zh-CN"/>
        </w:rPr>
        <w:t>1.资金到位率</w:t>
      </w:r>
      <w:bookmarkEnd w:id="65"/>
    </w:p>
    <w:p>
      <w:pPr>
        <w:bidi w:val="0"/>
        <w:rPr>
          <w:rFonts w:hint="default"/>
          <w:b w:val="0"/>
          <w:bCs w:val="0"/>
          <w:color w:val="auto"/>
          <w:lang w:val="en-US" w:eastAsia="zh-CN"/>
        </w:rPr>
      </w:pPr>
      <w:r>
        <w:rPr>
          <w:rFonts w:hint="eastAsia"/>
          <w:color w:val="auto"/>
          <w:lang w:eastAsia="zh-CN"/>
        </w:rPr>
        <w:t>资金到位率=（</w:t>
      </w:r>
      <w:r>
        <w:rPr>
          <w:rFonts w:hint="eastAsia"/>
          <w:color w:val="auto"/>
          <w:lang w:val="en-US" w:eastAsia="zh-CN"/>
        </w:rPr>
        <w:t>219.45万元</w:t>
      </w:r>
      <w:r>
        <w:rPr>
          <w:rFonts w:hint="eastAsia"/>
          <w:color w:val="auto"/>
          <w:lang w:eastAsia="zh-CN"/>
        </w:rPr>
        <w:t>/</w:t>
      </w:r>
      <w:r>
        <w:rPr>
          <w:rFonts w:hint="eastAsia"/>
          <w:color w:val="auto"/>
          <w:lang w:val="en-US" w:eastAsia="zh-CN"/>
        </w:rPr>
        <w:t>219.45万元</w:t>
      </w:r>
      <w:r>
        <w:rPr>
          <w:rFonts w:hint="eastAsia"/>
          <w:b w:val="0"/>
          <w:bCs w:val="0"/>
          <w:color w:val="auto"/>
          <w:lang w:eastAsia="zh-CN"/>
        </w:rPr>
        <w:t>）×100%。</w:t>
      </w:r>
      <w:r>
        <w:rPr>
          <w:rFonts w:hint="eastAsia"/>
          <w:b w:val="0"/>
          <w:bCs w:val="0"/>
          <w:color w:val="auto"/>
          <w:lang w:val="en-US" w:eastAsia="zh-CN"/>
        </w:rPr>
        <w:t>=100%</w:t>
      </w:r>
    </w:p>
    <w:p>
      <w:pPr>
        <w:bidi w:val="0"/>
        <w:rPr>
          <w:rFonts w:hint="eastAsia"/>
          <w:color w:val="auto"/>
          <w:lang w:eastAsia="zh-CN"/>
        </w:rPr>
      </w:pPr>
      <w:r>
        <w:rPr>
          <w:rFonts w:hint="eastAsia"/>
          <w:b/>
          <w:bCs/>
          <w:color w:val="auto"/>
          <w:lang w:val="en-US" w:eastAsia="zh-CN"/>
        </w:rPr>
        <w:t>综上，该项指标满分4分，得分4分。</w:t>
      </w:r>
    </w:p>
    <w:p>
      <w:pPr>
        <w:bidi w:val="0"/>
        <w:outlineLvl w:val="2"/>
        <w:rPr>
          <w:rFonts w:hint="default"/>
          <w:b/>
          <w:bCs/>
          <w:color w:val="auto"/>
          <w:lang w:val="en-US" w:eastAsia="zh-CN"/>
        </w:rPr>
      </w:pPr>
      <w:bookmarkStart w:id="66" w:name="_Toc9705"/>
      <w:r>
        <w:rPr>
          <w:rFonts w:hint="eastAsia"/>
          <w:b/>
          <w:bCs/>
          <w:color w:val="auto"/>
          <w:lang w:val="en-US" w:eastAsia="zh-CN"/>
        </w:rPr>
        <w:t>2.预算执行率</w:t>
      </w:r>
      <w:bookmarkEnd w:id="66"/>
    </w:p>
    <w:p>
      <w:pPr>
        <w:bidi w:val="0"/>
        <w:rPr>
          <w:rFonts w:hint="default"/>
          <w:color w:val="auto"/>
          <w:lang w:val="en-US" w:eastAsia="zh-CN"/>
        </w:rPr>
      </w:pPr>
      <w:r>
        <w:rPr>
          <w:rFonts w:hint="eastAsia"/>
          <w:color w:val="auto"/>
          <w:lang w:eastAsia="zh-CN"/>
        </w:rPr>
        <w:t>预算执行率=（</w:t>
      </w:r>
      <w:r>
        <w:rPr>
          <w:rFonts w:hint="eastAsia"/>
          <w:color w:val="auto"/>
          <w:lang w:val="en-US" w:eastAsia="zh-CN"/>
        </w:rPr>
        <w:t>219.45万元</w:t>
      </w:r>
      <w:r>
        <w:rPr>
          <w:rFonts w:hint="eastAsia"/>
          <w:color w:val="auto"/>
          <w:lang w:eastAsia="zh-CN"/>
        </w:rPr>
        <w:t>/</w:t>
      </w:r>
      <w:r>
        <w:rPr>
          <w:rFonts w:hint="eastAsia"/>
          <w:color w:val="auto"/>
          <w:lang w:val="en-US" w:eastAsia="zh-CN"/>
        </w:rPr>
        <w:t>219.45万元</w:t>
      </w:r>
      <w:r>
        <w:rPr>
          <w:rFonts w:hint="eastAsia"/>
          <w:b w:val="0"/>
          <w:bCs w:val="0"/>
          <w:color w:val="auto"/>
          <w:lang w:eastAsia="zh-CN"/>
        </w:rPr>
        <w:t>）×100%。</w:t>
      </w:r>
      <w:r>
        <w:rPr>
          <w:rFonts w:hint="eastAsia"/>
          <w:b w:val="0"/>
          <w:bCs w:val="0"/>
          <w:color w:val="auto"/>
          <w:lang w:val="en-US" w:eastAsia="zh-CN"/>
        </w:rPr>
        <w:t>=100%</w:t>
      </w:r>
    </w:p>
    <w:p>
      <w:pPr>
        <w:bidi w:val="0"/>
        <w:rPr>
          <w:rFonts w:hint="eastAsia"/>
          <w:color w:val="auto"/>
          <w:lang w:eastAsia="zh-CN"/>
        </w:rPr>
      </w:pPr>
      <w:r>
        <w:rPr>
          <w:rFonts w:hint="eastAsia"/>
          <w:b/>
          <w:bCs/>
          <w:color w:val="auto"/>
          <w:lang w:val="en-US" w:eastAsia="zh-CN"/>
        </w:rPr>
        <w:t>综上，该项指标满分4分，得分4分。</w:t>
      </w:r>
    </w:p>
    <w:p>
      <w:pPr>
        <w:bidi w:val="0"/>
        <w:outlineLvl w:val="2"/>
        <w:rPr>
          <w:rFonts w:hint="default"/>
          <w:b/>
          <w:bCs/>
          <w:color w:val="auto"/>
          <w:lang w:val="en-US" w:eastAsia="zh-CN"/>
        </w:rPr>
      </w:pPr>
      <w:bookmarkStart w:id="67" w:name="_Toc18691"/>
      <w:r>
        <w:rPr>
          <w:rFonts w:hint="eastAsia"/>
          <w:b/>
          <w:bCs/>
          <w:color w:val="auto"/>
          <w:lang w:val="en-US" w:eastAsia="zh-CN"/>
        </w:rPr>
        <w:t>3.资金使用合规性</w:t>
      </w:r>
      <w:bookmarkEnd w:id="67"/>
    </w:p>
    <w:p>
      <w:pPr>
        <w:bidi w:val="0"/>
        <w:rPr>
          <w:rFonts w:hint="eastAsia"/>
          <w:color w:val="auto"/>
          <w:highlight w:val="none"/>
          <w:lang w:eastAsia="zh-CN"/>
        </w:rPr>
      </w:pPr>
      <w:r>
        <w:rPr>
          <w:rFonts w:hint="eastAsia"/>
          <w:lang w:eastAsia="zh-CN"/>
        </w:rPr>
        <w:t>①符合</w:t>
      </w:r>
      <w:r>
        <w:rPr>
          <w:rFonts w:hint="eastAsia"/>
          <w:color w:val="auto"/>
          <w:highlight w:val="none"/>
          <w:lang w:val="en-US" w:eastAsia="zh-CN"/>
        </w:rPr>
        <w:t>阜康</w:t>
      </w:r>
      <w:r>
        <w:rPr>
          <w:rFonts w:hint="eastAsia" w:ascii="宋体" w:hAnsi="宋体" w:eastAsia="宋体" w:cs="宋体"/>
          <w:b w:val="0"/>
          <w:bCs w:val="0"/>
          <w:color w:val="auto"/>
          <w:sz w:val="28"/>
          <w:szCs w:val="28"/>
          <w:highlight w:val="none"/>
          <w:shd w:val="clear" w:color="auto" w:fill="auto"/>
          <w:lang w:val="en-US" w:eastAsia="zh-CN"/>
        </w:rPr>
        <w:t>市</w:t>
      </w:r>
      <w:r>
        <w:rPr>
          <w:rFonts w:hint="eastAsia" w:cs="宋体"/>
          <w:b w:val="0"/>
          <w:bCs w:val="0"/>
          <w:color w:val="auto"/>
          <w:sz w:val="28"/>
          <w:szCs w:val="28"/>
          <w:highlight w:val="none"/>
          <w:shd w:val="clear" w:color="auto" w:fill="auto"/>
          <w:lang w:val="en-US" w:eastAsia="zh-CN"/>
        </w:rPr>
        <w:t>退役军人事务局</w:t>
      </w:r>
      <w:r>
        <w:rPr>
          <w:rFonts w:hint="eastAsia"/>
          <w:color w:val="auto"/>
          <w:highlight w:val="none"/>
        </w:rPr>
        <w:t>根据国家相关法规和内部控制等制度文件汇编，</w:t>
      </w:r>
      <w:r>
        <w:rPr>
          <w:rFonts w:hint="eastAsia"/>
          <w:color w:val="auto"/>
          <w:highlight w:val="none"/>
          <w:lang w:eastAsia="zh-CN"/>
        </w:rPr>
        <w:t>我</w:t>
      </w:r>
      <w:r>
        <w:rPr>
          <w:rFonts w:hint="eastAsia"/>
          <w:color w:val="auto"/>
          <w:highlight w:val="none"/>
          <w:lang w:val="en-US" w:eastAsia="zh-CN"/>
        </w:rPr>
        <w:t>单位</w:t>
      </w:r>
      <w:r>
        <w:rPr>
          <w:rFonts w:hint="eastAsia"/>
          <w:color w:val="auto"/>
          <w:highlight w:val="none"/>
        </w:rPr>
        <w:t>建立《</w:t>
      </w:r>
      <w:r>
        <w:rPr>
          <w:rFonts w:hint="eastAsia" w:ascii="宋体" w:hAnsi="宋体" w:eastAsia="宋体" w:cs="宋体"/>
          <w:b w:val="0"/>
          <w:bCs w:val="0"/>
          <w:color w:val="auto"/>
          <w:sz w:val="28"/>
          <w:szCs w:val="28"/>
          <w:highlight w:val="none"/>
          <w:shd w:val="clear" w:color="auto" w:fill="auto"/>
          <w:lang w:val="en-US" w:eastAsia="zh-CN"/>
        </w:rPr>
        <w:t>阜康市</w:t>
      </w:r>
      <w:r>
        <w:rPr>
          <w:rFonts w:hint="eastAsia" w:cs="宋体"/>
          <w:b w:val="0"/>
          <w:bCs w:val="0"/>
          <w:color w:val="auto"/>
          <w:sz w:val="28"/>
          <w:szCs w:val="28"/>
          <w:highlight w:val="none"/>
          <w:shd w:val="clear" w:color="auto" w:fill="auto"/>
          <w:lang w:val="en-US" w:eastAsia="zh-CN"/>
        </w:rPr>
        <w:t>退役军人事务局</w:t>
      </w:r>
      <w:r>
        <w:rPr>
          <w:rFonts w:hint="eastAsia"/>
          <w:color w:val="auto"/>
          <w:highlight w:val="none"/>
        </w:rPr>
        <w:t>内部会计管理制度汇编》、</w:t>
      </w:r>
      <w:r>
        <w:rPr>
          <w:rFonts w:hint="eastAsia"/>
          <w:color w:val="auto"/>
          <w:highlight w:val="none"/>
          <w:lang w:eastAsia="zh-CN"/>
        </w:rPr>
        <w:t>《</w:t>
      </w:r>
      <w:r>
        <w:rPr>
          <w:rFonts w:hint="eastAsia" w:ascii="宋体" w:hAnsi="宋体" w:eastAsia="宋体" w:cs="宋体"/>
          <w:b w:val="0"/>
          <w:bCs w:val="0"/>
          <w:color w:val="auto"/>
          <w:sz w:val="28"/>
          <w:szCs w:val="28"/>
          <w:highlight w:val="none"/>
          <w:shd w:val="clear" w:color="auto" w:fill="auto"/>
          <w:lang w:val="en-US" w:eastAsia="zh-CN"/>
        </w:rPr>
        <w:t>阜康市</w:t>
      </w:r>
      <w:r>
        <w:rPr>
          <w:rFonts w:hint="eastAsia" w:cs="宋体"/>
          <w:b w:val="0"/>
          <w:bCs w:val="0"/>
          <w:color w:val="auto"/>
          <w:sz w:val="28"/>
          <w:szCs w:val="28"/>
          <w:highlight w:val="none"/>
          <w:shd w:val="clear" w:color="auto" w:fill="auto"/>
          <w:lang w:val="en-US" w:eastAsia="zh-CN"/>
        </w:rPr>
        <w:t>退役军人事务局</w:t>
      </w:r>
      <w:r>
        <w:rPr>
          <w:rFonts w:hint="eastAsia"/>
          <w:color w:val="auto"/>
          <w:highlight w:val="none"/>
        </w:rPr>
        <w:t>“</w:t>
      </w:r>
      <w:bookmarkStart w:id="90" w:name="_GoBack"/>
      <w:r>
        <w:rPr>
          <w:rFonts w:hint="eastAsia"/>
          <w:color w:val="auto"/>
          <w:highlight w:val="none"/>
        </w:rPr>
        <w:t>三公</w:t>
      </w:r>
      <w:bookmarkEnd w:id="90"/>
      <w:r>
        <w:rPr>
          <w:rFonts w:hint="eastAsia"/>
          <w:color w:val="auto"/>
          <w:highlight w:val="none"/>
        </w:rPr>
        <w:t>”经费预算管理和公开制度</w:t>
      </w:r>
      <w:r>
        <w:rPr>
          <w:rFonts w:hint="eastAsia"/>
          <w:color w:val="auto"/>
          <w:highlight w:val="none"/>
          <w:lang w:eastAsia="zh-CN"/>
        </w:rPr>
        <w:t>》</w:t>
      </w:r>
      <w:r>
        <w:rPr>
          <w:rFonts w:hint="eastAsia"/>
          <w:color w:val="auto"/>
          <w:highlight w:val="none"/>
        </w:rPr>
        <w:t>等各项规章制度和工作程序，</w:t>
      </w:r>
      <w:r>
        <w:rPr>
          <w:rFonts w:hint="eastAsia"/>
          <w:color w:val="auto"/>
          <w:highlight w:val="none"/>
          <w:lang w:eastAsia="zh-CN"/>
        </w:rPr>
        <w:t>符合</w:t>
      </w:r>
      <w:r>
        <w:rPr>
          <w:rFonts w:hint="eastAsia"/>
          <w:color w:val="auto"/>
          <w:highlight w:val="none"/>
        </w:rPr>
        <w:t>从制度和</w:t>
      </w:r>
      <w:r>
        <w:rPr>
          <w:rFonts w:hint="eastAsia"/>
          <w:color w:val="auto"/>
          <w:highlight w:val="none"/>
          <w:lang w:eastAsia="zh-CN"/>
        </w:rPr>
        <w:t>财经法规和</w:t>
      </w:r>
      <w:r>
        <w:rPr>
          <w:rFonts w:hint="eastAsia"/>
          <w:color w:val="auto"/>
          <w:highlight w:val="none"/>
        </w:rPr>
        <w:t>《</w:t>
      </w:r>
      <w:r>
        <w:rPr>
          <w:rFonts w:hint="eastAsia" w:ascii="宋体" w:hAnsi="宋体" w:eastAsia="宋体" w:cs="宋体"/>
          <w:b w:val="0"/>
          <w:bCs w:val="0"/>
          <w:color w:val="auto"/>
          <w:sz w:val="28"/>
          <w:szCs w:val="28"/>
          <w:highlight w:val="none"/>
          <w:shd w:val="clear" w:color="auto" w:fill="auto"/>
          <w:lang w:val="en-US" w:eastAsia="zh-CN"/>
        </w:rPr>
        <w:t>阜康市</w:t>
      </w:r>
      <w:r>
        <w:rPr>
          <w:rFonts w:hint="eastAsia" w:cs="宋体"/>
          <w:b w:val="0"/>
          <w:bCs w:val="0"/>
          <w:color w:val="auto"/>
          <w:sz w:val="28"/>
          <w:szCs w:val="28"/>
          <w:highlight w:val="none"/>
          <w:shd w:val="clear" w:color="auto" w:fill="auto"/>
          <w:lang w:val="en-US" w:eastAsia="zh-CN"/>
        </w:rPr>
        <w:t>退役军人事务局</w:t>
      </w:r>
      <w:r>
        <w:rPr>
          <w:rFonts w:hint="eastAsia"/>
          <w:color w:val="auto"/>
          <w:highlight w:val="none"/>
        </w:rPr>
        <w:t>内部会计管理制度汇编》</w:t>
      </w:r>
      <w:r>
        <w:rPr>
          <w:rFonts w:hint="eastAsia"/>
          <w:color w:val="auto"/>
          <w:highlight w:val="none"/>
          <w:lang w:eastAsia="zh-CN"/>
        </w:rPr>
        <w:t>以及</w:t>
      </w:r>
      <w:r>
        <w:rPr>
          <w:rFonts w:hint="eastAsia" w:ascii="宋体" w:hAnsi="宋体" w:eastAsia="宋体" w:cs="宋体"/>
          <w:b w:val="0"/>
          <w:bCs w:val="0"/>
          <w:color w:val="auto"/>
          <w:sz w:val="28"/>
          <w:szCs w:val="36"/>
          <w:highlight w:val="none"/>
          <w:lang w:val="en-US" w:eastAsia="zh-CN"/>
        </w:rPr>
        <w:t>《自治区义务兵家庭优待金发放办法》的通知新政办发〔2012〕4号</w:t>
      </w:r>
      <w:r>
        <w:rPr>
          <w:rFonts w:hint="eastAsia"/>
          <w:color w:val="auto"/>
          <w:highlight w:val="none"/>
          <w:lang w:eastAsia="zh-CN"/>
        </w:rPr>
        <w:t>的规定</w:t>
      </w:r>
    </w:p>
    <w:p>
      <w:pPr>
        <w:bidi w:val="0"/>
        <w:rPr>
          <w:rFonts w:hint="eastAsia"/>
          <w:lang w:eastAsia="zh-CN"/>
        </w:rPr>
      </w:pPr>
      <w:r>
        <w:rPr>
          <w:rFonts w:hint="eastAsia"/>
          <w:lang w:eastAsia="zh-CN"/>
        </w:rPr>
        <w:t>②资金的拨付有完整的审批程序和手续；</w:t>
      </w:r>
    </w:p>
    <w:p>
      <w:pPr>
        <w:bidi w:val="0"/>
        <w:rPr>
          <w:rFonts w:hint="eastAsia"/>
          <w:lang w:eastAsia="zh-CN"/>
        </w:rPr>
      </w:pPr>
      <w:r>
        <w:rPr>
          <w:rFonts w:hint="eastAsia"/>
          <w:lang w:eastAsia="zh-CN"/>
        </w:rPr>
        <w:t>③符合项目预算批复或合同规定的用途；</w:t>
      </w:r>
    </w:p>
    <w:p>
      <w:pPr>
        <w:bidi w:val="0"/>
        <w:rPr>
          <w:rFonts w:hint="eastAsia"/>
          <w:lang w:eastAsia="zh-CN"/>
        </w:rPr>
      </w:pPr>
      <w:r>
        <w:rPr>
          <w:rFonts w:hint="eastAsia"/>
          <w:lang w:eastAsia="zh-CN"/>
        </w:rPr>
        <w:t>④</w:t>
      </w:r>
      <w:r>
        <w:rPr>
          <w:rFonts w:hint="eastAsia"/>
          <w:lang w:val="en-US" w:eastAsia="zh-CN"/>
        </w:rPr>
        <w:t>不</w:t>
      </w:r>
      <w:r>
        <w:rPr>
          <w:rFonts w:hint="eastAsia"/>
          <w:lang w:eastAsia="zh-CN"/>
        </w:rPr>
        <w:t>存在截留、挤占、挪用、虚列支出等情况。</w:t>
      </w:r>
    </w:p>
    <w:p>
      <w:pPr>
        <w:bidi w:val="0"/>
        <w:rPr>
          <w:rFonts w:hint="eastAsia"/>
          <w:lang w:eastAsia="zh-CN"/>
        </w:rPr>
      </w:pPr>
      <w:r>
        <w:rPr>
          <w:rFonts w:hint="eastAsia"/>
          <w:b/>
          <w:bCs/>
          <w:lang w:val="en-US" w:eastAsia="zh-CN"/>
        </w:rPr>
        <w:t>综上，该项指标</w:t>
      </w:r>
      <w:r>
        <w:rPr>
          <w:rFonts w:hint="eastAsia"/>
          <w:b/>
          <w:bCs/>
          <w:color w:val="auto"/>
          <w:lang w:val="en-US" w:eastAsia="zh-CN"/>
        </w:rPr>
        <w:t>满分4分，得分4分。</w:t>
      </w:r>
    </w:p>
    <w:p>
      <w:pPr>
        <w:numPr>
          <w:ilvl w:val="0"/>
          <w:numId w:val="3"/>
        </w:numPr>
        <w:bidi w:val="0"/>
        <w:rPr>
          <w:rFonts w:hint="eastAsia"/>
          <w:b/>
          <w:bCs/>
          <w:lang w:val="en-US" w:eastAsia="zh-CN"/>
        </w:rPr>
      </w:pPr>
      <w:r>
        <w:rPr>
          <w:rFonts w:hint="eastAsia"/>
          <w:b/>
          <w:bCs/>
          <w:lang w:val="en-US" w:eastAsia="zh-CN"/>
        </w:rPr>
        <w:t>管理制度健全性</w:t>
      </w:r>
    </w:p>
    <w:p>
      <w:pPr>
        <w:numPr>
          <w:ilvl w:val="0"/>
          <w:numId w:val="0"/>
        </w:numPr>
        <w:bidi w:val="0"/>
        <w:ind w:firstLine="560" w:firstLineChars="200"/>
        <w:rPr>
          <w:rFonts w:hint="eastAsia"/>
          <w:color w:val="auto"/>
          <w:highlight w:val="none"/>
          <w:lang w:eastAsia="zh-CN"/>
        </w:rPr>
      </w:pPr>
      <w:r>
        <w:rPr>
          <w:rFonts w:hint="eastAsia"/>
          <w:color w:val="auto"/>
          <w:highlight w:val="none"/>
          <w:lang w:eastAsia="zh-CN"/>
        </w:rPr>
        <w:t>①符合阜康市</w:t>
      </w:r>
      <w:r>
        <w:rPr>
          <w:rFonts w:hint="eastAsia"/>
          <w:color w:val="auto"/>
          <w:highlight w:val="none"/>
          <w:lang w:val="en-US" w:eastAsia="zh-CN"/>
        </w:rPr>
        <w:t>退役军人事务局</w:t>
      </w:r>
      <w:r>
        <w:rPr>
          <w:rFonts w:hint="eastAsia"/>
          <w:color w:val="auto"/>
          <w:highlight w:val="none"/>
          <w:lang w:eastAsia="zh-CN"/>
        </w:rPr>
        <w:t>的《</w:t>
      </w:r>
      <w:r>
        <w:rPr>
          <w:rFonts w:hint="eastAsia"/>
          <w:color w:val="auto"/>
          <w:highlight w:val="none"/>
          <w:lang w:val="en-US" w:eastAsia="zh-CN"/>
        </w:rPr>
        <w:t>阜康市退役军人事务局</w:t>
      </w:r>
      <w:r>
        <w:rPr>
          <w:rFonts w:hint="eastAsia"/>
          <w:color w:val="auto"/>
          <w:highlight w:val="none"/>
          <w:lang w:eastAsia="zh-CN"/>
        </w:rPr>
        <w:t>财务</w:t>
      </w:r>
      <w:r>
        <w:rPr>
          <w:rFonts w:hint="eastAsia"/>
          <w:color w:val="auto"/>
          <w:highlight w:val="none"/>
          <w:lang w:val="en-US" w:eastAsia="zh-CN"/>
        </w:rPr>
        <w:t>收支</w:t>
      </w:r>
      <w:r>
        <w:rPr>
          <w:rFonts w:hint="eastAsia"/>
          <w:color w:val="auto"/>
          <w:highlight w:val="none"/>
          <w:lang w:eastAsia="zh-CN"/>
        </w:rPr>
        <w:t>管理制度》、</w:t>
      </w:r>
      <w:r>
        <w:rPr>
          <w:rFonts w:hint="eastAsia"/>
          <w:color w:val="auto"/>
          <w:highlight w:val="none"/>
        </w:rPr>
        <w:t>《</w:t>
      </w:r>
      <w:r>
        <w:rPr>
          <w:rFonts w:hint="eastAsia" w:ascii="宋体" w:hAnsi="宋体" w:eastAsia="宋体" w:cs="宋体"/>
          <w:b w:val="0"/>
          <w:bCs w:val="0"/>
          <w:color w:val="auto"/>
          <w:sz w:val="28"/>
          <w:szCs w:val="28"/>
          <w:highlight w:val="none"/>
          <w:shd w:val="clear" w:color="auto" w:fill="auto"/>
          <w:lang w:val="en-US" w:eastAsia="zh-CN"/>
        </w:rPr>
        <w:t>阜康市</w:t>
      </w:r>
      <w:r>
        <w:rPr>
          <w:rFonts w:hint="eastAsia" w:cs="宋体"/>
          <w:b w:val="0"/>
          <w:bCs w:val="0"/>
          <w:color w:val="auto"/>
          <w:sz w:val="28"/>
          <w:szCs w:val="28"/>
          <w:highlight w:val="none"/>
          <w:shd w:val="clear" w:color="auto" w:fill="auto"/>
          <w:lang w:val="en-US" w:eastAsia="zh-CN"/>
        </w:rPr>
        <w:t>退役军人事务局</w:t>
      </w:r>
      <w:r>
        <w:rPr>
          <w:rFonts w:hint="eastAsia"/>
          <w:color w:val="auto"/>
          <w:highlight w:val="none"/>
        </w:rPr>
        <w:t>内部会计管理制度汇编》</w:t>
      </w:r>
      <w:r>
        <w:rPr>
          <w:rFonts w:hint="eastAsia"/>
          <w:color w:val="auto"/>
          <w:highlight w:val="none"/>
          <w:lang w:eastAsia="zh-CN"/>
        </w:rPr>
        <w:t>；</w:t>
      </w:r>
    </w:p>
    <w:p>
      <w:pPr>
        <w:bidi w:val="0"/>
        <w:rPr>
          <w:rFonts w:hint="eastAsia"/>
          <w:color w:val="auto"/>
          <w:highlight w:val="none"/>
          <w:lang w:eastAsia="zh-CN"/>
        </w:rPr>
      </w:pPr>
      <w:r>
        <w:rPr>
          <w:rFonts w:hint="eastAsia"/>
          <w:color w:val="auto"/>
          <w:highlight w:val="none"/>
          <w:lang w:eastAsia="zh-CN"/>
        </w:rPr>
        <w:t>②财务和业务管理制度是合法、合规、完整。</w:t>
      </w:r>
    </w:p>
    <w:p>
      <w:pPr>
        <w:bidi w:val="0"/>
        <w:rPr>
          <w:rFonts w:hint="eastAsia"/>
          <w:color w:val="auto"/>
          <w:lang w:eastAsia="zh-CN"/>
        </w:rPr>
      </w:pPr>
      <w:r>
        <w:rPr>
          <w:rFonts w:hint="eastAsia"/>
          <w:b/>
          <w:bCs/>
          <w:color w:val="auto"/>
          <w:lang w:val="en-US" w:eastAsia="zh-CN"/>
        </w:rPr>
        <w:t>综上，该项指标满分4分，得分4分。</w:t>
      </w:r>
    </w:p>
    <w:p>
      <w:pPr>
        <w:bidi w:val="0"/>
        <w:ind w:left="1403" w:leftChars="200" w:hanging="843" w:hangingChars="300"/>
        <w:outlineLvl w:val="2"/>
        <w:rPr>
          <w:rFonts w:hint="eastAsia"/>
          <w:b/>
          <w:bCs/>
          <w:color w:val="auto"/>
          <w:lang w:val="en-US" w:eastAsia="zh-CN"/>
        </w:rPr>
      </w:pPr>
      <w:bookmarkStart w:id="68" w:name="_Toc31684"/>
      <w:r>
        <w:rPr>
          <w:rFonts w:hint="eastAsia"/>
          <w:b/>
          <w:bCs/>
          <w:color w:val="auto"/>
          <w:lang w:val="en-US" w:eastAsia="zh-CN"/>
        </w:rPr>
        <w:t>5.制度执行有效性</w:t>
      </w:r>
      <w:bookmarkEnd w:id="68"/>
    </w:p>
    <w:p>
      <w:pPr>
        <w:bidi w:val="0"/>
        <w:rPr>
          <w:rFonts w:hint="eastAsia"/>
          <w:lang w:eastAsia="zh-CN"/>
        </w:rPr>
      </w:pPr>
      <w:r>
        <w:rPr>
          <w:rFonts w:hint="eastAsia"/>
          <w:lang w:eastAsia="zh-CN"/>
        </w:rPr>
        <w:t>①遵守相关法律法规和相关管理规定；</w:t>
      </w:r>
    </w:p>
    <w:p>
      <w:pPr>
        <w:bidi w:val="0"/>
        <w:rPr>
          <w:rFonts w:hint="eastAsia"/>
          <w:lang w:eastAsia="zh-CN"/>
        </w:rPr>
      </w:pPr>
      <w:r>
        <w:rPr>
          <w:rFonts w:hint="eastAsia"/>
          <w:lang w:eastAsia="zh-CN"/>
        </w:rPr>
        <w:t>②项目调整及支出</w:t>
      </w:r>
      <w:r>
        <w:rPr>
          <w:rFonts w:hint="eastAsia"/>
          <w:color w:val="auto"/>
          <w:highlight w:val="none"/>
          <w:lang w:val="en-US" w:eastAsia="zh-CN"/>
        </w:rPr>
        <w:t>严格按照银行打卡、信息正确、</w:t>
      </w:r>
      <w:r>
        <w:rPr>
          <w:rFonts w:hint="eastAsia"/>
          <w:lang w:eastAsia="zh-CN"/>
        </w:rPr>
        <w:t>调整手续完备；</w:t>
      </w:r>
    </w:p>
    <w:p>
      <w:pPr>
        <w:bidi w:val="0"/>
        <w:rPr>
          <w:rFonts w:hint="eastAsia"/>
          <w:lang w:eastAsia="zh-CN"/>
        </w:rPr>
      </w:pPr>
      <w:r>
        <w:rPr>
          <w:rFonts w:hint="eastAsia"/>
          <w:lang w:eastAsia="zh-CN"/>
        </w:rPr>
        <w:t>③</w:t>
      </w:r>
      <w:r>
        <w:rPr>
          <w:rFonts w:hint="eastAsia"/>
          <w:color w:val="auto"/>
          <w:highlight w:val="none"/>
          <w:lang w:val="en-US" w:eastAsia="zh-CN"/>
        </w:rPr>
        <w:t>自主就业退役士兵一次性经济补助打款审核</w:t>
      </w:r>
      <w:r>
        <w:rPr>
          <w:rFonts w:hint="eastAsia"/>
          <w:color w:val="auto"/>
          <w:highlight w:val="none"/>
          <w:lang w:eastAsia="zh-CN"/>
        </w:rPr>
        <w:t>资料齐全并及时归档；</w:t>
      </w:r>
    </w:p>
    <w:p>
      <w:pPr>
        <w:bidi w:val="0"/>
        <w:rPr>
          <w:rFonts w:hint="eastAsia"/>
          <w:color w:val="auto"/>
          <w:lang w:eastAsia="zh-CN"/>
        </w:rPr>
      </w:pPr>
      <w:r>
        <w:rPr>
          <w:rFonts w:hint="eastAsia"/>
          <w:lang w:eastAsia="zh-CN"/>
        </w:rPr>
        <w:t>④项目实施的</w:t>
      </w:r>
      <w:r>
        <w:rPr>
          <w:rFonts w:hint="eastAsia"/>
          <w:color w:val="auto"/>
          <w:highlight w:val="none"/>
          <w:lang w:val="en-US" w:eastAsia="zh-CN"/>
        </w:rPr>
        <w:t>乡镇人员、业务</w:t>
      </w:r>
      <w:r>
        <w:rPr>
          <w:rFonts w:hint="eastAsia"/>
          <w:color w:val="auto"/>
          <w:highlight w:val="none"/>
          <w:lang w:eastAsia="zh-CN"/>
        </w:rPr>
        <w:t>人员、</w:t>
      </w:r>
      <w:r>
        <w:rPr>
          <w:rFonts w:hint="eastAsia"/>
          <w:color w:val="auto"/>
          <w:highlight w:val="none"/>
          <w:lang w:val="en-US" w:eastAsia="zh-CN"/>
        </w:rPr>
        <w:t>财务人员、领导审批</w:t>
      </w:r>
      <w:r>
        <w:rPr>
          <w:rFonts w:hint="eastAsia"/>
          <w:color w:val="auto"/>
          <w:highlight w:val="none"/>
          <w:lang w:eastAsia="zh-CN"/>
        </w:rPr>
        <w:t>信息支撑等落实到位。</w:t>
      </w:r>
    </w:p>
    <w:p>
      <w:pPr>
        <w:bidi w:val="0"/>
        <w:rPr>
          <w:rFonts w:hint="eastAsia"/>
          <w:lang w:eastAsia="zh-CN"/>
        </w:rPr>
      </w:pPr>
      <w:r>
        <w:rPr>
          <w:rFonts w:hint="eastAsia"/>
          <w:b/>
          <w:bCs/>
          <w:lang w:val="en-US" w:eastAsia="zh-CN"/>
        </w:rPr>
        <w:t>综上，该项指标满分</w:t>
      </w:r>
      <w:r>
        <w:rPr>
          <w:rFonts w:hint="eastAsia"/>
          <w:b/>
          <w:bCs/>
          <w:color w:val="auto"/>
          <w:lang w:val="en-US" w:eastAsia="zh-CN"/>
        </w:rPr>
        <w:t>4分，得分4分。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9" w:name="_Toc16268"/>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项目产出情况</w:t>
      </w:r>
      <w:bookmarkEnd w:id="69"/>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6</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4-3项目产出</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tblPrEx>
          <w:shd w:val="clear" w:color="auto" w:fill="auto"/>
          <w:tblLayout w:type="fixed"/>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指标得分</w:t>
            </w:r>
          </w:p>
        </w:tc>
      </w:tr>
      <w:tr>
        <w:tblPrEx>
          <w:shd w:val="clear" w:color="auto" w:fill="auto"/>
          <w:tblLayout w:type="fixed"/>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义务兵人数（人）</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≥37人</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37人</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Layout w:type="fixed"/>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士官人数（人）</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≥17人</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17人</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trHeight w:val="39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自主就业退役士兵生活补助工作完成率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Layout w:type="fixed"/>
          <w:tblCellMar>
            <w:top w:w="0" w:type="dxa"/>
            <w:left w:w="0" w:type="dxa"/>
            <w:bottom w:w="0" w:type="dxa"/>
            <w:right w:w="0" w:type="dxa"/>
          </w:tblCellMar>
        </w:tblPrEx>
        <w:trPr>
          <w:trHeight w:val="41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自主就业退役士兵生活补助及时发放率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Layout w:type="fixed"/>
          <w:tblCellMar>
            <w:top w:w="0" w:type="dxa"/>
            <w:left w:w="0" w:type="dxa"/>
            <w:bottom w:w="0" w:type="dxa"/>
            <w:right w:w="0" w:type="dxa"/>
          </w:tblCellMar>
        </w:tblPrEx>
        <w:trPr>
          <w:trHeight w:val="41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自主就业退役士兵经济补助完成截止时间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2023.12.31之前</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2023.12.31</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Layout w:type="fixed"/>
          <w:tblCellMar>
            <w:top w:w="0" w:type="dxa"/>
            <w:left w:w="0" w:type="dxa"/>
            <w:bottom w:w="0" w:type="dxa"/>
            <w:right w:w="0" w:type="dxa"/>
          </w:tblCellMar>
        </w:tblPrEx>
        <w:trPr>
          <w:trHeight w:val="42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自主就业退役士兵生活补助标准</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3.4万元/2年</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3.4万元/2年</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Layout w:type="fixed"/>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outlineLvl w:val="2"/>
        <w:rPr>
          <w:rFonts w:hint="eastAsia"/>
          <w:b/>
          <w:bCs/>
          <w:lang w:val="en-US" w:eastAsia="zh-CN"/>
        </w:rPr>
      </w:pPr>
      <w:bookmarkStart w:id="70" w:name="_Toc11067"/>
      <w:r>
        <w:rPr>
          <w:rFonts w:hint="eastAsia"/>
          <w:b/>
          <w:bCs/>
          <w:lang w:val="en-US" w:eastAsia="zh-CN"/>
        </w:rPr>
        <w:t>1.项目完成数量</w:t>
      </w:r>
      <w:bookmarkEnd w:id="70"/>
    </w:p>
    <w:p>
      <w:pPr>
        <w:bidi w:val="0"/>
        <w:rPr>
          <w:rFonts w:hint="eastAsia"/>
          <w:color w:val="auto"/>
          <w:lang w:val="en-US" w:eastAsia="zh-CN"/>
        </w:rPr>
      </w:pPr>
      <w:r>
        <w:rPr>
          <w:rFonts w:hint="eastAsia"/>
          <w:color w:val="auto"/>
          <w:lang w:eastAsia="zh-CN"/>
        </w:rPr>
        <w:t>“</w:t>
      </w:r>
      <w:r>
        <w:rPr>
          <w:rFonts w:hint="eastAsia"/>
          <w:color w:val="auto"/>
          <w:lang w:val="en-US" w:eastAsia="zh-CN"/>
        </w:rPr>
        <w:t>义务兵人数（人）</w:t>
      </w:r>
      <w:r>
        <w:rPr>
          <w:rFonts w:hint="eastAsia"/>
          <w:color w:val="auto"/>
          <w:lang w:eastAsia="zh-CN"/>
        </w:rPr>
        <w:t>”</w:t>
      </w:r>
      <w:r>
        <w:rPr>
          <w:rFonts w:hint="eastAsia"/>
          <w:color w:val="auto"/>
          <w:lang w:val="en-US" w:eastAsia="zh-CN"/>
        </w:rPr>
        <w:t>指标，预期目标值为≧37人，实际完成为37人。实际完成率=（37/37）×100%=100%。</w:t>
      </w:r>
    </w:p>
    <w:p>
      <w:pPr>
        <w:bidi w:val="0"/>
        <w:rPr>
          <w:rFonts w:hint="default"/>
          <w:color w:val="auto"/>
          <w:lang w:val="en-US" w:eastAsia="zh-CN"/>
        </w:rPr>
      </w:pPr>
      <w:r>
        <w:rPr>
          <w:rFonts w:hint="eastAsia"/>
          <w:color w:val="auto"/>
          <w:lang w:val="en-US" w:eastAsia="zh-CN"/>
        </w:rPr>
        <w:t>“士官人数（人）”指标，预期指标值为≧17人，实际完成为17人。实际完成率=（17/17）×100%=100%。</w:t>
      </w:r>
    </w:p>
    <w:p>
      <w:pPr>
        <w:bidi w:val="0"/>
        <w:ind w:left="0" w:leftChars="0" w:firstLine="560" w:firstLineChars="200"/>
        <w:rPr>
          <w:rFonts w:hint="eastAsia"/>
          <w:color w:val="auto"/>
          <w:lang w:eastAsia="zh-CN"/>
        </w:rPr>
      </w:pPr>
      <w:r>
        <w:rPr>
          <w:rFonts w:hint="eastAsia"/>
          <w:color w:val="auto"/>
          <w:lang w:eastAsia="zh-CN"/>
        </w:rPr>
        <w:t>“</w:t>
      </w:r>
      <w:r>
        <w:rPr>
          <w:rFonts w:hint="eastAsia"/>
          <w:b/>
          <w:bCs/>
          <w:color w:val="auto"/>
          <w:lang w:val="en-US" w:eastAsia="zh-CN"/>
        </w:rPr>
        <w:t>综上，该项指标满分10分，得分10分。</w:t>
      </w:r>
    </w:p>
    <w:p>
      <w:pPr>
        <w:bidi w:val="0"/>
        <w:outlineLvl w:val="2"/>
        <w:rPr>
          <w:rFonts w:hint="default"/>
          <w:b/>
          <w:bCs/>
          <w:color w:val="auto"/>
          <w:lang w:val="en-US" w:eastAsia="zh-CN"/>
        </w:rPr>
      </w:pPr>
      <w:bookmarkStart w:id="71" w:name="_Toc31739"/>
      <w:r>
        <w:rPr>
          <w:rFonts w:hint="eastAsia"/>
          <w:b/>
          <w:bCs/>
          <w:color w:val="auto"/>
          <w:lang w:val="en-US" w:eastAsia="zh-CN"/>
        </w:rPr>
        <w:t>2.项目完成质量</w:t>
      </w:r>
      <w:bookmarkEnd w:id="71"/>
    </w:p>
    <w:p>
      <w:pPr>
        <w:bidi w:val="0"/>
        <w:rPr>
          <w:rFonts w:hint="eastAsia"/>
          <w:color w:val="auto"/>
          <w:lang w:eastAsia="zh-CN"/>
        </w:rPr>
      </w:pPr>
      <w:r>
        <w:rPr>
          <w:rFonts w:hint="eastAsia"/>
          <w:color w:val="auto"/>
          <w:lang w:eastAsia="zh-CN"/>
        </w:rPr>
        <w:t>“</w:t>
      </w:r>
      <w:r>
        <w:rPr>
          <w:rFonts w:hint="eastAsia"/>
          <w:b/>
          <w:bCs/>
          <w:color w:val="auto"/>
          <w:lang w:val="en-US" w:eastAsia="zh-CN"/>
        </w:rPr>
        <w:t>自主就业退役士兵生活补助工作完成率”</w:t>
      </w:r>
      <w:r>
        <w:rPr>
          <w:rFonts w:hint="eastAsia"/>
          <w:color w:val="auto"/>
          <w:lang w:val="en-US" w:eastAsia="zh-CN"/>
        </w:rPr>
        <w:t>指标，预期指标值为100%，实际完成为100%。</w:t>
      </w:r>
    </w:p>
    <w:p>
      <w:pPr>
        <w:bidi w:val="0"/>
        <w:rPr>
          <w:rFonts w:hint="eastAsia"/>
          <w:color w:val="auto"/>
          <w:lang w:eastAsia="zh-CN"/>
        </w:rPr>
      </w:pPr>
      <w:r>
        <w:rPr>
          <w:rFonts w:hint="eastAsia"/>
          <w:b/>
          <w:bCs/>
          <w:color w:val="auto"/>
          <w:lang w:val="en-US" w:eastAsia="zh-CN"/>
        </w:rPr>
        <w:t>综上，该项指标满分5分，得分5分。</w:t>
      </w:r>
    </w:p>
    <w:p>
      <w:pPr>
        <w:bidi w:val="0"/>
        <w:outlineLvl w:val="2"/>
        <w:rPr>
          <w:rFonts w:hint="default"/>
          <w:b/>
          <w:bCs/>
          <w:color w:val="auto"/>
          <w:lang w:val="en-US" w:eastAsia="zh-CN"/>
        </w:rPr>
      </w:pPr>
      <w:bookmarkStart w:id="72" w:name="_Toc18307"/>
      <w:r>
        <w:rPr>
          <w:rFonts w:hint="eastAsia"/>
          <w:b/>
          <w:bCs/>
          <w:color w:val="auto"/>
          <w:lang w:val="en-US" w:eastAsia="zh-CN"/>
        </w:rPr>
        <w:t>3.项目完成时效</w:t>
      </w:r>
      <w:bookmarkEnd w:id="72"/>
    </w:p>
    <w:p>
      <w:pPr>
        <w:bidi w:val="0"/>
        <w:rPr>
          <w:rFonts w:hint="eastAsia"/>
          <w:color w:val="auto"/>
          <w:lang w:val="en-US" w:eastAsia="zh-CN"/>
        </w:rPr>
      </w:pPr>
      <w:r>
        <w:rPr>
          <w:rFonts w:hint="eastAsia"/>
          <w:color w:val="auto"/>
          <w:lang w:eastAsia="zh-CN"/>
        </w:rPr>
        <w:t>“</w:t>
      </w:r>
      <w:r>
        <w:rPr>
          <w:rFonts w:hint="eastAsia" w:ascii="宋体" w:hAnsi="宋体" w:eastAsia="宋体" w:cs="宋体"/>
          <w:color w:val="auto"/>
          <w:kern w:val="0"/>
          <w:sz w:val="28"/>
          <w:szCs w:val="28"/>
          <w:highlight w:val="none"/>
          <w:shd w:val="clear" w:color="auto" w:fill="auto"/>
          <w:lang w:val="en-US" w:eastAsia="zh-CN"/>
        </w:rPr>
        <w:t>自主就业退役士兵生活补助及时发放率</w:t>
      </w:r>
      <w:r>
        <w:rPr>
          <w:rFonts w:hint="eastAsia"/>
          <w:color w:val="auto"/>
          <w:lang w:eastAsia="zh-CN"/>
        </w:rPr>
        <w:t>”</w:t>
      </w:r>
      <w:r>
        <w:rPr>
          <w:rFonts w:hint="eastAsia"/>
          <w:color w:val="auto"/>
          <w:lang w:val="en-US" w:eastAsia="zh-CN"/>
        </w:rPr>
        <w:t>指标，预期目标值为100%，实际完成为100%。</w:t>
      </w:r>
    </w:p>
    <w:p>
      <w:pPr>
        <w:bidi w:val="0"/>
        <w:rPr>
          <w:rFonts w:hint="eastAsia"/>
          <w:color w:val="auto"/>
          <w:lang w:eastAsia="zh-CN"/>
        </w:rPr>
      </w:pPr>
      <w:r>
        <w:rPr>
          <w:rFonts w:hint="eastAsia"/>
          <w:color w:val="auto"/>
          <w:lang w:eastAsia="zh-CN"/>
        </w:rPr>
        <w:t>“</w:t>
      </w:r>
      <w:r>
        <w:rPr>
          <w:rFonts w:hint="eastAsia" w:ascii="宋体" w:hAnsi="宋体" w:eastAsia="宋体" w:cs="宋体"/>
          <w:color w:val="auto"/>
          <w:kern w:val="0"/>
          <w:sz w:val="28"/>
          <w:szCs w:val="28"/>
          <w:highlight w:val="none"/>
          <w:shd w:val="clear" w:color="auto" w:fill="auto"/>
          <w:lang w:val="en-US" w:eastAsia="zh-CN"/>
        </w:rPr>
        <w:t>自主就业退役士兵经济补助完成截止时间</w:t>
      </w:r>
      <w:r>
        <w:rPr>
          <w:rFonts w:hint="eastAsia"/>
          <w:color w:val="auto"/>
          <w:lang w:eastAsia="zh-CN"/>
        </w:rPr>
        <w:t>”</w:t>
      </w:r>
      <w:r>
        <w:rPr>
          <w:rFonts w:hint="eastAsia"/>
          <w:color w:val="auto"/>
          <w:lang w:val="en-US" w:eastAsia="zh-CN"/>
        </w:rPr>
        <w:t>指标，预期目标值为2023年12月31日之前，实际完成为2023年12月31日。</w:t>
      </w:r>
    </w:p>
    <w:p>
      <w:pPr>
        <w:bidi w:val="0"/>
        <w:ind w:left="0" w:leftChars="0" w:firstLine="562" w:firstLineChars="200"/>
        <w:rPr>
          <w:rFonts w:hint="eastAsia"/>
          <w:color w:val="auto"/>
          <w:lang w:eastAsia="zh-CN"/>
        </w:rPr>
      </w:pPr>
      <w:r>
        <w:rPr>
          <w:rFonts w:hint="eastAsia"/>
          <w:b/>
          <w:bCs/>
          <w:color w:val="auto"/>
          <w:lang w:val="en-US" w:eastAsia="zh-CN"/>
        </w:rPr>
        <w:t>综上，该项指标满分10分，得分10分。</w:t>
      </w:r>
    </w:p>
    <w:p>
      <w:pPr>
        <w:numPr>
          <w:ilvl w:val="0"/>
          <w:numId w:val="0"/>
        </w:numPr>
        <w:bidi w:val="0"/>
        <w:ind w:leftChars="200"/>
        <w:outlineLvl w:val="2"/>
        <w:rPr>
          <w:rFonts w:hint="eastAsia"/>
          <w:b/>
          <w:bCs/>
          <w:highlight w:val="none"/>
          <w:lang w:val="en-US" w:eastAsia="zh-CN"/>
        </w:rPr>
      </w:pPr>
      <w:bookmarkStart w:id="73" w:name="_Toc32765"/>
      <w:r>
        <w:rPr>
          <w:rFonts w:hint="eastAsia"/>
          <w:b/>
          <w:bCs/>
          <w:highlight w:val="none"/>
          <w:lang w:val="en-US" w:eastAsia="zh-CN"/>
        </w:rPr>
        <w:t>4.项目完成成本</w:t>
      </w:r>
      <w:bookmarkEnd w:id="73"/>
    </w:p>
    <w:p>
      <w:pPr>
        <w:bidi w:val="0"/>
        <w:rPr>
          <w:rFonts w:hint="eastAsia"/>
          <w:color w:val="auto"/>
          <w:lang w:val="en-US" w:eastAsia="zh-CN"/>
        </w:rPr>
      </w:pPr>
      <w:r>
        <w:rPr>
          <w:rFonts w:hint="eastAsia"/>
          <w:color w:val="auto"/>
          <w:lang w:val="en-US" w:eastAsia="zh-CN"/>
        </w:rPr>
        <w:t>“自主就业退役士兵生活补助标准”指标，预期目标值为3.4万元/2年，实际完成为3.4万元/2年。实际完成率=（3.4万元/2年/3.4万元/2年）×100%=100%。</w:t>
      </w:r>
    </w:p>
    <w:p>
      <w:pPr>
        <w:bidi w:val="0"/>
        <w:rPr>
          <w:rFonts w:hint="eastAsia"/>
          <w:color w:val="auto"/>
          <w:lang w:eastAsia="zh-CN"/>
        </w:rPr>
      </w:pPr>
      <w:r>
        <w:rPr>
          <w:rFonts w:hint="eastAsia"/>
          <w:b/>
          <w:bCs/>
          <w:color w:val="auto"/>
          <w:lang w:val="en-US" w:eastAsia="zh-CN"/>
        </w:rPr>
        <w:t>综上，该项指标满分5分，得分5分。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74" w:name="_Toc18446"/>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四</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项目效益情况</w:t>
      </w:r>
      <w:bookmarkEnd w:id="74"/>
    </w:p>
    <w:p>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4-4项目效益</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p>
      <w:pPr>
        <w:pageBreakBefore w:val="0"/>
        <w:widowControl w:val="0"/>
        <w:kinsoku/>
        <w:wordWrap/>
        <w:overflowPunct/>
        <w:topLinePunct w:val="0"/>
        <w:autoSpaceDE/>
        <w:autoSpaceDN/>
        <w:bidi w:val="0"/>
        <w:adjustRightInd/>
        <w:spacing w:line="360" w:lineRule="auto"/>
        <w:ind w:firstLine="560"/>
        <w:jc w:val="center"/>
        <w:textAlignment w:val="auto"/>
        <w:outlineLvl w:val="2"/>
        <w:rPr>
          <w:rFonts w:hint="eastAsia" w:cs="宋体"/>
          <w:b/>
          <w:bCs/>
          <w:color w:val="FF0000"/>
          <w:kern w:val="0"/>
          <w:sz w:val="28"/>
          <w:szCs w:val="28"/>
          <w:highlight w:val="none"/>
          <w:shd w:val="clear" w:color="auto" w:fill="auto"/>
          <w:lang w:val="en-US" w:eastAsia="zh-CN"/>
        </w:rPr>
      </w:pPr>
    </w:p>
    <w:tbl>
      <w:tblPr>
        <w:tblStyle w:val="11"/>
        <w:tblW w:w="8372" w:type="dxa"/>
        <w:jc w:val="center"/>
        <w:tblInd w:w="0" w:type="dxa"/>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shd w:val="clear" w:color="auto" w:fill="auto"/>
          <w:tblLayout w:type="fixed"/>
          <w:tblCellMar>
            <w:top w:w="0" w:type="dxa"/>
            <w:left w:w="0" w:type="dxa"/>
            <w:bottom w:w="0" w:type="dxa"/>
            <w:right w:w="0" w:type="dxa"/>
          </w:tblCellMar>
        </w:tblPrEx>
        <w:trPr>
          <w:trHeight w:val="840"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shd w:val="clear" w:color="auto" w:fill="auto"/>
          <w:tblLayout w:type="fixed"/>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提高退役士兵自主就业能力，改善其生活水平。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逐年改善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shd w:val="clear" w:color="auto" w:fill="auto"/>
          <w:tblLayout w:type="fixed"/>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促进退役士兵自主就业等方面得到保障、保障军队建设需要、促进社会和谐稳定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长期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shd w:val="clear" w:color="auto" w:fill="auto"/>
          <w:tblLayout w:type="fixed"/>
          <w:tblCellMar>
            <w:top w:w="0" w:type="dxa"/>
            <w:left w:w="0" w:type="dxa"/>
            <w:bottom w:w="0" w:type="dxa"/>
            <w:right w:w="0" w:type="dxa"/>
          </w:tblCellMar>
        </w:tblPrEx>
        <w:trPr>
          <w:trHeight w:val="423"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自主就业退役士兵满意度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shd w:val="clear" w:color="auto" w:fill="auto"/>
          <w:tblLayout w:type="fixed"/>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outlineLvl w:val="2"/>
        <w:rPr>
          <w:rFonts w:hint="default"/>
          <w:b/>
          <w:bCs/>
          <w:lang w:val="en-US" w:eastAsia="zh-CN"/>
        </w:rPr>
      </w:pPr>
      <w:bookmarkStart w:id="75" w:name="_Toc8010"/>
      <w:r>
        <w:rPr>
          <w:rFonts w:hint="eastAsia"/>
          <w:b/>
          <w:bCs/>
          <w:lang w:val="en-US" w:eastAsia="zh-CN"/>
        </w:rPr>
        <w:t>1.经济效益指标</w:t>
      </w:r>
      <w:bookmarkEnd w:id="75"/>
    </w:p>
    <w:p>
      <w:pPr>
        <w:bidi w:val="0"/>
        <w:rPr>
          <w:rFonts w:hint="eastAsia"/>
          <w:lang w:val="en-US" w:eastAsia="zh-CN"/>
        </w:rPr>
      </w:pPr>
      <w:r>
        <w:rPr>
          <w:rFonts w:hint="eastAsia"/>
          <w:lang w:val="en-US" w:eastAsia="zh-CN"/>
        </w:rPr>
        <w:t>本项目不涉及经济效益指标</w:t>
      </w:r>
    </w:p>
    <w:p>
      <w:pPr>
        <w:bidi w:val="0"/>
        <w:outlineLvl w:val="2"/>
        <w:rPr>
          <w:rFonts w:hint="eastAsia"/>
          <w:b/>
          <w:bCs/>
          <w:lang w:val="en-US" w:eastAsia="zh-CN"/>
        </w:rPr>
      </w:pPr>
      <w:bookmarkStart w:id="76" w:name="_Toc27006"/>
      <w:r>
        <w:rPr>
          <w:rFonts w:hint="eastAsia"/>
          <w:b/>
          <w:bCs/>
          <w:lang w:val="en-US" w:eastAsia="zh-CN"/>
        </w:rPr>
        <w:t>2.社会效益指标</w:t>
      </w:r>
      <w:bookmarkEnd w:id="76"/>
    </w:p>
    <w:p>
      <w:pPr>
        <w:bidi w:val="0"/>
        <w:rPr>
          <w:rFonts w:hint="eastAsia"/>
          <w:b w:val="0"/>
          <w:bCs w:val="0"/>
          <w:color w:val="auto"/>
          <w:lang w:val="en-US" w:eastAsia="zh-CN"/>
        </w:rPr>
      </w:pPr>
      <w:r>
        <w:rPr>
          <w:rFonts w:hint="eastAsia"/>
          <w:lang w:val="en-US" w:eastAsia="zh-CN"/>
        </w:rPr>
        <w:t>“提高退役士兵自主就业能力，改善其生活水平”指标，预期目</w:t>
      </w:r>
      <w:r>
        <w:rPr>
          <w:rFonts w:hint="eastAsia"/>
          <w:color w:val="auto"/>
          <w:lang w:val="en-US" w:eastAsia="zh-CN"/>
        </w:rPr>
        <w:t>标值为逐年改善，实际完成为100%。</w:t>
      </w:r>
    </w:p>
    <w:p>
      <w:pPr>
        <w:bidi w:val="0"/>
        <w:rPr>
          <w:rFonts w:hint="eastAsia"/>
          <w:b w:val="0"/>
          <w:bCs w:val="0"/>
          <w:color w:val="auto"/>
          <w:lang w:val="en-US" w:eastAsia="zh-CN"/>
        </w:rPr>
      </w:pPr>
      <w:r>
        <w:rPr>
          <w:rFonts w:hint="eastAsia"/>
          <w:color w:val="auto"/>
          <w:lang w:val="en-US" w:eastAsia="zh-CN"/>
        </w:rPr>
        <w:t>“促进退役士兵自主就业等方面得到保障、保障军队建设需要、促进社会和谐稳定”指标，预期目标值为长期，实际完成为100%。</w:t>
      </w:r>
    </w:p>
    <w:p>
      <w:pPr>
        <w:bidi w:val="0"/>
        <w:rPr>
          <w:rFonts w:hint="default"/>
          <w:b w:val="0"/>
          <w:bCs w:val="0"/>
          <w:color w:val="auto"/>
          <w:lang w:val="en-US" w:eastAsia="zh-CN"/>
        </w:rPr>
      </w:pPr>
      <w:r>
        <w:rPr>
          <w:rFonts w:hint="eastAsia"/>
          <w:b w:val="0"/>
          <w:bCs w:val="0"/>
          <w:color w:val="auto"/>
          <w:lang w:val="en-US" w:eastAsia="zh-CN"/>
        </w:rPr>
        <w:t>通过项目的实施，提高退役士兵就业能力，改善了退役士兵生活水平。</w:t>
      </w:r>
    </w:p>
    <w:p>
      <w:pPr>
        <w:bidi w:val="0"/>
        <w:rPr>
          <w:rFonts w:hint="eastAsia"/>
          <w:color w:val="auto"/>
          <w:lang w:val="en-US" w:eastAsia="zh-CN"/>
        </w:rPr>
      </w:pPr>
      <w:r>
        <w:rPr>
          <w:rFonts w:hint="eastAsia"/>
          <w:b/>
          <w:bCs/>
          <w:color w:val="auto"/>
          <w:lang w:val="en-US" w:eastAsia="zh-CN"/>
        </w:rPr>
        <w:t>综上，该项指标满分20分，得分20分。</w:t>
      </w:r>
    </w:p>
    <w:p>
      <w:pPr>
        <w:bidi w:val="0"/>
        <w:outlineLvl w:val="2"/>
        <w:rPr>
          <w:rFonts w:hint="eastAsia"/>
          <w:color w:val="auto"/>
          <w:lang w:val="en-US" w:eastAsia="zh-CN"/>
        </w:rPr>
      </w:pPr>
      <w:bookmarkStart w:id="77" w:name="_Toc23106"/>
      <w:r>
        <w:rPr>
          <w:rFonts w:hint="eastAsia"/>
          <w:b/>
          <w:bCs/>
          <w:color w:val="auto"/>
          <w:lang w:val="en-US" w:eastAsia="zh-CN"/>
        </w:rPr>
        <w:t>3.生态效益指标</w:t>
      </w:r>
      <w:bookmarkEnd w:id="77"/>
    </w:p>
    <w:p>
      <w:pPr>
        <w:bidi w:val="0"/>
        <w:outlineLvl w:val="2"/>
        <w:rPr>
          <w:rFonts w:hint="eastAsia"/>
          <w:color w:val="auto"/>
          <w:lang w:val="en-US" w:eastAsia="zh-CN"/>
        </w:rPr>
      </w:pPr>
      <w:bookmarkStart w:id="78" w:name="_Toc3271"/>
      <w:r>
        <w:rPr>
          <w:rFonts w:hint="eastAsia"/>
          <w:color w:val="auto"/>
          <w:lang w:val="en-US" w:eastAsia="zh-CN"/>
        </w:rPr>
        <w:t>本项目不涉及生态效益指标</w:t>
      </w:r>
    </w:p>
    <w:p>
      <w:pPr>
        <w:bidi w:val="0"/>
        <w:outlineLvl w:val="2"/>
        <w:rPr>
          <w:rFonts w:hint="default"/>
          <w:b/>
          <w:bCs/>
          <w:color w:val="auto"/>
          <w:lang w:val="en-US" w:eastAsia="zh-CN"/>
        </w:rPr>
      </w:pPr>
      <w:r>
        <w:rPr>
          <w:rFonts w:hint="eastAsia"/>
          <w:b/>
          <w:bCs/>
          <w:color w:val="auto"/>
          <w:lang w:val="en-US" w:eastAsia="zh-CN"/>
        </w:rPr>
        <w:t>4.可持续影响指标</w:t>
      </w:r>
    </w:p>
    <w:p>
      <w:pPr>
        <w:bidi w:val="0"/>
        <w:outlineLvl w:val="2"/>
        <w:rPr>
          <w:rFonts w:hint="eastAsia"/>
          <w:color w:val="auto"/>
          <w:lang w:val="en-US" w:eastAsia="zh-CN"/>
        </w:rPr>
      </w:pPr>
      <w:r>
        <w:rPr>
          <w:rFonts w:hint="eastAsia"/>
          <w:color w:val="auto"/>
          <w:lang w:val="en-US" w:eastAsia="zh-CN"/>
        </w:rPr>
        <w:t>本项目不涉及可持续影响效益指标</w:t>
      </w:r>
    </w:p>
    <w:p>
      <w:pPr>
        <w:bidi w:val="0"/>
        <w:ind w:left="0" w:leftChars="0" w:firstLine="562" w:firstLineChars="200"/>
        <w:outlineLvl w:val="2"/>
        <w:rPr>
          <w:rFonts w:hint="eastAsia"/>
          <w:b/>
          <w:bCs/>
          <w:color w:val="auto"/>
          <w:lang w:val="en-US" w:eastAsia="zh-CN"/>
        </w:rPr>
      </w:pPr>
      <w:r>
        <w:rPr>
          <w:rFonts w:hint="eastAsia"/>
          <w:b/>
          <w:bCs/>
          <w:color w:val="auto"/>
          <w:lang w:val="en-US" w:eastAsia="zh-CN"/>
        </w:rPr>
        <w:t>5.满意度指标</w:t>
      </w:r>
      <w:bookmarkEnd w:id="78"/>
    </w:p>
    <w:p>
      <w:pPr>
        <w:bidi w:val="0"/>
        <w:rPr>
          <w:rFonts w:hint="eastAsia"/>
          <w:b/>
          <w:bCs/>
          <w:color w:val="auto"/>
          <w:lang w:val="en-US" w:eastAsia="zh-CN"/>
        </w:rPr>
      </w:pPr>
      <w:r>
        <w:rPr>
          <w:rFonts w:hint="eastAsia"/>
          <w:color w:val="auto"/>
          <w:lang w:eastAsia="zh-CN"/>
        </w:rPr>
        <w:t>“</w:t>
      </w:r>
      <w:r>
        <w:rPr>
          <w:rFonts w:hint="eastAsia"/>
          <w:color w:val="auto"/>
          <w:lang w:val="en-US" w:eastAsia="zh-CN"/>
        </w:rPr>
        <w:t>自主就业退役士兵满意度”指标，预期目标值为≥90%，实际完成为100%。</w:t>
      </w:r>
    </w:p>
    <w:p>
      <w:pPr>
        <w:bidi w:val="0"/>
        <w:rPr>
          <w:rFonts w:hint="eastAsia"/>
          <w:b/>
          <w:bCs/>
          <w:color w:val="auto"/>
          <w:lang w:val="en-US" w:eastAsia="zh-CN"/>
        </w:rPr>
      </w:pPr>
      <w:r>
        <w:rPr>
          <w:rFonts w:hint="eastAsia"/>
          <w:b/>
          <w:bCs/>
          <w:color w:val="auto"/>
          <w:lang w:val="en-US" w:eastAsia="zh-CN"/>
        </w:rPr>
        <w:t>综上，该项指标满分10分，得分10分。</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79" w:name="_Toc19962"/>
      <w:r>
        <w:rPr>
          <w:rFonts w:hint="eastAsia" w:ascii="宋体" w:hAnsi="宋体" w:eastAsia="宋体" w:cs="宋体"/>
          <w:b/>
          <w:bCs/>
          <w:color w:val="auto"/>
          <w:highlight w:val="none"/>
          <w:shd w:val="clear" w:color="auto" w:fill="auto"/>
          <w:lang w:val="en-US" w:eastAsia="zh-CN"/>
        </w:rPr>
        <w:t>五、预算执行进度与指标偏差</w:t>
      </w:r>
      <w:bookmarkEnd w:id="79"/>
    </w:p>
    <w:p>
      <w:pPr>
        <w:keepNext w:val="0"/>
        <w:keepLines w:val="0"/>
        <w:pageBreakBefore w:val="0"/>
        <w:widowControl w:val="0"/>
        <w:kinsoku/>
        <w:wordWrap/>
        <w:overflowPunct/>
        <w:topLinePunct w:val="0"/>
        <w:autoSpaceDE/>
        <w:autoSpaceDN/>
        <w:bidi w:val="0"/>
        <w:adjustRightInd w:val="0"/>
        <w:snapToGrid w:val="0"/>
        <w:ind w:left="0" w:leftChars="0" w:firstLine="840" w:firstLineChars="300"/>
        <w:textAlignment w:val="auto"/>
        <w:rPr>
          <w:rFonts w:hint="eastAsia" w:ascii="仿宋_GB2312" w:hAnsi="仿宋_GB2312" w:cs="仿宋_GB2312"/>
          <w:b w:val="0"/>
          <w:bCs w:val="0"/>
          <w:color w:val="auto"/>
          <w:sz w:val="28"/>
          <w:szCs w:val="28"/>
        </w:rPr>
      </w:pPr>
      <w:r>
        <w:rPr>
          <w:rFonts w:hint="eastAsia" w:cs="仿宋_GB2312"/>
          <w:b w:val="0"/>
          <w:bCs w:val="0"/>
          <w:color w:val="auto"/>
          <w:sz w:val="28"/>
          <w:szCs w:val="28"/>
          <w:lang w:val="en-US" w:eastAsia="zh-CN"/>
        </w:rPr>
        <w:t>该</w:t>
      </w:r>
      <w:r>
        <w:rPr>
          <w:rFonts w:hint="eastAsia" w:cs="仿宋_GB2312"/>
          <w:b w:val="0"/>
          <w:bCs w:val="0"/>
          <w:color w:val="auto"/>
          <w:sz w:val="28"/>
          <w:szCs w:val="28"/>
          <w:lang w:eastAsia="zh-CN"/>
        </w:rPr>
        <w:t>项目预算资金总额为</w:t>
      </w:r>
      <w:r>
        <w:rPr>
          <w:rFonts w:hint="eastAsia"/>
          <w:b w:val="0"/>
          <w:bCs w:val="0"/>
          <w:color w:val="auto"/>
          <w:lang w:val="en-US" w:eastAsia="zh-CN"/>
        </w:rPr>
        <w:t>219.45</w:t>
      </w:r>
      <w:r>
        <w:rPr>
          <w:rFonts w:hint="eastAsia" w:cs="仿宋_GB2312"/>
          <w:b w:val="0"/>
          <w:bCs w:val="0"/>
          <w:color w:val="auto"/>
          <w:sz w:val="28"/>
          <w:szCs w:val="28"/>
          <w:lang w:val="en-US" w:eastAsia="zh-CN"/>
        </w:rPr>
        <w:t>万元，全年执行数为</w:t>
      </w:r>
      <w:r>
        <w:rPr>
          <w:rFonts w:hint="eastAsia"/>
          <w:b w:val="0"/>
          <w:bCs w:val="0"/>
          <w:color w:val="auto"/>
          <w:lang w:val="en-US" w:eastAsia="zh-CN"/>
        </w:rPr>
        <w:t>219.45</w:t>
      </w:r>
      <w:r>
        <w:rPr>
          <w:rFonts w:hint="eastAsia" w:cs="仿宋_GB2312"/>
          <w:b w:val="0"/>
          <w:bCs w:val="0"/>
          <w:color w:val="auto"/>
          <w:sz w:val="28"/>
          <w:szCs w:val="28"/>
          <w:lang w:val="en-US" w:eastAsia="zh-CN"/>
        </w:rPr>
        <w:t>万元，预算执行率为</w:t>
      </w:r>
      <w:r>
        <w:rPr>
          <w:rFonts w:hint="eastAsia"/>
          <w:b w:val="0"/>
          <w:bCs w:val="0"/>
          <w:color w:val="auto"/>
          <w:lang w:val="en-US" w:eastAsia="zh-CN"/>
        </w:rPr>
        <w:t>100</w:t>
      </w:r>
      <w:r>
        <w:rPr>
          <w:rFonts w:hint="eastAsia" w:cs="仿宋_GB2312"/>
          <w:b w:val="0"/>
          <w:bCs w:val="0"/>
          <w:color w:val="auto"/>
          <w:sz w:val="28"/>
          <w:szCs w:val="28"/>
          <w:lang w:val="en-US" w:eastAsia="zh-CN"/>
        </w:rPr>
        <w:t>%，</w:t>
      </w:r>
      <w:r>
        <w:rPr>
          <w:rFonts w:hint="eastAsia" w:cs="仿宋_GB2312"/>
          <w:b w:val="0"/>
          <w:bCs w:val="0"/>
          <w:color w:val="auto"/>
          <w:sz w:val="28"/>
          <w:szCs w:val="28"/>
          <w:lang w:eastAsia="zh-CN"/>
        </w:rPr>
        <w:t>总体完成率为</w:t>
      </w:r>
      <w:r>
        <w:rPr>
          <w:rFonts w:hint="eastAsia"/>
          <w:b w:val="0"/>
          <w:bCs w:val="0"/>
          <w:color w:val="auto"/>
          <w:lang w:val="en-US" w:eastAsia="zh-CN"/>
        </w:rPr>
        <w:t>100</w:t>
      </w:r>
      <w:r>
        <w:rPr>
          <w:rFonts w:hint="eastAsia" w:cs="仿宋_GB2312"/>
          <w:b w:val="0"/>
          <w:bCs w:val="0"/>
          <w:color w:val="auto"/>
          <w:sz w:val="28"/>
          <w:szCs w:val="28"/>
          <w:lang w:val="zh-TW" w:eastAsia="zh-TW"/>
        </w:rPr>
        <w:t>%。</w:t>
      </w:r>
      <w:r>
        <w:rPr>
          <w:rFonts w:hint="eastAsia" w:cs="仿宋_GB2312"/>
          <w:b w:val="0"/>
          <w:bCs w:val="0"/>
          <w:color w:val="auto"/>
          <w:sz w:val="28"/>
          <w:szCs w:val="28"/>
          <w:lang w:val="en-US" w:eastAsia="zh-CN"/>
        </w:rPr>
        <w:t>预算执行率与总体完成率之间的偏差为</w:t>
      </w:r>
      <w:r>
        <w:rPr>
          <w:rFonts w:hint="eastAsia"/>
          <w:b w:val="0"/>
          <w:bCs w:val="0"/>
          <w:color w:val="auto"/>
          <w:lang w:val="en-US" w:eastAsia="zh-CN"/>
        </w:rPr>
        <w:t>0</w:t>
      </w:r>
      <w:r>
        <w:rPr>
          <w:rFonts w:hint="eastAsia" w:cs="仿宋_GB2312"/>
          <w:b w:val="0"/>
          <w:bCs w:val="0"/>
          <w:color w:val="auto"/>
          <w:sz w:val="28"/>
          <w:szCs w:val="28"/>
          <w:lang w:val="en-US" w:eastAsia="zh-CN"/>
        </w:rPr>
        <w:t>%，无</w:t>
      </w:r>
      <w:r>
        <w:rPr>
          <w:rFonts w:hint="eastAsia"/>
          <w:b w:val="0"/>
          <w:bCs w:val="0"/>
          <w:color w:val="auto"/>
        </w:rPr>
        <w:t>偏差</w:t>
      </w:r>
      <w:r>
        <w:rPr>
          <w:rFonts w:hint="eastAsia" w:ascii="仿宋_GB2312" w:hAnsi="仿宋_GB2312" w:cs="仿宋_GB2312"/>
          <w:b w:val="0"/>
          <w:bCs w:val="0"/>
          <w:color w:val="auto"/>
          <w:sz w:val="28"/>
          <w:szCs w:val="28"/>
        </w:rPr>
        <w:t>。</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0" w:name="_Toc29934"/>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六、主要经验及做法、存在的问题及原因分析</w:t>
      </w:r>
      <w:bookmarkEnd w:id="80"/>
    </w:p>
    <w:p>
      <w:pPr>
        <w:numPr>
          <w:ilvl w:val="0"/>
          <w:numId w:val="0"/>
        </w:numPr>
        <w:bidi w:val="0"/>
        <w:ind w:left="560" w:leftChars="0"/>
        <w:outlineLvl w:val="1"/>
        <w:rPr>
          <w:rFonts w:hint="eastAsia"/>
          <w:b/>
          <w:bCs/>
          <w:lang w:eastAsia="zh-CN"/>
        </w:rPr>
      </w:pPr>
      <w:bookmarkStart w:id="81" w:name="_Toc13160"/>
      <w:bookmarkStart w:id="82" w:name="_Toc28290"/>
      <w:bookmarkStart w:id="83" w:name="_Toc1921"/>
      <w:r>
        <w:rPr>
          <w:rFonts w:hint="eastAsia"/>
          <w:b/>
          <w:bCs/>
          <w:lang w:eastAsia="zh-CN"/>
        </w:rPr>
        <w:t>（</w:t>
      </w:r>
      <w:r>
        <w:rPr>
          <w:rFonts w:hint="eastAsia"/>
          <w:b/>
          <w:bCs/>
          <w:lang w:val="en-US" w:eastAsia="zh-CN"/>
        </w:rPr>
        <w:t>一</w:t>
      </w:r>
      <w:r>
        <w:rPr>
          <w:rFonts w:hint="eastAsia"/>
          <w:b/>
          <w:bCs/>
          <w:lang w:eastAsia="zh-CN"/>
        </w:rPr>
        <w:t>）</w:t>
      </w:r>
      <w:r>
        <w:rPr>
          <w:rFonts w:hint="eastAsia"/>
          <w:b/>
          <w:bCs/>
        </w:rPr>
        <w:t>主要经验及做法</w:t>
      </w:r>
      <w:bookmarkEnd w:id="81"/>
    </w:p>
    <w:p>
      <w:pPr>
        <w:bidi w:val="0"/>
        <w:rPr>
          <w:rFonts w:hint="eastAsia"/>
          <w:color w:val="auto"/>
          <w:lang w:eastAsia="zh-CN"/>
        </w:rPr>
      </w:pPr>
      <w:r>
        <w:rPr>
          <w:rFonts w:hint="eastAsia" w:ascii="宋体" w:hAnsi="宋体" w:eastAsia="宋体" w:cs="宋体"/>
          <w:color w:val="auto"/>
          <w:highlight w:val="none"/>
          <w:shd w:val="clear" w:color="auto" w:fill="auto"/>
          <w:lang w:val="en-US" w:eastAsia="zh-CN"/>
        </w:rPr>
        <w:t>自主就业退役士兵一次性经济补助</w:t>
      </w:r>
      <w:r>
        <w:rPr>
          <w:rFonts w:hint="eastAsia"/>
          <w:color w:val="auto"/>
          <w:lang w:val="en-US" w:eastAsia="zh-CN"/>
        </w:rPr>
        <w:t>项目</w:t>
      </w:r>
      <w:r>
        <w:rPr>
          <w:rFonts w:hint="eastAsia"/>
          <w:color w:val="auto"/>
          <w:lang w:eastAsia="zh-CN"/>
        </w:rPr>
        <w:t>20</w:t>
      </w:r>
      <w:r>
        <w:rPr>
          <w:rFonts w:hint="eastAsia"/>
          <w:color w:val="auto"/>
          <w:lang w:val="en-US" w:eastAsia="zh-CN"/>
        </w:rPr>
        <w:t>23</w:t>
      </w:r>
      <w:r>
        <w:rPr>
          <w:rFonts w:hint="eastAsia"/>
          <w:color w:val="auto"/>
          <w:lang w:eastAsia="zh-CN"/>
        </w:rPr>
        <w:t>年预算</w:t>
      </w:r>
      <w:r>
        <w:rPr>
          <w:rFonts w:hint="eastAsia"/>
          <w:color w:val="auto"/>
          <w:lang w:val="en-US" w:eastAsia="zh-CN"/>
        </w:rPr>
        <w:t>数</w:t>
      </w:r>
      <w:r>
        <w:rPr>
          <w:rFonts w:hint="eastAsia"/>
          <w:color w:val="auto"/>
          <w:lang w:eastAsia="zh-CN"/>
        </w:rPr>
        <w:t>为</w:t>
      </w:r>
      <w:r>
        <w:rPr>
          <w:rFonts w:hint="eastAsia"/>
          <w:color w:val="auto"/>
          <w:lang w:val="en-US" w:eastAsia="zh-CN"/>
        </w:rPr>
        <w:t>219.45</w:t>
      </w:r>
      <w:r>
        <w:rPr>
          <w:rFonts w:hint="eastAsia"/>
          <w:color w:val="auto"/>
          <w:lang w:eastAsia="zh-CN"/>
        </w:rPr>
        <w:t>万元，</w:t>
      </w:r>
      <w:r>
        <w:rPr>
          <w:rFonts w:hint="eastAsia"/>
          <w:color w:val="auto"/>
          <w:lang w:val="en-US" w:eastAsia="zh-CN"/>
        </w:rPr>
        <w:t>截至2023年12月31日共</w:t>
      </w:r>
      <w:r>
        <w:rPr>
          <w:rFonts w:hint="eastAsia"/>
          <w:color w:val="auto"/>
          <w:lang w:eastAsia="zh-CN"/>
        </w:rPr>
        <w:t>支出</w:t>
      </w:r>
      <w:r>
        <w:rPr>
          <w:rFonts w:hint="eastAsia"/>
          <w:color w:val="auto"/>
          <w:lang w:val="en-US" w:eastAsia="zh-CN"/>
        </w:rPr>
        <w:t>219.45</w:t>
      </w:r>
      <w:r>
        <w:rPr>
          <w:rFonts w:hint="eastAsia"/>
          <w:color w:val="auto"/>
          <w:lang w:eastAsia="zh-CN"/>
        </w:rPr>
        <w:t>万元，预算</w:t>
      </w:r>
      <w:r>
        <w:rPr>
          <w:rFonts w:hint="eastAsia"/>
          <w:color w:val="auto"/>
          <w:lang w:val="en-US" w:eastAsia="zh-CN"/>
        </w:rPr>
        <w:t>执行</w:t>
      </w:r>
      <w:r>
        <w:rPr>
          <w:rFonts w:hint="eastAsia"/>
          <w:color w:val="auto"/>
          <w:lang w:eastAsia="zh-CN"/>
        </w:rPr>
        <w:t>率为</w:t>
      </w:r>
      <w:r>
        <w:rPr>
          <w:rFonts w:hint="eastAsia"/>
          <w:color w:val="auto"/>
          <w:lang w:val="en-US" w:eastAsia="zh-CN"/>
        </w:rPr>
        <w:t>100</w:t>
      </w:r>
      <w:r>
        <w:rPr>
          <w:rFonts w:hint="eastAsia"/>
          <w:color w:val="auto"/>
          <w:lang w:eastAsia="zh-CN"/>
        </w:rPr>
        <w:t>%。</w:t>
      </w:r>
    </w:p>
    <w:p>
      <w:pPr>
        <w:bidi w:val="0"/>
        <w:rPr>
          <w:rFonts w:hint="eastAsia"/>
          <w:lang w:eastAsia="zh-CN"/>
        </w:rPr>
      </w:pPr>
      <w:r>
        <w:rPr>
          <w:rFonts w:hint="eastAsia"/>
          <w:color w:val="auto"/>
          <w:lang w:val="en-US" w:eastAsia="zh-CN"/>
        </w:rPr>
        <w:t>阜康</w:t>
      </w:r>
      <w:r>
        <w:rPr>
          <w:rFonts w:hint="eastAsia"/>
          <w:color w:val="auto"/>
          <w:highlight w:val="none"/>
          <w:lang w:val="en-US" w:eastAsia="zh-CN"/>
        </w:rPr>
        <w:t>市退役军人事务局</w:t>
      </w:r>
      <w:r>
        <w:rPr>
          <w:rFonts w:hint="eastAsia"/>
          <w:color w:val="auto"/>
          <w:lang w:eastAsia="zh-CN"/>
        </w:rPr>
        <w:t>建立健全了预算管理规</w:t>
      </w:r>
      <w:r>
        <w:rPr>
          <w:rFonts w:hint="eastAsia"/>
          <w:lang w:eastAsia="zh-CN"/>
        </w:rPr>
        <w:t>章制度，各部门严格按照预算编制的原则和要求做好当年预算编制工作，在预算绩效管理工作中，做到合理安排各项资金，重点保障基本支出，按轻重缓急顺序原则，优先安排了</w:t>
      </w:r>
      <w:r>
        <w:rPr>
          <w:rFonts w:hint="eastAsia"/>
          <w:color w:val="auto"/>
          <w:highlight w:val="none"/>
          <w:lang w:val="en-US" w:eastAsia="zh-CN"/>
        </w:rPr>
        <w:t>阜康市退役军人事务局</w:t>
      </w:r>
      <w:r>
        <w:rPr>
          <w:rFonts w:hint="eastAsia"/>
          <w:lang w:eastAsia="zh-CN"/>
        </w:rPr>
        <w:t>事业发展中关系民生与稳定的项目，切实优化资源配置，提高了资金使用的效率和效果。</w:t>
      </w:r>
    </w:p>
    <w:bookmarkEnd w:id="82"/>
    <w:bookmarkEnd w:id="83"/>
    <w:p>
      <w:pPr>
        <w:bidi w:val="0"/>
        <w:outlineLvl w:val="1"/>
        <w:rPr>
          <w:rFonts w:hint="eastAsia"/>
          <w:b/>
          <w:bCs/>
          <w:lang w:eastAsia="zh-CN"/>
        </w:rPr>
      </w:pPr>
      <w:bookmarkStart w:id="84" w:name="_Toc9582"/>
      <w:r>
        <w:rPr>
          <w:rFonts w:hint="eastAsia"/>
          <w:b/>
          <w:bCs/>
          <w:lang w:eastAsia="zh-CN"/>
        </w:rPr>
        <w:t>（</w:t>
      </w:r>
      <w:r>
        <w:rPr>
          <w:rFonts w:hint="eastAsia"/>
          <w:b/>
          <w:bCs/>
          <w:lang w:val="en-US" w:eastAsia="zh-CN"/>
        </w:rPr>
        <w:t>二</w:t>
      </w:r>
      <w:r>
        <w:rPr>
          <w:rFonts w:hint="eastAsia"/>
          <w:b/>
          <w:bCs/>
          <w:lang w:eastAsia="zh-CN"/>
        </w:rPr>
        <w:t>）</w:t>
      </w:r>
      <w:r>
        <w:rPr>
          <w:rFonts w:hint="eastAsia"/>
          <w:b/>
          <w:bCs/>
        </w:rPr>
        <w:t>存在的问题及原因分析</w:t>
      </w:r>
      <w:bookmarkEnd w:id="84"/>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bCs/>
          <w:color w:val="auto"/>
          <w:sz w:val="28"/>
          <w:szCs w:val="28"/>
          <w:highlight w:val="none"/>
          <w:shd w:val="clear" w:color="auto" w:fill="auto"/>
          <w:lang w:val="en-US" w:eastAsia="zh-CN"/>
        </w:rPr>
      </w:pPr>
      <w:r>
        <w:rPr>
          <w:rFonts w:hint="default"/>
          <w:color w:val="auto"/>
          <w:highlight w:val="none"/>
          <w:lang w:val="en-US" w:eastAsia="zh-CN"/>
        </w:rPr>
        <w:t>1.</w:t>
      </w:r>
      <w:r>
        <w:rPr>
          <w:rFonts w:hint="eastAsia"/>
          <w:color w:val="auto"/>
          <w:highlight w:val="none"/>
          <w:lang w:val="en-US" w:eastAsia="zh-CN"/>
        </w:rPr>
        <w:t>预算执行进度和效率还有待加强</w:t>
      </w:r>
      <w:r>
        <w:rPr>
          <w:rFonts w:hint="default"/>
          <w:color w:val="auto"/>
          <w:highlight w:val="none"/>
          <w:lang w:val="en-US" w:eastAsia="zh-CN"/>
        </w:rPr>
        <w:t>。</w:t>
      </w:r>
      <w:r>
        <w:rPr>
          <w:rFonts w:hint="eastAsia"/>
          <w:color w:val="auto"/>
          <w:highlight w:val="none"/>
          <w:lang w:val="en-US" w:eastAsia="zh-CN"/>
        </w:rPr>
        <w:t>项目开始后，相关部门和人员着重关注项目资金拨付进度，对于资金执行不够关注，延缓了预算执行进度。</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color w:val="auto"/>
          <w:highlight w:val="none"/>
          <w:lang w:val="en-US" w:eastAsia="zh-CN"/>
        </w:rPr>
      </w:pPr>
      <w:r>
        <w:rPr>
          <w:rFonts w:hint="default"/>
          <w:color w:val="auto"/>
          <w:highlight w:val="none"/>
          <w:lang w:val="en-US" w:eastAsia="zh-CN"/>
        </w:rPr>
        <w:t>2.单位在预算编制工作有待细化，预算编制不够明确和细化，整体绩效预算编制的合理性需要提高，预算执行力度还要进一步加强。</w:t>
      </w:r>
      <w:r>
        <w:rPr>
          <w:rFonts w:hint="eastAsia"/>
          <w:color w:val="auto"/>
          <w:highlight w:val="none"/>
          <w:lang w:val="en-US" w:eastAsia="zh-CN"/>
        </w:rPr>
        <w:t>预算编制时，忽略了可变量，未将可变因素考虑在内，导致预算执行与预算编制存在差异较大</w:t>
      </w:r>
      <w:r>
        <w:rPr>
          <w:rFonts w:hint="default"/>
          <w:color w:val="auto"/>
          <w:highlight w:val="none"/>
          <w:lang w:val="en-US" w:eastAsia="zh-CN"/>
        </w:rPr>
        <w:t>。</w:t>
      </w:r>
    </w:p>
    <w:p>
      <w:pPr>
        <w:pStyle w:val="3"/>
        <w:pageBreakBefore w:val="0"/>
        <w:widowControl w:val="0"/>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5" w:name="_Toc523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七、有关建议</w:t>
      </w:r>
      <w:bookmarkEnd w:id="85"/>
    </w:p>
    <w:p>
      <w:pPr>
        <w:pageBreakBefore w:val="0"/>
        <w:widowControl w:val="0"/>
        <w:kinsoku/>
        <w:wordWrap/>
        <w:overflowPunct/>
        <w:topLinePunct w:val="0"/>
        <w:autoSpaceDE/>
        <w:autoSpaceDN/>
        <w:bidi w:val="0"/>
        <w:adjustRightInd/>
        <w:snapToGrid/>
        <w:spacing w:line="560" w:lineRule="exact"/>
        <w:ind w:firstLine="560"/>
        <w:textAlignment w:val="auto"/>
        <w:rPr>
          <w:rFonts w:hint="eastAsia"/>
          <w:color w:val="auto"/>
          <w:highlight w:val="none"/>
          <w:lang w:val="en-US" w:eastAsia="zh-CN"/>
        </w:rPr>
      </w:pPr>
      <w:bookmarkStart w:id="86" w:name="_Toc20454"/>
      <w:r>
        <w:rPr>
          <w:rFonts w:hint="eastAsia"/>
          <w:color w:val="auto"/>
          <w:highlight w:val="none"/>
          <w:lang w:val="en-US" w:eastAsia="zh-CN"/>
        </w:rPr>
        <w:t>（一）切实加快预算执行进度，提升资金使用效率。严格按照财政预算执行进度的相关要求，督促业务部门在加快专项资金实施进度的同时，在今后的支付过程中做到统筹管理，充分考虑不确定因素造成的资金增加或减少等问题，制定相应的预案，确保资金按照计划实施。切实加大预算执行力度，提高预算资金使用效率，全面完成单位制定的各项目标任务。加强部门间沟通，加大项目及预算支出管理的监督及信息交流。</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bidi="ar-SA"/>
        </w:rPr>
      </w:pPr>
      <w:r>
        <w:rPr>
          <w:rFonts w:hint="eastAsia"/>
          <w:color w:val="auto"/>
          <w:highlight w:val="none"/>
          <w:lang w:val="en-US" w:eastAsia="zh-CN"/>
        </w:rPr>
        <w:t>（二）密切关注目标任务开展情况，确保实际工作切合绩效目标，加强绩效目标编制培训，强化目标审核。</w:t>
      </w:r>
      <w:r>
        <w:rPr>
          <w:rFonts w:hint="eastAsia" w:ascii="宋体" w:hAnsi="宋体" w:eastAsia="宋体" w:cs="宋体"/>
          <w:color w:val="auto"/>
          <w:kern w:val="2"/>
          <w:sz w:val="28"/>
          <w:szCs w:val="28"/>
          <w:highlight w:val="none"/>
          <w:lang w:val="en-US" w:eastAsia="zh-CN" w:bidi="ar-SA"/>
        </w:rPr>
        <w:t>在今后的资金管理过程中充分考虑可能产生的增加量，结合实际做好项目预算，为项目提质增效。</w:t>
      </w:r>
    </w:p>
    <w:bookmarkEnd w:id="86"/>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7" w:name="_Toc15618"/>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八、其他需要说明的问题</w:t>
      </w:r>
      <w:bookmarkEnd w:id="87"/>
    </w:p>
    <w:p>
      <w:pPr>
        <w:bidi w:val="0"/>
        <w:rPr>
          <w:rFonts w:hint="eastAsia" w:ascii="宋体" w:hAnsi="宋体" w:eastAsia="宋体" w:cs="宋体"/>
          <w:lang w:val="en-US" w:eastAsia="zh-CN"/>
        </w:rPr>
        <w:sectPr>
          <w:footerReference r:id="rId3" w:type="default"/>
          <w:pgSz w:w="11906" w:h="16838"/>
          <w:pgMar w:top="1440" w:right="1800" w:bottom="1440" w:left="1800" w:header="737" w:footer="851" w:gutter="0"/>
          <w:pgNumType w:fmt="decimal" w:start="1"/>
          <w:cols w:space="720" w:num="1"/>
          <w:docGrid w:type="lines" w:linePitch="408" w:charSpace="0"/>
        </w:sectPr>
      </w:pPr>
      <w:r>
        <w:rPr>
          <w:rFonts w:hint="eastAsia" w:ascii="宋体" w:hAnsi="宋体" w:eastAsia="宋体" w:cs="宋体"/>
          <w:lang w:val="en-US" w:eastAsia="zh-CN"/>
        </w:rPr>
        <w:t>无其他需要说明的问题。</w:t>
      </w:r>
    </w:p>
    <w:p>
      <w:pPr>
        <w:pStyle w:val="3"/>
        <w:pageBreakBefore w:val="0"/>
        <w:numPr>
          <w:ilvl w:val="0"/>
          <w:numId w:val="0"/>
        </w:numPr>
        <w:kinsoku/>
        <w:wordWrap/>
        <w:overflowPunct/>
        <w:topLinePunct w:val="0"/>
        <w:autoSpaceDE/>
        <w:autoSpaceDN/>
        <w:bidi w:val="0"/>
        <w:adjustRightInd/>
        <w:spacing w:beforeLines="0" w:afterLines="0" w:line="360" w:lineRule="auto"/>
        <w:textAlignment w:val="auto"/>
      </w:pPr>
      <w:bookmarkStart w:id="88" w:name="_Toc11349"/>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附件一、项目支出绩效自评表</w:t>
      </w:r>
      <w:bookmarkEnd w:id="88"/>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846"/>
        <w:gridCol w:w="847"/>
        <w:gridCol w:w="847"/>
        <w:gridCol w:w="1510"/>
        <w:gridCol w:w="847"/>
        <w:gridCol w:w="1510"/>
        <w:gridCol w:w="929"/>
        <w:gridCol w:w="847"/>
        <w:gridCol w:w="847"/>
        <w:gridCol w:w="1510"/>
        <w:gridCol w:w="1012"/>
        <w:gridCol w:w="929"/>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cBorders>
            <w:shd w:val="clear" w:color="auto" w:fill="auto"/>
            <w:vAlign w:val="center"/>
          </w:tcPr>
          <w:p>
            <w:pPr>
              <w:keepNext w:val="0"/>
              <w:keepLines w:val="0"/>
              <w:widowControl/>
              <w:suppressLineNumbers w:val="0"/>
              <w:ind w:firstLine="803" w:firstLineChars="200"/>
              <w:jc w:val="center"/>
              <w:textAlignment w:val="center"/>
              <w:rPr>
                <w:rFonts w:ascii="华文中宋" w:hAnsi="华文中宋" w:eastAsia="华文中宋" w:cs="华文中宋"/>
                <w:b/>
                <w:bCs/>
                <w:i w:val="0"/>
                <w:iCs w:val="0"/>
                <w:color w:val="000000"/>
                <w:sz w:val="40"/>
                <w:szCs w:val="40"/>
                <w:u w:val="none"/>
              </w:rPr>
            </w:pPr>
            <w:bookmarkStart w:id="89" w:name="_Toc15067"/>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cBorders>
            <w:shd w:val="clear" w:color="auto" w:fill="auto"/>
            <w:vAlign w:val="center"/>
          </w:tcPr>
          <w:p>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1692" w:type="dxa"/>
            <w:gridSpan w:val="2"/>
            <w:tcBorders>
              <w:top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482" w:type="dxa"/>
            <w:gridSpan w:val="12"/>
            <w:tcBorders>
              <w:top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自主就业退役士兵一次性经济补助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92"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561" w:type="dxa"/>
            <w:gridSpan w:val="5"/>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阜康市退役军人事务局</w:t>
            </w:r>
          </w:p>
        </w:tc>
        <w:tc>
          <w:tcPr>
            <w:tcW w:w="1776"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5145" w:type="dxa"/>
            <w:gridSpan w:val="5"/>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92" w:type="dxa"/>
            <w:gridSpan w:val="2"/>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694"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2357"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776"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357"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1941"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92" w:type="dxa"/>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1694"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 </w:t>
            </w:r>
          </w:p>
        </w:tc>
        <w:tc>
          <w:tcPr>
            <w:tcW w:w="2357"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219.45 </w:t>
            </w:r>
          </w:p>
        </w:tc>
        <w:tc>
          <w:tcPr>
            <w:tcW w:w="1776"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219.45 </w:t>
            </w:r>
          </w:p>
        </w:tc>
        <w:tc>
          <w:tcPr>
            <w:tcW w:w="2357"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41"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92" w:type="dxa"/>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1694"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 </w:t>
            </w:r>
          </w:p>
        </w:tc>
        <w:tc>
          <w:tcPr>
            <w:tcW w:w="2357"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219.45 </w:t>
            </w:r>
          </w:p>
        </w:tc>
        <w:tc>
          <w:tcPr>
            <w:tcW w:w="1776"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219.45 </w:t>
            </w:r>
          </w:p>
        </w:tc>
        <w:tc>
          <w:tcPr>
            <w:tcW w:w="2357"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41"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92" w:type="dxa"/>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1694"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357"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76"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357"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41"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846"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8183" w:type="dxa"/>
            <w:gridSpan w:val="8"/>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145" w:type="dxa"/>
            <w:gridSpan w:val="5"/>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183" w:type="dxa"/>
            <w:gridSpan w:val="8"/>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推进退役士兵安置改革，规范自主就业退役士兵一次性经济补助的发放管理工作，切实做好退役士兵安置，全面保障退役士兵合法权益。2023年由本级财政根据往年人数、按照《关于印发&lt;新疆维吾尔自治区自助就业退役士兵一次性经济补助发放管理办法&gt;的通知》[2016]95号文件标准3.4万元/2年，在2023.12.31之前及时对退役报道的士兵发放自主就业补助金，从而促进就业，改善生活水平，从而达到自主就业退役士兵满意度。</w:t>
            </w:r>
          </w:p>
        </w:tc>
        <w:tc>
          <w:tcPr>
            <w:tcW w:w="5145" w:type="dxa"/>
            <w:gridSpan w:val="5"/>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至2023年12月31日，本项目完成义务兵37人和士官17人等自主就业退役士兵一次性经济补助,达到提高退役士兵自主就业能力，改善其生活水平效益，退役士兵自主就业等方面得到保障，提高了自主就业退役士兵满意度、保障军队建设需要、促进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846"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指标得分</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20" w:hRule="atLeast"/>
        </w:trPr>
        <w:tc>
          <w:tcPr>
            <w:tcW w:w="846"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846"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47"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义务兵人数（人）</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≥37人</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历史指标</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37人</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正式资料原始凭证</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37人</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士官人数（人）</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≥17人</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历史指标</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17人</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正式资料原始凭证</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17人</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5</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自主就业退役士兵生活补助工作完成率</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正式资料原始凭证</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自主就业退役士兵生活补助及时发放率</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正式资料原始凭证</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7</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自主就业退役士兵经济补助完成截止时间</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2023.12.31之前</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2022.12.31之前</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按完成比例赋分</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正式资料原始凭证</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2023.12.31</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8</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自主就业退役士兵生活补助标准</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3.4万元/2年</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3.4万元/2年</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正式资料原始凭证</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3.4万元/2年</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20</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2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提高退役士兵自主就业能力，改善其生活水平。</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逐年改善</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逐年改善</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促进退役士兵自主就业等方面得到保障、保障军队建设需要、促进社会和谐稳定</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84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84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自主就业退役士兵满意度</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847"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510"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3386" w:type="dxa"/>
            <w:gridSpan w:val="4"/>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510"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10"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92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1510"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1012"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929" w:type="dxa"/>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w:t>
            </w:r>
          </w:p>
        </w:tc>
        <w:tc>
          <w:tcPr>
            <w:tcW w:w="847" w:type="dxa"/>
            <w:shd w:val="clear" w:color="auto" w:fill="auto"/>
            <w:vAlign w:val="center"/>
          </w:tcPr>
          <w:p>
            <w:pPr>
              <w:rPr>
                <w:rFonts w:hint="eastAsia" w:ascii="宋体" w:hAnsi="宋体" w:eastAsia="宋体" w:cs="宋体"/>
                <w:i w:val="0"/>
                <w:iCs w:val="0"/>
                <w:color w:val="000000"/>
                <w:sz w:val="20"/>
                <w:szCs w:val="20"/>
                <w:u w:val="none"/>
              </w:rPr>
            </w:pPr>
          </w:p>
        </w:tc>
      </w:tr>
    </w:tbl>
    <w:p>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p>
    <w:p>
      <w:pPr>
        <w:rPr>
          <w:rFonts w:hint="eastAsia"/>
          <w:lang w:val="en-US" w:eastAsia="zh-CN"/>
        </w:rPr>
      </w:pPr>
    </w:p>
    <w:p>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附件二、项目支出绩效评价指标体系打分表</w:t>
      </w:r>
      <w:bookmarkEnd w:id="89"/>
    </w:p>
    <w:tbl>
      <w:tblPr>
        <w:tblStyle w:val="11"/>
        <w:tblW w:w="1392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1407"/>
        <w:gridCol w:w="2160"/>
        <w:gridCol w:w="7215"/>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692" w:hRule="atLeast"/>
          <w:tblHeader/>
          <w:jc w:val="center"/>
        </w:trPr>
        <w:tc>
          <w:tcPr>
            <w:tcW w:w="861"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407"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160"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215"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85" w:type="dxa"/>
            <w:shd w:val="clear" w:color="auto" w:fill="auto"/>
            <w:noWrap w:val="0"/>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69" w:type="dxa"/>
            <w:shd w:val="clear" w:color="auto" w:fill="auto"/>
            <w:noWrap w:val="0"/>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140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215"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140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215"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评价要点：</w:t>
            </w:r>
          </w:p>
          <w:p>
            <w:pPr>
              <w:widowControl/>
              <w:spacing w:line="0" w:lineRule="atLeast"/>
              <w:ind w:firstLine="0" w:firstLineChars="0"/>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①项目是否按照规定的程序申请设立；</w:t>
            </w:r>
          </w:p>
          <w:p>
            <w:pPr>
              <w:widowControl/>
              <w:spacing w:line="0" w:lineRule="atLeast"/>
              <w:ind w:firstLine="0" w:firstLineChars="0"/>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②审批文件、材料是否符合相关要求；</w:t>
            </w:r>
          </w:p>
          <w:p>
            <w:pPr>
              <w:widowControl/>
              <w:spacing w:line="0" w:lineRule="atLeast"/>
              <w:ind w:firstLine="0" w:firstLineChars="0"/>
              <w:jc w:val="left"/>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③事前是否已经过必要的可行性研究、专家论证、风险评估、绩效评估、集体决策。</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pPr>
              <w:widowControl/>
              <w:spacing w:line="0" w:lineRule="atLeast"/>
              <w:ind w:firstLine="0" w:firstLineChars="0"/>
              <w:jc w:val="left"/>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140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215"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2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140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pPr>
              <w:widowControl/>
              <w:spacing w:line="0" w:lineRule="atLeast"/>
              <w:ind w:firstLine="0" w:firstLineChars="0"/>
              <w:rPr>
                <w:rFonts w:hint="eastAsia" w:ascii="宋体" w:hAnsi="宋体" w:eastAsia="宋体" w:cs="宋体"/>
                <w:color w:val="000000"/>
                <w:kern w:val="0"/>
                <w:sz w:val="22"/>
                <w:szCs w:val="22"/>
                <w:lang w:eastAsia="zh-CN"/>
              </w:rPr>
            </w:pP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0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140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861" w:type="dxa"/>
            <w:vMerge w:val="restart"/>
            <w:shd w:val="clear" w:color="auto" w:fill="auto"/>
            <w:noWrap w:val="0"/>
            <w:vAlign w:val="center"/>
          </w:tcPr>
          <w:p>
            <w:pPr>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727" w:type="dxa"/>
            <w:vMerge w:val="restart"/>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407" w:type="dxa"/>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861" w:type="dxa"/>
            <w:vMerge w:val="continue"/>
            <w:shd w:val="clear" w:color="auto" w:fill="auto"/>
            <w:noWrap w:val="0"/>
            <w:vAlign w:val="center"/>
          </w:tcPr>
          <w:p>
            <w:pPr>
              <w:spacing w:line="0" w:lineRule="atLeast"/>
              <w:ind w:firstLine="0" w:firstLineChars="0"/>
              <w:jc w:val="center"/>
              <w:rPr>
                <w:rFonts w:hint="eastAsia" w:ascii="宋体" w:hAnsi="宋体" w:eastAsia="宋体" w:cs="宋体"/>
                <w:color w:val="000000"/>
                <w:kern w:val="0"/>
                <w:sz w:val="22"/>
                <w:szCs w:val="22"/>
              </w:rPr>
            </w:pPr>
          </w:p>
        </w:tc>
        <w:tc>
          <w:tcPr>
            <w:tcW w:w="727" w:type="dxa"/>
            <w:vMerge w:val="continue"/>
            <w:shd w:val="clear" w:color="auto" w:fill="auto"/>
            <w:noWrap w:val="0"/>
            <w:vAlign w:val="center"/>
          </w:tcPr>
          <w:p>
            <w:pPr>
              <w:spacing w:line="0" w:lineRule="atLeast"/>
              <w:ind w:firstLine="0" w:firstLineChars="0"/>
              <w:jc w:val="center"/>
              <w:rPr>
                <w:rFonts w:hint="eastAsia" w:ascii="宋体" w:hAnsi="宋体" w:eastAsia="宋体" w:cs="宋体"/>
                <w:color w:val="000000"/>
                <w:kern w:val="0"/>
                <w:sz w:val="22"/>
                <w:szCs w:val="22"/>
              </w:rPr>
            </w:pPr>
          </w:p>
        </w:tc>
        <w:tc>
          <w:tcPr>
            <w:tcW w:w="1407" w:type="dxa"/>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40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97"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0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140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7" w:hRule="atLeast"/>
          <w:jc w:val="center"/>
        </w:trPr>
        <w:tc>
          <w:tcPr>
            <w:tcW w:w="861" w:type="dxa"/>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数量</w:t>
            </w:r>
            <w:r>
              <w:rPr>
                <w:rFonts w:hint="eastAsia" w:cs="宋体"/>
                <w:color w:val="000000"/>
                <w:kern w:val="0"/>
                <w:sz w:val="22"/>
                <w:szCs w:val="22"/>
                <w:highlight w:val="none"/>
                <w:lang w:val="en-US" w:eastAsia="zh-CN"/>
              </w:rPr>
              <w:t>指标</w:t>
            </w:r>
          </w:p>
        </w:tc>
        <w:tc>
          <w:tcPr>
            <w:tcW w:w="1407"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义务兵人数（人）</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7" w:hRule="atLeast"/>
          <w:jc w:val="center"/>
        </w:trPr>
        <w:tc>
          <w:tcPr>
            <w:tcW w:w="861"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数量</w:t>
            </w:r>
            <w:r>
              <w:rPr>
                <w:rFonts w:hint="eastAsia" w:cs="宋体"/>
                <w:color w:val="000000"/>
                <w:kern w:val="0"/>
                <w:sz w:val="22"/>
                <w:szCs w:val="22"/>
                <w:highlight w:val="none"/>
                <w:lang w:val="en-US" w:eastAsia="zh-CN"/>
              </w:rPr>
              <w:t>指标</w:t>
            </w:r>
          </w:p>
        </w:tc>
        <w:tc>
          <w:tcPr>
            <w:tcW w:w="1407"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士官人数（人）</w:t>
            </w:r>
          </w:p>
        </w:tc>
        <w:tc>
          <w:tcPr>
            <w:tcW w:w="2160"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72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质量</w:t>
            </w:r>
            <w:r>
              <w:rPr>
                <w:rFonts w:hint="eastAsia" w:cs="宋体"/>
                <w:color w:val="000000"/>
                <w:kern w:val="0"/>
                <w:sz w:val="22"/>
                <w:szCs w:val="22"/>
                <w:highlight w:val="none"/>
                <w:lang w:val="en-US" w:eastAsia="zh-CN"/>
              </w:rPr>
              <w:t>指标</w:t>
            </w:r>
          </w:p>
        </w:tc>
        <w:tc>
          <w:tcPr>
            <w:tcW w:w="1407"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自主就业退役士兵生活补助工作完成率</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06"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highlight w:val="none"/>
              </w:rPr>
            </w:pPr>
          </w:p>
        </w:tc>
        <w:tc>
          <w:tcPr>
            <w:tcW w:w="727" w:type="dxa"/>
            <w:shd w:val="clear" w:color="auto" w:fill="auto"/>
            <w:noWrap w:val="0"/>
            <w:vAlign w:val="center"/>
          </w:tcPr>
          <w:p>
            <w:pPr>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时效</w:t>
            </w:r>
            <w:r>
              <w:rPr>
                <w:rFonts w:hint="eastAsia" w:cs="宋体"/>
                <w:color w:val="000000"/>
                <w:kern w:val="0"/>
                <w:sz w:val="22"/>
                <w:szCs w:val="22"/>
                <w:highlight w:val="none"/>
                <w:lang w:val="en-US" w:eastAsia="zh-CN"/>
              </w:rPr>
              <w:t>指标</w:t>
            </w:r>
          </w:p>
        </w:tc>
        <w:tc>
          <w:tcPr>
            <w:tcW w:w="1407"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自主就业退役士兵生活补助及时发放率</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06"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highlight w:val="none"/>
              </w:rPr>
            </w:pPr>
          </w:p>
        </w:tc>
        <w:tc>
          <w:tcPr>
            <w:tcW w:w="727" w:type="dxa"/>
            <w:shd w:val="clear" w:color="auto" w:fill="auto"/>
            <w:noWrap w:val="0"/>
            <w:vAlign w:val="center"/>
          </w:tcPr>
          <w:p>
            <w:pPr>
              <w:spacing w:line="0" w:lineRule="atLeast"/>
              <w:ind w:firstLine="0" w:firstLineChars="0"/>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时效</w:t>
            </w:r>
            <w:r>
              <w:rPr>
                <w:rFonts w:hint="eastAsia" w:cs="宋体"/>
                <w:color w:val="000000"/>
                <w:kern w:val="0"/>
                <w:sz w:val="22"/>
                <w:szCs w:val="22"/>
                <w:highlight w:val="none"/>
                <w:lang w:val="en-US" w:eastAsia="zh-CN"/>
              </w:rPr>
              <w:t>指标</w:t>
            </w:r>
          </w:p>
        </w:tc>
        <w:tc>
          <w:tcPr>
            <w:tcW w:w="1407"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rPr>
            </w:pPr>
            <w:r>
              <w:rPr>
                <w:rFonts w:hint="eastAsia" w:cs="宋体"/>
                <w:color w:val="000000"/>
                <w:kern w:val="0"/>
                <w:sz w:val="22"/>
                <w:szCs w:val="22"/>
                <w:highlight w:val="none"/>
                <w:lang w:val="en-US" w:eastAsia="zh-CN"/>
              </w:rPr>
              <w:t>自主就业退役士兵经济补助完成截止时间</w:t>
            </w:r>
          </w:p>
        </w:tc>
        <w:tc>
          <w:tcPr>
            <w:tcW w:w="2160"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成本</w:t>
            </w:r>
            <w:r>
              <w:rPr>
                <w:rFonts w:hint="eastAsia" w:cs="宋体"/>
                <w:color w:val="000000"/>
                <w:kern w:val="0"/>
                <w:sz w:val="22"/>
                <w:szCs w:val="22"/>
                <w:highlight w:val="none"/>
                <w:lang w:val="en-US" w:eastAsia="zh-CN"/>
              </w:rPr>
              <w:t>指标</w:t>
            </w:r>
          </w:p>
        </w:tc>
        <w:tc>
          <w:tcPr>
            <w:tcW w:w="1407"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自主就业退役士兵生活补助标准</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　</w:t>
            </w: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r>
              <w:rPr>
                <w:rFonts w:hint="eastAsia" w:cs="宋体"/>
                <w:color w:val="000000"/>
                <w:kern w:val="0"/>
                <w:sz w:val="22"/>
                <w:szCs w:val="22"/>
                <w:highlight w:val="none"/>
                <w:lang w:val="en-US" w:eastAsia="zh-CN"/>
              </w:rPr>
              <w:t>社会</w:t>
            </w:r>
            <w:r>
              <w:rPr>
                <w:rFonts w:hint="eastAsia" w:ascii="宋体" w:hAnsi="宋体" w:eastAsia="宋体" w:cs="宋体"/>
                <w:color w:val="000000"/>
                <w:kern w:val="0"/>
                <w:sz w:val="22"/>
                <w:szCs w:val="22"/>
                <w:highlight w:val="none"/>
              </w:rPr>
              <w:t>效益　</w:t>
            </w:r>
          </w:p>
        </w:tc>
        <w:tc>
          <w:tcPr>
            <w:tcW w:w="1407"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提高退役士兵自主就业能力，改善其生活水平</w:t>
            </w:r>
          </w:p>
        </w:tc>
        <w:tc>
          <w:tcPr>
            <w:tcW w:w="2160" w:type="dxa"/>
            <w:shd w:val="clear" w:color="auto" w:fill="auto"/>
            <w:noWrap w:val="0"/>
            <w:vAlign w:val="center"/>
          </w:tcPr>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7215"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highlight w:val="none"/>
              </w:rPr>
            </w:pPr>
          </w:p>
        </w:tc>
        <w:tc>
          <w:tcPr>
            <w:tcW w:w="727" w:type="dxa"/>
            <w:vMerge w:val="continue"/>
            <w:shd w:val="clear" w:color="auto" w:fill="auto"/>
            <w:noWrap w:val="0"/>
            <w:vAlign w:val="center"/>
          </w:tcPr>
          <w:p>
            <w:pPr>
              <w:widowControl/>
              <w:spacing w:line="0" w:lineRule="atLeast"/>
              <w:ind w:firstLine="0" w:firstLineChars="0"/>
              <w:jc w:val="center"/>
              <w:rPr>
                <w:rFonts w:hint="eastAsia" w:cs="宋体"/>
                <w:color w:val="000000"/>
                <w:kern w:val="0"/>
                <w:sz w:val="22"/>
                <w:szCs w:val="22"/>
                <w:highlight w:val="none"/>
                <w:lang w:val="en-US" w:eastAsia="zh-CN"/>
              </w:rPr>
            </w:pPr>
          </w:p>
        </w:tc>
        <w:tc>
          <w:tcPr>
            <w:tcW w:w="1407"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促进退役士兵自主就业等方面得到保障、保障军队建设需要、促进社会和谐稳定</w:t>
            </w:r>
          </w:p>
        </w:tc>
        <w:tc>
          <w:tcPr>
            <w:tcW w:w="2160"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37"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none"/>
              </w:rPr>
            </w:pPr>
          </w:p>
        </w:tc>
        <w:tc>
          <w:tcPr>
            <w:tcW w:w="1407"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自主就业退役士兵满意度</w:t>
            </w:r>
          </w:p>
        </w:tc>
        <w:tc>
          <w:tcPr>
            <w:tcW w:w="2160"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7215"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17" w:hRule="atLeast"/>
          <w:jc w:val="center"/>
        </w:trPr>
        <w:tc>
          <w:tcPr>
            <w:tcW w:w="5155" w:type="dxa"/>
            <w:gridSpan w:val="4"/>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合计</w:t>
            </w:r>
          </w:p>
        </w:tc>
        <w:tc>
          <w:tcPr>
            <w:tcW w:w="7215"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p>
        </w:tc>
        <w:tc>
          <w:tcPr>
            <w:tcW w:w="785"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100</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highlight w:val="none"/>
                <w:lang w:val="en-US" w:eastAsia="zh-CN"/>
              </w:rPr>
            </w:pPr>
            <w:r>
              <w:rPr>
                <w:rFonts w:hint="eastAsia" w:cs="宋体"/>
                <w:color w:val="000000"/>
                <w:kern w:val="0"/>
                <w:sz w:val="22"/>
                <w:szCs w:val="22"/>
                <w:highlight w:val="none"/>
                <w:lang w:val="en-US" w:eastAsia="zh-CN"/>
              </w:rPr>
              <w:t>99.8</w:t>
            </w:r>
          </w:p>
        </w:tc>
      </w:tr>
    </w:tbl>
    <w:p>
      <w:pPr>
        <w:spacing w:line="240" w:lineRule="auto"/>
        <w:ind w:firstLine="0" w:firstLineChars="0"/>
        <w:rPr>
          <w:rFonts w:ascii="Times New Roman" w:hAnsi="Times New Roman" w:eastAsia="仿宋_GB2312" w:cs="Times New Roman"/>
          <w:sz w:val="30"/>
          <w:szCs w:val="24"/>
        </w:rPr>
      </w:pPr>
    </w:p>
    <w:p>
      <w:pPr>
        <w:rPr>
          <w:rFonts w:hint="default"/>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DE73B74F"/>
    <w:multiLevelType w:val="singleLevel"/>
    <w:tmpl w:val="DE73B74F"/>
    <w:lvl w:ilvl="0" w:tentative="0">
      <w:start w:val="2"/>
      <w:numFmt w:val="chineseCounting"/>
      <w:suff w:val="nothing"/>
      <w:lvlText w:val="%1、"/>
      <w:lvlJc w:val="left"/>
      <w:pPr>
        <w:ind w:left="-163"/>
      </w:pPr>
      <w:rPr>
        <w:rFonts w:hint="eastAsia"/>
      </w:rPr>
    </w:lvl>
  </w:abstractNum>
  <w:abstractNum w:abstractNumId="2">
    <w:nsid w:val="0B4140FC"/>
    <w:multiLevelType w:val="singleLevel"/>
    <w:tmpl w:val="0B4140FC"/>
    <w:lvl w:ilvl="0" w:tentative="0">
      <w:start w:val="4"/>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7D6A04"/>
    <w:rsid w:val="00E23C81"/>
    <w:rsid w:val="01253350"/>
    <w:rsid w:val="01282E62"/>
    <w:rsid w:val="014029CF"/>
    <w:rsid w:val="01470C4C"/>
    <w:rsid w:val="01B43DF8"/>
    <w:rsid w:val="02200440"/>
    <w:rsid w:val="02284B43"/>
    <w:rsid w:val="02B015E2"/>
    <w:rsid w:val="02DC08FA"/>
    <w:rsid w:val="033B569D"/>
    <w:rsid w:val="0363178A"/>
    <w:rsid w:val="039C3BA0"/>
    <w:rsid w:val="03A845BB"/>
    <w:rsid w:val="03B45AD1"/>
    <w:rsid w:val="03FA0165"/>
    <w:rsid w:val="0409048B"/>
    <w:rsid w:val="041A4DE3"/>
    <w:rsid w:val="04D12EE4"/>
    <w:rsid w:val="04D63993"/>
    <w:rsid w:val="0500207B"/>
    <w:rsid w:val="05395A19"/>
    <w:rsid w:val="05F10DFA"/>
    <w:rsid w:val="072767CC"/>
    <w:rsid w:val="07341F9F"/>
    <w:rsid w:val="07890F4F"/>
    <w:rsid w:val="0835313D"/>
    <w:rsid w:val="08892439"/>
    <w:rsid w:val="08EB30F3"/>
    <w:rsid w:val="09237408"/>
    <w:rsid w:val="09781BD6"/>
    <w:rsid w:val="09F359DF"/>
    <w:rsid w:val="0A575E65"/>
    <w:rsid w:val="0ACA0AB6"/>
    <w:rsid w:val="0B270EA6"/>
    <w:rsid w:val="0C032502"/>
    <w:rsid w:val="0C201C5F"/>
    <w:rsid w:val="0C27698C"/>
    <w:rsid w:val="0D4452F3"/>
    <w:rsid w:val="0DB03496"/>
    <w:rsid w:val="0E5D2ABA"/>
    <w:rsid w:val="0F5E5042"/>
    <w:rsid w:val="0FA3759F"/>
    <w:rsid w:val="0FE95707"/>
    <w:rsid w:val="10510571"/>
    <w:rsid w:val="10787A20"/>
    <w:rsid w:val="108672DE"/>
    <w:rsid w:val="10EC685A"/>
    <w:rsid w:val="11FA6155"/>
    <w:rsid w:val="12CF0947"/>
    <w:rsid w:val="12F1313F"/>
    <w:rsid w:val="136C678E"/>
    <w:rsid w:val="13EB2FF5"/>
    <w:rsid w:val="14442774"/>
    <w:rsid w:val="14DF1632"/>
    <w:rsid w:val="15791C22"/>
    <w:rsid w:val="15A46B04"/>
    <w:rsid w:val="165825BC"/>
    <w:rsid w:val="16BC5D73"/>
    <w:rsid w:val="176F36D7"/>
    <w:rsid w:val="1795226D"/>
    <w:rsid w:val="18456B1E"/>
    <w:rsid w:val="184709A9"/>
    <w:rsid w:val="1C1171C5"/>
    <w:rsid w:val="1C452864"/>
    <w:rsid w:val="1CC02E25"/>
    <w:rsid w:val="1D265138"/>
    <w:rsid w:val="1D7B6BCA"/>
    <w:rsid w:val="1DA41A79"/>
    <w:rsid w:val="1DF53469"/>
    <w:rsid w:val="1E2F24F2"/>
    <w:rsid w:val="1E3A4A6F"/>
    <w:rsid w:val="1E58492F"/>
    <w:rsid w:val="1E5B6757"/>
    <w:rsid w:val="1ED10AC6"/>
    <w:rsid w:val="1F89225F"/>
    <w:rsid w:val="1F900A1F"/>
    <w:rsid w:val="1FC0575D"/>
    <w:rsid w:val="206132C7"/>
    <w:rsid w:val="20A218B2"/>
    <w:rsid w:val="21763608"/>
    <w:rsid w:val="21B00C1D"/>
    <w:rsid w:val="23031BEB"/>
    <w:rsid w:val="23917691"/>
    <w:rsid w:val="2419733C"/>
    <w:rsid w:val="244D65B8"/>
    <w:rsid w:val="245E1E24"/>
    <w:rsid w:val="24D94E9A"/>
    <w:rsid w:val="25AD5E5D"/>
    <w:rsid w:val="25C0682D"/>
    <w:rsid w:val="2732478D"/>
    <w:rsid w:val="27661469"/>
    <w:rsid w:val="27900EAD"/>
    <w:rsid w:val="279B538A"/>
    <w:rsid w:val="27F04699"/>
    <w:rsid w:val="286F545C"/>
    <w:rsid w:val="29314FBC"/>
    <w:rsid w:val="2AC22BAC"/>
    <w:rsid w:val="2ADB649A"/>
    <w:rsid w:val="2C024B86"/>
    <w:rsid w:val="2C927671"/>
    <w:rsid w:val="2D7C5CD6"/>
    <w:rsid w:val="2E483E7E"/>
    <w:rsid w:val="2E690493"/>
    <w:rsid w:val="2E9854BD"/>
    <w:rsid w:val="2E9A2306"/>
    <w:rsid w:val="2F0D407F"/>
    <w:rsid w:val="2F454B19"/>
    <w:rsid w:val="310224D9"/>
    <w:rsid w:val="31B4621C"/>
    <w:rsid w:val="31E3230A"/>
    <w:rsid w:val="330957E0"/>
    <w:rsid w:val="33356F64"/>
    <w:rsid w:val="33944516"/>
    <w:rsid w:val="34B62907"/>
    <w:rsid w:val="36BD137C"/>
    <w:rsid w:val="385D37E7"/>
    <w:rsid w:val="38782EDD"/>
    <w:rsid w:val="3B42664A"/>
    <w:rsid w:val="3BF95E04"/>
    <w:rsid w:val="3D836A4E"/>
    <w:rsid w:val="3E6A0F1A"/>
    <w:rsid w:val="3EA37E97"/>
    <w:rsid w:val="3EA5155C"/>
    <w:rsid w:val="3F687A28"/>
    <w:rsid w:val="3F9B2FED"/>
    <w:rsid w:val="3FBE0BC5"/>
    <w:rsid w:val="4048103A"/>
    <w:rsid w:val="40560813"/>
    <w:rsid w:val="40736643"/>
    <w:rsid w:val="40A40347"/>
    <w:rsid w:val="40D24A7A"/>
    <w:rsid w:val="417C3722"/>
    <w:rsid w:val="42621029"/>
    <w:rsid w:val="42976951"/>
    <w:rsid w:val="435241E2"/>
    <w:rsid w:val="43975C51"/>
    <w:rsid w:val="439E3FA7"/>
    <w:rsid w:val="44B32266"/>
    <w:rsid w:val="44FC64F4"/>
    <w:rsid w:val="454420B2"/>
    <w:rsid w:val="467F4585"/>
    <w:rsid w:val="470628CB"/>
    <w:rsid w:val="47087A02"/>
    <w:rsid w:val="47555BD4"/>
    <w:rsid w:val="47E96399"/>
    <w:rsid w:val="48E12B50"/>
    <w:rsid w:val="48EB0671"/>
    <w:rsid w:val="499441BE"/>
    <w:rsid w:val="499A6C1C"/>
    <w:rsid w:val="4A2138F0"/>
    <w:rsid w:val="4A583887"/>
    <w:rsid w:val="4ACE0006"/>
    <w:rsid w:val="4B9F6E02"/>
    <w:rsid w:val="4C89637B"/>
    <w:rsid w:val="4E52611F"/>
    <w:rsid w:val="4E6E48A8"/>
    <w:rsid w:val="4EEC036B"/>
    <w:rsid w:val="4FD0688A"/>
    <w:rsid w:val="501D2673"/>
    <w:rsid w:val="50C80BF1"/>
    <w:rsid w:val="51852833"/>
    <w:rsid w:val="528979EC"/>
    <w:rsid w:val="52F11AC8"/>
    <w:rsid w:val="534F49D9"/>
    <w:rsid w:val="53555F0F"/>
    <w:rsid w:val="535D23D5"/>
    <w:rsid w:val="54EE6584"/>
    <w:rsid w:val="56F4341A"/>
    <w:rsid w:val="575A7321"/>
    <w:rsid w:val="57D67774"/>
    <w:rsid w:val="580C3AB9"/>
    <w:rsid w:val="58336563"/>
    <w:rsid w:val="583C7AE0"/>
    <w:rsid w:val="586C1E9A"/>
    <w:rsid w:val="586E0800"/>
    <w:rsid w:val="59216F96"/>
    <w:rsid w:val="598C4145"/>
    <w:rsid w:val="59957D1B"/>
    <w:rsid w:val="59C03FA3"/>
    <w:rsid w:val="59D4294E"/>
    <w:rsid w:val="5B634312"/>
    <w:rsid w:val="5B9D2CCD"/>
    <w:rsid w:val="5B9E71EA"/>
    <w:rsid w:val="5D6E3CBC"/>
    <w:rsid w:val="5E226FBC"/>
    <w:rsid w:val="5F21023B"/>
    <w:rsid w:val="5FE72BD2"/>
    <w:rsid w:val="60120613"/>
    <w:rsid w:val="618D5292"/>
    <w:rsid w:val="622E78FA"/>
    <w:rsid w:val="63343F70"/>
    <w:rsid w:val="63FE65EB"/>
    <w:rsid w:val="64296E1C"/>
    <w:rsid w:val="649C226A"/>
    <w:rsid w:val="649E64A2"/>
    <w:rsid w:val="64C36649"/>
    <w:rsid w:val="65E5270A"/>
    <w:rsid w:val="663D3C54"/>
    <w:rsid w:val="66862C89"/>
    <w:rsid w:val="66BB486D"/>
    <w:rsid w:val="67394C7D"/>
    <w:rsid w:val="68126B38"/>
    <w:rsid w:val="68291A1A"/>
    <w:rsid w:val="68352BB8"/>
    <w:rsid w:val="691B1594"/>
    <w:rsid w:val="693A016B"/>
    <w:rsid w:val="6A17429C"/>
    <w:rsid w:val="6A464C09"/>
    <w:rsid w:val="6A567EA3"/>
    <w:rsid w:val="6B4B4368"/>
    <w:rsid w:val="6B79100E"/>
    <w:rsid w:val="6C844C00"/>
    <w:rsid w:val="6C8B7608"/>
    <w:rsid w:val="6CB23A2B"/>
    <w:rsid w:val="6E10212C"/>
    <w:rsid w:val="6E43561A"/>
    <w:rsid w:val="6E557973"/>
    <w:rsid w:val="6E9568DB"/>
    <w:rsid w:val="6F0D6C22"/>
    <w:rsid w:val="6F47657F"/>
    <w:rsid w:val="6FAF23D9"/>
    <w:rsid w:val="70635CF6"/>
    <w:rsid w:val="70670707"/>
    <w:rsid w:val="718B5686"/>
    <w:rsid w:val="720E3691"/>
    <w:rsid w:val="724E244C"/>
    <w:rsid w:val="72DA6946"/>
    <w:rsid w:val="732764B3"/>
    <w:rsid w:val="74026044"/>
    <w:rsid w:val="74746410"/>
    <w:rsid w:val="75E5007C"/>
    <w:rsid w:val="77813724"/>
    <w:rsid w:val="77861774"/>
    <w:rsid w:val="78F31435"/>
    <w:rsid w:val="79300B45"/>
    <w:rsid w:val="794D3E18"/>
    <w:rsid w:val="79F3729A"/>
    <w:rsid w:val="7A880722"/>
    <w:rsid w:val="7ACB0498"/>
    <w:rsid w:val="7AED0B4D"/>
    <w:rsid w:val="7C1E4487"/>
    <w:rsid w:val="7C215E02"/>
    <w:rsid w:val="7CF23764"/>
    <w:rsid w:val="7E797F74"/>
    <w:rsid w:val="7F924011"/>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4"/>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qFormat/>
    <w:uiPriority w:val="0"/>
    <w:pPr>
      <w:jc w:val="left"/>
    </w:pPr>
  </w:style>
  <w:style w:type="paragraph" w:styleId="7">
    <w:name w:val="Body Text"/>
    <w:basedOn w:val="1"/>
    <w:next w:val="8"/>
    <w:qFormat/>
    <w:uiPriority w:val="0"/>
    <w:pPr>
      <w:spacing w:before="240" w:after="240" w:line="360" w:lineRule="auto"/>
      <w:jc w:val="center"/>
    </w:pPr>
    <w:rPr>
      <w:b/>
      <w:sz w:val="44"/>
    </w:rPr>
  </w:style>
  <w:style w:type="paragraph" w:styleId="8">
    <w:name w:val="Body Text 2"/>
    <w:basedOn w:val="1"/>
    <w:qFormat/>
    <w:uiPriority w:val="0"/>
    <w:pPr>
      <w:spacing w:after="120" w:line="480" w:lineRule="auto"/>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4"/>
    <w:qFormat/>
    <w:uiPriority w:val="0"/>
    <w:rPr>
      <w:rFonts w:ascii="Arial" w:hAnsi="Arial" w:eastAsia="楷体"/>
      <w:b/>
      <w:sz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9189</Words>
  <Characters>9724</Characters>
  <Lines>0</Lines>
  <Paragraphs>0</Paragraphs>
  <TotalTime>0</TotalTime>
  <ScaleCrop>false</ScaleCrop>
  <LinksUpToDate>false</LinksUpToDate>
  <CharactersWithSpaces>9781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Administrator</cp:lastModifiedBy>
  <dcterms:modified xsi:type="dcterms:W3CDTF">2024-12-16T04:14:23Z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1D17C581B7B649E79D2BCA767FA9A472_13</vt:lpwstr>
  </property>
</Properties>
</file>