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pacing w:line="360" w:lineRule="auto"/>
        <w:ind w:firstLine="1142" w:firstLineChars="316"/>
        <w:jc w:val="center"/>
        <w:textAlignment w:val="auto"/>
        <w:rPr>
          <w:rFonts w:hint="eastAsia" w:ascii="宋体" w:hAnsi="宋体" w:eastAsia="宋体" w:cs="宋体"/>
          <w:b/>
          <w:bCs/>
          <w:color w:val="auto"/>
          <w:sz w:val="36"/>
          <w:szCs w:val="36"/>
          <w:highlight w:val="none"/>
          <w:shd w:val="clear" w:color="auto" w:fill="auto"/>
        </w:rPr>
      </w:pPr>
    </w:p>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36"/>
          <w:szCs w:val="36"/>
          <w:highlight w:val="none"/>
          <w:shd w:val="clear" w:color="auto" w:fill="auto"/>
        </w:rPr>
      </w:pPr>
    </w:p>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宋体"/>
          <w:b/>
          <w:bCs/>
          <w:color w:val="auto"/>
          <w:sz w:val="40"/>
          <w:szCs w:val="40"/>
          <w:highlight w:val="none"/>
          <w:shd w:val="clear" w:color="auto" w:fill="auto"/>
          <w:lang w:val="en-US" w:eastAsia="zh-CN"/>
        </w:rPr>
      </w:pPr>
      <w:r>
        <w:rPr>
          <w:rFonts w:hint="eastAsia" w:cs="宋体"/>
          <w:b/>
          <w:bCs/>
          <w:color w:val="auto"/>
          <w:sz w:val="40"/>
          <w:szCs w:val="40"/>
          <w:highlight w:val="none"/>
          <w:shd w:val="clear" w:color="auto" w:fill="auto"/>
          <w:lang w:val="en-US" w:eastAsia="zh-CN"/>
        </w:rPr>
        <w:t xml:space="preserve">南通港吕四港区广汇能源LNG分销转运扩建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40"/>
          <w:szCs w:val="40"/>
          <w:highlight w:val="none"/>
          <w:shd w:val="clear" w:color="auto" w:fill="auto"/>
        </w:rPr>
      </w:pPr>
      <w:r>
        <w:rPr>
          <w:rFonts w:hint="eastAsia" w:cs="宋体"/>
          <w:b/>
          <w:bCs/>
          <w:color w:val="auto"/>
          <w:sz w:val="40"/>
          <w:szCs w:val="40"/>
          <w:highlight w:val="none"/>
          <w:shd w:val="clear" w:color="auto" w:fill="auto"/>
          <w:lang w:val="en-US" w:eastAsia="zh-CN"/>
        </w:rPr>
        <w:t>5#20万立方储罐</w:t>
      </w:r>
      <w:r>
        <w:rPr>
          <w:rFonts w:hint="eastAsia" w:ascii="宋体" w:hAnsi="宋体" w:eastAsia="宋体" w:cs="宋体"/>
          <w:b/>
          <w:bCs/>
          <w:color w:val="auto"/>
          <w:sz w:val="40"/>
          <w:szCs w:val="40"/>
          <w:highlight w:val="none"/>
          <w:shd w:val="clear" w:color="auto" w:fill="auto"/>
          <w:lang w:val="en-US" w:eastAsia="zh-CN"/>
        </w:rPr>
        <w:t>项目</w:t>
      </w:r>
      <w:r>
        <w:rPr>
          <w:rFonts w:hint="eastAsia" w:ascii="宋体" w:hAnsi="宋体" w:eastAsia="宋体" w:cs="宋体"/>
          <w:b/>
          <w:bCs/>
          <w:color w:val="auto"/>
          <w:sz w:val="40"/>
          <w:szCs w:val="40"/>
          <w:highlight w:val="none"/>
          <w:shd w:val="clear" w:color="auto" w:fill="auto"/>
        </w:rPr>
        <w:t>支出绩效评价报告</w:t>
      </w: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auto"/>
          <w:kern w:val="2"/>
          <w:sz w:val="28"/>
          <w:szCs w:val="28"/>
          <w:highlight w:val="none"/>
          <w:shd w:val="clear" w:color="auto" w:fill="auto"/>
          <w:lang w:val="en-US" w:eastAsia="zh-CN"/>
        </w:rPr>
      </w:pPr>
      <w:r>
        <w:rPr>
          <w:rFonts w:hint="eastAsia" w:ascii="宋体" w:hAnsi="宋体" w:eastAsia="宋体" w:cs="宋体"/>
          <w:b/>
          <w:color w:val="auto"/>
          <w:kern w:val="2"/>
          <w:sz w:val="28"/>
          <w:szCs w:val="28"/>
          <w:highlight w:val="none"/>
          <w:shd w:val="clear" w:color="auto" w:fill="auto"/>
          <w:lang w:val="en-US" w:eastAsia="zh-CN"/>
        </w:rPr>
        <w:t xml:space="preserve">项目名称：南通港吕四港区广汇能源LNG分销转运扩建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auto"/>
          <w:kern w:val="2"/>
          <w:sz w:val="28"/>
          <w:szCs w:val="28"/>
          <w:highlight w:val="none"/>
          <w:shd w:val="clear" w:color="auto" w:fill="auto"/>
          <w:lang w:val="en-US" w:eastAsia="zh-CN"/>
        </w:rPr>
      </w:pPr>
      <w:r>
        <w:rPr>
          <w:rFonts w:hint="eastAsia" w:ascii="宋体" w:hAnsi="宋体" w:eastAsia="宋体" w:cs="宋体"/>
          <w:b/>
          <w:color w:val="auto"/>
          <w:kern w:val="2"/>
          <w:sz w:val="28"/>
          <w:szCs w:val="28"/>
          <w:highlight w:val="none"/>
          <w:shd w:val="clear" w:color="auto" w:fill="auto"/>
          <w:lang w:val="en-US" w:eastAsia="zh-CN"/>
        </w:rPr>
        <w:t>5#20万立方储罐项目支出绩效评价报告</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auto"/>
          <w:kern w:val="2"/>
          <w:sz w:val="28"/>
          <w:szCs w:val="28"/>
          <w:highlight w:val="none"/>
          <w:shd w:val="clear" w:color="auto" w:fill="auto"/>
          <w:lang w:val="en-US" w:eastAsia="zh-CN"/>
        </w:rPr>
      </w:pPr>
      <w:r>
        <w:rPr>
          <w:rFonts w:hint="eastAsia" w:ascii="宋体" w:hAnsi="宋体" w:eastAsia="宋体" w:cs="宋体"/>
          <w:b/>
          <w:color w:val="auto"/>
          <w:kern w:val="2"/>
          <w:sz w:val="28"/>
          <w:szCs w:val="28"/>
          <w:highlight w:val="none"/>
          <w:shd w:val="clear" w:color="auto" w:fill="auto"/>
          <w:lang w:val="en-US" w:eastAsia="zh-CN"/>
        </w:rPr>
        <w:t>实施单位：广汇能源综合物流发展有限公司</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auto"/>
          <w:kern w:val="2"/>
          <w:sz w:val="28"/>
          <w:szCs w:val="28"/>
          <w:highlight w:val="none"/>
          <w:shd w:val="clear" w:color="auto" w:fill="auto"/>
          <w:lang w:val="en-US" w:eastAsia="zh-CN"/>
        </w:rPr>
      </w:pPr>
      <w:r>
        <w:rPr>
          <w:rFonts w:hint="eastAsia" w:ascii="宋体" w:hAnsi="宋体" w:eastAsia="宋体" w:cs="宋体"/>
          <w:b/>
          <w:color w:val="auto"/>
          <w:kern w:val="2"/>
          <w:sz w:val="28"/>
          <w:szCs w:val="28"/>
          <w:highlight w:val="none"/>
          <w:shd w:val="clear" w:color="auto" w:fill="auto"/>
          <w:lang w:val="en-US" w:eastAsia="zh-CN"/>
        </w:rPr>
        <w:t>主管部门：阜康市发展和改革委员会</w:t>
      </w:r>
    </w:p>
    <w:p>
      <w:pPr>
        <w:pStyle w:val="2"/>
        <w:rPr>
          <w:rFonts w:hint="eastAsia" w:ascii="宋体" w:hAnsi="宋体" w:eastAsia="宋体" w:cs="宋体"/>
          <w:b/>
          <w:color w:val="auto"/>
          <w:kern w:val="2"/>
          <w:sz w:val="28"/>
          <w:szCs w:val="28"/>
          <w:highlight w:val="none"/>
          <w:shd w:val="clear" w:color="auto" w:fill="auto"/>
          <w:lang w:val="en-US" w:eastAsia="zh-CN"/>
        </w:rPr>
      </w:pPr>
    </w:p>
    <w:p>
      <w:pPr>
        <w:rPr>
          <w:rFonts w:hint="eastAsia"/>
          <w:color w:val="auto"/>
          <w:lang w:val="en-US" w:eastAsia="zh-CN"/>
        </w:rPr>
        <w:sectPr>
          <w:pgSz w:w="11906" w:h="16838"/>
          <w:pgMar w:top="1928" w:right="1531" w:bottom="1701" w:left="1531" w:header="737" w:footer="851" w:gutter="0"/>
          <w:cols w:space="720" w:num="1"/>
          <w:docGrid w:type="lines" w:linePitch="408"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宋体"/>
          <w:b/>
          <w:bCs/>
          <w:color w:val="auto"/>
          <w:sz w:val="36"/>
          <w:szCs w:val="36"/>
          <w:highlight w:val="none"/>
          <w:shd w:val="clear" w:color="auto" w:fill="auto"/>
          <w:lang w:val="en-US" w:eastAsia="zh-CN"/>
        </w:rPr>
      </w:pPr>
      <w:r>
        <w:rPr>
          <w:rFonts w:hint="eastAsia" w:cs="宋体"/>
          <w:b/>
          <w:bCs/>
          <w:color w:val="auto"/>
          <w:sz w:val="36"/>
          <w:szCs w:val="36"/>
          <w:highlight w:val="none"/>
          <w:shd w:val="clear" w:color="auto" w:fill="auto"/>
          <w:lang w:val="en-US" w:eastAsia="zh-CN"/>
        </w:rPr>
        <w:t xml:space="preserve">南通港吕四港区广汇能源LNG分销转运扩建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highlight w:val="none"/>
          <w:shd w:val="clear" w:color="auto" w:fill="auto"/>
        </w:rPr>
      </w:pPr>
      <w:r>
        <w:rPr>
          <w:rFonts w:hint="eastAsia" w:cs="宋体"/>
          <w:b/>
          <w:bCs/>
          <w:color w:val="auto"/>
          <w:sz w:val="36"/>
          <w:szCs w:val="36"/>
          <w:highlight w:val="none"/>
          <w:shd w:val="clear" w:color="auto" w:fill="auto"/>
          <w:lang w:val="en-US" w:eastAsia="zh-CN"/>
        </w:rPr>
        <w:t>5#20万立方储罐</w:t>
      </w:r>
      <w:r>
        <w:rPr>
          <w:rFonts w:hint="eastAsia" w:ascii="宋体" w:hAnsi="宋体" w:eastAsia="宋体" w:cs="宋体"/>
          <w:b/>
          <w:bCs/>
          <w:color w:val="auto"/>
          <w:sz w:val="36"/>
          <w:szCs w:val="36"/>
          <w:highlight w:val="none"/>
          <w:shd w:val="clear" w:color="auto" w:fill="auto"/>
          <w:lang w:val="en-US" w:eastAsia="zh-CN"/>
        </w:rPr>
        <w:t>项目</w:t>
      </w:r>
      <w:r>
        <w:rPr>
          <w:rFonts w:hint="eastAsia" w:ascii="宋体" w:hAnsi="宋体" w:eastAsia="宋体" w:cs="宋体"/>
          <w:b/>
          <w:bCs/>
          <w:color w:val="auto"/>
          <w:sz w:val="36"/>
          <w:szCs w:val="36"/>
          <w:highlight w:val="none"/>
          <w:shd w:val="clear" w:color="auto" w:fill="auto"/>
        </w:rPr>
        <w:t>支出绩效评价报告</w:t>
      </w:r>
    </w:p>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highlight w:val="none"/>
          <w:shd w:val="clear" w:color="auto" w:fill="auto"/>
        </w:rPr>
        <w:t>一、基本情况</w:t>
      </w:r>
    </w:p>
    <w:p>
      <w:pPr>
        <w:pStyle w:val="4"/>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（一）项目概况</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rPr>
        <w:t>项目背景</w:t>
      </w:r>
    </w:p>
    <w:p>
      <w:pPr>
        <w:ind w:firstLine="560"/>
        <w:rPr>
          <w:rFonts w:hint="eastAsia" w:eastAsia="宋体"/>
          <w:color w:val="auto"/>
          <w:lang w:val="en-US" w:eastAsia="zh-CN"/>
        </w:rPr>
      </w:pPr>
      <w:r>
        <w:rPr>
          <w:rFonts w:hint="eastAsia"/>
          <w:color w:val="auto"/>
          <w:sz w:val="24"/>
          <w:szCs w:val="24"/>
        </w:rPr>
        <w:t>该项目计划在江苏省南通港吕四港区建设一座20万水立方LNG储罐，其中8万水立方为昌吉州应急储气能力。建设一座20万水立方LNG储罐，分三</w:t>
      </w:r>
      <w:r>
        <w:rPr>
          <w:rFonts w:hint="eastAsia"/>
          <w:color w:val="auto"/>
        </w:rPr>
        <w:t>年建成。形成4800万立方米地方3天应急储气能力</w:t>
      </w:r>
      <w:r>
        <w:rPr>
          <w:rFonts w:hint="eastAsia"/>
          <w:color w:val="auto"/>
          <w:lang w:eastAsia="zh-CN"/>
        </w:rPr>
        <w:t>。</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rPr>
        <w:t>主要内容及实施情况</w:t>
      </w:r>
    </w:p>
    <w:p>
      <w:pPr>
        <w:ind w:firstLine="560"/>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主要内容</w:t>
      </w:r>
      <w:r>
        <w:rPr>
          <w:rFonts w:hint="eastAsia" w:ascii="宋体" w:hAnsi="宋体" w:eastAsia="宋体" w:cs="宋体"/>
          <w:color w:val="auto"/>
          <w:highlight w:val="none"/>
          <w:shd w:val="clear" w:color="auto" w:fill="auto"/>
          <w:lang w:val="en-US" w:eastAsia="zh-CN"/>
        </w:rPr>
        <w:t>：</w:t>
      </w:r>
      <w:r>
        <w:rPr>
          <w:rFonts w:hint="eastAsia"/>
          <w:color w:val="auto"/>
        </w:rPr>
        <w:t>建设一座20万水立方LNG储罐，分三年建成。其中8万水立方为昌吉州应急储气能力。形成4800万立方米地方3天应急储气能力。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组织实施</w:t>
      </w:r>
      <w:r>
        <w:rPr>
          <w:rFonts w:hint="eastAsia" w:ascii="宋体" w:hAnsi="宋体" w:eastAsia="宋体" w:cs="宋体"/>
          <w:color w:val="auto"/>
          <w:highlight w:val="none"/>
          <w:shd w:val="clear" w:color="auto" w:fill="auto"/>
          <w:lang w:val="en-US" w:eastAsia="zh-CN"/>
        </w:rPr>
        <w:t>：</w:t>
      </w:r>
      <w:r>
        <w:rPr>
          <w:rFonts w:hint="eastAsia"/>
          <w:color w:val="auto"/>
        </w:rPr>
        <w:t>总投资6.4587亿元，其中企业投资1.1876亿元、向银行贷款4.5211亿元、中央预算内资金7500万元。2020年5月22日，自治区发改委下达投资计划并拨付资金7500万元。该项目已完成总体建设进度的91.84%，计划2022年9月完工。</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3.资金投入和使用情况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rPr>
        <w:t>项目资金安排落实、总投入等情况分析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olor w:val="auto"/>
        </w:rPr>
        <w:t>南通港吕四港区广汇能源LNG分销转运扩建5#20万立方储罐项目</w:t>
      </w:r>
      <w:r>
        <w:rPr>
          <w:rFonts w:hint="eastAsia" w:ascii="宋体" w:hAnsi="宋体" w:eastAsia="宋体" w:cs="宋体"/>
          <w:color w:val="auto"/>
          <w:highlight w:val="none"/>
          <w:shd w:val="clear" w:color="auto" w:fill="auto"/>
          <w:lang w:val="en-US" w:eastAsia="zh-CN"/>
        </w:rPr>
        <w:t>预算安排总额为</w:t>
      </w:r>
      <w:r>
        <w:rPr>
          <w:rFonts w:hint="eastAsia" w:cs="宋体"/>
          <w:color w:val="auto"/>
          <w:highlight w:val="none"/>
          <w:shd w:val="clear" w:color="auto" w:fill="auto"/>
          <w:lang w:val="en-US" w:eastAsia="zh-CN"/>
        </w:rPr>
        <w:t>5000</w:t>
      </w:r>
      <w:r>
        <w:rPr>
          <w:rFonts w:hint="eastAsia" w:ascii="宋体" w:hAnsi="宋体" w:eastAsia="宋体" w:cs="宋体"/>
          <w:color w:val="auto"/>
          <w:highlight w:val="none"/>
          <w:shd w:val="clear" w:color="auto" w:fill="auto"/>
          <w:lang w:val="en-US" w:eastAsia="zh-CN"/>
        </w:rPr>
        <w:t>万元，其中财政资</w:t>
      </w:r>
      <w:r>
        <w:rPr>
          <w:rFonts w:hint="eastAsia" w:cs="宋体"/>
          <w:color w:val="auto"/>
          <w:highlight w:val="none"/>
          <w:shd w:val="clear" w:color="auto" w:fill="auto"/>
          <w:lang w:val="en-US" w:eastAsia="zh-CN"/>
        </w:rPr>
        <w:t>金5000</w:t>
      </w:r>
      <w:r>
        <w:rPr>
          <w:rFonts w:hint="eastAsia" w:ascii="宋体" w:hAnsi="宋体" w:eastAsia="宋体" w:cs="宋体"/>
          <w:color w:val="auto"/>
          <w:highlight w:val="none"/>
          <w:shd w:val="clear" w:color="auto" w:fill="auto"/>
          <w:lang w:val="en-US" w:eastAsia="zh-CN"/>
        </w:rPr>
        <w:t>万元，其他资金</w:t>
      </w:r>
      <w:r>
        <w:rPr>
          <w:rFonts w:hint="eastAsia" w:cs="宋体"/>
          <w:color w:val="auto"/>
          <w:highlight w:val="none"/>
          <w:shd w:val="clear" w:color="auto" w:fill="auto"/>
          <w:lang w:val="en-US" w:eastAsia="zh-CN"/>
        </w:rPr>
        <w:t>5000</w:t>
      </w:r>
      <w:r>
        <w:rPr>
          <w:rFonts w:hint="eastAsia" w:ascii="宋体" w:hAnsi="宋体" w:eastAsia="宋体" w:cs="宋体"/>
          <w:color w:val="auto"/>
          <w:highlight w:val="none"/>
          <w:shd w:val="clear" w:color="auto" w:fill="auto"/>
          <w:lang w:val="en-US" w:eastAsia="zh-CN"/>
        </w:rPr>
        <w:t>万元，</w:t>
      </w:r>
      <w:r>
        <w:rPr>
          <w:rFonts w:hint="eastAsia" w:cs="宋体"/>
          <w:color w:val="auto"/>
          <w:highlight w:val="none"/>
          <w:shd w:val="clear" w:color="auto" w:fill="auto"/>
          <w:lang w:val="en-US" w:eastAsia="zh-CN"/>
        </w:rPr>
        <w:t>2022</w:t>
      </w:r>
      <w:r>
        <w:rPr>
          <w:rFonts w:hint="eastAsia" w:ascii="宋体" w:hAnsi="宋体" w:eastAsia="宋体" w:cs="宋体"/>
          <w:color w:val="auto"/>
          <w:highlight w:val="none"/>
          <w:shd w:val="clear" w:color="auto" w:fill="auto"/>
          <w:lang w:val="en-US" w:eastAsia="zh-CN"/>
        </w:rPr>
        <w:t>年实际收到预算资金</w:t>
      </w:r>
      <w:r>
        <w:rPr>
          <w:rFonts w:hint="eastAsia" w:cs="宋体"/>
          <w:color w:val="auto"/>
          <w:highlight w:val="none"/>
          <w:shd w:val="clear" w:color="auto" w:fill="auto"/>
          <w:lang w:val="en-US" w:eastAsia="zh-CN"/>
        </w:rPr>
        <w:t>5000</w:t>
      </w:r>
      <w:r>
        <w:rPr>
          <w:rFonts w:hint="eastAsia" w:ascii="宋体" w:hAnsi="宋体" w:eastAsia="宋体" w:cs="宋体"/>
          <w:color w:val="auto"/>
          <w:highlight w:val="none"/>
          <w:shd w:val="clear" w:color="auto" w:fill="auto"/>
          <w:lang w:val="en-US" w:eastAsia="zh-CN"/>
        </w:rPr>
        <w:t>万元，预算资金到位率为</w:t>
      </w:r>
      <w:r>
        <w:rPr>
          <w:rFonts w:hint="eastAsia" w:cs="宋体"/>
          <w:color w:val="auto"/>
          <w:highlight w:val="none"/>
          <w:shd w:val="clear" w:color="auto" w:fill="auto"/>
          <w:lang w:val="en-US" w:eastAsia="zh-CN"/>
        </w:rPr>
        <w:t>100</w:t>
      </w:r>
      <w:r>
        <w:rPr>
          <w:rFonts w:hint="eastAsia" w:ascii="宋体" w:hAnsi="宋体" w:eastAsia="宋体" w:cs="宋体"/>
          <w:color w:val="auto"/>
          <w:highlight w:val="none"/>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44" w:firstLineChars="200"/>
        <w:textAlignment w:val="auto"/>
        <w:rPr>
          <w:rFonts w:hint="eastAsia" w:ascii="宋体" w:hAnsi="宋体" w:eastAsia="宋体" w:cs="宋体"/>
          <w:bCs/>
          <w:color w:val="auto"/>
          <w:spacing w:val="-4"/>
          <w:highlight w:val="none"/>
          <w:shd w:val="clear" w:color="auto" w:fill="auto"/>
        </w:rPr>
      </w:pPr>
      <w:r>
        <w:rPr>
          <w:rFonts w:hint="eastAsia" w:ascii="宋体" w:hAnsi="宋体" w:eastAsia="宋体" w:cs="宋体"/>
          <w:bCs/>
          <w:color w:val="auto"/>
          <w:spacing w:val="-4"/>
          <w:highlight w:val="none"/>
          <w:shd w:val="clear" w:color="auto" w:fill="auto"/>
          <w:lang w:eastAsia="zh-CN"/>
        </w:rPr>
        <w:t>（</w:t>
      </w:r>
      <w:r>
        <w:rPr>
          <w:rFonts w:hint="eastAsia" w:ascii="宋体" w:hAnsi="宋体" w:eastAsia="宋体" w:cs="宋体"/>
          <w:bCs/>
          <w:color w:val="auto"/>
          <w:spacing w:val="-4"/>
          <w:highlight w:val="none"/>
          <w:shd w:val="clear" w:color="auto" w:fill="auto"/>
          <w:lang w:val="en-US" w:eastAsia="zh-CN"/>
        </w:rPr>
        <w:t>2</w:t>
      </w:r>
      <w:r>
        <w:rPr>
          <w:rFonts w:hint="eastAsia" w:ascii="宋体" w:hAnsi="宋体" w:eastAsia="宋体" w:cs="宋体"/>
          <w:bCs/>
          <w:color w:val="auto"/>
          <w:spacing w:val="-4"/>
          <w:highlight w:val="none"/>
          <w:shd w:val="clear" w:color="auto" w:fill="auto"/>
          <w:lang w:eastAsia="zh-CN"/>
        </w:rPr>
        <w:t>）</w:t>
      </w:r>
      <w:r>
        <w:rPr>
          <w:rFonts w:hint="eastAsia" w:ascii="宋体" w:hAnsi="宋体" w:eastAsia="宋体" w:cs="宋体"/>
          <w:bCs/>
          <w:color w:val="auto"/>
          <w:spacing w:val="-4"/>
          <w:highlight w:val="none"/>
          <w:shd w:val="clear" w:color="auto" w:fill="auto"/>
        </w:rPr>
        <w:t>项目资金实际使用情况分析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截止2022年12月31日，</w:t>
      </w:r>
      <w:r>
        <w:rPr>
          <w:rFonts w:hint="eastAsia"/>
          <w:color w:val="auto"/>
        </w:rPr>
        <w:t>南通港吕四港区广汇能源LNG分销转运扩建5#20万立方储罐项目</w:t>
      </w:r>
      <w:r>
        <w:rPr>
          <w:rFonts w:hint="eastAsia" w:ascii="宋体" w:hAnsi="宋体" w:eastAsia="宋体" w:cs="宋体"/>
          <w:color w:val="auto"/>
          <w:highlight w:val="none"/>
          <w:shd w:val="clear" w:color="auto" w:fill="auto"/>
        </w:rPr>
        <w:t>实际支付资金</w:t>
      </w:r>
      <w:r>
        <w:rPr>
          <w:rFonts w:hint="eastAsia" w:cs="宋体"/>
          <w:color w:val="auto"/>
          <w:highlight w:val="none"/>
          <w:shd w:val="clear" w:color="auto" w:fill="auto"/>
          <w:lang w:val="en-US" w:eastAsia="zh-CN"/>
        </w:rPr>
        <w:t>5000</w:t>
      </w:r>
      <w:r>
        <w:rPr>
          <w:rFonts w:hint="eastAsia" w:ascii="宋体" w:hAnsi="宋体" w:eastAsia="宋体" w:cs="宋体"/>
          <w:color w:val="auto"/>
          <w:highlight w:val="none"/>
          <w:shd w:val="clear" w:color="auto" w:fill="auto"/>
        </w:rPr>
        <w:t>万元，预算执行率</w:t>
      </w:r>
      <w:r>
        <w:rPr>
          <w:rFonts w:hint="eastAsia" w:cs="宋体"/>
          <w:color w:val="auto"/>
          <w:highlight w:val="none"/>
          <w:shd w:val="clear" w:color="auto" w:fill="auto"/>
          <w:lang w:val="en-US" w:eastAsia="zh-CN"/>
        </w:rPr>
        <w:t>100</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结</w:t>
      </w:r>
      <w:r>
        <w:rPr>
          <w:rFonts w:hint="eastAsia" w:cs="宋体"/>
          <w:color w:val="auto"/>
          <w:highlight w:val="none"/>
          <w:shd w:val="clear" w:color="auto" w:fill="auto"/>
          <w:lang w:val="en-US" w:eastAsia="zh-CN"/>
        </w:rPr>
        <w:t>转</w:t>
      </w:r>
      <w:r>
        <w:rPr>
          <w:rFonts w:hint="eastAsia" w:ascii="宋体" w:hAnsi="宋体" w:eastAsia="宋体" w:cs="宋体"/>
          <w:color w:val="auto"/>
          <w:highlight w:val="none"/>
          <w:shd w:val="clear" w:color="auto" w:fill="auto"/>
          <w:lang w:eastAsia="zh-CN"/>
        </w:rPr>
        <w:t>结余资金</w:t>
      </w:r>
      <w:r>
        <w:rPr>
          <w:rFonts w:hint="eastAsia" w:cs="宋体"/>
          <w:color w:val="auto"/>
          <w:highlight w:val="none"/>
          <w:shd w:val="clear" w:color="auto" w:fill="auto"/>
          <w:lang w:val="en-US" w:eastAsia="zh-CN"/>
        </w:rPr>
        <w:t>0</w:t>
      </w:r>
      <w:r>
        <w:rPr>
          <w:rFonts w:hint="eastAsia" w:ascii="宋体" w:hAnsi="宋体" w:eastAsia="宋体" w:cs="宋体"/>
          <w:color w:val="auto"/>
          <w:highlight w:val="none"/>
          <w:shd w:val="clear" w:color="auto" w:fill="auto"/>
          <w:lang w:val="en-US" w:eastAsia="zh-CN"/>
        </w:rPr>
        <w:t>万元，已上缴国库。</w:t>
      </w:r>
    </w:p>
    <w:p>
      <w:pPr>
        <w:pStyle w:val="4"/>
        <w:pageBreakBefore w:val="0"/>
        <w:numPr>
          <w:ilvl w:val="0"/>
          <w:numId w:val="1"/>
        </w:numPr>
        <w:kinsoku/>
        <w:wordWrap/>
        <w:overflowPunct/>
        <w:topLinePunct w:val="0"/>
        <w:autoSpaceDE/>
        <w:autoSpaceDN/>
        <w:bidi w:val="0"/>
        <w:adjustRightInd/>
        <w:spacing w:beforeLines="0" w:afterLines="0" w:line="36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项目绩效目标</w:t>
      </w:r>
    </w:p>
    <w:p>
      <w:pPr>
        <w:pStyle w:val="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1.总体目标</w:t>
      </w:r>
    </w:p>
    <w:p>
      <w:pPr>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截止2022年12月31日，</w:t>
      </w:r>
      <w:r>
        <w:rPr>
          <w:rFonts w:hint="eastAsia"/>
          <w:color w:val="auto"/>
        </w:rPr>
        <w:t>南通港吕四港区广汇能源LNG分销转运扩建5#20万立方储罐项目</w:t>
      </w:r>
      <w:r>
        <w:rPr>
          <w:rFonts w:hint="eastAsia" w:cs="宋体"/>
          <w:color w:val="auto"/>
          <w:highlight w:val="none"/>
          <w:shd w:val="clear" w:color="auto" w:fill="auto"/>
          <w:lang w:val="en-US" w:eastAsia="zh-CN"/>
        </w:rPr>
        <w:t>绩效总体目标为：建设一座20万水立方LNG储罐，分三年建成。其中3万水立方为昌吉州应急储气能力。形成4800万立方米地方3天应急储气能力。</w:t>
      </w:r>
    </w:p>
    <w:p>
      <w:pPr>
        <w:pStyle w:val="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2.阶段性目标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highlight w:val="none"/>
          <w:shd w:val="clear" w:color="auto" w:fill="auto"/>
          <w:lang w:eastAsia="zh-CN"/>
        </w:rPr>
      </w:pPr>
      <w:r>
        <w:rPr>
          <w:rFonts w:hint="eastAsia" w:ascii="宋体" w:hAnsi="宋体" w:eastAsia="宋体" w:cs="宋体"/>
          <w:bCs/>
          <w:color w:val="auto"/>
          <w:highlight w:val="none"/>
          <w:shd w:val="clear" w:color="auto" w:fill="auto"/>
          <w:lang w:eastAsia="zh-CN"/>
        </w:rPr>
        <w:t>根据《预算法》、《财政支出绩效评价管理暂行办法》（财预〔20</w:t>
      </w:r>
      <w:r>
        <w:rPr>
          <w:rFonts w:hint="eastAsia" w:ascii="宋体" w:hAnsi="宋体" w:eastAsia="宋体" w:cs="宋体"/>
          <w:bCs/>
          <w:color w:val="auto"/>
          <w:highlight w:val="none"/>
          <w:shd w:val="clear" w:color="auto" w:fill="auto"/>
          <w:lang w:val="en-US" w:eastAsia="zh-CN"/>
        </w:rPr>
        <w:t>20</w:t>
      </w:r>
      <w:r>
        <w:rPr>
          <w:rFonts w:hint="eastAsia" w:ascii="宋体" w:hAnsi="宋体" w:eastAsia="宋体"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val="en-US" w:eastAsia="zh-CN"/>
        </w:rPr>
        <w:t>10</w:t>
      </w:r>
      <w:r>
        <w:rPr>
          <w:rFonts w:hint="eastAsia" w:ascii="宋体" w:hAnsi="宋体" w:eastAsia="宋体" w:cs="宋体"/>
          <w:bCs/>
          <w:color w:val="auto"/>
          <w:highlight w:val="none"/>
          <w:shd w:val="clear" w:color="auto" w:fill="auto"/>
          <w:lang w:eastAsia="zh-CN"/>
        </w:rPr>
        <w:t>号）、《自治区党委自治区人民政府关于全面实施预算绩效管理的实施意见》（新党发〔2018〕30号）、</w:t>
      </w:r>
      <w:r>
        <w:rPr>
          <w:rFonts w:hint="eastAsia" w:ascii="宋体" w:hAnsi="宋体" w:eastAsia="宋体" w:cs="宋体"/>
          <w:color w:val="auto"/>
          <w:highlight w:val="none"/>
          <w:shd w:val="clear" w:color="auto" w:fill="auto"/>
        </w:rPr>
        <w:t>《自治区财政支出绩效评价管理暂行办法》</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新财预〔2018〕189号</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等文件</w:t>
      </w:r>
      <w:r>
        <w:rPr>
          <w:rFonts w:hint="eastAsia" w:ascii="宋体" w:hAnsi="宋体" w:eastAsia="宋体" w:cs="宋体"/>
          <w:bCs/>
          <w:color w:val="auto"/>
          <w:highlight w:val="none"/>
          <w:shd w:val="clear" w:color="auto" w:fill="auto"/>
          <w:lang w:eastAsia="zh-CN"/>
        </w:rPr>
        <w:t>的规定，结合项目实施单位的规章制度以及财务相关资料，评价小组对项目绩效目标进行了进一步的完善，完善</w:t>
      </w:r>
      <w:r>
        <w:rPr>
          <w:rFonts w:hint="eastAsia" w:ascii="宋体" w:hAnsi="宋体" w:eastAsia="宋体" w:cs="宋体"/>
          <w:bCs/>
          <w:color w:val="auto"/>
          <w:highlight w:val="none"/>
          <w:shd w:val="clear" w:color="auto" w:fill="auto"/>
          <w:lang w:val="en-US" w:eastAsia="zh-CN"/>
        </w:rPr>
        <w:t>后</w:t>
      </w:r>
      <w:r>
        <w:rPr>
          <w:rFonts w:hint="eastAsia" w:ascii="宋体" w:hAnsi="宋体" w:eastAsia="宋体" w:cs="宋体"/>
          <w:bCs/>
          <w:color w:val="auto"/>
          <w:highlight w:val="none"/>
          <w:shd w:val="clear" w:color="auto" w:fill="auto"/>
          <w:lang w:eastAsia="zh-CN"/>
        </w:rPr>
        <w:t>绩效目标如下：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项目产出</w:t>
      </w:r>
      <w:r>
        <w:rPr>
          <w:rFonts w:hint="eastAsia" w:ascii="宋体" w:hAnsi="宋体" w:eastAsia="宋体" w:cs="宋体"/>
          <w:color w:val="auto"/>
          <w:highlight w:val="none"/>
          <w:shd w:val="clear" w:color="auto" w:fill="auto"/>
          <w:lang w:val="en-US" w:eastAsia="zh-CN"/>
        </w:rPr>
        <w:t>目标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①数量指标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形成地方3天储气能力</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指标，预期指标值为3万水立方；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②质量指标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项目验收合格率</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指标，预期指标值为</w:t>
      </w:r>
      <w:r>
        <w:rPr>
          <w:rFonts w:hint="eastAsia" w:cs="宋体"/>
          <w:color w:val="auto"/>
          <w:highlight w:val="none"/>
          <w:shd w:val="clear" w:color="auto" w:fill="auto"/>
          <w:lang w:val="en-US" w:eastAsia="zh-CN"/>
        </w:rPr>
        <w:t>100%</w:t>
      </w:r>
      <w:r>
        <w:rPr>
          <w:rFonts w:hint="eastAsia" w:ascii="宋体" w:hAnsi="宋体" w:eastAsia="宋体" w:cs="宋体"/>
          <w:color w:val="auto"/>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③</w:t>
      </w:r>
      <w:r>
        <w:rPr>
          <w:rFonts w:hint="eastAsia" w:cs="宋体"/>
          <w:color w:val="auto"/>
          <w:highlight w:val="none"/>
          <w:shd w:val="clear" w:color="auto" w:fill="auto"/>
          <w:lang w:val="en-US" w:eastAsia="zh-CN"/>
        </w:rPr>
        <w:t>时效</w:t>
      </w:r>
      <w:r>
        <w:rPr>
          <w:rFonts w:hint="eastAsia" w:ascii="宋体" w:hAnsi="宋体" w:eastAsia="宋体" w:cs="宋体"/>
          <w:color w:val="auto"/>
          <w:highlight w:val="none"/>
          <w:shd w:val="clear" w:color="auto" w:fill="auto"/>
          <w:lang w:val="en-US" w:eastAsia="zh-CN"/>
        </w:rPr>
        <w:t>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资金支付完成时间</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指标，预期指标值为2022</w:t>
      </w:r>
      <w:r>
        <w:rPr>
          <w:rFonts w:hint="eastAsia" w:cs="宋体"/>
          <w:color w:val="auto"/>
          <w:highlight w:val="none"/>
          <w:shd w:val="clear" w:color="auto" w:fill="auto"/>
          <w:lang w:val="en-US" w:eastAsia="zh-CN"/>
        </w:rPr>
        <w:t>年9月</w:t>
      </w:r>
      <w:r>
        <w:rPr>
          <w:rFonts w:hint="eastAsia" w:ascii="宋体" w:hAnsi="宋体" w:eastAsia="宋体" w:cs="宋体"/>
          <w:color w:val="auto"/>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资金支付及时率</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指标，预期指标值为</w:t>
      </w:r>
      <w:r>
        <w:rPr>
          <w:rFonts w:hint="eastAsia" w:cs="宋体"/>
          <w:color w:val="auto"/>
          <w:highlight w:val="none"/>
          <w:shd w:val="clear" w:color="auto" w:fill="auto"/>
          <w:lang w:val="en-US" w:eastAsia="zh-CN"/>
        </w:rPr>
        <w:t>100%</w:t>
      </w:r>
      <w:r>
        <w:rPr>
          <w:rFonts w:hint="eastAsia" w:ascii="宋体" w:hAnsi="宋体" w:eastAsia="宋体" w:cs="宋体"/>
          <w:color w:val="auto"/>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④成本指标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支付项目成本</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指标，预期指标值为5000万元；</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rPr>
        <w:t>）项目效益</w:t>
      </w:r>
      <w:r>
        <w:rPr>
          <w:rFonts w:hint="eastAsia" w:ascii="宋体" w:hAnsi="宋体" w:eastAsia="宋体" w:cs="宋体"/>
          <w:color w:val="auto"/>
          <w:highlight w:val="none"/>
          <w:shd w:val="clear" w:color="auto" w:fill="auto"/>
          <w:lang w:val="en-US" w:eastAsia="zh-CN"/>
        </w:rPr>
        <w:t>目标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①经济效益指标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本项目不存在经济效益</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②社会效益指标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满足民生用气需求</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指标，预期指标值为有效满足民生需求；</w:t>
      </w:r>
    </w:p>
    <w:p>
      <w:pPr>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③</w:t>
      </w:r>
      <w:r>
        <w:rPr>
          <w:rFonts w:hint="eastAsia" w:cs="宋体"/>
          <w:color w:val="auto"/>
          <w:highlight w:val="none"/>
          <w:shd w:val="clear" w:color="auto" w:fill="auto"/>
          <w:lang w:val="en-US" w:eastAsia="zh-CN"/>
        </w:rPr>
        <w:t>生态效益指标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本项目不存在经济效益</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④可持续影响</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项目持续发挥作用的期限</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指标，预期指标值为20年；</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⑤</w:t>
      </w:r>
      <w:r>
        <w:rPr>
          <w:rFonts w:hint="eastAsia" w:ascii="宋体" w:hAnsi="宋体" w:eastAsia="宋体" w:cs="宋体"/>
          <w:color w:val="auto"/>
          <w:highlight w:val="none"/>
          <w:shd w:val="clear" w:color="auto" w:fill="auto"/>
          <w:lang w:val="en-US" w:eastAsia="zh-CN"/>
        </w:rPr>
        <w:t>满意度指标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受益群众满意度</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指标，预期指标值为≥95%</w:t>
      </w:r>
      <w:r>
        <w:rPr>
          <w:rFonts w:hint="eastAsia" w:cs="宋体"/>
          <w:color w:val="auto"/>
          <w:highlight w:val="none"/>
          <w:shd w:val="clear" w:color="auto" w:fill="auto"/>
          <w:lang w:val="en-US" w:eastAsia="zh-CN"/>
        </w:rPr>
        <w:t>。</w:t>
      </w:r>
    </w:p>
    <w:p>
      <w:pPr>
        <w:pStyle w:val="3"/>
        <w:bidi w:val="0"/>
        <w:rPr>
          <w:rFonts w:hint="eastAsia" w:ascii="宋体" w:hAnsi="宋体" w:eastAsia="宋体" w:cs="宋体"/>
          <w:b/>
          <w:bCs/>
          <w:color w:val="auto"/>
          <w:lang w:val="en-US" w:eastAsia="zh-CN"/>
        </w:rPr>
      </w:pPr>
      <w:r>
        <w:rPr>
          <w:rFonts w:hint="eastAsia" w:ascii="宋体" w:hAnsi="宋体" w:eastAsia="宋体" w:cs="宋体"/>
          <w:b/>
          <w:bCs/>
          <w:color w:val="auto"/>
        </w:rPr>
        <w:t>二、绩效评价工作开展情况</w:t>
      </w:r>
    </w:p>
    <w:p>
      <w:pPr>
        <w:pStyle w:val="4"/>
        <w:pageBreakBefore w:val="0"/>
        <w:numPr>
          <w:ilvl w:val="0"/>
          <w:numId w:val="2"/>
        </w:numPr>
        <w:kinsoku/>
        <w:wordWrap/>
        <w:overflowPunct/>
        <w:topLinePunct w:val="0"/>
        <w:autoSpaceDE/>
        <w:autoSpaceDN/>
        <w:bidi w:val="0"/>
        <w:adjustRightInd/>
        <w:spacing w:beforeLines="0" w:beforeAutospacing="0" w:afterLines="0" w:afterAutospacing="0" w:line="360" w:lineRule="auto"/>
        <w:ind w:left="0" w:leftChars="0" w:firstLine="643" w:firstLineChars="200"/>
        <w:jc w:val="both"/>
        <w:textAlignment w:val="auto"/>
        <w:rPr>
          <w:rFonts w:hint="eastAsia" w:ascii="宋体" w:hAnsi="宋体" w:eastAsia="宋体" w:cs="宋体"/>
          <w:color w:val="auto"/>
          <w:sz w:val="32"/>
          <w:szCs w:val="32"/>
          <w:highlight w:val="none"/>
          <w:shd w:val="clear" w:color="auto" w:fill="auto"/>
          <w:lang w:eastAsia="zh-CN"/>
        </w:rPr>
      </w:pPr>
      <w:bookmarkStart w:id="0" w:name="_Toc5462343"/>
      <w:bookmarkStart w:id="1" w:name="_Toc480473081"/>
      <w:bookmarkStart w:id="2" w:name="_Toc22169_WPSOffice_Level2"/>
      <w:bookmarkStart w:id="3" w:name="_Toc21664"/>
      <w:bookmarkStart w:id="4" w:name="_Toc12868"/>
      <w:bookmarkStart w:id="5" w:name="_Toc5258"/>
      <w:bookmarkStart w:id="6" w:name="_Toc22922"/>
      <w:bookmarkStart w:id="7" w:name="_Toc26632"/>
      <w:r>
        <w:rPr>
          <w:rFonts w:hint="eastAsia" w:ascii="宋体" w:hAnsi="宋体" w:eastAsia="宋体" w:cs="宋体"/>
          <w:color w:val="auto"/>
          <w:sz w:val="32"/>
          <w:szCs w:val="32"/>
          <w:highlight w:val="none"/>
          <w:shd w:val="clear" w:color="auto" w:fill="auto"/>
          <w:lang w:eastAsia="zh-CN"/>
        </w:rPr>
        <w:t>绩效评价的目的</w:t>
      </w:r>
      <w:bookmarkEnd w:id="0"/>
      <w:bookmarkEnd w:id="1"/>
      <w:bookmarkEnd w:id="2"/>
      <w:bookmarkEnd w:id="3"/>
      <w:bookmarkEnd w:id="4"/>
      <w:bookmarkEnd w:id="5"/>
      <w:bookmarkEnd w:id="6"/>
      <w:bookmarkEnd w:id="7"/>
      <w:r>
        <w:rPr>
          <w:rFonts w:hint="eastAsia" w:ascii="宋体" w:hAnsi="宋体" w:eastAsia="宋体" w:cs="宋体"/>
          <w:color w:val="auto"/>
          <w:sz w:val="32"/>
          <w:szCs w:val="32"/>
          <w:highlight w:val="none"/>
          <w:shd w:val="clear" w:color="auto" w:fill="auto"/>
          <w:lang w:eastAsia="zh-CN"/>
        </w:rPr>
        <w:t>、对象和范围</w:t>
      </w:r>
    </w:p>
    <w:p>
      <w:pPr>
        <w:pStyle w:val="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sz w:val="32"/>
          <w:szCs w:val="32"/>
          <w:highlight w:val="none"/>
          <w:shd w:val="clear" w:color="auto" w:fill="auto"/>
          <w:lang w:eastAsia="zh-CN"/>
        </w:rPr>
        <w:t>绩效评价的目的</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为全面了解</w:t>
      </w:r>
      <w:r>
        <w:rPr>
          <w:rFonts w:hint="eastAsia" w:ascii="宋体" w:hAnsi="宋体" w:eastAsia="宋体" w:cs="宋体"/>
          <w:color w:val="auto"/>
          <w:highlight w:val="none"/>
          <w:shd w:val="clear" w:color="auto" w:fill="auto"/>
          <w:lang w:val="en-US" w:eastAsia="zh-CN"/>
        </w:rPr>
        <w:t>该</w:t>
      </w:r>
      <w:r>
        <w:rPr>
          <w:rFonts w:hint="eastAsia" w:ascii="宋体" w:hAnsi="宋体" w:eastAsia="宋体" w:cs="宋体"/>
          <w:color w:val="auto"/>
          <w:highlight w:val="none"/>
          <w:shd w:val="clear" w:color="auto" w:fill="auto"/>
          <w:lang w:eastAsia="zh-CN"/>
        </w:rPr>
        <w:t>项目预算编制合理性、资金使用合规性、项目管理的规范性、</w:t>
      </w:r>
      <w:r>
        <w:rPr>
          <w:rFonts w:hint="eastAsia" w:ascii="宋体" w:hAnsi="宋体" w:eastAsia="宋体" w:cs="宋体"/>
          <w:color w:val="auto"/>
          <w:highlight w:val="none"/>
          <w:shd w:val="clear" w:color="auto" w:fill="auto"/>
          <w:lang w:val="en-US" w:eastAsia="zh-CN"/>
        </w:rPr>
        <w:t>绩效</w:t>
      </w:r>
      <w:r>
        <w:rPr>
          <w:rFonts w:hint="eastAsia" w:ascii="宋体" w:hAnsi="宋体" w:eastAsia="宋体" w:cs="宋体"/>
          <w:color w:val="auto"/>
          <w:highlight w:val="none"/>
          <w:shd w:val="clear" w:color="auto" w:fill="auto"/>
          <w:lang w:eastAsia="zh-CN"/>
        </w:rPr>
        <w:t>目标的实现情况、服务对象的满意度等，通过本次</w:t>
      </w:r>
      <w:r>
        <w:rPr>
          <w:rFonts w:hint="eastAsia" w:ascii="宋体" w:hAnsi="宋体" w:eastAsia="宋体" w:cs="宋体"/>
          <w:color w:val="auto"/>
          <w:highlight w:val="none"/>
          <w:shd w:val="clear" w:color="auto" w:fill="auto"/>
          <w:lang w:val="en-US" w:eastAsia="zh-CN"/>
        </w:rPr>
        <w:t>部门</w:t>
      </w:r>
      <w:r>
        <w:rPr>
          <w:rFonts w:hint="eastAsia" w:ascii="宋体" w:hAnsi="宋体" w:eastAsia="宋体" w:cs="宋体"/>
          <w:color w:val="auto"/>
          <w:highlight w:val="none"/>
          <w:shd w:val="clear" w:color="auto" w:fill="auto"/>
          <w:lang w:eastAsia="zh-CN"/>
        </w:rPr>
        <w:t>绩效评价来总结经验和教训，促进项目成果转化和应用，为今后类似项目的长效管理，提供可行性参考建议。</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2.绩效评价的对象和范围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此次我单位根据</w:t>
      </w:r>
      <w:r>
        <w:rPr>
          <w:rFonts w:hint="eastAsia" w:ascii="宋体" w:hAnsi="宋体" w:eastAsia="宋体" w:cs="宋体"/>
          <w:color w:val="auto"/>
          <w:highlight w:val="none"/>
          <w:shd w:val="clear" w:color="auto" w:fill="auto"/>
        </w:rPr>
        <w:t>《财政支出绩效评价管理暂行办法》（</w:t>
      </w:r>
      <w:r>
        <w:rPr>
          <w:rFonts w:hint="eastAsia" w:ascii="宋体" w:hAnsi="宋体" w:eastAsia="宋体" w:cs="宋体"/>
          <w:color w:val="auto"/>
          <w:highlight w:val="none"/>
          <w:shd w:val="clear" w:color="auto" w:fill="auto"/>
          <w:lang w:eastAsia="zh-CN"/>
        </w:rPr>
        <w:t>财预〔2020〕10号</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val="en-US" w:eastAsia="zh-CN"/>
        </w:rPr>
        <w:t>文件要求对</w:t>
      </w:r>
      <w:r>
        <w:rPr>
          <w:rFonts w:hint="eastAsia" w:cs="宋体"/>
          <w:color w:val="auto"/>
          <w:highlight w:val="none"/>
          <w:shd w:val="clear" w:color="auto" w:fill="auto"/>
          <w:lang w:val="en-US" w:eastAsia="zh-CN"/>
        </w:rPr>
        <w:t>2022</w:t>
      </w:r>
      <w:r>
        <w:rPr>
          <w:rFonts w:hint="eastAsia" w:ascii="宋体" w:hAnsi="宋体" w:eastAsia="宋体" w:cs="宋体"/>
          <w:color w:val="auto"/>
          <w:highlight w:val="none"/>
          <w:shd w:val="clear" w:color="auto" w:fill="auto"/>
          <w:lang w:val="en-US" w:eastAsia="zh-CN"/>
        </w:rPr>
        <w:t>年度我单位实施的</w:t>
      </w:r>
      <w:r>
        <w:rPr>
          <w:rFonts w:hint="eastAsia"/>
          <w:color w:val="auto"/>
        </w:rPr>
        <w:t>南通港吕四港区广汇能源LNG分销转运扩建5#20万立方储罐项目</w:t>
      </w:r>
      <w:r>
        <w:rPr>
          <w:rFonts w:hint="eastAsia" w:ascii="宋体" w:hAnsi="宋体" w:eastAsia="宋体" w:cs="宋体"/>
          <w:color w:val="auto"/>
          <w:highlight w:val="none"/>
          <w:shd w:val="clear" w:color="auto" w:fill="auto"/>
          <w:lang w:val="en-US" w:eastAsia="zh-CN"/>
        </w:rPr>
        <w:t>开展部门绩效评价。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本次绩效评价主要围绕项目决策、项目管理、项目产出、项目效益四个维度，对该专项资金的预算编制、项目实施、监督管理、资金支出使用、绩效目标的实现情况以及受益对象的满意度等开展综合评价。</w:t>
      </w:r>
    </w:p>
    <w:p>
      <w:pPr>
        <w:pStyle w:val="4"/>
        <w:pageBreakBefore w:val="0"/>
        <w:numPr>
          <w:ilvl w:val="0"/>
          <w:numId w:val="2"/>
        </w:numPr>
        <w:kinsoku/>
        <w:wordWrap/>
        <w:overflowPunct/>
        <w:topLinePunct w:val="0"/>
        <w:autoSpaceDE/>
        <w:autoSpaceDN/>
        <w:bidi w:val="0"/>
        <w:adjustRightInd/>
        <w:spacing w:beforeLines="0" w:beforeAutospacing="0" w:afterLines="0" w:afterAutospacing="0" w:line="360" w:lineRule="auto"/>
        <w:ind w:left="0" w:leftChars="0" w:firstLine="643" w:firstLineChars="200"/>
        <w:jc w:val="both"/>
        <w:textAlignment w:val="auto"/>
        <w:rPr>
          <w:rFonts w:hint="eastAsia" w:ascii="宋体" w:hAnsi="宋体" w:eastAsia="宋体" w:cs="宋体"/>
          <w:color w:val="auto"/>
          <w:sz w:val="32"/>
          <w:szCs w:val="32"/>
          <w:highlight w:val="none"/>
          <w:shd w:val="clear" w:color="auto" w:fill="auto"/>
          <w:lang w:val="en-US" w:eastAsia="zh-CN"/>
        </w:rPr>
      </w:pPr>
      <w:r>
        <w:rPr>
          <w:rFonts w:hint="eastAsia" w:ascii="宋体" w:hAnsi="宋体" w:eastAsia="宋体" w:cs="宋体"/>
          <w:color w:val="auto"/>
          <w:sz w:val="32"/>
          <w:szCs w:val="32"/>
          <w:highlight w:val="none"/>
          <w:shd w:val="clear" w:color="auto" w:fill="auto"/>
          <w:lang w:val="en-US" w:eastAsia="zh-CN"/>
        </w:rPr>
        <w:t>绩效评价原则、评价指标体系（附表说明）、评价方法、评价标准</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rPr>
        <w:t>绩效评价原则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依据</w:t>
      </w:r>
      <w:r>
        <w:rPr>
          <w:rFonts w:hint="eastAsia" w:ascii="宋体" w:hAnsi="宋体" w:eastAsia="宋体" w:cs="宋体"/>
          <w:bCs/>
          <w:color w:val="auto"/>
          <w:highlight w:val="none"/>
          <w:shd w:val="clear" w:color="auto" w:fill="auto"/>
          <w:lang w:eastAsia="zh-CN"/>
        </w:rPr>
        <w:t>《财政支出绩效评价管理暂行办法》（财预〔20</w:t>
      </w:r>
      <w:r>
        <w:rPr>
          <w:rFonts w:hint="eastAsia" w:ascii="宋体" w:hAnsi="宋体" w:eastAsia="宋体" w:cs="宋体"/>
          <w:bCs/>
          <w:color w:val="auto"/>
          <w:highlight w:val="none"/>
          <w:shd w:val="clear" w:color="auto" w:fill="auto"/>
          <w:lang w:val="en-US" w:eastAsia="zh-CN"/>
        </w:rPr>
        <w:t>20</w:t>
      </w:r>
      <w:r>
        <w:rPr>
          <w:rFonts w:hint="eastAsia" w:ascii="宋体" w:hAnsi="宋体" w:eastAsia="宋体"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val="en-US" w:eastAsia="zh-CN"/>
        </w:rPr>
        <w:t>10</w:t>
      </w:r>
      <w:r>
        <w:rPr>
          <w:rFonts w:hint="eastAsia" w:ascii="宋体" w:hAnsi="宋体" w:eastAsia="宋体" w:cs="宋体"/>
          <w:bCs/>
          <w:color w:val="auto"/>
          <w:highlight w:val="none"/>
          <w:shd w:val="clear" w:color="auto" w:fill="auto"/>
          <w:lang w:eastAsia="zh-CN"/>
        </w:rPr>
        <w:t>号）</w:t>
      </w:r>
      <w:r>
        <w:rPr>
          <w:rFonts w:hint="eastAsia" w:ascii="宋体" w:hAnsi="宋体" w:eastAsia="宋体" w:cs="宋体"/>
          <w:color w:val="auto"/>
          <w:highlight w:val="none"/>
          <w:shd w:val="clear" w:color="auto" w:fill="auto"/>
          <w:lang w:eastAsia="zh-CN"/>
        </w:rPr>
        <w:t>本次绩效评价秉承科学规范、公正公开、分级分类、绩效相关等原则，按照从投入、过程到产出效果和影响的绩效逻辑路径，结合</w:t>
      </w:r>
      <w:r>
        <w:rPr>
          <w:rFonts w:hint="eastAsia"/>
          <w:color w:val="auto"/>
        </w:rPr>
        <w:t>南通港吕四港区广汇能源LNG分销转运扩建5#20万立方储罐项目</w:t>
      </w:r>
      <w:r>
        <w:rPr>
          <w:rFonts w:hint="eastAsia" w:ascii="宋体" w:hAnsi="宋体" w:eastAsia="宋体" w:cs="宋体"/>
          <w:color w:val="auto"/>
          <w:highlight w:val="none"/>
          <w:shd w:val="clear" w:color="auto" w:fill="auto"/>
          <w:lang w:eastAsia="zh-CN"/>
        </w:rPr>
        <w:t>实际开展情况，运用定量和定性分析相结合的方法，总结经验做法，反思项目实施和管理中的问题，以切实提升财政资金管理的科学化、规范化和精细化水平。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根据以上原则，绩效评价应遵循如下要求：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cs="宋体"/>
          <w:color w:val="auto"/>
          <w:highlight w:val="none"/>
          <w:shd w:val="clear" w:color="auto" w:fill="auto"/>
          <w:lang w:eastAsia="zh-CN"/>
        </w:rPr>
        <w:t>（</w:t>
      </w:r>
      <w:r>
        <w:rPr>
          <w:rFonts w:hint="eastAsia" w:cs="宋体"/>
          <w:color w:val="auto"/>
          <w:highlight w:val="none"/>
          <w:shd w:val="clear" w:color="auto" w:fill="auto"/>
          <w:lang w:val="en-US" w:eastAsia="zh-CN"/>
        </w:rPr>
        <w:t>1</w:t>
      </w:r>
      <w:r>
        <w:rPr>
          <w:rFonts w:hint="eastAsia" w:cs="宋体"/>
          <w:color w:val="auto"/>
          <w:highlight w:val="none"/>
          <w:shd w:val="clear" w:color="auto" w:fill="auto"/>
          <w:lang w:eastAsia="zh-CN"/>
        </w:rPr>
        <w:t>）</w:t>
      </w:r>
      <w:r>
        <w:rPr>
          <w:rFonts w:hint="eastAsia" w:ascii="宋体" w:hAnsi="宋体" w:eastAsia="宋体" w:cs="宋体"/>
          <w:color w:val="auto"/>
          <w:highlight w:val="none"/>
          <w:shd w:val="clear" w:color="auto" w:fill="auto"/>
          <w:lang w:eastAsia="zh-CN"/>
        </w:rPr>
        <w:t>科学公正。绩效评价应当运用科学合理的方法，按照规范的程序，对项目绩效进行客观、公正的反映。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w:t>
      </w:r>
      <w:r>
        <w:rPr>
          <w:rFonts w:hint="eastAsia"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lang w:eastAsia="zh-CN"/>
        </w:rPr>
        <w:t>）统筹兼顾。单位自评、部门评价和财政评价应职责明确，各有侧重，相互衔接。单位自评应由项目单位自主实施，即“谁支出、谁自评”。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lang w:eastAsia="zh-CN"/>
        </w:rPr>
        <w:t>）激励约束。绩效评价结果应与预算安排、政策调整、改进管理实质性挂钩，体现奖优罚劣和激励相容导向，有效要安排、低效要压减、无效要问责。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w:t>
      </w:r>
      <w:r>
        <w:rPr>
          <w:rFonts w:hint="eastAsia" w:cs="宋体"/>
          <w:color w:val="auto"/>
          <w:highlight w:val="none"/>
          <w:shd w:val="clear" w:color="auto" w:fill="auto"/>
          <w:lang w:val="en-US" w:eastAsia="zh-CN"/>
        </w:rPr>
        <w:t>4</w:t>
      </w:r>
      <w:r>
        <w:rPr>
          <w:rFonts w:hint="eastAsia" w:ascii="宋体" w:hAnsi="宋体" w:eastAsia="宋体" w:cs="宋体"/>
          <w:color w:val="auto"/>
          <w:highlight w:val="none"/>
          <w:shd w:val="clear" w:color="auto" w:fill="auto"/>
          <w:lang w:eastAsia="zh-CN"/>
        </w:rPr>
        <w:t>）公开透明。绩效评价结果应依法依规公开，并自觉接受社会监督。</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eastAsia="zh-CN"/>
        </w:rPr>
      </w:pPr>
      <w:bookmarkStart w:id="8" w:name="_Toc419984722"/>
      <w:bookmarkStart w:id="9" w:name="_Toc428278230"/>
      <w:bookmarkStart w:id="10" w:name="_Toc26131"/>
      <w:bookmarkStart w:id="11" w:name="_Toc1913"/>
      <w:r>
        <w:rPr>
          <w:rFonts w:hint="eastAsia" w:ascii="宋体" w:hAnsi="宋体" w:eastAsia="宋体"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lang w:eastAsia="zh-CN"/>
        </w:rPr>
        <w:t>绩效评价指标体系及绩效评价</w:t>
      </w:r>
      <w:bookmarkEnd w:id="8"/>
      <w:bookmarkEnd w:id="9"/>
      <w:bookmarkEnd w:id="10"/>
      <w:bookmarkEnd w:id="11"/>
      <w:r>
        <w:rPr>
          <w:rFonts w:hint="eastAsia" w:ascii="宋体" w:hAnsi="宋体" w:eastAsia="宋体" w:cs="宋体"/>
          <w:color w:val="auto"/>
          <w:highlight w:val="none"/>
          <w:shd w:val="clear" w:color="auto" w:fill="auto"/>
          <w:lang w:val="en-US" w:eastAsia="zh-CN"/>
        </w:rPr>
        <w:t>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我单位</w:t>
      </w:r>
      <w:r>
        <w:rPr>
          <w:rFonts w:hint="eastAsia" w:ascii="宋体" w:hAnsi="宋体" w:eastAsia="宋体" w:cs="宋体"/>
          <w:color w:val="auto"/>
          <w:highlight w:val="none"/>
          <w:shd w:val="clear" w:color="auto" w:fill="auto"/>
          <w:lang w:val="zh-TW" w:eastAsia="zh-TW"/>
        </w:rPr>
        <w:t>根据项目的</w:t>
      </w:r>
      <w:r>
        <w:rPr>
          <w:rFonts w:hint="eastAsia" w:ascii="宋体" w:hAnsi="宋体" w:eastAsia="宋体" w:cs="宋体"/>
          <w:color w:val="auto"/>
          <w:highlight w:val="none"/>
          <w:shd w:val="clear" w:color="auto" w:fill="auto"/>
          <w:lang w:val="en-US" w:eastAsia="zh-CN"/>
        </w:rPr>
        <w:t>实施</w:t>
      </w:r>
      <w:r>
        <w:rPr>
          <w:rFonts w:hint="eastAsia" w:ascii="宋体" w:hAnsi="宋体" w:eastAsia="宋体" w:cs="宋体"/>
          <w:color w:val="auto"/>
          <w:highlight w:val="none"/>
          <w:shd w:val="clear" w:color="auto" w:fill="auto"/>
          <w:lang w:val="zh-TW" w:eastAsia="zh-TW"/>
        </w:rPr>
        <w:t>资料研读及前期调研，结合项目的实际开展情况，最终形成了项目绩效评价指标体系</w:t>
      </w:r>
      <w:r>
        <w:rPr>
          <w:rFonts w:hint="eastAsia" w:ascii="宋体" w:hAnsi="宋体" w:eastAsia="宋体" w:cs="宋体"/>
          <w:color w:val="auto"/>
          <w:highlight w:val="none"/>
          <w:shd w:val="clear" w:color="auto" w:fill="auto"/>
          <w:lang w:val="zh-TW" w:eastAsia="zh-CN"/>
        </w:rPr>
        <w:t>，</w:t>
      </w:r>
      <w:r>
        <w:rPr>
          <w:rFonts w:hint="eastAsia" w:ascii="宋体" w:hAnsi="宋体" w:eastAsia="宋体" w:cs="宋体"/>
          <w:color w:val="auto"/>
          <w:highlight w:val="none"/>
          <w:shd w:val="clear" w:color="auto" w:fill="auto"/>
          <w:lang w:val="en-US" w:eastAsia="zh-CN"/>
        </w:rPr>
        <w:t>指标体系结构如下</w:t>
      </w:r>
      <w:r>
        <w:rPr>
          <w:rFonts w:hint="eastAsia" w:cs="宋体"/>
          <w:b/>
          <w:bCs/>
          <w:color w:val="auto"/>
          <w:highlight w:val="none"/>
          <w:shd w:val="clear" w:color="auto" w:fill="auto"/>
          <w:lang w:val="en-US" w:eastAsia="zh-CN"/>
        </w:rPr>
        <w:t>（详见上传的附件）</w:t>
      </w:r>
      <w:r>
        <w:rPr>
          <w:rFonts w:hint="eastAsia" w:ascii="宋体" w:hAnsi="宋体" w:eastAsia="宋体" w:cs="宋体"/>
          <w:color w:val="auto"/>
          <w:highlight w:val="none"/>
          <w:shd w:val="clear" w:color="auto" w:fill="auto"/>
          <w:lang w:val="en-US" w:eastAsia="zh-CN"/>
        </w:rPr>
        <w:t>：</w:t>
      </w:r>
    </w:p>
    <w:p>
      <w:pPr>
        <w:jc w:val="center"/>
        <w:rPr>
          <w:rFonts w:hint="default"/>
          <w:b/>
          <w:bCs/>
          <w:color w:val="auto"/>
          <w:sz w:val="28"/>
          <w:szCs w:val="28"/>
          <w:lang w:val="en-US" w:eastAsia="zh-CN"/>
        </w:rPr>
      </w:pPr>
      <w:r>
        <w:rPr>
          <w:rFonts w:hint="eastAsia"/>
          <w:b/>
          <w:bCs/>
          <w:color w:val="auto"/>
          <w:sz w:val="28"/>
          <w:szCs w:val="28"/>
          <w:lang w:val="zh-TW" w:eastAsia="zh-TW"/>
        </w:rPr>
        <w:t>项目绩效评价指标体系</w:t>
      </w:r>
    </w:p>
    <w:tbl>
      <w:tblPr>
        <w:tblStyle w:val="9"/>
        <w:tblW w:w="867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42"/>
        <w:gridCol w:w="1196"/>
        <w:gridCol w:w="1050"/>
        <w:gridCol w:w="1996"/>
        <w:gridCol w:w="379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tblHeader/>
          <w:jc w:val="center"/>
        </w:trPr>
        <w:tc>
          <w:tcPr>
            <w:tcW w:w="642"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一级指标</w:t>
            </w:r>
          </w:p>
        </w:tc>
        <w:tc>
          <w:tcPr>
            <w:tcW w:w="11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二级指标</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三级指标</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指标解释</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指标说明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44" w:hRule="atLeast"/>
          <w:jc w:val="center"/>
        </w:trPr>
        <w:tc>
          <w:tcPr>
            <w:tcW w:w="642"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决策</w:t>
            </w:r>
          </w:p>
        </w:tc>
        <w:tc>
          <w:tcPr>
            <w:tcW w:w="1196"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项目立项</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立项依据</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充分性</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项目立项是否符合法律法规、相关政策、发展规划以及部门职责，用以反映和考核项目立项依据情况。</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①项目立项是否符合国家法律法规、国民经济发展规划和相关政策；</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②项目立项是否符合行业发展规划和政策要求；</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③项目立项是否与部门职责范围相符，属于部门履职所需；</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④项目是否属于公共财政支持范围，是否符合中央、地方事权支出责任划分原则；</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⑤项目是否与相关部门同类项目或部门内部相关项目重复。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94" w:hRule="atLeast"/>
          <w:jc w:val="center"/>
        </w:trPr>
        <w:tc>
          <w:tcPr>
            <w:tcW w:w="642"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立项程序</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规范性</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项目申请、设立过程是否符合相关要求，用以反映和考核项目立项的规范情况。</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①项目是否按照规定的程序申请设立；</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②审批文件、材料是否符合相关要求；</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③事前是否已经过必要的可行性研究、专家论证、风险评估、绩效评估、集体决策。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68" w:hRule="atLeast"/>
          <w:jc w:val="center"/>
        </w:trPr>
        <w:tc>
          <w:tcPr>
            <w:tcW w:w="642"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绩效目标</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绩效目标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合理性</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项目所设定的绩效目标是否依据充分，是否符合客观实际，用以反映和考核项目绩效目标与项目实施的相符情况。</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（如未设定预算绩效目标，也可考核其他工作任务目标）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①项目是否有绩效目标；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②项目绩效目标与实际工作内容是否具有相关性；</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③项目预期产出效益和效果是否符合正常的业绩水平；</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④是否与预算确定的项目投资额或资金量相匹配。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4"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绩效指标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明确性</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依据绩效目标设定的绩效指标是否清晰、细化、可衡量等，用以反映和考核项目绩效目标的明细化情况。</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①是否将项目绩效目标细化分解为具体的绩效指标；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②是否通过清晰、可衡量的指标值予以体现；</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③是否与项目目标任务数或计划数相对应。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4" w:hRule="atLeast"/>
          <w:jc w:val="center"/>
        </w:trPr>
        <w:tc>
          <w:tcPr>
            <w:tcW w:w="642"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资金投入</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预算编制</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科学性</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项目预算编制是否经过科学论证、有明确标准，资金额度与年度目标是否相适应，用以反映和考核项目预算编制的科学性、合理性情况。</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①预算编制是否经过科学论证；</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②预算内容与项目内容是否匹配；</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③预算额度测算依据是否充分，是否按照标准编制；</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④预算确定的项目投资额或资金量是否与工作任务相匹配。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77"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资金分配</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合理性</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项目预算资金分配是否有测算依据，与补助单位或地方实际是否相适应，用以反映和考核项目预算资金分配的科学性、合理性情况。</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①预算资金分配依据是否充分；</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②资金分配额度是否合理，与项目单位或地方实际是否相适应。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69" w:hRule="atLeast"/>
          <w:jc w:val="center"/>
        </w:trPr>
        <w:tc>
          <w:tcPr>
            <w:tcW w:w="642" w:type="dxa"/>
            <w:vMerge w:val="restart"/>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过程</w:t>
            </w:r>
          </w:p>
        </w:tc>
        <w:tc>
          <w:tcPr>
            <w:tcW w:w="1196"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资金管理</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资金到位率</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实际到位资金与预算资金的比率，用以反映和考核资金落实情况对项目实施的总体保障程度。</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资金到位率=（实际到位资金/预算资金）×100%。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实际到位资金：一定时期（本年度或项目期）内落实到具体项目的资金。</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预算资金：一定时期（本年度或项目期）内预算安排到具体项目的资金。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20" w:hRule="atLeast"/>
          <w:jc w:val="center"/>
        </w:trPr>
        <w:tc>
          <w:tcPr>
            <w:tcW w:w="642"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预算执行率</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项目预算资金是否按照计划执行，用以反映或考核项目预算执行情况。</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预算执行率=（实际支出资金/实际到位资金）×100%。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实际支出资金：一定时期（本年度或项目期）内项目实际拨付的资金。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94"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资金使用</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合规性</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项目资金使用是否符合相关的财务管理制度规定，用以反映和考核项目资金的规范运行情况。</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①是否符合国家财经法规和财务管理制度以及有关专项资金管理办法的规定；</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②资金的拨付是否有完整的审批程序和手续；</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③是否符合项目预算批复或合同规定的用途；</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④是否存在截留、挤占、挪用、虚列支出等情况。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69" w:hRule="atLeast"/>
          <w:jc w:val="center"/>
        </w:trPr>
        <w:tc>
          <w:tcPr>
            <w:tcW w:w="642"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组织实施</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管理制度</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健全性</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项目实施单位的财务和业务管理制度是否健全，用以反映和考核财务和业务管理制度对项目顺利实施的保障情况。</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①是否已制定或具有相应的财务和业务管理制度；</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②财务和业务管理制度是否合法、合规、完整。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19"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制度执行</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有效性</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项目实施是否符合相关管理规定，用以反映和考核相关管理制度的有效执行情况。</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①是否遵守相关法律法规和相关管理规定；</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②项目调整及支出调整手续是否完备；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③项目合同书、验收报告、技术鉴定等资料是否齐全并及时归档；</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④项目实施的人员条件、场地设备、信息支撑等是否落实到位。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19" w:hRule="atLeast"/>
          <w:jc w:val="center"/>
        </w:trPr>
        <w:tc>
          <w:tcPr>
            <w:tcW w:w="642"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w:t>
            </w:r>
          </w:p>
        </w:tc>
        <w:tc>
          <w:tcPr>
            <w:tcW w:w="11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产出数量</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实际完成率</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项目实施的实际产出数与计划产出数的比率，用以反映和考核项目产出数量目标的实现程度。</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实际完成率=（实际产出数/计划产出数）×100%。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实际产出数：一定时期（本年度或项目期）内项目实际产出的产品或提供的服务数量。</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计划产出数：项目绩效目标确定的在一定时期（本年度或项目期）内计划产出的产品或提供的服务数量。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19"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产出质量</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质量达标率</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项目完成的质量达标产出数与实际产出数的比率，用以反映和考核项目产出质量目标的实现程度。</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质量达标率=（质量达标产出数/实际产出数）×100%。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jc w:val="center"/>
        </w:trPr>
        <w:tc>
          <w:tcPr>
            <w:tcW w:w="642"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产出时效</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完成及时性</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项目实际完成时间与计划完成时间的比较，用以反映和考核项目产出时效目标的实现程度。</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实际完成时间：项目实施单位完成该项目实际所耗用的时间。</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计划完成时间：按照项目实施计划或相关规定完成该项目所需的时间。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69"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产出成本</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成本节约率</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完成项目计划工作目标的实际节约成本与计划成本的比率，用以反映和考核项目的成本节约程度。</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成本节约率=[（计划成本-实际成本）/计划成本]×100%。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实际成本：项目实施单位如期、保质、保量完成既定工作目标实际所耗费的支出。</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计划成本：项目实施单位为完成工作目标计划安排的支出，一般以项目预算为参考。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642"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效益</w:t>
            </w:r>
          </w:p>
        </w:tc>
        <w:tc>
          <w:tcPr>
            <w:tcW w:w="1196"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项目效益</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实施效益</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项目实施所产生的效益。</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项目实施所产生的社会效益、经济效益、生态效益、可持续影响等。可根据项目实际情况有选择地设置和细化。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6"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满意度</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社会公众或服务对象对项目实施效果的满意程度。</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社会公众或服务对象是指因该项目实施而受到影响的部门（单位）、群体或个人。一般采取社会调查的方式。</w:t>
            </w:r>
          </w:p>
        </w:tc>
      </w:tr>
    </w:tbl>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rPr>
        <w:t>评价</w:t>
      </w:r>
      <w:r>
        <w:rPr>
          <w:rFonts w:hint="eastAsia" w:ascii="宋体" w:hAnsi="宋体" w:eastAsia="宋体" w:cs="宋体"/>
          <w:color w:val="auto"/>
          <w:highlight w:val="none"/>
          <w:shd w:val="clear" w:color="auto" w:fill="auto"/>
          <w:lang w:val="en-US" w:eastAsia="zh-CN"/>
        </w:rPr>
        <w:t>方法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rPr>
        <w:t>本次绩效评价采用的方法比较法</w:t>
      </w:r>
      <w:r>
        <w:rPr>
          <w:rFonts w:hint="eastAsia" w:ascii="宋体" w:hAnsi="宋体" w:eastAsia="宋体" w:cs="宋体"/>
          <w:color w:val="auto"/>
          <w:highlight w:val="none"/>
          <w:shd w:val="clear" w:color="auto" w:fill="auto"/>
          <w:lang w:eastAsia="zh-CN"/>
        </w:rPr>
        <w:t>、因素分析法、公众评判法</w:t>
      </w:r>
      <w:r>
        <w:rPr>
          <w:rFonts w:hint="eastAsia" w:ascii="宋体" w:hAnsi="宋体" w:eastAsia="宋体" w:cs="宋体"/>
          <w:color w:val="auto"/>
          <w:highlight w:val="none"/>
          <w:shd w:val="clear" w:color="auto" w:fill="auto"/>
          <w:lang w:val="en-US" w:eastAsia="zh-CN"/>
        </w:rPr>
        <w:t>对项目绩效目标预期指标值与实施情况进行比较，以及采取公众问卷及抽样调查等方式进行评判的方法对</w:t>
      </w:r>
      <w:r>
        <w:rPr>
          <w:rFonts w:hint="eastAsia"/>
          <w:color w:val="auto"/>
        </w:rPr>
        <w:t>南通港吕四港区广汇能源LNG分销转运扩建5#20万立方储罐项目</w:t>
      </w:r>
      <w:r>
        <w:rPr>
          <w:rFonts w:hint="eastAsia" w:ascii="宋体" w:hAnsi="宋体" w:eastAsia="宋体" w:cs="宋体"/>
          <w:color w:val="auto"/>
          <w:highlight w:val="none"/>
          <w:shd w:val="clear" w:color="auto" w:fill="auto"/>
          <w:lang w:val="en-US" w:eastAsia="zh-CN"/>
        </w:rPr>
        <w:t>进行评价。</w:t>
      </w:r>
    </w:p>
    <w:p>
      <w:pPr>
        <w:pStyle w:val="5"/>
        <w:rPr>
          <w:rFonts w:hint="default"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4.评价标准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（1）计划标准。指以预先制定的目标、计划、预算、定额等作为评价标准。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（2）行业标准。指参照国家公布的行业指标数据制定的评价标准。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（3）历史标准。指参照历史数据制定的评价标准，为体现绩效改进的原则，在可实现的条件下应当确定相对较高的评价标准。</w:t>
      </w:r>
    </w:p>
    <w:p>
      <w:pPr>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（4）财政部门和预算部门确认或认可的其他标准。</w:t>
      </w:r>
    </w:p>
    <w:p>
      <w:pPr>
        <w:pStyle w:val="5"/>
        <w:rPr>
          <w:rFonts w:hint="default"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（三）绩效评价工作过程</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1.前期准备</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（1）成立绩效评价项目小组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为确保该项目绩效评价的顺利实施，评价机构组建了绩效评价项目小组。项目小组负责建立联络制度、明确评价责任人、制定评价方案、实施具体评价等工作。</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（2）开展前期调研</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绩效评价项目小组依据此次绩效评价受委托内容，对拟评价的项目实施前期调研。通过调研对南通港吕四港区广汇能源LNG分销转运扩建5#20万立方储罐项目实施内容、目标信息、预算信息以及其他的一些项目基本信息，有了初步了解，为制定绩效评价工作方案做好准备。</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（3）制订绩效评价工作方案</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绩效评价项目小组根据有关规定和评价对象的特点以及前期调研收集的一些信息，拟定详细的绩效评价工作方案</w:t>
      </w:r>
      <w:r>
        <w:rPr>
          <w:rFonts w:hint="eastAsia" w:ascii="宋体" w:hAnsi="宋体" w:cs="宋体"/>
          <w:b w:val="0"/>
          <w:bCs w:val="0"/>
          <w:color w:val="auto"/>
          <w:kern w:val="2"/>
          <w:sz w:val="28"/>
          <w:szCs w:val="24"/>
          <w:highlight w:val="none"/>
          <w:shd w:val="clear" w:color="auto" w:fill="auto"/>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2.具体实施</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（1）收集基础资料</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根据评价工作的需要和要求，在前期调研的基础上，通过多种渠道全面收集项目基础信息资料，主要包括：</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①被评价单位基本概况，如单位职能、事业发展规划、预决算情况、项目立项依据等；</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②绩效目标及其设立依据和调整情况；</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③管理措施及组织实施情况；</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④被评价单位总结分析的绩效目标完成情况及绩效报告；</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⑤与绩效评价相关的计划标准、行业标准、历史标准等；</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cs="宋体"/>
          <w:b w:val="0"/>
          <w:bCs w:val="0"/>
          <w:color w:val="auto"/>
          <w:kern w:val="2"/>
          <w:sz w:val="28"/>
          <w:szCs w:val="24"/>
          <w:highlight w:val="none"/>
          <w:shd w:val="clear" w:color="auto" w:fill="auto"/>
          <w:lang w:val="en-US" w:eastAsia="zh-CN" w:bidi="ar-SA"/>
        </w:rPr>
        <w:t>⑥</w:t>
      </w:r>
      <w:r>
        <w:rPr>
          <w:rFonts w:hint="eastAsia" w:ascii="宋体" w:hAnsi="宋体" w:eastAsia="宋体" w:cs="宋体"/>
          <w:b w:val="0"/>
          <w:bCs w:val="0"/>
          <w:color w:val="auto"/>
          <w:kern w:val="2"/>
          <w:sz w:val="28"/>
          <w:szCs w:val="24"/>
          <w:highlight w:val="none"/>
          <w:shd w:val="clear" w:color="auto" w:fill="auto"/>
          <w:lang w:val="en-US" w:eastAsia="zh-CN" w:bidi="ar-SA"/>
        </w:rPr>
        <w:t>其他必要的相关资料等。</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（2）整理、研读基础资料</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对收集的基础资料进行分类整理、研读，并对所收集的资料进行核实和全面分析。通过基础资料的整理、研读，了解被评价对象的具体情况，分析被评价对象可能存在的问题，根据工作需要确定实地核查的内容，为现场核查做好准备。</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default"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3.</w:t>
      </w:r>
      <w:r>
        <w:rPr>
          <w:rFonts w:hint="eastAsia" w:ascii="宋体" w:hAnsi="宋体" w:cs="宋体"/>
          <w:b w:val="0"/>
          <w:bCs w:val="0"/>
          <w:color w:val="auto"/>
          <w:kern w:val="2"/>
          <w:sz w:val="28"/>
          <w:szCs w:val="24"/>
          <w:highlight w:val="none"/>
          <w:shd w:val="clear" w:color="auto" w:fill="auto"/>
          <w:lang w:val="en-US" w:eastAsia="zh-CN" w:bidi="ar-SA"/>
        </w:rPr>
        <w:t>分析评价和撰写报告</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b w:val="0"/>
          <w:bCs w:val="0"/>
          <w:color w:val="auto"/>
          <w:sz w:val="28"/>
          <w:szCs w:val="28"/>
        </w:rPr>
        <w:t>（</w:t>
      </w:r>
      <w:r>
        <w:rPr>
          <w:rFonts w:hint="eastAsia" w:ascii="宋体" w:hAnsi="宋体" w:cs="宋体"/>
          <w:b w:val="0"/>
          <w:bCs w:val="0"/>
          <w:color w:val="auto"/>
          <w:kern w:val="2"/>
          <w:sz w:val="28"/>
          <w:szCs w:val="28"/>
          <w:highlight w:val="none"/>
          <w:shd w:val="clear" w:color="auto" w:fill="auto"/>
          <w:lang w:val="en-US" w:eastAsia="zh-CN" w:bidi="ar-SA"/>
        </w:rPr>
        <w:t>1</w:t>
      </w:r>
      <w:r>
        <w:rPr>
          <w:rFonts w:hint="eastAsia" w:ascii="宋体" w:hAnsi="宋体" w:eastAsia="宋体" w:cs="宋体"/>
          <w:b w:val="0"/>
          <w:bCs w:val="0"/>
          <w:color w:val="auto"/>
          <w:kern w:val="2"/>
          <w:sz w:val="28"/>
          <w:szCs w:val="28"/>
          <w:highlight w:val="none"/>
          <w:shd w:val="clear" w:color="auto" w:fill="auto"/>
          <w:lang w:val="en-US" w:eastAsia="zh-CN" w:bidi="ar-SA"/>
        </w:rPr>
        <w:t>）综合分析评价</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①根据所收集的基础资料，结合现场核查的有关情况，整理出绩效评价所需的项目材料和基础数据。</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bCs/>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②将初步评价结论、调整</w:t>
      </w:r>
      <w:r>
        <w:rPr>
          <w:rFonts w:hint="eastAsia" w:ascii="宋体" w:hAnsi="宋体" w:eastAsia="宋体" w:cs="宋体"/>
          <w:b w:val="0"/>
          <w:bCs w:val="0"/>
          <w:color w:val="auto"/>
          <w:kern w:val="2"/>
          <w:sz w:val="28"/>
          <w:szCs w:val="24"/>
          <w:highlight w:val="none"/>
          <w:shd w:val="clear" w:color="auto" w:fill="auto"/>
          <w:lang w:val="en-US" w:eastAsia="zh-CN" w:bidi="ar-SA"/>
        </w:rPr>
        <w:t>事项、专家咨询意见和有关说明等</w:t>
      </w:r>
      <w:r>
        <w:rPr>
          <w:rFonts w:hint="eastAsia" w:ascii="宋体" w:hAnsi="宋体" w:cs="宋体"/>
          <w:b w:val="0"/>
          <w:bCs w:val="0"/>
          <w:color w:val="auto"/>
          <w:kern w:val="2"/>
          <w:sz w:val="28"/>
          <w:szCs w:val="24"/>
          <w:highlight w:val="none"/>
          <w:shd w:val="clear" w:color="auto" w:fill="auto"/>
          <w:lang w:val="en-US" w:eastAsia="zh-CN" w:bidi="ar-SA"/>
        </w:rPr>
        <w:t>提交单位内部讨论</w:t>
      </w:r>
      <w:r>
        <w:rPr>
          <w:rFonts w:hint="eastAsia" w:ascii="宋体" w:hAnsi="宋体" w:eastAsia="宋体" w:cs="宋体"/>
          <w:b w:val="0"/>
          <w:bCs w:val="0"/>
          <w:color w:val="auto"/>
          <w:kern w:val="2"/>
          <w:sz w:val="28"/>
          <w:szCs w:val="24"/>
          <w:highlight w:val="none"/>
          <w:shd w:val="clear" w:color="auto" w:fill="auto"/>
          <w:lang w:val="en-US" w:eastAsia="zh-CN" w:bidi="ar-SA"/>
        </w:rPr>
        <w:t>并征求意见。之后，对所征求的意见及时地进行收集和整理。</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w:t>
      </w:r>
      <w:r>
        <w:rPr>
          <w:rFonts w:hint="eastAsia" w:ascii="宋体" w:hAnsi="宋体" w:cs="宋体"/>
          <w:b w:val="0"/>
          <w:bCs w:val="0"/>
          <w:color w:val="auto"/>
          <w:kern w:val="2"/>
          <w:sz w:val="28"/>
          <w:szCs w:val="24"/>
          <w:highlight w:val="none"/>
          <w:shd w:val="clear" w:color="auto" w:fill="auto"/>
          <w:lang w:val="en-US" w:eastAsia="zh-CN" w:bidi="ar-SA"/>
        </w:rPr>
        <w:t>2</w:t>
      </w:r>
      <w:r>
        <w:rPr>
          <w:rFonts w:hint="eastAsia" w:ascii="宋体" w:hAnsi="宋体" w:eastAsia="宋体" w:cs="宋体"/>
          <w:b w:val="0"/>
          <w:bCs w:val="0"/>
          <w:color w:val="auto"/>
          <w:kern w:val="2"/>
          <w:sz w:val="28"/>
          <w:szCs w:val="24"/>
          <w:highlight w:val="none"/>
          <w:shd w:val="clear" w:color="auto" w:fill="auto"/>
          <w:lang w:val="en-US" w:eastAsia="zh-CN" w:bidi="ar-SA"/>
        </w:rPr>
        <w:t>）撰写报告</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绩效评价项目小组依照整理、分析后的项目材料、数据资料，依据评价形成的初步结论，按照既定的格式和内容要求撰写绩效评价初步报告，</w:t>
      </w:r>
      <w:r>
        <w:rPr>
          <w:rFonts w:hint="eastAsia" w:ascii="宋体" w:hAnsi="宋体" w:cs="宋体"/>
          <w:b w:val="0"/>
          <w:bCs w:val="0"/>
          <w:color w:val="auto"/>
          <w:kern w:val="2"/>
          <w:sz w:val="28"/>
          <w:szCs w:val="24"/>
          <w:highlight w:val="none"/>
          <w:shd w:val="clear" w:color="auto" w:fill="auto"/>
          <w:lang w:val="en-US" w:eastAsia="zh-CN" w:bidi="ar-SA"/>
        </w:rPr>
        <w:t>最终</w:t>
      </w:r>
      <w:r>
        <w:rPr>
          <w:rFonts w:hint="eastAsia" w:ascii="宋体" w:hAnsi="宋体" w:eastAsia="宋体" w:cs="宋体"/>
          <w:b w:val="0"/>
          <w:bCs w:val="0"/>
          <w:color w:val="auto"/>
          <w:kern w:val="2"/>
          <w:sz w:val="28"/>
          <w:szCs w:val="24"/>
          <w:highlight w:val="none"/>
          <w:shd w:val="clear" w:color="auto" w:fill="auto"/>
          <w:lang w:val="en-US" w:eastAsia="zh-CN" w:bidi="ar-SA"/>
        </w:rPr>
        <w:t>形成评价结果。</w:t>
      </w:r>
    </w:p>
    <w:p>
      <w:pPr>
        <w:pStyle w:val="3"/>
        <w:pageBreakBefore w:val="0"/>
        <w:numPr>
          <w:ilvl w:val="0"/>
          <w:numId w:val="3"/>
        </w:numPr>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highlight w:val="none"/>
          <w:shd w:val="clear" w:color="auto" w:fill="auto"/>
        </w:rPr>
        <w:t>综合评价情况及评价结论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zh-TW" w:eastAsia="zh-TW"/>
        </w:rPr>
      </w:pPr>
      <w:r>
        <w:rPr>
          <w:rFonts w:hint="eastAsia" w:ascii="宋体" w:hAnsi="宋体" w:eastAsia="宋体" w:cs="宋体"/>
          <w:color w:val="auto"/>
          <w:highlight w:val="none"/>
          <w:shd w:val="clear" w:color="auto" w:fill="auto"/>
          <w:lang w:val="en-US" w:eastAsia="zh-CN"/>
        </w:rPr>
        <w:t>此次绩效评价</w:t>
      </w:r>
      <w:r>
        <w:rPr>
          <w:rFonts w:hint="eastAsia" w:ascii="宋体" w:hAnsi="宋体" w:eastAsia="宋体" w:cs="宋体"/>
          <w:color w:val="auto"/>
          <w:highlight w:val="none"/>
          <w:shd w:val="clear" w:color="auto" w:fill="auto"/>
          <w:lang w:val="zh-TW" w:eastAsia="zh-TW"/>
        </w:rPr>
        <w:t>通过组论证的评价指标体系及评分标准，</w:t>
      </w:r>
      <w:r>
        <w:rPr>
          <w:rFonts w:hint="eastAsia" w:ascii="宋体" w:hAnsi="宋体" w:eastAsia="宋体" w:cs="宋体"/>
          <w:color w:val="auto"/>
          <w:highlight w:val="none"/>
          <w:shd w:val="clear" w:color="auto" w:fill="auto"/>
        </w:rPr>
        <w:t>采用的方法比较法</w:t>
      </w:r>
      <w:r>
        <w:rPr>
          <w:rFonts w:hint="eastAsia" w:ascii="宋体" w:hAnsi="宋体" w:eastAsia="宋体" w:cs="宋体"/>
          <w:color w:val="auto"/>
          <w:highlight w:val="none"/>
          <w:shd w:val="clear" w:color="auto" w:fill="auto"/>
          <w:lang w:eastAsia="zh-CN"/>
        </w:rPr>
        <w:t>、因素分析法、公众评判法，</w:t>
      </w:r>
      <w:r>
        <w:rPr>
          <w:rFonts w:hint="eastAsia" w:ascii="宋体" w:hAnsi="宋体" w:eastAsia="宋体" w:cs="宋体"/>
          <w:color w:val="auto"/>
          <w:highlight w:val="none"/>
          <w:shd w:val="clear" w:color="auto" w:fill="auto"/>
          <w:lang w:val="zh-TW" w:eastAsia="zh-TW"/>
        </w:rPr>
        <w:t>对</w:t>
      </w:r>
      <w:r>
        <w:rPr>
          <w:rFonts w:hint="eastAsia"/>
          <w:color w:val="auto"/>
        </w:rPr>
        <w:t>南通港吕四港区广汇能源LNG分销转运扩建5#20万立方储罐项目</w:t>
      </w:r>
      <w:r>
        <w:rPr>
          <w:rFonts w:hint="eastAsia" w:ascii="宋体" w:hAnsi="宋体" w:eastAsia="宋体" w:cs="宋体"/>
          <w:color w:val="auto"/>
          <w:highlight w:val="none"/>
          <w:shd w:val="clear" w:color="auto" w:fill="auto"/>
          <w:lang w:val="zh-TW" w:eastAsia="zh-TW"/>
        </w:rPr>
        <w:t>绩效进行客观评价，最终评分结果：总分为</w:t>
      </w:r>
      <w:r>
        <w:rPr>
          <w:rFonts w:hint="eastAsia" w:cs="宋体"/>
          <w:color w:val="auto"/>
          <w:highlight w:val="none"/>
          <w:shd w:val="clear" w:color="auto" w:fill="auto"/>
          <w:lang w:val="en-US" w:eastAsia="zh-CN"/>
        </w:rPr>
        <w:t>100</w:t>
      </w:r>
      <w:r>
        <w:rPr>
          <w:rFonts w:hint="eastAsia" w:ascii="宋体" w:hAnsi="宋体" w:eastAsia="宋体" w:cs="宋体"/>
          <w:color w:val="auto"/>
          <w:highlight w:val="none"/>
          <w:shd w:val="clear" w:color="auto" w:fill="auto"/>
          <w:lang w:val="zh-TW" w:eastAsia="zh-TW"/>
        </w:rPr>
        <w:t>分，绩效评级为“</w:t>
      </w:r>
      <w:r>
        <w:rPr>
          <w:rFonts w:hint="eastAsia" w:cs="宋体"/>
          <w:color w:val="auto"/>
          <w:highlight w:val="none"/>
          <w:shd w:val="clear" w:color="auto" w:fill="auto"/>
          <w:lang w:val="en-US" w:eastAsia="zh-CN"/>
        </w:rPr>
        <w:t>100</w:t>
      </w:r>
      <w:r>
        <w:rPr>
          <w:rFonts w:hint="eastAsia" w:ascii="宋体" w:hAnsi="宋体" w:eastAsia="宋体" w:cs="宋体"/>
          <w:color w:val="auto"/>
          <w:highlight w:val="none"/>
          <w:shd w:val="clear" w:color="auto" w:fill="auto"/>
          <w:lang w:val="zh-TW" w:eastAsia="zh-TW"/>
        </w:rPr>
        <w:t>”。各部分权重和绩效</w:t>
      </w:r>
      <w:r>
        <w:rPr>
          <w:rFonts w:hint="eastAsia" w:ascii="宋体" w:hAnsi="宋体" w:eastAsia="宋体" w:cs="宋体"/>
          <w:color w:val="auto"/>
          <w:highlight w:val="none"/>
          <w:shd w:val="clear" w:color="auto" w:fill="auto"/>
          <w:lang w:val="en-US" w:eastAsia="zh-CN"/>
        </w:rPr>
        <w:t>汇总</w:t>
      </w:r>
      <w:r>
        <w:rPr>
          <w:rFonts w:hint="eastAsia" w:ascii="宋体" w:hAnsi="宋体" w:eastAsia="宋体" w:cs="宋体"/>
          <w:color w:val="auto"/>
          <w:highlight w:val="none"/>
          <w:shd w:val="clear" w:color="auto" w:fill="auto"/>
          <w:lang w:val="zh-TW" w:eastAsia="zh-TW"/>
        </w:rPr>
        <w:t>分值如下表</w:t>
      </w:r>
      <w:r>
        <w:rPr>
          <w:rFonts w:hint="eastAsia" w:ascii="宋体" w:hAnsi="宋体" w:eastAsia="宋体" w:cs="宋体"/>
          <w:b/>
          <w:bCs/>
          <w:color w:val="auto"/>
          <w:kern w:val="0"/>
          <w:sz w:val="28"/>
          <w:szCs w:val="28"/>
          <w:highlight w:val="none"/>
          <w:shd w:val="clear" w:color="auto" w:fill="auto"/>
          <w:lang w:val="en-US" w:eastAsia="zh-CN"/>
        </w:rPr>
        <w:t>3-1</w:t>
      </w:r>
      <w:r>
        <w:rPr>
          <w:rFonts w:hint="eastAsia" w:ascii="宋体" w:hAnsi="宋体" w:eastAsia="宋体" w:cs="宋体"/>
          <w:color w:val="auto"/>
          <w:highlight w:val="none"/>
          <w:shd w:val="clear" w:color="auto" w:fill="auto"/>
          <w:lang w:val="zh-TW" w:eastAsia="zh-TW"/>
        </w:rPr>
        <w:t>所示</w:t>
      </w:r>
      <w:r>
        <w:rPr>
          <w:rFonts w:hint="eastAsia" w:cs="宋体"/>
          <w:b/>
          <w:bCs/>
          <w:color w:val="auto"/>
          <w:highlight w:val="none"/>
          <w:shd w:val="clear" w:color="auto" w:fill="auto"/>
          <w:lang w:val="zh-TW" w:eastAsia="zh-CN"/>
        </w:rPr>
        <w:t>（</w:t>
      </w:r>
      <w:r>
        <w:rPr>
          <w:rFonts w:hint="eastAsia" w:cs="宋体"/>
          <w:b/>
          <w:bCs/>
          <w:color w:val="auto"/>
          <w:highlight w:val="none"/>
          <w:shd w:val="clear" w:color="auto" w:fill="auto"/>
          <w:lang w:val="en-US" w:eastAsia="zh-CN"/>
        </w:rPr>
        <w:t>详见上传的附件</w:t>
      </w:r>
      <w:r>
        <w:rPr>
          <w:rFonts w:hint="eastAsia" w:cs="宋体"/>
          <w:b/>
          <w:bCs/>
          <w:color w:val="auto"/>
          <w:highlight w:val="none"/>
          <w:shd w:val="clear" w:color="auto" w:fill="auto"/>
          <w:lang w:val="zh-TW" w:eastAsia="zh-CN"/>
        </w:rPr>
        <w:t>）</w:t>
      </w:r>
      <w:r>
        <w:rPr>
          <w:rFonts w:hint="eastAsia" w:ascii="宋体" w:hAnsi="宋体" w:eastAsia="宋体" w:cs="宋体"/>
          <w:color w:val="auto"/>
          <w:highlight w:val="none"/>
          <w:shd w:val="clear" w:color="auto" w:fill="auto"/>
          <w:lang w:val="zh-TW" w:eastAsia="zh-TW"/>
        </w:rPr>
        <w:t>：</w:t>
      </w:r>
    </w:p>
    <w:tbl>
      <w:tblPr>
        <w:tblStyle w:val="9"/>
        <w:tblW w:w="8289" w:type="dxa"/>
        <w:jc w:val="center"/>
        <w:shd w:val="clear" w:color="auto" w:fill="auto"/>
        <w:tblLayout w:type="fixed"/>
        <w:tblCellMar>
          <w:top w:w="0" w:type="dxa"/>
          <w:left w:w="0" w:type="dxa"/>
          <w:bottom w:w="0" w:type="dxa"/>
          <w:right w:w="0" w:type="dxa"/>
        </w:tblCellMar>
      </w:tblPr>
      <w:tblGrid>
        <w:gridCol w:w="1094"/>
        <w:gridCol w:w="1361"/>
        <w:gridCol w:w="1361"/>
        <w:gridCol w:w="1361"/>
        <w:gridCol w:w="1623"/>
        <w:gridCol w:w="1489"/>
      </w:tblGrid>
      <w:tr>
        <w:tblPrEx>
          <w:shd w:val="clear" w:color="auto" w:fill="auto"/>
          <w:tblCellMar>
            <w:top w:w="0" w:type="dxa"/>
            <w:left w:w="0" w:type="dxa"/>
            <w:bottom w:w="0" w:type="dxa"/>
            <w:right w:w="0" w:type="dxa"/>
          </w:tblCellMar>
        </w:tblPrEx>
        <w:trPr>
          <w:trHeight w:val="375" w:hRule="atLeast"/>
          <w:jc w:val="center"/>
        </w:trPr>
        <w:tc>
          <w:tcPr>
            <w:tcW w:w="8289"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en-US" w:eastAsia="zh-CN"/>
              </w:rPr>
              <w:t xml:space="preserve">表3-1：南通港吕四港区广汇能源LNG分销转运扩建  </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en-US" w:eastAsia="zh-CN"/>
              </w:rPr>
              <w:t>5#20万立方储罐项目得分表</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4"/>
                <w:szCs w:val="24"/>
                <w:highlight w:val="none"/>
                <w:shd w:val="clear" w:color="auto" w:fill="auto"/>
              </w:rPr>
            </w:pPr>
          </w:p>
        </w:tc>
      </w:tr>
      <w:tr>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指标类别</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1.项目决策</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2.过程管理</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3.项目产出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4.项目效益</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合计</w:t>
            </w:r>
          </w:p>
        </w:tc>
      </w:tr>
      <w:tr>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权重</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100</w:t>
            </w:r>
          </w:p>
        </w:tc>
      </w:tr>
      <w:tr>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分值</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p>
        </w:tc>
      </w:tr>
      <w:tr>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得分率</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r>
    </w:tbl>
    <w:p>
      <w:pPr>
        <w:pStyle w:val="3"/>
        <w:keepNext/>
        <w:keepLines/>
        <w:pageBreakBefore w:val="0"/>
        <w:widowControl w:val="0"/>
        <w:kinsoku/>
        <w:wordWrap/>
        <w:overflowPunct/>
        <w:topLinePunct w:val="0"/>
        <w:autoSpaceDE/>
        <w:autoSpaceDN/>
        <w:bidi w:val="0"/>
        <w:adjustRightInd/>
        <w:snapToGrid/>
        <w:spacing w:beforeLines="0" w:afterLines="0" w:line="360" w:lineRule="auto"/>
        <w:ind w:left="0" w:leftChars="0" w:firstLine="643" w:firstLineChars="200"/>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highlight w:val="none"/>
          <w:shd w:val="clear" w:color="auto" w:fill="auto"/>
        </w:rPr>
        <w:t>四、绩效评价指标分析</w:t>
      </w:r>
    </w:p>
    <w:p>
      <w:pPr>
        <w:pStyle w:val="4"/>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（一）项目决策情况</w:t>
      </w:r>
    </w:p>
    <w:p>
      <w:pPr>
        <w:keepNext w:val="0"/>
        <w:keepLines w:val="0"/>
        <w:pageBreakBefore w:val="0"/>
        <w:widowControl w:val="0"/>
        <w:kinsoku/>
        <w:wordWrap/>
        <w:overflowPunct/>
        <w:topLinePunct w:val="0"/>
        <w:autoSpaceDE/>
        <w:autoSpaceDN/>
        <w:bidi w:val="0"/>
        <w:adjustRightInd/>
        <w:snapToGrid/>
        <w:spacing w:line="360" w:lineRule="auto"/>
        <w:ind w:firstLine="723"/>
        <w:textAlignment w:val="auto"/>
        <w:rPr>
          <w:rFonts w:hint="eastAsia" w:cs="宋体"/>
          <w:b/>
          <w:bCs/>
          <w:color w:val="auto"/>
          <w:kern w:val="0"/>
          <w:sz w:val="28"/>
          <w:szCs w:val="28"/>
          <w:highlight w:val="none"/>
          <w:shd w:val="clear" w:color="auto" w:fill="auto"/>
          <w:lang w:val="zh-TW" w:eastAsia="zh-CN"/>
        </w:rPr>
      </w:pPr>
      <w:r>
        <w:rPr>
          <w:rFonts w:hint="eastAsia" w:ascii="宋体" w:hAnsi="宋体" w:eastAsia="宋体" w:cs="宋体"/>
          <w:color w:val="auto"/>
          <w:highlight w:val="none"/>
          <w:shd w:val="clear" w:color="auto" w:fill="auto"/>
          <w:lang w:val="en-US" w:eastAsia="zh-CN"/>
        </w:rPr>
        <w:t>项目决策由3个二级指标和6个三级指标构成，权重分20分，实际得分</w:t>
      </w:r>
      <w:r>
        <w:rPr>
          <w:rFonts w:hint="eastAsia" w:cs="宋体"/>
          <w:color w:val="auto"/>
          <w:highlight w:val="none"/>
          <w:shd w:val="clear" w:color="auto" w:fill="auto"/>
          <w:lang w:val="en-US" w:eastAsia="zh-CN"/>
        </w:rPr>
        <w:t>20</w:t>
      </w:r>
      <w:r>
        <w:rPr>
          <w:rFonts w:hint="eastAsia" w:ascii="宋体" w:hAnsi="宋体" w:eastAsia="宋体" w:cs="宋体"/>
          <w:color w:val="auto"/>
          <w:highlight w:val="none"/>
          <w:shd w:val="clear" w:color="auto" w:fill="auto"/>
          <w:lang w:val="en-US" w:eastAsia="zh-CN"/>
        </w:rPr>
        <w:t>分，</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b/>
          <w:bCs/>
          <w:color w:val="auto"/>
          <w:kern w:val="2"/>
          <w:highlight w:val="none"/>
          <w:u w:color="000000"/>
          <w:shd w:val="clear" w:color="auto" w:fill="auto"/>
          <w:lang w:val="en-US" w:eastAsia="zh-CN"/>
        </w:rPr>
        <w:t>4</w:t>
      </w:r>
      <w:r>
        <w:rPr>
          <w:rFonts w:hint="eastAsia" w:ascii="宋体" w:hAnsi="宋体" w:eastAsia="宋体" w:cs="宋体"/>
          <w:b/>
          <w:bCs/>
          <w:color w:val="auto"/>
          <w:kern w:val="2"/>
          <w:highlight w:val="none"/>
          <w:u w:color="000000"/>
          <w:shd w:val="clear" w:color="auto" w:fill="auto"/>
          <w:lang w:eastAsia="zh-CN"/>
        </w:rPr>
        <w:t>-1</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highlight w:val="none"/>
          <w:shd w:val="clear" w:color="auto" w:fill="auto"/>
          <w:lang w:val="zh-TW" w:eastAsia="zh-CN"/>
        </w:rPr>
        <w:t>（</w:t>
      </w:r>
      <w:r>
        <w:rPr>
          <w:rFonts w:hint="eastAsia" w:cs="宋体"/>
          <w:b/>
          <w:bCs/>
          <w:color w:val="auto"/>
          <w:highlight w:val="none"/>
          <w:shd w:val="clear" w:color="auto" w:fill="auto"/>
          <w:lang w:val="en-US" w:eastAsia="zh-CN"/>
        </w:rPr>
        <w:t>详见上传的附件</w:t>
      </w:r>
      <w:r>
        <w:rPr>
          <w:rFonts w:hint="eastAsia" w:cs="宋体"/>
          <w:b/>
          <w:bCs/>
          <w:color w:val="auto"/>
          <w:highlight w:val="none"/>
          <w:shd w:val="clear" w:color="auto" w:fill="auto"/>
          <w:lang w:val="zh-TW" w:eastAsia="zh-CN"/>
        </w:rPr>
        <w:t>）</w:t>
      </w:r>
      <w:r>
        <w:rPr>
          <w:rFonts w:hint="eastAsia" w:ascii="宋体" w:hAnsi="宋体" w:eastAsia="宋体" w:cs="宋体"/>
          <w:color w:val="auto"/>
          <w:highlight w:val="none"/>
          <w:shd w:val="clear" w:color="auto" w:fill="auto"/>
          <w:lang w:val="en-US"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4-1</w:t>
      </w:r>
      <w:r>
        <w:rPr>
          <w:rFonts w:hint="eastAsia" w:ascii="宋体" w:hAnsi="宋体" w:eastAsia="宋体" w:cs="宋体"/>
          <w:b/>
          <w:bCs/>
          <w:color w:val="auto"/>
          <w:kern w:val="0"/>
          <w:sz w:val="28"/>
          <w:szCs w:val="28"/>
          <w:highlight w:val="none"/>
          <w:shd w:val="clear" w:color="auto" w:fill="auto"/>
          <w:lang w:val="zh-TW" w:eastAsia="zh-TW"/>
        </w:rPr>
        <w:t>项目决策指标及分值</w:t>
      </w:r>
    </w:p>
    <w:tbl>
      <w:tblPr>
        <w:tblStyle w:val="9"/>
        <w:tblW w:w="8447" w:type="dxa"/>
        <w:jc w:val="center"/>
        <w:tblLayout w:type="fixed"/>
        <w:tblCellMar>
          <w:top w:w="0" w:type="dxa"/>
          <w:left w:w="0" w:type="dxa"/>
          <w:bottom w:w="0" w:type="dxa"/>
          <w:right w:w="0" w:type="dxa"/>
        </w:tblCellMar>
      </w:tblPr>
      <w:tblGrid>
        <w:gridCol w:w="1077"/>
        <w:gridCol w:w="960"/>
        <w:gridCol w:w="1248"/>
        <w:gridCol w:w="794"/>
        <w:gridCol w:w="3"/>
        <w:gridCol w:w="1868"/>
        <w:gridCol w:w="3"/>
        <w:gridCol w:w="1414"/>
        <w:gridCol w:w="3"/>
        <w:gridCol w:w="1074"/>
        <w:gridCol w:w="3"/>
      </w:tblGrid>
      <w:tr>
        <w:tblPrEx>
          <w:tblCellMar>
            <w:top w:w="0" w:type="dxa"/>
            <w:left w:w="0" w:type="dxa"/>
            <w:bottom w:w="0" w:type="dxa"/>
            <w:right w:w="0" w:type="dxa"/>
          </w:tblCellMar>
        </w:tblPrEx>
        <w:trPr>
          <w:gridAfter w:val="1"/>
          <w:wAfter w:w="3" w:type="dxa"/>
          <w:trHeight w:val="522" w:hRule="atLeast"/>
          <w:tblHeader/>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得分</w:t>
            </w:r>
          </w:p>
        </w:tc>
      </w:tr>
      <w:tr>
        <w:tblPrEx>
          <w:tblCellMar>
            <w:top w:w="0" w:type="dxa"/>
            <w:left w:w="0" w:type="dxa"/>
            <w:bottom w:w="0" w:type="dxa"/>
            <w:right w:w="0" w:type="dxa"/>
          </w:tblCellMar>
        </w:tblPrEx>
        <w:trPr>
          <w:gridAfter w:val="1"/>
          <w:wAfter w:w="3" w:type="dxa"/>
          <w:trHeight w:val="334" w:hRule="atLeast"/>
          <w:tblHeader/>
          <w:jc w:val="center"/>
        </w:trPr>
        <w:tc>
          <w:tcPr>
            <w:tcW w:w="1077"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项目决策</w:t>
            </w:r>
          </w:p>
        </w:tc>
        <w:tc>
          <w:tcPr>
            <w:tcW w:w="96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24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项目立项</w:t>
            </w:r>
          </w:p>
        </w:tc>
        <w:tc>
          <w:tcPr>
            <w:tcW w:w="79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立项依据充分性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9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立项程序规范性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w:t>
            </w:r>
          </w:p>
        </w:tc>
      </w:tr>
      <w:tr>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绩效目标</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绩效目标合理性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绩效指标明确性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资金投入</w:t>
            </w:r>
          </w:p>
        </w:tc>
        <w:tc>
          <w:tcPr>
            <w:tcW w:w="79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预算编制科学性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9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资金分配合理性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w:t>
            </w:r>
          </w:p>
        </w:tc>
      </w:tr>
      <w:tr>
        <w:tblPrEx>
          <w:tblCellMar>
            <w:top w:w="0" w:type="dxa"/>
            <w:left w:w="0" w:type="dxa"/>
            <w:bottom w:w="0" w:type="dxa"/>
            <w:right w:w="0" w:type="dxa"/>
          </w:tblCellMar>
        </w:tblPrEx>
        <w:trPr>
          <w:trHeight w:val="334" w:hRule="atLeast"/>
          <w:tblHeader/>
          <w:jc w:val="center"/>
        </w:trPr>
        <w:tc>
          <w:tcPr>
            <w:tcW w:w="32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20</w:t>
            </w:r>
          </w:p>
        </w:tc>
      </w:tr>
    </w:tbl>
    <w:p>
      <w:pPr>
        <w:bidi w:val="0"/>
        <w:rPr>
          <w:rFonts w:hint="default"/>
          <w:b/>
          <w:bCs/>
          <w:color w:val="auto"/>
          <w:lang w:val="en-US" w:eastAsia="zh-CN"/>
        </w:rPr>
      </w:pPr>
      <w:r>
        <w:rPr>
          <w:rFonts w:hint="eastAsia"/>
          <w:b/>
          <w:bCs/>
          <w:color w:val="auto"/>
          <w:lang w:val="en-US" w:eastAsia="zh-CN"/>
        </w:rPr>
        <w:t>1.立项依据充分性</w:t>
      </w:r>
    </w:p>
    <w:p>
      <w:pPr>
        <w:ind w:firstLine="560"/>
        <w:rPr>
          <w:rFonts w:hint="eastAsia"/>
          <w:color w:val="auto"/>
        </w:rPr>
      </w:pPr>
      <w:r>
        <w:rPr>
          <w:rFonts w:hint="eastAsia"/>
          <w:color w:val="auto"/>
        </w:rPr>
        <w:t>根据国家相关法规和内部控制等制度文件汇编，建立《阜康市发展改革委员会内部会计管理制度汇编》、《阜康市发展改革委员会“三公”经费预算管理和公开制度》等各项规章制度和工作程序，从制度和程序上严把资金使用、管理、绩效等各环节关口，堵塞漏洞、消除隐患，切实加强资金监管；</w:t>
      </w:r>
    </w:p>
    <w:p>
      <w:pPr>
        <w:ind w:firstLine="560"/>
        <w:rPr>
          <w:color w:val="auto"/>
        </w:rPr>
      </w:pPr>
      <w:r>
        <w:rPr>
          <w:rFonts w:hint="eastAsia"/>
          <w:color w:val="auto"/>
        </w:rPr>
        <w:t>①项目立项符合国家法律法规、国民经济发展规划、和新发改投资（2020）184号《自治区发展改革委关于下达自</w:t>
      </w:r>
      <w:bookmarkStart w:id="14" w:name="_GoBack"/>
      <w:bookmarkEnd w:id="14"/>
      <w:r>
        <w:rPr>
          <w:rFonts w:hint="eastAsia"/>
          <w:color w:val="auto"/>
        </w:rPr>
        <w:t>治区重点地区应急储气设施建设2020年中央预算内投资计划的通知》；</w:t>
      </w:r>
    </w:p>
    <w:p>
      <w:pPr>
        <w:ind w:firstLine="560"/>
        <w:rPr>
          <w:color w:val="auto"/>
        </w:rPr>
      </w:pPr>
      <w:r>
        <w:rPr>
          <w:rFonts w:hint="eastAsia"/>
          <w:color w:val="auto"/>
        </w:rPr>
        <w:t>②项目立项符合行业发展规划和昌州发改投资（2020）34号《关于转发《自治区发展改革委关于下达自治区重点地区应急储气设施建设2020年中央预算内投资计划的通知》的通知》要求；</w:t>
      </w:r>
    </w:p>
    <w:p>
      <w:pPr>
        <w:ind w:firstLine="560"/>
        <w:rPr>
          <w:color w:val="auto"/>
        </w:rPr>
      </w:pPr>
      <w:r>
        <w:rPr>
          <w:rFonts w:hint="eastAsia"/>
          <w:color w:val="auto"/>
        </w:rPr>
        <w:t>③项目立项与部门职责范围相符，属于部门履职所需；</w:t>
      </w:r>
    </w:p>
    <w:p>
      <w:pPr>
        <w:ind w:firstLine="560"/>
        <w:rPr>
          <w:color w:val="auto"/>
        </w:rPr>
      </w:pPr>
      <w:r>
        <w:rPr>
          <w:rFonts w:hint="eastAsia"/>
          <w:color w:val="auto"/>
        </w:rPr>
        <w:t>④项目属于公共财政支持范围，符合中央、地方事权支出责任划分原则；</w:t>
      </w:r>
    </w:p>
    <w:p>
      <w:pPr>
        <w:ind w:firstLine="560"/>
        <w:rPr>
          <w:color w:val="auto"/>
        </w:rPr>
      </w:pPr>
      <w:r>
        <w:rPr>
          <w:rFonts w:hint="eastAsia"/>
          <w:color w:val="auto"/>
        </w:rPr>
        <w:t>⑤项目与相关部门同类项目或部门内部相关项目不重复。</w:t>
      </w:r>
    </w:p>
    <w:p>
      <w:pPr>
        <w:bidi w:val="0"/>
        <w:rPr>
          <w:rFonts w:hint="default"/>
          <w:color w:val="auto"/>
          <w:lang w:val="en-US" w:eastAsia="zh-CN"/>
        </w:rPr>
      </w:pPr>
      <w:r>
        <w:rPr>
          <w:rFonts w:hint="eastAsia"/>
          <w:b/>
          <w:bCs/>
          <w:color w:val="auto"/>
          <w:lang w:val="en-US" w:eastAsia="zh-CN"/>
        </w:rPr>
        <w:t>综上，该项指标满分2分，得分2分。</w:t>
      </w:r>
    </w:p>
    <w:p>
      <w:pPr>
        <w:bidi w:val="0"/>
        <w:rPr>
          <w:rFonts w:hint="default"/>
          <w:b/>
          <w:bCs/>
          <w:color w:val="auto"/>
          <w:lang w:val="en-US" w:eastAsia="zh-CN"/>
        </w:rPr>
      </w:pPr>
      <w:r>
        <w:rPr>
          <w:rFonts w:hint="eastAsia"/>
          <w:b/>
          <w:bCs/>
          <w:color w:val="auto"/>
          <w:lang w:val="en-US" w:eastAsia="zh-CN"/>
        </w:rPr>
        <w:t>2.立项程序规范性</w:t>
      </w:r>
    </w:p>
    <w:p>
      <w:pPr>
        <w:ind w:firstLine="560"/>
        <w:rPr>
          <w:rFonts w:hint="eastAsia"/>
          <w:color w:val="auto"/>
        </w:rPr>
      </w:pPr>
      <w:r>
        <w:rPr>
          <w:rFonts w:hint="eastAsia"/>
          <w:color w:val="auto"/>
        </w:rPr>
        <w:t>该项目立项程序符合阜康市发展改革委员会根据国家相关法规和内部控制等制度文件汇编，建立《阜康市发展改革委员会规范项目立项程序》等各项规章制度和工作程序，从制度和程序上严把项目立项规范性；</w:t>
      </w:r>
    </w:p>
    <w:p>
      <w:pPr>
        <w:ind w:firstLine="560"/>
        <w:rPr>
          <w:color w:val="auto"/>
        </w:rPr>
      </w:pPr>
      <w:r>
        <w:rPr>
          <w:rFonts w:hint="eastAsia"/>
          <w:color w:val="auto"/>
        </w:rPr>
        <w:t>①项目按照规定的程序申请设立；</w:t>
      </w:r>
    </w:p>
    <w:p>
      <w:pPr>
        <w:ind w:firstLine="560"/>
        <w:rPr>
          <w:color w:val="auto"/>
        </w:rPr>
      </w:pPr>
      <w:r>
        <w:rPr>
          <w:rFonts w:hint="eastAsia"/>
          <w:color w:val="auto"/>
        </w:rPr>
        <w:t>②审批文件、材料符合相关要求；根据国民经济和社会发展长远规划，结合行业和所在地区发展规划的要求，按照相关文件规定，提交相关材料并进行审批。</w:t>
      </w:r>
    </w:p>
    <w:p>
      <w:pPr>
        <w:ind w:firstLine="560"/>
        <w:rPr>
          <w:rFonts w:hint="eastAsia"/>
          <w:color w:val="auto"/>
        </w:rPr>
      </w:pPr>
      <w:r>
        <w:rPr>
          <w:rFonts w:hint="eastAsia"/>
          <w:color w:val="auto"/>
        </w:rPr>
        <w:t>③事前已经过必要的可行性研究、专家论证、风险评估、绩效评估、并进行上会研究集体决策。</w:t>
      </w:r>
    </w:p>
    <w:p>
      <w:pPr>
        <w:bidi w:val="0"/>
        <w:rPr>
          <w:rFonts w:hint="eastAsia"/>
          <w:color w:val="auto"/>
          <w:lang w:eastAsia="zh-CN"/>
        </w:rPr>
      </w:pPr>
      <w:r>
        <w:rPr>
          <w:rFonts w:hint="eastAsia"/>
          <w:b/>
          <w:bCs/>
          <w:color w:val="auto"/>
          <w:lang w:val="en-US" w:eastAsia="zh-CN"/>
        </w:rPr>
        <w:t>综上，该项指标满分3分，得分3分。</w:t>
      </w:r>
    </w:p>
    <w:p>
      <w:pPr>
        <w:bidi w:val="0"/>
        <w:rPr>
          <w:rFonts w:hint="default"/>
          <w:b/>
          <w:bCs/>
          <w:color w:val="auto"/>
          <w:lang w:val="en-US" w:eastAsia="zh-CN"/>
        </w:rPr>
      </w:pPr>
      <w:r>
        <w:rPr>
          <w:rFonts w:hint="eastAsia"/>
          <w:b/>
          <w:bCs/>
          <w:color w:val="auto"/>
          <w:lang w:val="en-US" w:eastAsia="zh-CN"/>
        </w:rPr>
        <w:t>3.绩效目标合理性</w:t>
      </w:r>
    </w:p>
    <w:p>
      <w:pPr>
        <w:ind w:firstLine="560"/>
        <w:rPr>
          <w:color w:val="auto"/>
        </w:rPr>
      </w:pPr>
      <w:r>
        <w:rPr>
          <w:rFonts w:hint="eastAsia"/>
          <w:color w:val="auto"/>
        </w:rPr>
        <w:t>①项目有绩效目标，已上报绩效目标表；</w:t>
      </w:r>
    </w:p>
    <w:p>
      <w:pPr>
        <w:ind w:firstLine="560"/>
        <w:rPr>
          <w:color w:val="auto"/>
        </w:rPr>
      </w:pPr>
      <w:r>
        <w:rPr>
          <w:rFonts w:hint="eastAsia"/>
          <w:color w:val="auto"/>
        </w:rPr>
        <w:t>②项目绩效目标与实际工作内容具有相关性；</w:t>
      </w:r>
    </w:p>
    <w:p>
      <w:pPr>
        <w:ind w:firstLine="560"/>
        <w:rPr>
          <w:color w:val="auto"/>
        </w:rPr>
      </w:pPr>
      <w:r>
        <w:rPr>
          <w:rFonts w:hint="eastAsia"/>
          <w:color w:val="auto"/>
        </w:rPr>
        <w:t>③项目预期产出效益和效果符合正常的业绩水平；</w:t>
      </w:r>
    </w:p>
    <w:p>
      <w:pPr>
        <w:bidi w:val="0"/>
        <w:rPr>
          <w:rFonts w:hint="eastAsia"/>
          <w:color w:val="auto"/>
        </w:rPr>
      </w:pPr>
      <w:r>
        <w:rPr>
          <w:rFonts w:hint="eastAsia"/>
          <w:color w:val="auto"/>
        </w:rPr>
        <w:t>④与预算确定的项目投资额或资金量相匹配。</w:t>
      </w:r>
    </w:p>
    <w:p>
      <w:pPr>
        <w:bidi w:val="0"/>
        <w:rPr>
          <w:rFonts w:hint="eastAsia"/>
          <w:color w:val="auto"/>
          <w:lang w:eastAsia="zh-CN"/>
        </w:rPr>
      </w:pPr>
      <w:r>
        <w:rPr>
          <w:rFonts w:hint="eastAsia"/>
          <w:b/>
          <w:bCs/>
          <w:color w:val="auto"/>
          <w:lang w:val="en-US" w:eastAsia="zh-CN"/>
        </w:rPr>
        <w:t>综上，该项指标满分5分，得分5分。</w:t>
      </w:r>
    </w:p>
    <w:p>
      <w:pPr>
        <w:bidi w:val="0"/>
        <w:rPr>
          <w:rFonts w:hint="default"/>
          <w:b/>
          <w:bCs/>
          <w:color w:val="auto"/>
          <w:lang w:val="en-US" w:eastAsia="zh-CN"/>
        </w:rPr>
      </w:pPr>
      <w:r>
        <w:rPr>
          <w:rFonts w:hint="eastAsia"/>
          <w:b/>
          <w:bCs/>
          <w:color w:val="auto"/>
          <w:lang w:val="en-US" w:eastAsia="zh-CN"/>
        </w:rPr>
        <w:t>4.绩效指标明确性</w:t>
      </w:r>
    </w:p>
    <w:p>
      <w:pPr>
        <w:bidi w:val="0"/>
        <w:rPr>
          <w:rFonts w:hint="eastAsia"/>
          <w:color w:val="auto"/>
          <w:lang w:eastAsia="zh-CN"/>
        </w:rPr>
      </w:pPr>
      <w:r>
        <w:rPr>
          <w:rFonts w:hint="eastAsia"/>
          <w:color w:val="auto"/>
          <w:lang w:eastAsia="zh-CN"/>
        </w:rPr>
        <w:t>①将项目绩效目标细化分解为具体的绩效指标；</w:t>
      </w:r>
    </w:p>
    <w:p>
      <w:pPr>
        <w:bidi w:val="0"/>
        <w:rPr>
          <w:rFonts w:hint="eastAsia"/>
          <w:color w:val="auto"/>
          <w:lang w:eastAsia="zh-CN"/>
        </w:rPr>
      </w:pPr>
      <w:r>
        <w:rPr>
          <w:rFonts w:hint="eastAsia"/>
          <w:color w:val="auto"/>
          <w:lang w:eastAsia="zh-CN"/>
        </w:rPr>
        <w:t>②通过清晰、可衡量的指标值予以体现；</w:t>
      </w:r>
    </w:p>
    <w:p>
      <w:pPr>
        <w:bidi w:val="0"/>
        <w:rPr>
          <w:rFonts w:hint="eastAsia"/>
          <w:color w:val="auto"/>
          <w:lang w:eastAsia="zh-CN"/>
        </w:rPr>
      </w:pPr>
      <w:r>
        <w:rPr>
          <w:rFonts w:hint="eastAsia"/>
          <w:color w:val="auto"/>
          <w:lang w:eastAsia="zh-CN"/>
        </w:rPr>
        <w:t>③与项目目标任务数或计划数相对应。</w:t>
      </w:r>
    </w:p>
    <w:p>
      <w:pPr>
        <w:bidi w:val="0"/>
        <w:rPr>
          <w:rFonts w:hint="eastAsia"/>
          <w:color w:val="auto"/>
          <w:lang w:eastAsia="zh-CN"/>
        </w:rPr>
      </w:pPr>
      <w:r>
        <w:rPr>
          <w:rFonts w:hint="eastAsia"/>
          <w:b/>
          <w:bCs/>
          <w:color w:val="auto"/>
          <w:lang w:val="en-US" w:eastAsia="zh-CN"/>
        </w:rPr>
        <w:t>综上，该项指标满分5分，得分5分。</w:t>
      </w:r>
    </w:p>
    <w:p>
      <w:pPr>
        <w:bidi w:val="0"/>
        <w:rPr>
          <w:rFonts w:hint="default"/>
          <w:b/>
          <w:bCs/>
          <w:color w:val="auto"/>
          <w:lang w:val="en-US" w:eastAsia="zh-CN"/>
        </w:rPr>
      </w:pPr>
      <w:r>
        <w:rPr>
          <w:rFonts w:hint="eastAsia"/>
          <w:b/>
          <w:bCs/>
          <w:color w:val="auto"/>
          <w:lang w:val="en-US" w:eastAsia="zh-CN"/>
        </w:rPr>
        <w:t>5.预算编制科学性</w:t>
      </w:r>
    </w:p>
    <w:p>
      <w:pPr>
        <w:bidi w:val="0"/>
        <w:rPr>
          <w:rFonts w:hint="eastAsia"/>
          <w:color w:val="auto"/>
          <w:lang w:eastAsia="zh-CN"/>
        </w:rPr>
      </w:pPr>
      <w:r>
        <w:rPr>
          <w:rFonts w:hint="eastAsia"/>
          <w:color w:val="auto"/>
          <w:lang w:eastAsia="zh-CN"/>
        </w:rPr>
        <w:t>①预算编制经过科学论证；</w:t>
      </w:r>
    </w:p>
    <w:p>
      <w:pPr>
        <w:bidi w:val="0"/>
        <w:rPr>
          <w:rFonts w:hint="eastAsia"/>
          <w:color w:val="auto"/>
          <w:lang w:eastAsia="zh-CN"/>
        </w:rPr>
      </w:pPr>
      <w:r>
        <w:rPr>
          <w:rFonts w:hint="eastAsia"/>
          <w:color w:val="auto"/>
          <w:lang w:eastAsia="zh-CN"/>
        </w:rPr>
        <w:t>②预算内容与项目内容匹配；</w:t>
      </w:r>
    </w:p>
    <w:p>
      <w:pPr>
        <w:bidi w:val="0"/>
        <w:rPr>
          <w:rFonts w:hint="eastAsia"/>
          <w:color w:val="auto"/>
          <w:lang w:eastAsia="zh-CN"/>
        </w:rPr>
      </w:pPr>
      <w:r>
        <w:rPr>
          <w:rFonts w:hint="eastAsia"/>
          <w:color w:val="auto"/>
          <w:lang w:eastAsia="zh-CN"/>
        </w:rPr>
        <w:t>③预算额度测算依据充分，按照标准编制；</w:t>
      </w:r>
    </w:p>
    <w:p>
      <w:pPr>
        <w:bidi w:val="0"/>
        <w:rPr>
          <w:rFonts w:hint="eastAsia"/>
          <w:color w:val="auto"/>
          <w:lang w:eastAsia="zh-CN"/>
        </w:rPr>
      </w:pPr>
      <w:r>
        <w:rPr>
          <w:rFonts w:hint="eastAsia"/>
          <w:color w:val="auto"/>
          <w:lang w:eastAsia="zh-CN"/>
        </w:rPr>
        <w:t>④预算确定的项目投资额或资金量与工作任务相匹配。</w:t>
      </w:r>
    </w:p>
    <w:p>
      <w:pPr>
        <w:bidi w:val="0"/>
        <w:rPr>
          <w:rFonts w:hint="eastAsia"/>
          <w:color w:val="auto"/>
          <w:lang w:eastAsia="zh-CN"/>
        </w:rPr>
      </w:pPr>
      <w:r>
        <w:rPr>
          <w:rFonts w:hint="eastAsia"/>
          <w:b/>
          <w:bCs/>
          <w:color w:val="auto"/>
          <w:lang w:val="en-US" w:eastAsia="zh-CN"/>
        </w:rPr>
        <w:t>综上，该项指标满分2分，得分2分。</w:t>
      </w:r>
    </w:p>
    <w:p>
      <w:pPr>
        <w:bidi w:val="0"/>
        <w:rPr>
          <w:rFonts w:hint="default"/>
          <w:b/>
          <w:bCs/>
          <w:color w:val="auto"/>
          <w:lang w:val="en-US" w:eastAsia="zh-CN"/>
        </w:rPr>
      </w:pPr>
      <w:r>
        <w:rPr>
          <w:rFonts w:hint="eastAsia"/>
          <w:b/>
          <w:bCs/>
          <w:color w:val="auto"/>
          <w:lang w:val="en-US" w:eastAsia="zh-CN"/>
        </w:rPr>
        <w:t>6.资金分配合理性</w:t>
      </w:r>
    </w:p>
    <w:p>
      <w:pPr>
        <w:bidi w:val="0"/>
        <w:rPr>
          <w:rFonts w:hint="eastAsia"/>
          <w:color w:val="auto"/>
          <w:lang w:eastAsia="zh-CN"/>
        </w:rPr>
      </w:pPr>
      <w:r>
        <w:rPr>
          <w:rFonts w:hint="eastAsia"/>
          <w:color w:val="auto"/>
          <w:lang w:eastAsia="zh-CN"/>
        </w:rPr>
        <w:t>①预算资金分配依据充分；</w:t>
      </w:r>
    </w:p>
    <w:p>
      <w:pPr>
        <w:bidi w:val="0"/>
        <w:rPr>
          <w:rFonts w:hint="eastAsia"/>
          <w:color w:val="auto"/>
          <w:lang w:eastAsia="zh-CN"/>
        </w:rPr>
      </w:pPr>
      <w:r>
        <w:rPr>
          <w:rFonts w:hint="eastAsia"/>
          <w:color w:val="auto"/>
          <w:lang w:eastAsia="zh-CN"/>
        </w:rPr>
        <w:t>②资金分配额度合理，与项目单位或地方实际相适应。</w:t>
      </w:r>
    </w:p>
    <w:p>
      <w:pPr>
        <w:bidi w:val="0"/>
        <w:rPr>
          <w:rFonts w:hint="eastAsia"/>
          <w:color w:val="auto"/>
          <w:lang w:eastAsia="zh-CN"/>
        </w:rPr>
      </w:pPr>
      <w:r>
        <w:rPr>
          <w:rFonts w:hint="eastAsia"/>
          <w:b/>
          <w:bCs/>
          <w:color w:val="auto"/>
          <w:lang w:val="en-US" w:eastAsia="zh-CN"/>
        </w:rPr>
        <w:t>综上，该项指标满分3分，得分3分。</w:t>
      </w:r>
    </w:p>
    <w:p>
      <w:pPr>
        <w:pStyle w:val="4"/>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二</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项目过程情况</w:t>
      </w:r>
    </w:p>
    <w:p>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rPr>
        <w:t>过程</w:t>
      </w:r>
      <w:r>
        <w:rPr>
          <w:rFonts w:hint="eastAsia" w:ascii="宋体" w:hAnsi="宋体" w:eastAsia="宋体" w:cs="宋体"/>
          <w:color w:val="auto"/>
          <w:kern w:val="2"/>
          <w:highlight w:val="none"/>
          <w:u w:color="000000"/>
          <w:shd w:val="clear" w:color="auto" w:fill="auto"/>
          <w:lang w:eastAsia="zh-CN"/>
        </w:rPr>
        <w:t>管理</w:t>
      </w:r>
      <w:r>
        <w:rPr>
          <w:rFonts w:hint="eastAsia" w:ascii="宋体" w:hAnsi="宋体" w:eastAsia="宋体" w:cs="宋体"/>
          <w:color w:val="auto"/>
          <w:kern w:val="2"/>
          <w:highlight w:val="none"/>
          <w:u w:color="000000"/>
          <w:shd w:val="clear" w:color="auto" w:fill="auto"/>
          <w:lang w:val="zh-TW" w:eastAsia="zh-TW"/>
        </w:rPr>
        <w:t>类指标由</w:t>
      </w:r>
      <w:r>
        <w:rPr>
          <w:rFonts w:hint="eastAsia" w:ascii="宋体" w:hAnsi="宋体" w:eastAsia="宋体" w:cs="宋体"/>
          <w:color w:val="auto"/>
          <w:kern w:val="2"/>
          <w:highlight w:val="none"/>
          <w:u w:color="000000"/>
          <w:shd w:val="clear" w:color="auto" w:fill="auto"/>
          <w:lang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ascii="宋体" w:hAnsi="宋体" w:eastAsia="宋体" w:cs="宋体"/>
          <w:color w:val="auto"/>
          <w:kern w:val="2"/>
          <w:highlight w:val="none"/>
          <w:u w:color="000000"/>
          <w:shd w:val="clear" w:color="auto" w:fill="auto"/>
          <w:lang w:val="en-US" w:eastAsia="zh-CN"/>
        </w:rPr>
        <w:t>5</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20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20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-2</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4-2</w:t>
      </w:r>
      <w:r>
        <w:rPr>
          <w:rFonts w:hint="eastAsia" w:ascii="宋体" w:hAnsi="宋体" w:eastAsia="宋体" w:cs="宋体"/>
          <w:b/>
          <w:bCs/>
          <w:color w:val="auto"/>
          <w:kern w:val="0"/>
          <w:sz w:val="28"/>
          <w:szCs w:val="28"/>
          <w:highlight w:val="none"/>
          <w:shd w:val="clear" w:color="auto" w:fill="auto"/>
          <w:lang w:val="zh-TW" w:eastAsia="zh-TW"/>
        </w:rPr>
        <w:t>项目</w:t>
      </w:r>
      <w:r>
        <w:rPr>
          <w:rFonts w:hint="eastAsia" w:ascii="宋体" w:hAnsi="宋体" w:eastAsia="宋体" w:cs="宋体"/>
          <w:b/>
          <w:bCs/>
          <w:color w:val="auto"/>
          <w:kern w:val="0"/>
          <w:sz w:val="28"/>
          <w:szCs w:val="28"/>
          <w:highlight w:val="none"/>
          <w:shd w:val="clear" w:color="auto" w:fill="auto"/>
          <w:lang w:val="zh-TW" w:eastAsia="zh-CN"/>
        </w:rPr>
        <w:t>管理</w:t>
      </w:r>
      <w:r>
        <w:rPr>
          <w:rFonts w:hint="eastAsia" w:ascii="宋体" w:hAnsi="宋体" w:eastAsia="宋体" w:cs="宋体"/>
          <w:b/>
          <w:bCs/>
          <w:color w:val="auto"/>
          <w:kern w:val="0"/>
          <w:sz w:val="28"/>
          <w:szCs w:val="28"/>
          <w:highlight w:val="none"/>
          <w:shd w:val="clear" w:color="auto" w:fill="auto"/>
          <w:lang w:val="zh-TW" w:eastAsia="zh-TW"/>
        </w:rPr>
        <w:t>指标及分值</w:t>
      </w:r>
      <w:r>
        <w:rPr>
          <w:rFonts w:hint="eastAsia" w:ascii="宋体" w:hAnsi="宋体" w:eastAsia="宋体" w:cs="宋体"/>
          <w:b/>
          <w:bCs/>
          <w:color w:val="auto"/>
          <w:kern w:val="0"/>
          <w:sz w:val="28"/>
          <w:szCs w:val="28"/>
          <w:highlight w:val="none"/>
          <w:shd w:val="clear" w:color="auto" w:fill="auto"/>
          <w:lang w:val="en-US" w:eastAsia="zh-CN"/>
        </w:rPr>
        <w:t>情况</w:t>
      </w:r>
    </w:p>
    <w:tbl>
      <w:tblPr>
        <w:tblStyle w:val="9"/>
        <w:tblW w:w="8317" w:type="dxa"/>
        <w:jc w:val="center"/>
        <w:tblLayout w:type="fixed"/>
        <w:tblCellMar>
          <w:top w:w="0" w:type="dxa"/>
          <w:left w:w="0" w:type="dxa"/>
          <w:bottom w:w="0" w:type="dxa"/>
          <w:right w:w="0" w:type="dxa"/>
        </w:tblCellMar>
      </w:tblPr>
      <w:tblGrid>
        <w:gridCol w:w="1182"/>
        <w:gridCol w:w="738"/>
        <w:gridCol w:w="1248"/>
        <w:gridCol w:w="1176"/>
        <w:gridCol w:w="1833"/>
        <w:gridCol w:w="987"/>
        <w:gridCol w:w="1153"/>
      </w:tblGrid>
      <w:tr>
        <w:tblPrEx>
          <w:tblCellMar>
            <w:top w:w="0" w:type="dxa"/>
            <w:left w:w="0" w:type="dxa"/>
            <w:bottom w:w="0" w:type="dxa"/>
            <w:right w:w="0" w:type="dxa"/>
          </w:tblCellMar>
        </w:tblPrEx>
        <w:trPr>
          <w:trHeight w:val="272" w:hRule="atLeast"/>
          <w:tblHeader/>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一级指标</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得分</w:t>
            </w:r>
          </w:p>
        </w:tc>
      </w:tr>
      <w:tr>
        <w:tblPrEx>
          <w:tblCellMar>
            <w:top w:w="0" w:type="dxa"/>
            <w:left w:w="0" w:type="dxa"/>
            <w:bottom w:w="0" w:type="dxa"/>
            <w:right w:w="0" w:type="dxa"/>
          </w:tblCellMar>
        </w:tblPrEx>
        <w:trPr>
          <w:trHeight w:val="23" w:hRule="atLeast"/>
          <w:jc w:val="center"/>
        </w:trPr>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过程管理</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资金管理</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12</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资金到位率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预算执行率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资金使用合规性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组织实施</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8</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管理制度健全性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制度执行有效性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tblPrEx>
          <w:tblCellMar>
            <w:top w:w="0" w:type="dxa"/>
            <w:left w:w="0" w:type="dxa"/>
            <w:bottom w:w="0" w:type="dxa"/>
            <w:right w:w="0" w:type="dxa"/>
          </w:tblCellMar>
        </w:tblPrEx>
        <w:trPr>
          <w:trHeight w:val="23" w:hRule="atLeast"/>
          <w:jc w:val="center"/>
        </w:trPr>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20</w:t>
            </w:r>
          </w:p>
        </w:tc>
      </w:tr>
    </w:tbl>
    <w:p>
      <w:pPr>
        <w:bidi w:val="0"/>
        <w:rPr>
          <w:rFonts w:hint="default"/>
          <w:b/>
          <w:bCs/>
          <w:color w:val="auto"/>
          <w:lang w:val="en-US" w:eastAsia="zh-CN"/>
        </w:rPr>
      </w:pPr>
      <w:r>
        <w:rPr>
          <w:rFonts w:hint="eastAsia"/>
          <w:b/>
          <w:bCs/>
          <w:color w:val="auto"/>
          <w:lang w:val="en-US" w:eastAsia="zh-CN"/>
        </w:rPr>
        <w:t>1.资金到位率</w:t>
      </w:r>
    </w:p>
    <w:p>
      <w:pPr>
        <w:bidi w:val="0"/>
        <w:rPr>
          <w:rFonts w:hint="default"/>
          <w:b/>
          <w:bCs/>
          <w:color w:val="auto"/>
          <w:lang w:val="en-US" w:eastAsia="zh-CN"/>
        </w:rPr>
      </w:pPr>
      <w:r>
        <w:rPr>
          <w:rFonts w:hint="eastAsia"/>
          <w:color w:val="auto"/>
          <w:lang w:eastAsia="zh-CN"/>
        </w:rPr>
        <w:t>资金到位率=（</w:t>
      </w:r>
      <w:r>
        <w:rPr>
          <w:rFonts w:hint="eastAsia"/>
          <w:color w:val="auto"/>
          <w:lang w:val="en-US" w:eastAsia="zh-CN"/>
        </w:rPr>
        <w:t>5000万</w:t>
      </w:r>
      <w:r>
        <w:rPr>
          <w:rFonts w:hint="eastAsia"/>
          <w:color w:val="auto"/>
          <w:lang w:eastAsia="zh-CN"/>
        </w:rPr>
        <w:t>/</w:t>
      </w:r>
      <w:r>
        <w:rPr>
          <w:rFonts w:hint="eastAsia"/>
          <w:color w:val="auto"/>
          <w:lang w:val="en-US" w:eastAsia="zh-CN"/>
        </w:rPr>
        <w:t>5000万</w:t>
      </w:r>
      <w:r>
        <w:rPr>
          <w:rFonts w:hint="eastAsia"/>
          <w:color w:val="auto"/>
          <w:lang w:eastAsia="zh-CN"/>
        </w:rPr>
        <w:t>）×100%。</w:t>
      </w:r>
      <w:r>
        <w:rPr>
          <w:rFonts w:hint="eastAsia"/>
          <w:b/>
          <w:bCs/>
          <w:color w:val="auto"/>
          <w:lang w:val="en-US" w:eastAsia="zh-CN"/>
        </w:rPr>
        <w:t>=100%</w:t>
      </w:r>
    </w:p>
    <w:p>
      <w:pPr>
        <w:bidi w:val="0"/>
        <w:rPr>
          <w:rFonts w:hint="eastAsia"/>
          <w:color w:val="auto"/>
          <w:lang w:eastAsia="zh-CN"/>
        </w:rPr>
      </w:pPr>
      <w:r>
        <w:rPr>
          <w:rFonts w:hint="eastAsia"/>
          <w:b/>
          <w:bCs/>
          <w:color w:val="auto"/>
          <w:lang w:val="en-US" w:eastAsia="zh-CN"/>
        </w:rPr>
        <w:t>综上，该项指标满分4分，得分4分。</w:t>
      </w:r>
    </w:p>
    <w:p>
      <w:pPr>
        <w:bidi w:val="0"/>
        <w:rPr>
          <w:rFonts w:hint="default"/>
          <w:b/>
          <w:bCs/>
          <w:color w:val="auto"/>
          <w:lang w:val="en-US" w:eastAsia="zh-CN"/>
        </w:rPr>
      </w:pPr>
      <w:r>
        <w:rPr>
          <w:rFonts w:hint="eastAsia"/>
          <w:b/>
          <w:bCs/>
          <w:color w:val="auto"/>
          <w:lang w:val="en-US" w:eastAsia="zh-CN"/>
        </w:rPr>
        <w:t>2.预算执行率</w:t>
      </w:r>
    </w:p>
    <w:p>
      <w:pPr>
        <w:bidi w:val="0"/>
        <w:rPr>
          <w:rFonts w:hint="eastAsia"/>
          <w:b/>
          <w:bCs/>
          <w:color w:val="auto"/>
          <w:lang w:val="en-US" w:eastAsia="zh-CN"/>
        </w:rPr>
      </w:pPr>
      <w:r>
        <w:rPr>
          <w:rFonts w:hint="eastAsia"/>
          <w:color w:val="auto"/>
          <w:lang w:eastAsia="zh-CN"/>
        </w:rPr>
        <w:t>预算执行率=（</w:t>
      </w:r>
      <w:r>
        <w:rPr>
          <w:rFonts w:hint="eastAsia"/>
          <w:color w:val="auto"/>
          <w:lang w:val="en-US" w:eastAsia="zh-CN"/>
        </w:rPr>
        <w:t>5000万</w:t>
      </w:r>
      <w:r>
        <w:rPr>
          <w:rFonts w:hint="eastAsia"/>
          <w:color w:val="auto"/>
          <w:lang w:eastAsia="zh-CN"/>
        </w:rPr>
        <w:t>/</w:t>
      </w:r>
      <w:r>
        <w:rPr>
          <w:rFonts w:hint="eastAsia"/>
          <w:color w:val="auto"/>
          <w:lang w:val="en-US" w:eastAsia="zh-CN"/>
        </w:rPr>
        <w:t>5000万</w:t>
      </w:r>
      <w:r>
        <w:rPr>
          <w:rFonts w:hint="eastAsia"/>
          <w:color w:val="auto"/>
          <w:lang w:eastAsia="zh-CN"/>
        </w:rPr>
        <w:t>）×100%。</w:t>
      </w:r>
      <w:r>
        <w:rPr>
          <w:rFonts w:hint="eastAsia"/>
          <w:b/>
          <w:bCs/>
          <w:color w:val="auto"/>
          <w:lang w:val="en-US" w:eastAsia="zh-CN"/>
        </w:rPr>
        <w:t>=100%</w:t>
      </w:r>
    </w:p>
    <w:p>
      <w:pPr>
        <w:bidi w:val="0"/>
        <w:rPr>
          <w:rFonts w:hint="eastAsia"/>
          <w:color w:val="auto"/>
          <w:lang w:eastAsia="zh-CN"/>
        </w:rPr>
      </w:pPr>
      <w:r>
        <w:rPr>
          <w:rFonts w:hint="eastAsia"/>
          <w:b/>
          <w:bCs/>
          <w:color w:val="auto"/>
          <w:lang w:val="en-US" w:eastAsia="zh-CN"/>
        </w:rPr>
        <w:t>综上，该项指标满分4分，得分4分。</w:t>
      </w:r>
    </w:p>
    <w:p>
      <w:pPr>
        <w:bidi w:val="0"/>
        <w:rPr>
          <w:rFonts w:hint="default"/>
          <w:b/>
          <w:bCs/>
          <w:color w:val="auto"/>
          <w:lang w:val="en-US" w:eastAsia="zh-CN"/>
        </w:rPr>
      </w:pPr>
      <w:r>
        <w:rPr>
          <w:rFonts w:hint="eastAsia"/>
          <w:b/>
          <w:bCs/>
          <w:color w:val="auto"/>
          <w:lang w:val="en-US" w:eastAsia="zh-CN"/>
        </w:rPr>
        <w:t>3.资金使用合规性</w:t>
      </w:r>
    </w:p>
    <w:p>
      <w:pPr>
        <w:bidi w:val="0"/>
        <w:rPr>
          <w:rFonts w:hint="eastAsia"/>
          <w:color w:val="auto"/>
          <w:lang w:eastAsia="zh-CN"/>
        </w:rPr>
      </w:pPr>
      <w:r>
        <w:rPr>
          <w:rFonts w:hint="eastAsia"/>
          <w:color w:val="auto"/>
          <w:lang w:eastAsia="zh-CN"/>
        </w:rPr>
        <w:t>①符合</w:t>
      </w:r>
      <w:r>
        <w:rPr>
          <w:rFonts w:hint="eastAsia"/>
          <w:color w:val="auto"/>
        </w:rPr>
        <w:t>《阜康市发改委财务管理制度及资金办法》的规定</w:t>
      </w:r>
    </w:p>
    <w:p>
      <w:pPr>
        <w:bidi w:val="0"/>
        <w:rPr>
          <w:rFonts w:hint="eastAsia"/>
          <w:color w:val="auto"/>
          <w:lang w:eastAsia="zh-CN"/>
        </w:rPr>
      </w:pPr>
      <w:r>
        <w:rPr>
          <w:rFonts w:hint="eastAsia"/>
          <w:color w:val="auto"/>
          <w:lang w:eastAsia="zh-CN"/>
        </w:rPr>
        <w:t>②资金的拨付有完整的审批程序和手续；</w:t>
      </w:r>
    </w:p>
    <w:p>
      <w:pPr>
        <w:bidi w:val="0"/>
        <w:rPr>
          <w:rFonts w:hint="eastAsia"/>
          <w:color w:val="auto"/>
          <w:lang w:eastAsia="zh-CN"/>
        </w:rPr>
      </w:pPr>
      <w:r>
        <w:rPr>
          <w:rFonts w:hint="eastAsia"/>
          <w:color w:val="auto"/>
          <w:lang w:eastAsia="zh-CN"/>
        </w:rPr>
        <w:t>③符合项目预算批复或合同规定的用途；</w:t>
      </w:r>
    </w:p>
    <w:p>
      <w:pPr>
        <w:bidi w:val="0"/>
        <w:rPr>
          <w:rFonts w:hint="eastAsia"/>
          <w:color w:val="auto"/>
          <w:lang w:eastAsia="zh-CN"/>
        </w:rPr>
      </w:pPr>
      <w:r>
        <w:rPr>
          <w:rFonts w:hint="eastAsia"/>
          <w:color w:val="auto"/>
          <w:lang w:eastAsia="zh-CN"/>
        </w:rPr>
        <w:t>④</w:t>
      </w:r>
      <w:r>
        <w:rPr>
          <w:rFonts w:hint="eastAsia"/>
          <w:color w:val="auto"/>
          <w:lang w:val="en-US" w:eastAsia="zh-CN"/>
        </w:rPr>
        <w:t>不</w:t>
      </w:r>
      <w:r>
        <w:rPr>
          <w:rFonts w:hint="eastAsia"/>
          <w:color w:val="auto"/>
          <w:lang w:eastAsia="zh-CN"/>
        </w:rPr>
        <w:t>存在截留、挤占、挪用、虚列支出等情况。</w:t>
      </w:r>
    </w:p>
    <w:p>
      <w:pPr>
        <w:bidi w:val="0"/>
        <w:rPr>
          <w:rFonts w:hint="eastAsia"/>
          <w:color w:val="auto"/>
          <w:lang w:eastAsia="zh-CN"/>
        </w:rPr>
      </w:pPr>
      <w:r>
        <w:rPr>
          <w:rFonts w:hint="eastAsia"/>
          <w:b/>
          <w:bCs/>
          <w:color w:val="auto"/>
          <w:lang w:val="en-US" w:eastAsia="zh-CN"/>
        </w:rPr>
        <w:t>综上，该项指标满分4分，得分4分。</w:t>
      </w:r>
    </w:p>
    <w:p>
      <w:pPr>
        <w:bidi w:val="0"/>
        <w:rPr>
          <w:rFonts w:hint="default"/>
          <w:b/>
          <w:bCs/>
          <w:color w:val="auto"/>
          <w:lang w:val="en-US" w:eastAsia="zh-CN"/>
        </w:rPr>
      </w:pPr>
      <w:r>
        <w:rPr>
          <w:rFonts w:hint="eastAsia"/>
          <w:b/>
          <w:bCs/>
          <w:color w:val="auto"/>
          <w:lang w:val="en-US" w:eastAsia="zh-CN"/>
        </w:rPr>
        <w:t>4.管理制度健全性</w:t>
      </w:r>
    </w:p>
    <w:p>
      <w:pPr>
        <w:ind w:firstLine="560"/>
        <w:rPr>
          <w:rFonts w:hint="eastAsia"/>
          <w:color w:val="auto"/>
        </w:rPr>
      </w:pPr>
      <w:r>
        <w:rPr>
          <w:rFonts w:hint="eastAsia"/>
          <w:color w:val="auto"/>
        </w:rPr>
        <w:t>①该项目具有相应的财务和业务管理制度，包括合同管理制度、收入和支出管理制度、项目验收制度；</w:t>
      </w:r>
    </w:p>
    <w:p>
      <w:pPr>
        <w:ind w:firstLine="560"/>
        <w:rPr>
          <w:rFonts w:hint="eastAsia"/>
          <w:color w:val="auto"/>
        </w:rPr>
      </w:pPr>
      <w:r>
        <w:rPr>
          <w:rFonts w:hint="eastAsia"/>
          <w:color w:val="auto"/>
        </w:rPr>
        <w:t>②财务和业务管理制度合法、合规、完整。</w:t>
      </w:r>
    </w:p>
    <w:p>
      <w:pPr>
        <w:bidi w:val="0"/>
        <w:rPr>
          <w:rFonts w:hint="eastAsia"/>
          <w:color w:val="auto"/>
          <w:lang w:eastAsia="zh-CN"/>
        </w:rPr>
      </w:pPr>
      <w:r>
        <w:rPr>
          <w:rFonts w:hint="eastAsia"/>
          <w:b/>
          <w:bCs/>
          <w:color w:val="auto"/>
          <w:lang w:val="en-US" w:eastAsia="zh-CN"/>
        </w:rPr>
        <w:t>综上，该项指标满分4分，得分4分。</w:t>
      </w:r>
    </w:p>
    <w:p>
      <w:pPr>
        <w:bidi w:val="0"/>
        <w:ind w:left="1403" w:leftChars="200" w:hanging="843" w:hangingChars="300"/>
        <w:rPr>
          <w:rFonts w:hint="eastAsia"/>
          <w:b/>
          <w:bCs/>
          <w:color w:val="auto"/>
          <w:lang w:val="en-US" w:eastAsia="zh-CN"/>
        </w:rPr>
      </w:pPr>
      <w:r>
        <w:rPr>
          <w:rFonts w:hint="eastAsia"/>
          <w:b/>
          <w:bCs/>
          <w:color w:val="auto"/>
          <w:lang w:val="en-US" w:eastAsia="zh-CN"/>
        </w:rPr>
        <w:t>5.制度执行有效性</w:t>
      </w:r>
    </w:p>
    <w:p>
      <w:pPr>
        <w:ind w:firstLine="560"/>
        <w:rPr>
          <w:rFonts w:hint="eastAsia"/>
          <w:color w:val="auto"/>
        </w:rPr>
      </w:pPr>
      <w:r>
        <w:rPr>
          <w:rFonts w:hint="eastAsia"/>
          <w:color w:val="auto"/>
        </w:rPr>
        <w:t>①遵守相关法律法规和相关管理规定，严格贯彻执行国家、区、州有关国民经济、社会发展和改革的方针、政策、法律和法规。</w:t>
      </w:r>
    </w:p>
    <w:p>
      <w:pPr>
        <w:ind w:firstLine="560"/>
        <w:rPr>
          <w:color w:val="auto"/>
        </w:rPr>
      </w:pPr>
      <w:r>
        <w:rPr>
          <w:rFonts w:hint="eastAsia"/>
          <w:color w:val="auto"/>
        </w:rPr>
        <w:t>②该项目无支出调整情况；</w:t>
      </w:r>
    </w:p>
    <w:p>
      <w:pPr>
        <w:ind w:firstLine="560"/>
        <w:rPr>
          <w:rFonts w:hint="eastAsia"/>
          <w:color w:val="auto"/>
        </w:rPr>
      </w:pPr>
      <w:r>
        <w:rPr>
          <w:rFonts w:hint="eastAsia"/>
          <w:color w:val="auto"/>
        </w:rPr>
        <w:t>③项目合同书、验收报告、技术鉴定等资料齐全并及时归档，按照新发改规【2020】2号，在项目建成后，按照竣工验收的依据和条件，整理档案资料，提交验收报告。</w:t>
      </w:r>
    </w:p>
    <w:p>
      <w:pPr>
        <w:ind w:firstLine="560"/>
        <w:rPr>
          <w:color w:val="auto"/>
        </w:rPr>
      </w:pPr>
      <w:r>
        <w:rPr>
          <w:rFonts w:hint="eastAsia"/>
          <w:color w:val="auto"/>
        </w:rPr>
        <w:t>④项目实施的人员条件、场地设备、信息支撑等落实到位。</w:t>
      </w:r>
    </w:p>
    <w:p>
      <w:pPr>
        <w:bidi w:val="0"/>
        <w:rPr>
          <w:rFonts w:hint="eastAsia"/>
          <w:color w:val="auto"/>
          <w:lang w:eastAsia="zh-CN"/>
        </w:rPr>
      </w:pPr>
      <w:r>
        <w:rPr>
          <w:rFonts w:hint="eastAsia"/>
          <w:b/>
          <w:bCs/>
          <w:color w:val="auto"/>
          <w:lang w:val="en-US" w:eastAsia="zh-CN"/>
        </w:rPr>
        <w:t>综上，该项指标满分4分，得分4分。</w:t>
      </w:r>
    </w:p>
    <w:p>
      <w:pPr>
        <w:pStyle w:val="4"/>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三</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项目产出情况</w:t>
      </w:r>
    </w:p>
    <w:p>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lang w:val="en-US" w:eastAsia="zh-CN"/>
        </w:rPr>
        <w:t>产出</w:t>
      </w:r>
      <w:r>
        <w:rPr>
          <w:rFonts w:hint="eastAsia" w:ascii="宋体" w:hAnsi="宋体" w:eastAsia="宋体" w:cs="宋体"/>
          <w:color w:val="auto"/>
          <w:kern w:val="2"/>
          <w:highlight w:val="none"/>
          <w:u w:color="000000"/>
          <w:shd w:val="clear" w:color="auto" w:fill="auto"/>
          <w:lang w:val="zh-TW" w:eastAsia="zh-TW"/>
        </w:rPr>
        <w:t>类指标由</w:t>
      </w:r>
      <w:r>
        <w:rPr>
          <w:rFonts w:hint="eastAsia"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cs="宋体"/>
          <w:color w:val="auto"/>
          <w:kern w:val="2"/>
          <w:highlight w:val="none"/>
          <w:u w:color="000000"/>
          <w:shd w:val="clear" w:color="auto" w:fill="auto"/>
          <w:lang w:val="en-US" w:eastAsia="zh-CN"/>
        </w:rPr>
        <w:t>5</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w:t>
      </w:r>
      <w:r>
        <w:rPr>
          <w:rFonts w:hint="eastAsia" w:ascii="宋体" w:hAnsi="宋体" w:eastAsia="宋体" w:cs="宋体"/>
          <w:color w:val="auto"/>
          <w:kern w:val="2"/>
          <w:highlight w:val="none"/>
          <w:u w:color="000000"/>
          <w:shd w:val="clear" w:color="auto" w:fill="auto"/>
          <w:lang w:val="en-US" w:eastAsia="zh-CN"/>
        </w:rPr>
        <w:t>3</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4-3项目产出</w:t>
      </w:r>
      <w:r>
        <w:rPr>
          <w:rFonts w:hint="eastAsia" w:ascii="宋体" w:hAnsi="宋体" w:eastAsia="宋体" w:cs="宋体"/>
          <w:b/>
          <w:bCs/>
          <w:color w:val="auto"/>
          <w:kern w:val="0"/>
          <w:sz w:val="28"/>
          <w:szCs w:val="28"/>
          <w:highlight w:val="none"/>
          <w:shd w:val="clear" w:color="auto" w:fill="auto"/>
          <w:lang w:val="zh-TW" w:eastAsia="zh-TW"/>
        </w:rPr>
        <w:t>指标及分值</w:t>
      </w:r>
      <w:r>
        <w:rPr>
          <w:rFonts w:hint="eastAsia" w:ascii="宋体" w:hAnsi="宋体" w:eastAsia="宋体" w:cs="宋体"/>
          <w:b/>
          <w:bCs/>
          <w:color w:val="auto"/>
          <w:kern w:val="0"/>
          <w:sz w:val="28"/>
          <w:szCs w:val="28"/>
          <w:highlight w:val="none"/>
          <w:shd w:val="clear" w:color="auto" w:fill="auto"/>
          <w:lang w:val="en-US" w:eastAsia="zh-CN"/>
        </w:rPr>
        <w:t>情况</w:t>
      </w:r>
    </w:p>
    <w:tbl>
      <w:tblPr>
        <w:tblStyle w:val="9"/>
        <w:tblW w:w="8197" w:type="dxa"/>
        <w:tblInd w:w="0" w:type="dxa"/>
        <w:shd w:val="clear" w:color="auto" w:fill="auto"/>
        <w:tblLayout w:type="fixed"/>
        <w:tblCellMar>
          <w:top w:w="0" w:type="dxa"/>
          <w:left w:w="0" w:type="dxa"/>
          <w:bottom w:w="0" w:type="dxa"/>
          <w:right w:w="0" w:type="dxa"/>
        </w:tblCellMar>
      </w:tblPr>
      <w:tblGrid>
        <w:gridCol w:w="634"/>
        <w:gridCol w:w="928"/>
        <w:gridCol w:w="2644"/>
        <w:gridCol w:w="1437"/>
        <w:gridCol w:w="558"/>
        <w:gridCol w:w="1365"/>
        <w:gridCol w:w="631"/>
      </w:tblGrid>
      <w:tr>
        <w:tblPrEx>
          <w:shd w:val="clear" w:color="auto" w:fill="auto"/>
          <w:tblCellMar>
            <w:top w:w="0" w:type="dxa"/>
            <w:left w:w="0" w:type="dxa"/>
            <w:bottom w:w="0" w:type="dxa"/>
            <w:right w:w="0" w:type="dxa"/>
          </w:tblCellMar>
        </w:tblPrEx>
        <w:trPr>
          <w:trHeight w:val="75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240" w:lineRule="auto"/>
              <w:ind w:firstLine="0" w:firstLineChars="0"/>
              <w:jc w:val="center"/>
              <w:rPr>
                <w:rFonts w:hint="eastAsia" w:ascii="宋体" w:hAnsi="宋体" w:eastAsia="宋体" w:cs="宋体"/>
                <w:b/>
                <w:bCs/>
                <w:color w:val="auto"/>
                <w:kern w:val="0"/>
                <w:sz w:val="20"/>
                <w:szCs w:val="20"/>
                <w:highlight w:val="none"/>
                <w:shd w:val="clear" w:color="auto" w:fill="auto"/>
                <w:lang w:val="en-US" w:eastAsia="zh-CN"/>
              </w:rPr>
            </w:pPr>
            <w:r>
              <w:rPr>
                <w:rFonts w:hint="eastAsia"/>
                <w:b/>
                <w:bCs/>
                <w:color w:val="auto"/>
                <w:kern w:val="0"/>
                <w:sz w:val="20"/>
                <w:szCs w:val="20"/>
              </w:rPr>
              <w:t>一级指标</w:t>
            </w:r>
          </w:p>
        </w:tc>
        <w:tc>
          <w:tcPr>
            <w:tcW w:w="9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240" w:lineRule="auto"/>
              <w:ind w:firstLine="0" w:firstLineChars="0"/>
              <w:jc w:val="center"/>
              <w:rPr>
                <w:rFonts w:hint="eastAsia" w:ascii="宋体" w:hAnsi="宋体" w:eastAsia="宋体" w:cs="宋体"/>
                <w:b/>
                <w:bCs/>
                <w:color w:val="auto"/>
                <w:kern w:val="0"/>
                <w:sz w:val="20"/>
                <w:szCs w:val="20"/>
                <w:highlight w:val="none"/>
                <w:shd w:val="clear" w:color="auto" w:fill="auto"/>
                <w:lang w:val="en-US" w:eastAsia="zh-CN"/>
              </w:rPr>
            </w:pPr>
            <w:r>
              <w:rPr>
                <w:rFonts w:hint="eastAsia"/>
                <w:b/>
                <w:bCs/>
                <w:color w:val="auto"/>
                <w:kern w:val="0"/>
                <w:sz w:val="20"/>
                <w:szCs w:val="20"/>
              </w:rPr>
              <w:t>二级指标</w:t>
            </w:r>
          </w:p>
        </w:tc>
        <w:tc>
          <w:tcPr>
            <w:tcW w:w="2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240" w:lineRule="auto"/>
              <w:ind w:firstLine="0" w:firstLineChars="0"/>
              <w:jc w:val="center"/>
              <w:rPr>
                <w:rFonts w:hint="eastAsia" w:ascii="宋体" w:hAnsi="宋体" w:eastAsia="宋体" w:cs="宋体"/>
                <w:b/>
                <w:bCs/>
                <w:color w:val="auto"/>
                <w:kern w:val="0"/>
                <w:sz w:val="20"/>
                <w:szCs w:val="20"/>
                <w:highlight w:val="none"/>
                <w:shd w:val="clear" w:color="auto" w:fill="auto"/>
                <w:lang w:val="en-US" w:eastAsia="zh-CN"/>
              </w:rPr>
            </w:pPr>
            <w:r>
              <w:rPr>
                <w:rFonts w:hint="eastAsia"/>
                <w:b/>
                <w:bCs/>
                <w:color w:val="auto"/>
                <w:kern w:val="0"/>
                <w:sz w:val="20"/>
                <w:szCs w:val="20"/>
              </w:rPr>
              <w:t>三级指标</w:t>
            </w:r>
          </w:p>
        </w:tc>
        <w:tc>
          <w:tcPr>
            <w:tcW w:w="1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240" w:lineRule="auto"/>
              <w:ind w:firstLine="0" w:firstLineChars="0"/>
              <w:jc w:val="center"/>
              <w:rPr>
                <w:rFonts w:hint="eastAsia" w:ascii="宋体" w:hAnsi="宋体" w:eastAsia="宋体" w:cs="宋体"/>
                <w:b/>
                <w:bCs/>
                <w:color w:val="auto"/>
                <w:kern w:val="0"/>
                <w:sz w:val="20"/>
                <w:szCs w:val="20"/>
                <w:highlight w:val="none"/>
                <w:shd w:val="clear" w:color="auto" w:fill="auto"/>
                <w:lang w:val="en-US" w:eastAsia="zh-CN"/>
              </w:rPr>
            </w:pPr>
            <w:r>
              <w:rPr>
                <w:rFonts w:hint="eastAsia"/>
                <w:b/>
                <w:bCs/>
                <w:color w:val="auto"/>
                <w:kern w:val="0"/>
                <w:sz w:val="20"/>
                <w:szCs w:val="20"/>
              </w:rPr>
              <w:t>年度指标值</w:t>
            </w:r>
          </w:p>
        </w:tc>
        <w:tc>
          <w:tcPr>
            <w:tcW w:w="5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240" w:lineRule="auto"/>
              <w:ind w:firstLine="0" w:firstLineChars="0"/>
              <w:jc w:val="center"/>
              <w:rPr>
                <w:rFonts w:hint="eastAsia" w:ascii="宋体" w:hAnsi="宋体" w:eastAsia="宋体" w:cs="宋体"/>
                <w:b/>
                <w:bCs/>
                <w:color w:val="auto"/>
                <w:kern w:val="0"/>
                <w:sz w:val="20"/>
                <w:szCs w:val="20"/>
                <w:highlight w:val="none"/>
                <w:shd w:val="clear" w:color="auto" w:fill="auto"/>
                <w:lang w:val="en-US" w:eastAsia="zh-CN"/>
              </w:rPr>
            </w:pPr>
            <w:r>
              <w:rPr>
                <w:rFonts w:hint="eastAsia"/>
                <w:b/>
                <w:bCs/>
                <w:color w:val="auto"/>
                <w:kern w:val="0"/>
                <w:sz w:val="20"/>
                <w:szCs w:val="20"/>
              </w:rPr>
              <w:t>标杆分值</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240" w:lineRule="auto"/>
              <w:ind w:firstLine="0" w:firstLineChars="0"/>
              <w:jc w:val="center"/>
              <w:rPr>
                <w:rFonts w:hint="eastAsia" w:ascii="宋体" w:hAnsi="宋体" w:eastAsia="宋体" w:cs="宋体"/>
                <w:b/>
                <w:bCs/>
                <w:color w:val="auto"/>
                <w:kern w:val="0"/>
                <w:sz w:val="20"/>
                <w:szCs w:val="20"/>
                <w:highlight w:val="none"/>
                <w:shd w:val="clear" w:color="auto" w:fill="auto"/>
                <w:lang w:val="en-US" w:eastAsia="zh-CN"/>
              </w:rPr>
            </w:pPr>
            <w:r>
              <w:rPr>
                <w:rFonts w:hint="eastAsia"/>
                <w:b/>
                <w:bCs/>
                <w:color w:val="auto"/>
                <w:kern w:val="0"/>
                <w:sz w:val="20"/>
                <w:szCs w:val="20"/>
              </w:rPr>
              <w:t>全年实际完成值</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240" w:lineRule="auto"/>
              <w:ind w:firstLine="0" w:firstLineChars="0"/>
              <w:jc w:val="center"/>
              <w:rPr>
                <w:rFonts w:hint="eastAsia" w:ascii="宋体" w:hAnsi="宋体" w:eastAsia="宋体" w:cs="宋体"/>
                <w:b/>
                <w:bCs/>
                <w:color w:val="auto"/>
                <w:kern w:val="0"/>
                <w:sz w:val="20"/>
                <w:szCs w:val="20"/>
                <w:highlight w:val="none"/>
                <w:shd w:val="clear" w:color="auto" w:fill="auto"/>
                <w:lang w:val="en-US" w:eastAsia="zh-CN"/>
              </w:rPr>
            </w:pPr>
            <w:r>
              <w:rPr>
                <w:rFonts w:hint="eastAsia"/>
                <w:b/>
                <w:bCs/>
                <w:color w:val="auto"/>
                <w:kern w:val="0"/>
                <w:sz w:val="20"/>
                <w:szCs w:val="20"/>
              </w:rPr>
              <w:t>指标得分</w:t>
            </w:r>
          </w:p>
        </w:tc>
      </w:tr>
      <w:tr>
        <w:tblPrEx>
          <w:shd w:val="clear" w:color="auto" w:fill="auto"/>
          <w:tblCellMar>
            <w:top w:w="0" w:type="dxa"/>
            <w:left w:w="0" w:type="dxa"/>
            <w:bottom w:w="0" w:type="dxa"/>
            <w:right w:w="0" w:type="dxa"/>
          </w:tblCellMar>
        </w:tblPrEx>
        <w:trPr>
          <w:trHeight w:val="415" w:hRule="atLeast"/>
        </w:trPr>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rFonts w:hint="eastAsia" w:ascii="宋体" w:hAnsi="宋体" w:eastAsia="宋体" w:cs="宋体"/>
                <w:color w:val="auto"/>
                <w:kern w:val="0"/>
                <w:sz w:val="20"/>
                <w:szCs w:val="20"/>
                <w:highlight w:val="none"/>
                <w:shd w:val="clear" w:color="auto" w:fill="auto"/>
                <w:lang w:val="en-US" w:eastAsia="zh-CN"/>
              </w:rPr>
            </w:pPr>
            <w:r>
              <w:rPr>
                <w:rFonts w:hint="eastAsia"/>
                <w:color w:val="auto"/>
                <w:kern w:val="0"/>
                <w:sz w:val="20"/>
                <w:szCs w:val="20"/>
              </w:rPr>
              <w:t>产出</w:t>
            </w:r>
          </w:p>
        </w:tc>
        <w:tc>
          <w:tcPr>
            <w:tcW w:w="928"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rFonts w:hint="eastAsia" w:ascii="宋体" w:hAnsi="宋体" w:eastAsia="宋体" w:cs="宋体"/>
                <w:color w:val="auto"/>
                <w:kern w:val="0"/>
                <w:sz w:val="20"/>
                <w:szCs w:val="20"/>
                <w:highlight w:val="none"/>
                <w:shd w:val="clear" w:color="auto" w:fill="auto"/>
                <w:lang w:val="en-US" w:eastAsia="zh-CN"/>
              </w:rPr>
            </w:pPr>
            <w:r>
              <w:rPr>
                <w:rFonts w:hint="eastAsia"/>
                <w:color w:val="auto"/>
                <w:kern w:val="0"/>
                <w:sz w:val="20"/>
                <w:szCs w:val="20"/>
              </w:rPr>
              <w:t>数量指标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rFonts w:hint="eastAsia" w:ascii="宋体" w:hAnsi="宋体" w:eastAsia="宋体" w:cs="宋体"/>
                <w:color w:val="auto"/>
                <w:kern w:val="0"/>
                <w:sz w:val="20"/>
                <w:szCs w:val="20"/>
                <w:highlight w:val="none"/>
                <w:shd w:val="clear" w:color="auto" w:fill="auto"/>
                <w:lang w:val="en-US" w:eastAsia="zh-CN"/>
              </w:rPr>
            </w:pPr>
            <w:r>
              <w:rPr>
                <w:rFonts w:hint="eastAsia"/>
                <w:color w:val="auto"/>
                <w:kern w:val="0"/>
                <w:sz w:val="20"/>
                <w:szCs w:val="20"/>
              </w:rPr>
              <w:t>形成地方3天储气能力</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rFonts w:hint="eastAsia" w:ascii="宋体" w:hAnsi="宋体" w:eastAsia="宋体" w:cs="宋体"/>
                <w:color w:val="auto"/>
                <w:kern w:val="0"/>
                <w:sz w:val="20"/>
                <w:szCs w:val="20"/>
                <w:highlight w:val="none"/>
                <w:shd w:val="clear" w:color="auto" w:fill="auto"/>
                <w:lang w:val="en-US" w:eastAsia="zh-CN"/>
              </w:rPr>
            </w:pPr>
            <w:r>
              <w:rPr>
                <w:rFonts w:hint="eastAsia"/>
                <w:color w:val="auto"/>
                <w:kern w:val="0"/>
                <w:sz w:val="20"/>
                <w:szCs w:val="20"/>
              </w:rPr>
              <w:t>3万水立方</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rFonts w:hint="default" w:ascii="宋体" w:hAnsi="宋体" w:eastAsia="宋体" w:cs="宋体"/>
                <w:color w:val="auto"/>
                <w:kern w:val="0"/>
                <w:sz w:val="20"/>
                <w:szCs w:val="20"/>
                <w:highlight w:val="none"/>
                <w:shd w:val="clear" w:color="auto" w:fill="auto"/>
                <w:lang w:val="en-US" w:eastAsia="zh-CN"/>
              </w:rPr>
            </w:pPr>
            <w:r>
              <w:rPr>
                <w:rFonts w:hint="eastAsia"/>
                <w:color w:val="auto"/>
                <w:kern w:val="0"/>
                <w:sz w:val="20"/>
                <w:szCs w:val="20"/>
                <w:lang w:val="en-US" w:eastAsia="zh-CN"/>
              </w:rPr>
              <w:t>10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rFonts w:hint="eastAsia" w:ascii="宋体" w:hAnsi="宋体" w:eastAsia="宋体" w:cs="宋体"/>
                <w:color w:val="auto"/>
                <w:kern w:val="0"/>
                <w:sz w:val="20"/>
                <w:szCs w:val="20"/>
                <w:highlight w:val="none"/>
                <w:shd w:val="clear" w:color="auto" w:fill="auto"/>
                <w:lang w:val="en-US" w:eastAsia="zh-CN"/>
              </w:rPr>
            </w:pPr>
            <w:r>
              <w:rPr>
                <w:rFonts w:hint="eastAsia"/>
                <w:color w:val="auto"/>
                <w:kern w:val="0"/>
                <w:sz w:val="20"/>
                <w:szCs w:val="20"/>
              </w:rPr>
              <w:t>3万水立方</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rFonts w:hint="eastAsia" w:ascii="宋体" w:hAnsi="宋体" w:eastAsia="宋体" w:cs="宋体"/>
                <w:color w:val="auto"/>
                <w:kern w:val="0"/>
                <w:sz w:val="20"/>
                <w:szCs w:val="20"/>
                <w:highlight w:val="none"/>
                <w:shd w:val="clear" w:color="auto" w:fill="auto"/>
                <w:lang w:val="en-US" w:eastAsia="zh-CN"/>
              </w:rPr>
            </w:pPr>
            <w:r>
              <w:rPr>
                <w:rFonts w:hint="eastAsia"/>
                <w:color w:val="auto"/>
                <w:kern w:val="0"/>
                <w:sz w:val="20"/>
                <w:szCs w:val="20"/>
              </w:rPr>
              <w:t>10</w:t>
            </w:r>
          </w:p>
        </w:tc>
      </w:tr>
      <w:tr>
        <w:tblPrEx>
          <w:shd w:val="clear" w:color="auto" w:fill="auto"/>
          <w:tblCellMar>
            <w:top w:w="0" w:type="dxa"/>
            <w:left w:w="0" w:type="dxa"/>
            <w:bottom w:w="0" w:type="dxa"/>
            <w:right w:w="0" w:type="dxa"/>
          </w:tblCellMar>
        </w:tblPrEx>
        <w:trPr>
          <w:trHeight w:val="415"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rFonts w:hint="eastAsia" w:ascii="宋体" w:hAnsi="宋体" w:eastAsia="宋体" w:cs="宋体"/>
                <w:color w:val="auto"/>
                <w:kern w:val="0"/>
                <w:sz w:val="20"/>
                <w:szCs w:val="20"/>
                <w:highlight w:val="none"/>
                <w:shd w:val="clear" w:color="auto" w:fill="auto"/>
                <w:lang w:val="en-US" w:eastAsia="zh-CN"/>
              </w:rPr>
            </w:pPr>
          </w:p>
        </w:tc>
        <w:tc>
          <w:tcPr>
            <w:tcW w:w="928" w:type="dxa"/>
            <w:tcBorders>
              <w:left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rFonts w:hint="eastAsia" w:ascii="宋体" w:hAnsi="宋体" w:eastAsia="宋体" w:cs="宋体"/>
                <w:color w:val="auto"/>
                <w:kern w:val="0"/>
                <w:sz w:val="20"/>
                <w:szCs w:val="20"/>
                <w:highlight w:val="none"/>
                <w:shd w:val="clear" w:color="auto" w:fill="auto"/>
                <w:lang w:val="en-US" w:eastAsia="zh-CN"/>
              </w:rPr>
            </w:pPr>
            <w:r>
              <w:rPr>
                <w:rFonts w:hint="eastAsia"/>
                <w:color w:val="auto"/>
                <w:kern w:val="0"/>
                <w:sz w:val="20"/>
                <w:szCs w:val="20"/>
              </w:rPr>
              <w:t>质量指标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rFonts w:hint="eastAsia" w:ascii="宋体" w:hAnsi="宋体" w:eastAsia="宋体" w:cs="宋体"/>
                <w:color w:val="auto"/>
                <w:kern w:val="0"/>
                <w:sz w:val="20"/>
                <w:szCs w:val="20"/>
                <w:highlight w:val="none"/>
                <w:shd w:val="clear" w:color="auto" w:fill="auto"/>
                <w:lang w:val="en-US" w:eastAsia="zh-CN"/>
              </w:rPr>
            </w:pPr>
            <w:r>
              <w:rPr>
                <w:rFonts w:hint="eastAsia"/>
                <w:color w:val="auto"/>
                <w:kern w:val="0"/>
                <w:sz w:val="20"/>
                <w:szCs w:val="20"/>
              </w:rPr>
              <w:t>项目验收合格率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rFonts w:hint="eastAsia" w:ascii="宋体" w:hAnsi="宋体" w:eastAsia="宋体" w:cs="宋体"/>
                <w:color w:val="auto"/>
                <w:kern w:val="0"/>
                <w:sz w:val="20"/>
                <w:szCs w:val="20"/>
                <w:highlight w:val="none"/>
                <w:shd w:val="clear" w:color="auto" w:fill="auto"/>
                <w:lang w:val="en-US" w:eastAsia="zh-CN"/>
              </w:rPr>
            </w:pPr>
            <w:r>
              <w:rPr>
                <w:rFonts w:hint="eastAsia"/>
                <w:color w:val="auto"/>
                <w:kern w:val="0"/>
                <w:sz w:val="20"/>
                <w:szCs w:val="20"/>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rFonts w:hint="default" w:ascii="宋体" w:hAnsi="宋体" w:eastAsia="宋体" w:cs="宋体"/>
                <w:color w:val="auto"/>
                <w:kern w:val="0"/>
                <w:sz w:val="20"/>
                <w:szCs w:val="20"/>
                <w:highlight w:val="none"/>
                <w:shd w:val="clear" w:color="auto" w:fill="auto"/>
                <w:lang w:val="en-US" w:eastAsia="zh-CN"/>
              </w:rPr>
            </w:pPr>
            <w:r>
              <w:rPr>
                <w:rFonts w:hint="eastAsia"/>
                <w:color w:val="auto"/>
                <w:kern w:val="0"/>
                <w:sz w:val="20"/>
                <w:szCs w:val="20"/>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rFonts w:hint="eastAsia" w:ascii="宋体" w:hAnsi="宋体" w:eastAsia="宋体" w:cs="宋体"/>
                <w:color w:val="auto"/>
                <w:kern w:val="0"/>
                <w:sz w:val="20"/>
                <w:szCs w:val="20"/>
                <w:highlight w:val="none"/>
                <w:shd w:val="clear" w:color="auto" w:fill="auto"/>
                <w:lang w:val="en-US" w:eastAsia="zh-CN"/>
              </w:rPr>
            </w:pPr>
            <w:r>
              <w:rPr>
                <w:rFonts w:hint="eastAsia"/>
                <w:color w:val="auto"/>
                <w:kern w:val="0"/>
                <w:sz w:val="20"/>
                <w:szCs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rFonts w:hint="eastAsia" w:ascii="宋体" w:hAnsi="宋体" w:eastAsia="宋体" w:cs="宋体"/>
                <w:color w:val="auto"/>
                <w:kern w:val="0"/>
                <w:sz w:val="20"/>
                <w:szCs w:val="20"/>
                <w:highlight w:val="none"/>
                <w:shd w:val="clear" w:color="auto" w:fill="auto"/>
                <w:lang w:val="en-US" w:eastAsia="zh-CN"/>
              </w:rPr>
            </w:pPr>
            <w:r>
              <w:rPr>
                <w:rFonts w:hint="eastAsia"/>
                <w:color w:val="auto"/>
                <w:kern w:val="0"/>
                <w:sz w:val="20"/>
                <w:szCs w:val="20"/>
              </w:rPr>
              <w:t>5</w:t>
            </w:r>
          </w:p>
        </w:tc>
      </w:tr>
      <w:tr>
        <w:tblPrEx>
          <w:shd w:val="clear" w:color="auto" w:fill="auto"/>
          <w:tblCellMar>
            <w:top w:w="0" w:type="dxa"/>
            <w:left w:w="0" w:type="dxa"/>
            <w:bottom w:w="0" w:type="dxa"/>
            <w:right w:w="0" w:type="dxa"/>
          </w:tblCellMar>
        </w:tblPrEx>
        <w:trPr>
          <w:trHeight w:val="415"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rFonts w:hint="eastAsia" w:ascii="宋体" w:hAnsi="宋体" w:eastAsia="宋体" w:cs="宋体"/>
                <w:color w:val="auto"/>
                <w:kern w:val="0"/>
                <w:sz w:val="20"/>
                <w:szCs w:val="20"/>
                <w:highlight w:val="none"/>
                <w:shd w:val="clear" w:color="auto" w:fill="auto"/>
                <w:lang w:val="en-US" w:eastAsia="zh-CN"/>
              </w:rPr>
            </w:pPr>
          </w:p>
        </w:tc>
        <w:tc>
          <w:tcPr>
            <w:tcW w:w="928" w:type="dxa"/>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rFonts w:hint="eastAsia" w:ascii="宋体" w:hAnsi="宋体" w:eastAsia="宋体" w:cs="宋体"/>
                <w:color w:val="auto"/>
                <w:kern w:val="0"/>
                <w:sz w:val="20"/>
                <w:szCs w:val="20"/>
                <w:highlight w:val="none"/>
                <w:shd w:val="clear" w:color="auto" w:fill="auto"/>
                <w:lang w:val="en-US" w:eastAsia="zh-CN"/>
              </w:rPr>
            </w:pPr>
            <w:r>
              <w:rPr>
                <w:rFonts w:hint="eastAsia"/>
                <w:color w:val="auto"/>
                <w:kern w:val="0"/>
                <w:sz w:val="20"/>
                <w:szCs w:val="20"/>
              </w:rPr>
              <w:t>时效指标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rFonts w:hint="eastAsia" w:ascii="宋体" w:hAnsi="宋体" w:eastAsia="宋体" w:cs="宋体"/>
                <w:color w:val="auto"/>
                <w:kern w:val="0"/>
                <w:sz w:val="20"/>
                <w:szCs w:val="20"/>
                <w:highlight w:val="none"/>
                <w:shd w:val="clear" w:color="auto" w:fill="auto"/>
                <w:lang w:val="en-US" w:eastAsia="zh-CN"/>
              </w:rPr>
            </w:pPr>
            <w:r>
              <w:rPr>
                <w:rFonts w:hint="eastAsia"/>
                <w:color w:val="auto"/>
                <w:kern w:val="0"/>
                <w:sz w:val="20"/>
                <w:szCs w:val="20"/>
              </w:rPr>
              <w:t>资金支付完成时间</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rFonts w:hint="default" w:ascii="宋体" w:hAnsi="宋体" w:eastAsia="宋体" w:cs="宋体"/>
                <w:color w:val="auto"/>
                <w:kern w:val="0"/>
                <w:sz w:val="20"/>
                <w:szCs w:val="20"/>
                <w:highlight w:val="none"/>
                <w:shd w:val="clear" w:color="auto" w:fill="auto"/>
                <w:lang w:val="en-US" w:eastAsia="zh-CN"/>
              </w:rPr>
            </w:pPr>
            <w:r>
              <w:rPr>
                <w:rFonts w:hint="eastAsia"/>
                <w:color w:val="auto"/>
                <w:kern w:val="0"/>
                <w:sz w:val="20"/>
                <w:szCs w:val="20"/>
              </w:rPr>
              <w:t>202</w:t>
            </w:r>
            <w:r>
              <w:rPr>
                <w:rFonts w:hint="eastAsia"/>
                <w:color w:val="auto"/>
                <w:kern w:val="0"/>
                <w:sz w:val="20"/>
                <w:szCs w:val="20"/>
                <w:lang w:val="en-US" w:eastAsia="zh-CN"/>
              </w:rPr>
              <w:t>2年9月</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rFonts w:hint="eastAsia" w:ascii="宋体" w:hAnsi="宋体" w:eastAsia="宋体" w:cs="宋体"/>
                <w:color w:val="auto"/>
                <w:kern w:val="0"/>
                <w:sz w:val="20"/>
                <w:szCs w:val="20"/>
                <w:highlight w:val="none"/>
                <w:shd w:val="clear" w:color="auto" w:fill="auto"/>
                <w:lang w:val="en-US" w:eastAsia="zh-CN"/>
              </w:rPr>
            </w:pPr>
            <w:r>
              <w:rPr>
                <w:rFonts w:hint="eastAsia"/>
                <w:color w:val="auto"/>
                <w:kern w:val="0"/>
                <w:sz w:val="20"/>
                <w:szCs w:val="20"/>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rFonts w:hint="eastAsia" w:ascii="宋体" w:hAnsi="宋体" w:eastAsia="宋体" w:cs="宋体"/>
                <w:color w:val="auto"/>
                <w:kern w:val="0"/>
                <w:sz w:val="20"/>
                <w:szCs w:val="20"/>
                <w:highlight w:val="none"/>
                <w:shd w:val="clear" w:color="auto" w:fill="auto"/>
                <w:lang w:val="en-US" w:eastAsia="zh-CN"/>
              </w:rPr>
            </w:pPr>
            <w:r>
              <w:rPr>
                <w:rFonts w:hint="eastAsia"/>
                <w:color w:val="auto"/>
                <w:kern w:val="0"/>
                <w:sz w:val="20"/>
                <w:szCs w:val="20"/>
              </w:rPr>
              <w:t>202</w:t>
            </w:r>
            <w:r>
              <w:rPr>
                <w:rFonts w:hint="eastAsia"/>
                <w:color w:val="auto"/>
                <w:kern w:val="0"/>
                <w:sz w:val="20"/>
                <w:szCs w:val="20"/>
                <w:lang w:val="en-US" w:eastAsia="zh-CN"/>
              </w:rPr>
              <w:t>2年9月</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rFonts w:hint="eastAsia" w:ascii="宋体" w:hAnsi="宋体" w:eastAsia="宋体" w:cs="宋体"/>
                <w:color w:val="auto"/>
                <w:kern w:val="0"/>
                <w:sz w:val="20"/>
                <w:szCs w:val="20"/>
                <w:highlight w:val="none"/>
                <w:shd w:val="clear" w:color="auto" w:fill="auto"/>
                <w:lang w:val="en-US" w:eastAsia="zh-CN"/>
              </w:rPr>
            </w:pPr>
            <w:r>
              <w:rPr>
                <w:rFonts w:hint="eastAsia"/>
                <w:color w:val="auto"/>
                <w:kern w:val="0"/>
                <w:sz w:val="20"/>
                <w:szCs w:val="20"/>
              </w:rPr>
              <w:t>10</w:t>
            </w:r>
          </w:p>
        </w:tc>
      </w:tr>
      <w:tr>
        <w:tblPrEx>
          <w:shd w:val="clear" w:color="auto" w:fill="auto"/>
          <w:tblCellMar>
            <w:top w:w="0" w:type="dxa"/>
            <w:left w:w="0" w:type="dxa"/>
            <w:bottom w:w="0" w:type="dxa"/>
            <w:right w:w="0" w:type="dxa"/>
          </w:tblCellMar>
        </w:tblPrEx>
        <w:trPr>
          <w:trHeight w:val="39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rFonts w:hint="eastAsia" w:ascii="宋体" w:hAnsi="宋体" w:eastAsia="宋体" w:cs="宋体"/>
                <w:color w:val="auto"/>
                <w:kern w:val="0"/>
                <w:sz w:val="20"/>
                <w:szCs w:val="20"/>
                <w:highlight w:val="none"/>
                <w:shd w:val="clear" w:color="auto" w:fill="auto"/>
                <w:lang w:val="en-US" w:eastAsia="zh-CN"/>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rFonts w:hint="eastAsia" w:ascii="宋体" w:hAnsi="宋体" w:eastAsia="宋体" w:cs="宋体"/>
                <w:color w:val="auto"/>
                <w:kern w:val="0"/>
                <w:sz w:val="20"/>
                <w:szCs w:val="20"/>
                <w:highlight w:val="none"/>
                <w:shd w:val="clear" w:color="auto" w:fill="auto"/>
                <w:lang w:val="en-US" w:eastAsia="zh-CN"/>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rFonts w:hint="eastAsia" w:ascii="宋体" w:hAnsi="宋体" w:eastAsia="宋体" w:cs="宋体"/>
                <w:color w:val="auto"/>
                <w:kern w:val="0"/>
                <w:sz w:val="20"/>
                <w:szCs w:val="20"/>
                <w:highlight w:val="none"/>
                <w:shd w:val="clear" w:color="auto" w:fill="auto"/>
                <w:lang w:val="en-US" w:eastAsia="zh-CN"/>
              </w:rPr>
            </w:pPr>
            <w:r>
              <w:rPr>
                <w:rFonts w:hint="eastAsia"/>
                <w:color w:val="auto"/>
                <w:kern w:val="0"/>
                <w:sz w:val="20"/>
                <w:szCs w:val="20"/>
              </w:rPr>
              <w:t>资金支付及时率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rFonts w:hint="eastAsia" w:ascii="宋体" w:hAnsi="宋体" w:eastAsia="宋体" w:cs="宋体"/>
                <w:color w:val="auto"/>
                <w:kern w:val="0"/>
                <w:sz w:val="20"/>
                <w:szCs w:val="20"/>
                <w:highlight w:val="none"/>
                <w:shd w:val="clear" w:color="auto" w:fill="auto"/>
                <w:lang w:val="en-US" w:eastAsia="zh-CN"/>
              </w:rPr>
            </w:pPr>
            <w:r>
              <w:rPr>
                <w:rFonts w:hint="eastAsia"/>
                <w:color w:val="auto"/>
                <w:kern w:val="0"/>
                <w:sz w:val="20"/>
                <w:szCs w:val="20"/>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rFonts w:hint="eastAsia" w:ascii="宋体" w:hAnsi="宋体" w:eastAsia="宋体" w:cs="宋体"/>
                <w:color w:val="auto"/>
                <w:kern w:val="0"/>
                <w:sz w:val="20"/>
                <w:szCs w:val="20"/>
                <w:highlight w:val="none"/>
                <w:shd w:val="clear" w:color="auto" w:fill="auto"/>
                <w:lang w:val="en-US" w:eastAsia="zh-CN"/>
              </w:rPr>
            </w:pPr>
            <w:r>
              <w:rPr>
                <w:rFonts w:hint="eastAsia"/>
                <w:color w:val="auto"/>
                <w:kern w:val="0"/>
                <w:sz w:val="20"/>
                <w:szCs w:val="20"/>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rFonts w:hint="eastAsia" w:ascii="宋体" w:hAnsi="宋体" w:eastAsia="宋体" w:cs="宋体"/>
                <w:color w:val="auto"/>
                <w:kern w:val="0"/>
                <w:sz w:val="20"/>
                <w:szCs w:val="20"/>
                <w:highlight w:val="none"/>
                <w:shd w:val="clear" w:color="auto" w:fill="auto"/>
                <w:lang w:val="en-US" w:eastAsia="zh-CN"/>
              </w:rPr>
            </w:pPr>
            <w:r>
              <w:rPr>
                <w:rFonts w:hint="eastAsia"/>
                <w:color w:val="auto"/>
                <w:kern w:val="0"/>
                <w:sz w:val="20"/>
                <w:szCs w:val="20"/>
              </w:rPr>
              <w:t>100%</w:t>
            </w: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rFonts w:hint="eastAsia" w:ascii="宋体" w:hAnsi="宋体" w:eastAsia="宋体" w:cs="宋体"/>
                <w:color w:val="auto"/>
                <w:kern w:val="0"/>
                <w:sz w:val="20"/>
                <w:szCs w:val="20"/>
                <w:highlight w:val="none"/>
                <w:shd w:val="clear" w:color="auto" w:fill="auto"/>
                <w:lang w:val="en-US" w:eastAsia="zh-CN"/>
              </w:rPr>
            </w:pPr>
          </w:p>
        </w:tc>
      </w:tr>
      <w:tr>
        <w:tblPrEx>
          <w:shd w:val="clear" w:color="auto" w:fill="auto"/>
          <w:tblCellMar>
            <w:top w:w="0" w:type="dxa"/>
            <w:left w:w="0" w:type="dxa"/>
            <w:bottom w:w="0" w:type="dxa"/>
            <w:right w:w="0" w:type="dxa"/>
          </w:tblCellMar>
        </w:tblPrEx>
        <w:trPr>
          <w:trHeight w:val="41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rFonts w:hint="eastAsia" w:ascii="宋体" w:hAnsi="宋体" w:eastAsia="宋体" w:cs="宋体"/>
                <w:color w:val="auto"/>
                <w:kern w:val="0"/>
                <w:sz w:val="20"/>
                <w:szCs w:val="20"/>
                <w:highlight w:val="none"/>
                <w:shd w:val="clear" w:color="auto" w:fill="auto"/>
                <w:lang w:val="en-US" w:eastAsia="zh-CN"/>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rFonts w:hint="eastAsia" w:ascii="宋体" w:hAnsi="宋体" w:eastAsia="宋体" w:cs="宋体"/>
                <w:color w:val="auto"/>
                <w:kern w:val="0"/>
                <w:sz w:val="20"/>
                <w:szCs w:val="20"/>
                <w:highlight w:val="none"/>
                <w:shd w:val="clear" w:color="auto" w:fill="auto"/>
                <w:lang w:val="en-US" w:eastAsia="zh-CN"/>
              </w:rPr>
            </w:pPr>
            <w:r>
              <w:rPr>
                <w:rFonts w:hint="eastAsia"/>
                <w:color w:val="auto"/>
                <w:kern w:val="0"/>
                <w:sz w:val="20"/>
                <w:szCs w:val="20"/>
              </w:rPr>
              <w:t>成本指标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rFonts w:hint="eastAsia" w:ascii="宋体" w:hAnsi="宋体" w:eastAsia="宋体" w:cs="宋体"/>
                <w:color w:val="auto"/>
                <w:kern w:val="0"/>
                <w:sz w:val="20"/>
                <w:szCs w:val="20"/>
                <w:highlight w:val="none"/>
                <w:shd w:val="clear" w:color="auto" w:fill="auto"/>
                <w:lang w:val="en-US" w:eastAsia="zh-CN"/>
              </w:rPr>
            </w:pPr>
            <w:r>
              <w:rPr>
                <w:rFonts w:hint="eastAsia"/>
                <w:color w:val="auto"/>
                <w:kern w:val="0"/>
                <w:sz w:val="20"/>
                <w:szCs w:val="20"/>
              </w:rPr>
              <w:t>支付项目成本</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rFonts w:hint="eastAsia" w:ascii="宋体" w:hAnsi="宋体" w:eastAsia="宋体" w:cs="宋体"/>
                <w:color w:val="auto"/>
                <w:kern w:val="0"/>
                <w:sz w:val="20"/>
                <w:szCs w:val="20"/>
                <w:highlight w:val="none"/>
                <w:shd w:val="clear" w:color="auto" w:fill="auto"/>
                <w:lang w:val="en-US" w:eastAsia="zh-CN"/>
              </w:rPr>
            </w:pPr>
            <w:r>
              <w:rPr>
                <w:rFonts w:hint="eastAsia"/>
                <w:color w:val="auto"/>
                <w:kern w:val="0"/>
                <w:sz w:val="20"/>
                <w:szCs w:val="20"/>
              </w:rPr>
              <w:t>5000万元</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rFonts w:hint="default" w:ascii="宋体" w:hAnsi="宋体" w:eastAsia="宋体" w:cs="宋体"/>
                <w:color w:val="auto"/>
                <w:kern w:val="0"/>
                <w:sz w:val="20"/>
                <w:szCs w:val="20"/>
                <w:highlight w:val="none"/>
                <w:shd w:val="clear" w:color="auto" w:fill="auto"/>
                <w:lang w:val="en-US" w:eastAsia="zh-CN"/>
              </w:rPr>
            </w:pPr>
            <w:r>
              <w:rPr>
                <w:rFonts w:hint="eastAsia"/>
                <w:color w:val="auto"/>
                <w:kern w:val="0"/>
                <w:sz w:val="20"/>
                <w:szCs w:val="20"/>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rFonts w:hint="eastAsia" w:ascii="宋体" w:hAnsi="宋体" w:eastAsia="宋体" w:cs="宋体"/>
                <w:color w:val="auto"/>
                <w:kern w:val="0"/>
                <w:sz w:val="20"/>
                <w:szCs w:val="20"/>
                <w:highlight w:val="none"/>
                <w:shd w:val="clear" w:color="auto" w:fill="auto"/>
                <w:lang w:val="en-US" w:eastAsia="zh-CN"/>
              </w:rPr>
            </w:pPr>
            <w:r>
              <w:rPr>
                <w:rFonts w:hint="eastAsia"/>
                <w:color w:val="auto"/>
                <w:kern w:val="0"/>
                <w:sz w:val="20"/>
                <w:szCs w:val="20"/>
              </w:rPr>
              <w:t>5000万元</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rFonts w:hint="default" w:ascii="宋体" w:hAnsi="宋体" w:eastAsia="宋体" w:cs="宋体"/>
                <w:color w:val="auto"/>
                <w:kern w:val="0"/>
                <w:sz w:val="20"/>
                <w:szCs w:val="20"/>
                <w:highlight w:val="none"/>
                <w:shd w:val="clear" w:color="auto" w:fill="auto"/>
                <w:lang w:val="en-US" w:eastAsia="zh-CN"/>
              </w:rPr>
            </w:pPr>
            <w:r>
              <w:rPr>
                <w:rFonts w:hint="eastAsia"/>
                <w:color w:val="auto"/>
                <w:kern w:val="0"/>
                <w:sz w:val="20"/>
                <w:szCs w:val="20"/>
                <w:lang w:val="en-US" w:eastAsia="zh-CN"/>
              </w:rPr>
              <w:t>5</w:t>
            </w:r>
          </w:p>
        </w:tc>
      </w:tr>
      <w:tr>
        <w:tblPrEx>
          <w:tblCellMar>
            <w:top w:w="0" w:type="dxa"/>
            <w:left w:w="0" w:type="dxa"/>
            <w:bottom w:w="0" w:type="dxa"/>
            <w:right w:w="0" w:type="dxa"/>
          </w:tblCellMar>
        </w:tblPrEx>
        <w:trPr>
          <w:trHeight w:val="403" w:hRule="atLeast"/>
        </w:trPr>
        <w:tc>
          <w:tcPr>
            <w:tcW w:w="56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rFonts w:hint="eastAsia" w:ascii="宋体" w:hAnsi="宋体" w:eastAsia="宋体" w:cs="宋体"/>
                <w:color w:val="auto"/>
                <w:kern w:val="0"/>
                <w:sz w:val="20"/>
                <w:szCs w:val="20"/>
                <w:highlight w:val="none"/>
                <w:shd w:val="clear" w:color="auto" w:fill="auto"/>
                <w:lang w:val="en-US" w:eastAsia="zh-CN"/>
              </w:rPr>
            </w:pPr>
            <w:r>
              <w:rPr>
                <w:rFonts w:hint="eastAsia"/>
                <w:color w:val="auto"/>
                <w:kern w:val="0"/>
                <w:sz w:val="20"/>
                <w:szCs w:val="20"/>
              </w:rPr>
              <w:t>合计</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rFonts w:hint="eastAsia" w:ascii="宋体" w:hAnsi="宋体" w:eastAsia="宋体" w:cs="宋体"/>
                <w:color w:val="auto"/>
                <w:kern w:val="0"/>
                <w:sz w:val="20"/>
                <w:szCs w:val="20"/>
                <w:highlight w:val="none"/>
                <w:shd w:val="clear" w:color="auto" w:fill="auto"/>
                <w:lang w:val="en-US" w:eastAsia="zh-CN"/>
              </w:rPr>
            </w:pPr>
            <w:r>
              <w:rPr>
                <w:rFonts w:hint="eastAsia"/>
                <w:color w:val="auto"/>
                <w:kern w:val="0"/>
                <w:sz w:val="20"/>
                <w:szCs w:val="20"/>
              </w:rPr>
              <w:t>30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rFonts w:hint="eastAsia" w:ascii="宋体" w:hAnsi="宋体" w:eastAsia="宋体" w:cs="宋体"/>
                <w:color w:val="auto"/>
                <w:kern w:val="0"/>
                <w:sz w:val="20"/>
                <w:szCs w:val="20"/>
                <w:highlight w:val="none"/>
                <w:shd w:val="clear" w:color="auto" w:fill="auto"/>
                <w:lang w:val="en-US" w:eastAsia="zh-CN"/>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rFonts w:hint="eastAsia" w:ascii="宋体" w:hAnsi="宋体" w:eastAsia="宋体" w:cs="宋体"/>
                <w:color w:val="auto"/>
                <w:kern w:val="0"/>
                <w:sz w:val="20"/>
                <w:szCs w:val="20"/>
                <w:highlight w:val="none"/>
                <w:shd w:val="clear" w:color="auto" w:fill="auto"/>
                <w:lang w:val="en-US" w:eastAsia="zh-CN"/>
              </w:rPr>
            </w:pPr>
            <w:r>
              <w:rPr>
                <w:rFonts w:hint="eastAsia"/>
                <w:color w:val="auto"/>
                <w:kern w:val="0"/>
                <w:sz w:val="20"/>
                <w:szCs w:val="20"/>
              </w:rPr>
              <w:t>30</w:t>
            </w:r>
          </w:p>
        </w:tc>
      </w:tr>
    </w:tbl>
    <w:p>
      <w:pPr>
        <w:bidi w:val="0"/>
        <w:rPr>
          <w:rFonts w:hint="eastAsia"/>
          <w:b/>
          <w:bCs/>
          <w:color w:val="auto"/>
          <w:lang w:val="en-US" w:eastAsia="zh-CN"/>
        </w:rPr>
      </w:pPr>
      <w:r>
        <w:rPr>
          <w:rFonts w:hint="eastAsia"/>
          <w:b/>
          <w:bCs/>
          <w:color w:val="auto"/>
          <w:lang w:val="en-US" w:eastAsia="zh-CN"/>
        </w:rPr>
        <w:t>1.项目完成数量</w:t>
      </w:r>
    </w:p>
    <w:p>
      <w:pPr>
        <w:bidi w:val="0"/>
        <w:rPr>
          <w:rFonts w:hint="default"/>
          <w:color w:val="auto"/>
          <w:lang w:val="en-US" w:eastAsia="zh-CN"/>
        </w:rPr>
      </w:pPr>
      <w:r>
        <w:rPr>
          <w:rFonts w:hint="eastAsia"/>
          <w:color w:val="auto"/>
          <w:lang w:eastAsia="zh-CN"/>
        </w:rPr>
        <w:t>“</w:t>
      </w:r>
      <w:r>
        <w:rPr>
          <w:rFonts w:hint="eastAsia"/>
          <w:color w:val="auto"/>
          <w:lang w:val="en-US" w:eastAsia="zh-CN"/>
        </w:rPr>
        <w:t>形成地方3天储气能力”指标，预期指标值为3万水立方，实际完成为3万水立方。实际完成率=（3万水立方/3万水立方）×100%=100%。</w:t>
      </w:r>
    </w:p>
    <w:p>
      <w:pPr>
        <w:bidi w:val="0"/>
        <w:rPr>
          <w:rFonts w:hint="eastAsia"/>
          <w:color w:val="auto"/>
          <w:lang w:eastAsia="zh-CN"/>
        </w:rPr>
      </w:pPr>
      <w:r>
        <w:rPr>
          <w:rFonts w:hint="eastAsia"/>
          <w:b/>
          <w:bCs/>
          <w:color w:val="auto"/>
          <w:lang w:val="en-US" w:eastAsia="zh-CN"/>
        </w:rPr>
        <w:t>综上，该项指标满分10分，得分10分。</w:t>
      </w:r>
    </w:p>
    <w:p>
      <w:pPr>
        <w:bidi w:val="0"/>
        <w:rPr>
          <w:rFonts w:hint="default"/>
          <w:b/>
          <w:bCs/>
          <w:color w:val="auto"/>
          <w:lang w:val="en-US" w:eastAsia="zh-CN"/>
        </w:rPr>
      </w:pPr>
      <w:r>
        <w:rPr>
          <w:rFonts w:hint="eastAsia"/>
          <w:b/>
          <w:bCs/>
          <w:color w:val="auto"/>
          <w:lang w:val="en-US" w:eastAsia="zh-CN"/>
        </w:rPr>
        <w:t>2.项目完成质量</w:t>
      </w:r>
    </w:p>
    <w:p>
      <w:pPr>
        <w:bidi w:val="0"/>
        <w:rPr>
          <w:rFonts w:hint="eastAsia"/>
          <w:color w:val="auto"/>
          <w:lang w:eastAsia="zh-CN"/>
        </w:rPr>
      </w:pPr>
      <w:r>
        <w:rPr>
          <w:rFonts w:hint="eastAsia"/>
          <w:color w:val="auto"/>
          <w:lang w:val="en-US" w:eastAsia="zh-CN"/>
        </w:rPr>
        <w:t>“项目验收合格率”指标，预期指标值为100%，实际完成为100%。</w:t>
      </w:r>
    </w:p>
    <w:p>
      <w:pPr>
        <w:bidi w:val="0"/>
        <w:rPr>
          <w:rFonts w:hint="eastAsia"/>
          <w:color w:val="auto"/>
          <w:lang w:eastAsia="zh-CN"/>
        </w:rPr>
      </w:pPr>
      <w:r>
        <w:rPr>
          <w:rFonts w:hint="eastAsia"/>
          <w:b/>
          <w:bCs/>
          <w:color w:val="auto"/>
          <w:lang w:val="en-US" w:eastAsia="zh-CN"/>
        </w:rPr>
        <w:t>综上，该项指标满分5分，得分5分。</w:t>
      </w:r>
    </w:p>
    <w:p>
      <w:pPr>
        <w:bidi w:val="0"/>
        <w:rPr>
          <w:rFonts w:hint="default"/>
          <w:b/>
          <w:bCs/>
          <w:color w:val="auto"/>
          <w:lang w:val="en-US" w:eastAsia="zh-CN"/>
        </w:rPr>
      </w:pPr>
      <w:r>
        <w:rPr>
          <w:rFonts w:hint="eastAsia"/>
          <w:b/>
          <w:bCs/>
          <w:color w:val="auto"/>
          <w:lang w:val="en-US" w:eastAsia="zh-CN"/>
        </w:rPr>
        <w:t>3.项目完成时效</w:t>
      </w:r>
    </w:p>
    <w:p>
      <w:pPr>
        <w:bidi w:val="0"/>
        <w:rPr>
          <w:rFonts w:hint="eastAsia"/>
          <w:color w:val="auto"/>
          <w:lang w:val="en-US" w:eastAsia="zh-CN"/>
        </w:rPr>
      </w:pPr>
      <w:r>
        <w:rPr>
          <w:rFonts w:hint="eastAsia"/>
          <w:color w:val="auto"/>
          <w:lang w:eastAsia="zh-CN"/>
        </w:rPr>
        <w:t>“</w:t>
      </w:r>
      <w:r>
        <w:rPr>
          <w:rFonts w:hint="eastAsia"/>
          <w:color w:val="auto"/>
          <w:lang w:val="en-US" w:eastAsia="zh-CN"/>
        </w:rPr>
        <w:t>资金支付完成时间</w:t>
      </w:r>
      <w:r>
        <w:rPr>
          <w:rFonts w:hint="eastAsia"/>
          <w:color w:val="auto"/>
          <w:lang w:eastAsia="zh-CN"/>
        </w:rPr>
        <w:t>”</w:t>
      </w:r>
      <w:r>
        <w:rPr>
          <w:rFonts w:hint="eastAsia"/>
          <w:color w:val="auto"/>
          <w:lang w:val="en-US" w:eastAsia="zh-CN"/>
        </w:rPr>
        <w:t>指标，预期指标值为2022年9月，实际完成为2022年9月。</w:t>
      </w:r>
    </w:p>
    <w:p>
      <w:pPr>
        <w:bidi w:val="0"/>
        <w:rPr>
          <w:rFonts w:hint="eastAsia"/>
          <w:color w:val="auto"/>
          <w:lang w:eastAsia="zh-CN"/>
        </w:rPr>
      </w:pPr>
      <w:r>
        <w:rPr>
          <w:rFonts w:hint="eastAsia"/>
          <w:color w:val="auto"/>
          <w:lang w:eastAsia="zh-CN"/>
        </w:rPr>
        <w:t>“</w:t>
      </w:r>
      <w:r>
        <w:rPr>
          <w:rFonts w:hint="eastAsia"/>
          <w:color w:val="auto"/>
          <w:lang w:val="en-US" w:eastAsia="zh-CN"/>
        </w:rPr>
        <w:t>资金支付及时率</w:t>
      </w:r>
      <w:r>
        <w:rPr>
          <w:rFonts w:hint="eastAsia"/>
          <w:color w:val="auto"/>
          <w:lang w:eastAsia="zh-CN"/>
        </w:rPr>
        <w:t>”</w:t>
      </w:r>
      <w:r>
        <w:rPr>
          <w:rFonts w:hint="eastAsia"/>
          <w:color w:val="auto"/>
          <w:lang w:val="en-US" w:eastAsia="zh-CN"/>
        </w:rPr>
        <w:t>指标，预期指标值为100%，实际完成为100%。</w:t>
      </w:r>
    </w:p>
    <w:p>
      <w:pPr>
        <w:bidi w:val="0"/>
        <w:rPr>
          <w:rFonts w:hint="eastAsia"/>
          <w:color w:val="auto"/>
          <w:lang w:eastAsia="zh-CN"/>
        </w:rPr>
      </w:pPr>
      <w:r>
        <w:rPr>
          <w:rFonts w:hint="eastAsia"/>
          <w:b/>
          <w:bCs/>
          <w:color w:val="auto"/>
          <w:lang w:val="en-US" w:eastAsia="zh-CN"/>
        </w:rPr>
        <w:t>综上，该项指标满分10分，得分10分。</w:t>
      </w:r>
    </w:p>
    <w:p>
      <w:pPr>
        <w:bidi w:val="0"/>
        <w:rPr>
          <w:rFonts w:hint="default"/>
          <w:b/>
          <w:bCs/>
          <w:color w:val="auto"/>
          <w:lang w:val="en-US" w:eastAsia="zh-CN"/>
        </w:rPr>
      </w:pPr>
      <w:r>
        <w:rPr>
          <w:rFonts w:hint="eastAsia"/>
          <w:b/>
          <w:bCs/>
          <w:color w:val="auto"/>
          <w:lang w:val="en-US" w:eastAsia="zh-CN"/>
        </w:rPr>
        <w:t>4.项目完成成本</w:t>
      </w:r>
    </w:p>
    <w:p>
      <w:pPr>
        <w:bidi w:val="0"/>
        <w:rPr>
          <w:rFonts w:hint="eastAsia"/>
          <w:color w:val="auto"/>
          <w:lang w:eastAsia="zh-CN"/>
        </w:rPr>
      </w:pPr>
      <w:r>
        <w:rPr>
          <w:rFonts w:hint="eastAsia"/>
          <w:color w:val="auto"/>
          <w:lang w:eastAsia="zh-CN"/>
        </w:rPr>
        <w:t>“</w:t>
      </w:r>
      <w:r>
        <w:rPr>
          <w:rFonts w:hint="eastAsia"/>
          <w:color w:val="auto"/>
          <w:lang w:val="en-US" w:eastAsia="zh-CN"/>
        </w:rPr>
        <w:t>支付项目成本</w:t>
      </w:r>
      <w:r>
        <w:rPr>
          <w:rFonts w:hint="eastAsia"/>
          <w:color w:val="auto"/>
          <w:lang w:eastAsia="zh-CN"/>
        </w:rPr>
        <w:t>”</w:t>
      </w:r>
      <w:r>
        <w:rPr>
          <w:rFonts w:hint="eastAsia"/>
          <w:color w:val="auto"/>
          <w:lang w:val="en-US" w:eastAsia="zh-CN"/>
        </w:rPr>
        <w:t>指标，预期指标值为5000万，实际完成为5000万。实际完成率=（5000万/5000万）×100%=100%。</w:t>
      </w:r>
    </w:p>
    <w:p>
      <w:pPr>
        <w:bidi w:val="0"/>
        <w:rPr>
          <w:rFonts w:hint="eastAsia"/>
          <w:color w:val="auto"/>
          <w:lang w:eastAsia="zh-CN"/>
        </w:rPr>
      </w:pPr>
      <w:r>
        <w:rPr>
          <w:rFonts w:hint="eastAsia"/>
          <w:b/>
          <w:bCs/>
          <w:color w:val="auto"/>
          <w:lang w:val="en-US" w:eastAsia="zh-CN"/>
        </w:rPr>
        <w:t>综上，该项指标满分5分，得分5分。</w:t>
      </w:r>
    </w:p>
    <w:p>
      <w:pPr>
        <w:pStyle w:val="4"/>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四</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项目效益情况</w:t>
      </w:r>
    </w:p>
    <w:p>
      <w:pPr>
        <w:pageBreakBefore w:val="0"/>
        <w:widowControl w:val="0"/>
        <w:kinsoku/>
        <w:wordWrap/>
        <w:overflowPunct/>
        <w:topLinePunct w:val="0"/>
        <w:autoSpaceDE/>
        <w:autoSpaceDN/>
        <w:bidi w:val="0"/>
        <w:adjustRightInd/>
        <w:spacing w:line="360" w:lineRule="auto"/>
        <w:ind w:firstLine="560"/>
        <w:jc w:val="left"/>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lang w:val="en-US" w:eastAsia="zh-CN"/>
        </w:rPr>
        <w:t>产出</w:t>
      </w:r>
      <w:r>
        <w:rPr>
          <w:rFonts w:hint="eastAsia" w:ascii="宋体" w:hAnsi="宋体" w:eastAsia="宋体" w:cs="宋体"/>
          <w:color w:val="auto"/>
          <w:kern w:val="2"/>
          <w:highlight w:val="none"/>
          <w:u w:color="000000"/>
          <w:shd w:val="clear" w:color="auto" w:fill="auto"/>
          <w:lang w:val="zh-TW" w:eastAsia="zh-TW"/>
        </w:rPr>
        <w:t>类指标由</w:t>
      </w:r>
      <w:r>
        <w:rPr>
          <w:rFonts w:hint="eastAsia" w:cs="宋体"/>
          <w:color w:val="auto"/>
          <w:kern w:val="2"/>
          <w:highlight w:val="none"/>
          <w:u w:color="000000"/>
          <w:shd w:val="clear" w:color="auto" w:fill="auto"/>
          <w:lang w:val="en-US"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cs="宋体"/>
          <w:color w:val="auto"/>
          <w:kern w:val="2"/>
          <w:highlight w:val="none"/>
          <w:u w:color="000000"/>
          <w:shd w:val="clear" w:color="auto" w:fill="auto"/>
          <w:lang w:val="en-US"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pPr>
        <w:pageBreakBefore w:val="0"/>
        <w:widowControl w:val="0"/>
        <w:kinsoku/>
        <w:wordWrap/>
        <w:overflowPunct/>
        <w:topLinePunct w:val="0"/>
        <w:autoSpaceDE/>
        <w:autoSpaceDN/>
        <w:bidi w:val="0"/>
        <w:adjustRightInd/>
        <w:spacing w:line="360" w:lineRule="auto"/>
        <w:ind w:firstLine="56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4-4项目效益</w:t>
      </w:r>
      <w:r>
        <w:rPr>
          <w:rFonts w:hint="eastAsia" w:ascii="宋体" w:hAnsi="宋体" w:eastAsia="宋体" w:cs="宋体"/>
          <w:b/>
          <w:bCs/>
          <w:color w:val="auto"/>
          <w:kern w:val="0"/>
          <w:sz w:val="28"/>
          <w:szCs w:val="28"/>
          <w:highlight w:val="none"/>
          <w:shd w:val="clear" w:color="auto" w:fill="auto"/>
          <w:lang w:val="zh-TW" w:eastAsia="zh-TW"/>
        </w:rPr>
        <w:t>指标及分值</w:t>
      </w:r>
      <w:r>
        <w:rPr>
          <w:rFonts w:hint="eastAsia" w:ascii="宋体" w:hAnsi="宋体" w:eastAsia="宋体" w:cs="宋体"/>
          <w:b/>
          <w:bCs/>
          <w:color w:val="auto"/>
          <w:kern w:val="0"/>
          <w:sz w:val="28"/>
          <w:szCs w:val="28"/>
          <w:highlight w:val="none"/>
          <w:shd w:val="clear" w:color="auto" w:fill="auto"/>
          <w:lang w:val="en-US" w:eastAsia="zh-CN"/>
        </w:rPr>
        <w:t>情况</w:t>
      </w:r>
    </w:p>
    <w:tbl>
      <w:tblPr>
        <w:tblStyle w:val="9"/>
        <w:tblW w:w="8372" w:type="dxa"/>
        <w:jc w:val="center"/>
        <w:shd w:val="clear" w:color="auto" w:fill="auto"/>
        <w:tblLayout w:type="fixed"/>
        <w:tblCellMar>
          <w:top w:w="0" w:type="dxa"/>
          <w:left w:w="0" w:type="dxa"/>
          <w:bottom w:w="0" w:type="dxa"/>
          <w:right w:w="0" w:type="dxa"/>
        </w:tblCellMar>
      </w:tblPr>
      <w:tblGrid>
        <w:gridCol w:w="685"/>
        <w:gridCol w:w="1725"/>
        <w:gridCol w:w="2744"/>
        <w:gridCol w:w="870"/>
        <w:gridCol w:w="645"/>
        <w:gridCol w:w="1050"/>
        <w:gridCol w:w="653"/>
      </w:tblGrid>
      <w:tr>
        <w:tblPrEx>
          <w:shd w:val="clear" w:color="auto" w:fill="auto"/>
          <w:tblCellMar>
            <w:top w:w="0" w:type="dxa"/>
            <w:left w:w="0" w:type="dxa"/>
            <w:bottom w:w="0" w:type="dxa"/>
            <w:right w:w="0" w:type="dxa"/>
          </w:tblCellMar>
        </w:tblPrEx>
        <w:trPr>
          <w:trHeight w:val="816" w:hRule="atLeast"/>
          <w:jc w:val="center"/>
        </w:trPr>
        <w:tc>
          <w:tcPr>
            <w:tcW w:w="685"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w:t>
            </w:r>
          </w:p>
        </w:tc>
        <w:tc>
          <w:tcPr>
            <w:tcW w:w="1725"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2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年度指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标值</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标杆</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全年实</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际完成值</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得分</w:t>
            </w:r>
          </w:p>
        </w:tc>
      </w:tr>
      <w:tr>
        <w:tblPrEx>
          <w:tblCellMar>
            <w:top w:w="0" w:type="dxa"/>
            <w:left w:w="0" w:type="dxa"/>
            <w:bottom w:w="0" w:type="dxa"/>
            <w:right w:w="0" w:type="dxa"/>
          </w:tblCellMar>
        </w:tblPrEx>
        <w:trPr>
          <w:trHeight w:val="436" w:hRule="atLeast"/>
          <w:jc w:val="center"/>
        </w:trPr>
        <w:tc>
          <w:tcPr>
            <w:tcW w:w="685" w:type="dxa"/>
            <w:vMerge w:val="restart"/>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效益</w:t>
            </w:r>
          </w:p>
        </w:tc>
        <w:tc>
          <w:tcPr>
            <w:tcW w:w="1725"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经济效益指标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r>
      <w:tr>
        <w:tblPrEx>
          <w:tblCellMar>
            <w:top w:w="0" w:type="dxa"/>
            <w:left w:w="0" w:type="dxa"/>
            <w:bottom w:w="0" w:type="dxa"/>
            <w:right w:w="0" w:type="dxa"/>
          </w:tblCellMar>
        </w:tblPrEx>
        <w:trPr>
          <w:trHeight w:val="436" w:hRule="atLeast"/>
          <w:jc w:val="center"/>
        </w:trPr>
        <w:tc>
          <w:tcPr>
            <w:tcW w:w="685"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社会效益指标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满足民生用气需求</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有效满足民生需求</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r>
      <w:tr>
        <w:tblPrEx>
          <w:tblCellMar>
            <w:top w:w="0" w:type="dxa"/>
            <w:left w:w="0" w:type="dxa"/>
            <w:bottom w:w="0" w:type="dxa"/>
            <w:right w:w="0" w:type="dxa"/>
          </w:tblCellMar>
        </w:tblPrEx>
        <w:trPr>
          <w:trHeight w:val="436" w:hRule="atLeast"/>
          <w:jc w:val="center"/>
        </w:trPr>
        <w:tc>
          <w:tcPr>
            <w:tcW w:w="685"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生态效益指标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r>
      <w:tr>
        <w:tblPrEx>
          <w:tblCellMar>
            <w:top w:w="0" w:type="dxa"/>
            <w:left w:w="0" w:type="dxa"/>
            <w:bottom w:w="0" w:type="dxa"/>
            <w:right w:w="0" w:type="dxa"/>
          </w:tblCellMar>
        </w:tblPrEx>
        <w:trPr>
          <w:trHeight w:val="436" w:hRule="atLeast"/>
          <w:jc w:val="center"/>
        </w:trPr>
        <w:tc>
          <w:tcPr>
            <w:tcW w:w="685"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可持续影响指标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项目持续发挥作用的期限</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20年</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20年</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r>
      <w:tr>
        <w:tblPrEx>
          <w:tblCellMar>
            <w:top w:w="0" w:type="dxa"/>
            <w:left w:w="0" w:type="dxa"/>
            <w:bottom w:w="0" w:type="dxa"/>
            <w:right w:w="0" w:type="dxa"/>
          </w:tblCellMar>
        </w:tblPrEx>
        <w:trPr>
          <w:trHeight w:val="436" w:hRule="atLeast"/>
          <w:jc w:val="center"/>
        </w:trPr>
        <w:tc>
          <w:tcPr>
            <w:tcW w:w="685" w:type="dxa"/>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满意度指标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受益群众满意度</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olor w:val="auto"/>
                <w:kern w:val="0"/>
                <w:sz w:val="20"/>
                <w:szCs w:val="20"/>
              </w:rPr>
              <w:t>≥95%</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olor w:val="auto"/>
                <w:kern w:val="0"/>
                <w:sz w:val="20"/>
                <w:szCs w:val="20"/>
              </w:rPr>
              <w:t>95%</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r>
      <w:tr>
        <w:tblPrEx>
          <w:tblCellMar>
            <w:top w:w="0" w:type="dxa"/>
            <w:left w:w="0" w:type="dxa"/>
            <w:bottom w:w="0" w:type="dxa"/>
            <w:right w:w="0" w:type="dxa"/>
          </w:tblCellMar>
        </w:tblPrEx>
        <w:trPr>
          <w:trHeight w:val="469" w:hRule="atLeast"/>
          <w:jc w:val="center"/>
        </w:trPr>
        <w:tc>
          <w:tcPr>
            <w:tcW w:w="60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r>
    </w:tbl>
    <w:p>
      <w:pPr>
        <w:bidi w:val="0"/>
        <w:rPr>
          <w:rFonts w:hint="default"/>
          <w:b/>
          <w:bCs/>
          <w:color w:val="auto"/>
          <w:lang w:val="en-US" w:eastAsia="zh-CN"/>
        </w:rPr>
      </w:pPr>
      <w:r>
        <w:rPr>
          <w:rFonts w:hint="eastAsia"/>
          <w:b/>
          <w:bCs/>
          <w:color w:val="auto"/>
          <w:lang w:val="en-US" w:eastAsia="zh-CN"/>
        </w:rPr>
        <w:t>1.经济效益指标</w:t>
      </w:r>
    </w:p>
    <w:p>
      <w:pPr>
        <w:bidi w:val="0"/>
        <w:rPr>
          <w:rFonts w:hint="default"/>
          <w:b w:val="0"/>
          <w:bCs w:val="0"/>
          <w:color w:val="auto"/>
          <w:lang w:val="en-US" w:eastAsia="zh-CN"/>
        </w:rPr>
      </w:pPr>
      <w:r>
        <w:rPr>
          <w:rFonts w:hint="eastAsia"/>
          <w:color w:val="auto"/>
          <w:lang w:eastAsia="zh-CN"/>
        </w:rPr>
        <w:t>本项目无此项指标</w:t>
      </w:r>
      <w:r>
        <w:rPr>
          <w:rFonts w:hint="eastAsia"/>
          <w:b w:val="0"/>
          <w:bCs w:val="0"/>
          <w:color w:val="auto"/>
          <w:lang w:val="en-US" w:eastAsia="zh-CN"/>
        </w:rPr>
        <w:t>。</w:t>
      </w:r>
    </w:p>
    <w:p>
      <w:pPr>
        <w:bidi w:val="0"/>
        <w:rPr>
          <w:rFonts w:hint="eastAsia"/>
          <w:b/>
          <w:bCs/>
          <w:color w:val="auto"/>
          <w:lang w:val="en-US" w:eastAsia="zh-CN"/>
        </w:rPr>
      </w:pPr>
      <w:r>
        <w:rPr>
          <w:rFonts w:hint="eastAsia"/>
          <w:b/>
          <w:bCs/>
          <w:color w:val="auto"/>
          <w:lang w:val="en-US" w:eastAsia="zh-CN"/>
        </w:rPr>
        <w:t>2.社会效益指标</w:t>
      </w:r>
    </w:p>
    <w:p>
      <w:pPr>
        <w:bidi w:val="0"/>
        <w:rPr>
          <w:rFonts w:hint="eastAsia"/>
          <w:color w:val="auto"/>
          <w:lang w:val="en-US" w:eastAsia="zh-CN"/>
        </w:rPr>
      </w:pPr>
      <w:r>
        <w:rPr>
          <w:rFonts w:hint="eastAsia"/>
          <w:color w:val="auto"/>
          <w:lang w:eastAsia="zh-CN"/>
        </w:rPr>
        <w:t>“</w:t>
      </w:r>
      <w:r>
        <w:rPr>
          <w:rFonts w:hint="eastAsia"/>
          <w:color w:val="auto"/>
          <w:lang w:val="en-US" w:eastAsia="zh-CN"/>
        </w:rPr>
        <w:t>满足民生用气需求”指标，预期指标值为满足民生用气需求，实际完成为满足民生用气需求。</w:t>
      </w:r>
    </w:p>
    <w:p>
      <w:pPr>
        <w:bidi w:val="0"/>
        <w:rPr>
          <w:rFonts w:hint="default"/>
          <w:color w:val="auto"/>
          <w:lang w:val="en-US" w:eastAsia="zh-CN"/>
        </w:rPr>
      </w:pPr>
      <w:r>
        <w:rPr>
          <w:rFonts w:hint="eastAsia"/>
          <w:color w:val="auto"/>
          <w:lang w:val="en-US" w:eastAsia="zh-CN"/>
        </w:rPr>
        <w:t>通过项目的实施，满足民生用气需求。</w:t>
      </w:r>
    </w:p>
    <w:p>
      <w:pPr>
        <w:bidi w:val="0"/>
        <w:rPr>
          <w:rFonts w:hint="eastAsia"/>
          <w:color w:val="auto"/>
          <w:lang w:val="en-US" w:eastAsia="zh-CN"/>
        </w:rPr>
      </w:pPr>
      <w:r>
        <w:rPr>
          <w:rFonts w:hint="eastAsia"/>
          <w:b/>
          <w:bCs/>
          <w:color w:val="auto"/>
          <w:lang w:val="en-US" w:eastAsia="zh-CN"/>
        </w:rPr>
        <w:t>综上，该项指标满分10分，得分10分。</w:t>
      </w:r>
    </w:p>
    <w:p>
      <w:pPr>
        <w:numPr>
          <w:ilvl w:val="0"/>
          <w:numId w:val="0"/>
        </w:numPr>
        <w:bidi w:val="0"/>
        <w:ind w:firstLine="562" w:firstLineChars="200"/>
        <w:rPr>
          <w:rFonts w:hint="eastAsia"/>
          <w:b/>
          <w:bCs/>
          <w:color w:val="auto"/>
          <w:lang w:val="en-US" w:eastAsia="zh-CN"/>
        </w:rPr>
      </w:pPr>
      <w:r>
        <w:rPr>
          <w:rFonts w:hint="eastAsia"/>
          <w:b/>
          <w:bCs/>
          <w:color w:val="auto"/>
          <w:lang w:val="en-US" w:eastAsia="zh-CN"/>
        </w:rPr>
        <w:t>3.生态效益指标</w:t>
      </w:r>
    </w:p>
    <w:p>
      <w:pPr>
        <w:bidi w:val="0"/>
        <w:rPr>
          <w:rFonts w:hint="default"/>
          <w:color w:val="auto"/>
          <w:lang w:val="en-US" w:eastAsia="zh-CN"/>
        </w:rPr>
      </w:pPr>
      <w:r>
        <w:rPr>
          <w:rFonts w:hint="eastAsia"/>
          <w:color w:val="auto"/>
          <w:lang w:eastAsia="zh-CN"/>
        </w:rPr>
        <w:t>本项目无此项指标</w:t>
      </w:r>
      <w:r>
        <w:rPr>
          <w:rFonts w:hint="eastAsia"/>
          <w:b w:val="0"/>
          <w:bCs w:val="0"/>
          <w:color w:val="auto"/>
          <w:lang w:val="en-US" w:eastAsia="zh-CN"/>
        </w:rPr>
        <w:t>。</w:t>
      </w:r>
    </w:p>
    <w:p>
      <w:pPr>
        <w:numPr>
          <w:ilvl w:val="0"/>
          <w:numId w:val="4"/>
        </w:numPr>
        <w:bidi w:val="0"/>
        <w:rPr>
          <w:rFonts w:hint="eastAsia"/>
          <w:color w:val="auto"/>
          <w:lang w:val="en-US" w:eastAsia="zh-CN"/>
        </w:rPr>
      </w:pPr>
      <w:r>
        <w:rPr>
          <w:rFonts w:hint="eastAsia"/>
          <w:b/>
          <w:bCs/>
          <w:color w:val="auto"/>
          <w:lang w:val="en-US" w:eastAsia="zh-CN"/>
        </w:rPr>
        <w:t>可持续影响指标</w:t>
      </w:r>
    </w:p>
    <w:p>
      <w:pPr>
        <w:bidi w:val="0"/>
        <w:rPr>
          <w:rFonts w:hint="eastAsia"/>
          <w:color w:val="auto"/>
          <w:lang w:val="en-US" w:eastAsia="zh-CN"/>
        </w:rPr>
      </w:pPr>
      <w:r>
        <w:rPr>
          <w:rFonts w:hint="eastAsia"/>
          <w:color w:val="auto"/>
          <w:lang w:val="en-US" w:eastAsia="zh-CN"/>
        </w:rPr>
        <w:t>“项目持续发挥作用的期限”指标，预期指标值为20年，实际完成为20年。</w:t>
      </w:r>
    </w:p>
    <w:p>
      <w:pPr>
        <w:bidi w:val="0"/>
        <w:rPr>
          <w:rFonts w:hint="eastAsia"/>
          <w:color w:val="auto"/>
          <w:lang w:val="en-US" w:eastAsia="zh-CN"/>
        </w:rPr>
      </w:pPr>
      <w:r>
        <w:rPr>
          <w:rFonts w:hint="eastAsia"/>
          <w:b w:val="0"/>
          <w:bCs w:val="0"/>
          <w:color w:val="auto"/>
          <w:lang w:val="en-US" w:eastAsia="zh-CN"/>
        </w:rPr>
        <w:t>通过项目的实施，保障民生用气需求，达到储气效果，长效发挥作用。</w:t>
      </w:r>
    </w:p>
    <w:p>
      <w:pPr>
        <w:bidi w:val="0"/>
        <w:rPr>
          <w:rFonts w:hint="eastAsia"/>
          <w:color w:val="auto"/>
          <w:lang w:val="en-US" w:eastAsia="zh-CN"/>
        </w:rPr>
      </w:pPr>
      <w:r>
        <w:rPr>
          <w:rFonts w:hint="eastAsia"/>
          <w:b/>
          <w:bCs/>
          <w:color w:val="auto"/>
          <w:lang w:val="en-US" w:eastAsia="zh-CN"/>
        </w:rPr>
        <w:t>综上，该项指标满分10分，得分10分。</w:t>
      </w:r>
    </w:p>
    <w:p>
      <w:pPr>
        <w:bidi w:val="0"/>
        <w:rPr>
          <w:rFonts w:hint="eastAsia"/>
          <w:b/>
          <w:bCs/>
          <w:color w:val="auto"/>
          <w:lang w:val="en-US" w:eastAsia="zh-CN"/>
        </w:rPr>
      </w:pPr>
      <w:r>
        <w:rPr>
          <w:rFonts w:hint="eastAsia"/>
          <w:b/>
          <w:bCs/>
          <w:color w:val="auto"/>
          <w:lang w:val="en-US" w:eastAsia="zh-CN"/>
        </w:rPr>
        <w:t>5.满意度指标</w:t>
      </w:r>
    </w:p>
    <w:p>
      <w:pPr>
        <w:bidi w:val="0"/>
        <w:rPr>
          <w:rFonts w:hint="eastAsia"/>
          <w:b/>
          <w:bCs/>
          <w:color w:val="auto"/>
          <w:lang w:val="en-US" w:eastAsia="zh-CN"/>
        </w:rPr>
      </w:pPr>
      <w:r>
        <w:rPr>
          <w:rFonts w:hint="eastAsia"/>
          <w:color w:val="auto"/>
          <w:lang w:eastAsia="zh-CN"/>
        </w:rPr>
        <w:t>“</w:t>
      </w:r>
      <w:r>
        <w:rPr>
          <w:rFonts w:hint="eastAsia"/>
          <w:color w:val="auto"/>
          <w:lang w:val="en-US" w:eastAsia="zh-CN"/>
        </w:rPr>
        <w:t>受益群众满意度”指标，预期指标值为≥95%，实际完成为95%。</w:t>
      </w:r>
    </w:p>
    <w:p>
      <w:pPr>
        <w:bidi w:val="0"/>
        <w:rPr>
          <w:rFonts w:hint="eastAsia"/>
          <w:color w:val="auto"/>
          <w:lang w:val="en-US" w:eastAsia="zh-CN"/>
        </w:rPr>
      </w:pPr>
      <w:r>
        <w:rPr>
          <w:rFonts w:hint="eastAsia"/>
          <w:b/>
          <w:bCs/>
          <w:color w:val="auto"/>
          <w:lang w:val="en-US" w:eastAsia="zh-CN"/>
        </w:rPr>
        <w:t>综上，该项指标满分10分，得分10分。</w:t>
      </w:r>
    </w:p>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r>
        <w:rPr>
          <w:rFonts w:hint="eastAsia" w:ascii="宋体" w:hAnsi="宋体" w:eastAsia="宋体" w:cs="宋体"/>
          <w:b/>
          <w:bCs/>
          <w:color w:val="auto"/>
          <w:highlight w:val="none"/>
          <w:shd w:val="clear" w:color="auto" w:fill="auto"/>
          <w:lang w:val="en-US" w:eastAsia="zh-CN"/>
        </w:rPr>
        <w:t>五、预算执行进度与指标偏差</w:t>
      </w:r>
    </w:p>
    <w:p>
      <w:pPr>
        <w:rPr>
          <w:rFonts w:hint="eastAsia"/>
          <w:lang w:val="en-US" w:eastAsia="zh-CN"/>
        </w:rPr>
      </w:pPr>
      <w:r>
        <w:rPr>
          <w:rFonts w:hint="eastAsia"/>
          <w:lang w:val="en-US" w:eastAsia="zh-CN"/>
        </w:rPr>
        <w:t>该项目预算资金总额为5000万元，全年执行数为5000万元，预算执行率为100%。总体完成率为100%。预算执行率与总体完成率之间的偏差为0%。无偏差。</w:t>
      </w:r>
    </w:p>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highlight w:val="none"/>
          <w:shd w:val="clear" w:color="auto" w:fill="auto"/>
          <w:lang w:eastAsia="zh-CN"/>
        </w:rPr>
        <w:t>六、</w:t>
      </w:r>
      <w:r>
        <w:rPr>
          <w:rFonts w:hint="eastAsia" w:ascii="宋体" w:hAnsi="宋体" w:eastAsia="宋体" w:cs="宋体"/>
          <w:b/>
          <w:bCs/>
          <w:color w:val="auto"/>
          <w:highlight w:val="none"/>
          <w:shd w:val="clear" w:color="auto" w:fill="auto"/>
        </w:rPr>
        <w:t>主要经验及做法、存在的问题及原因分析</w:t>
      </w:r>
    </w:p>
    <w:p>
      <w:pPr>
        <w:numPr>
          <w:ilvl w:val="0"/>
          <w:numId w:val="0"/>
        </w:numPr>
        <w:bidi w:val="0"/>
        <w:ind w:left="560" w:leftChars="0"/>
        <w:rPr>
          <w:rFonts w:hint="eastAsia"/>
          <w:b/>
          <w:bCs/>
          <w:color w:val="auto"/>
          <w:lang w:eastAsia="zh-CN"/>
        </w:rPr>
      </w:pPr>
      <w:bookmarkStart w:id="12" w:name="_Toc1921"/>
      <w:bookmarkStart w:id="13" w:name="_Toc28290"/>
      <w:r>
        <w:rPr>
          <w:rFonts w:hint="eastAsia"/>
          <w:b/>
          <w:bCs/>
          <w:color w:val="auto"/>
          <w:lang w:eastAsia="zh-CN"/>
        </w:rPr>
        <w:t>（</w:t>
      </w:r>
      <w:r>
        <w:rPr>
          <w:rFonts w:hint="eastAsia"/>
          <w:b/>
          <w:bCs/>
          <w:color w:val="auto"/>
          <w:lang w:val="en-US" w:eastAsia="zh-CN"/>
        </w:rPr>
        <w:t>一</w:t>
      </w:r>
      <w:r>
        <w:rPr>
          <w:rFonts w:hint="eastAsia"/>
          <w:b/>
          <w:bCs/>
          <w:color w:val="auto"/>
          <w:lang w:eastAsia="zh-CN"/>
        </w:rPr>
        <w:t>）</w:t>
      </w:r>
      <w:r>
        <w:rPr>
          <w:rFonts w:hint="eastAsia"/>
          <w:b/>
          <w:bCs/>
          <w:color w:val="auto"/>
        </w:rPr>
        <w:t>主要经验及做法</w:t>
      </w:r>
    </w:p>
    <w:p>
      <w:pPr>
        <w:bidi w:val="0"/>
        <w:rPr>
          <w:rFonts w:hint="eastAsia"/>
          <w:color w:val="auto"/>
          <w:lang w:eastAsia="zh-CN"/>
        </w:rPr>
      </w:pPr>
      <w:r>
        <w:rPr>
          <w:rFonts w:hint="eastAsia"/>
          <w:color w:val="auto"/>
        </w:rPr>
        <w:t>南通港吕四港区广汇能源LNG分销转运扩建5#20万立方储罐项目</w:t>
      </w:r>
      <w:r>
        <w:rPr>
          <w:rFonts w:hint="eastAsia"/>
          <w:color w:val="auto"/>
          <w:lang w:eastAsia="zh-CN"/>
        </w:rPr>
        <w:t>20</w:t>
      </w:r>
      <w:r>
        <w:rPr>
          <w:rFonts w:hint="eastAsia"/>
          <w:color w:val="auto"/>
          <w:lang w:val="en-US" w:eastAsia="zh-CN"/>
        </w:rPr>
        <w:t>22</w:t>
      </w:r>
      <w:r>
        <w:rPr>
          <w:rFonts w:hint="eastAsia"/>
          <w:color w:val="auto"/>
          <w:lang w:eastAsia="zh-CN"/>
        </w:rPr>
        <w:t>年预算</w:t>
      </w:r>
      <w:r>
        <w:rPr>
          <w:rFonts w:hint="eastAsia"/>
          <w:color w:val="auto"/>
          <w:lang w:val="en-US" w:eastAsia="zh-CN"/>
        </w:rPr>
        <w:t>数</w:t>
      </w:r>
      <w:r>
        <w:rPr>
          <w:rFonts w:hint="eastAsia"/>
          <w:color w:val="auto"/>
          <w:lang w:eastAsia="zh-CN"/>
        </w:rPr>
        <w:t>为</w:t>
      </w:r>
      <w:r>
        <w:rPr>
          <w:rFonts w:hint="eastAsia"/>
          <w:color w:val="auto"/>
          <w:lang w:val="en-US" w:eastAsia="zh-CN"/>
        </w:rPr>
        <w:t>5000</w:t>
      </w:r>
      <w:r>
        <w:rPr>
          <w:rFonts w:hint="eastAsia"/>
          <w:color w:val="auto"/>
          <w:lang w:eastAsia="zh-CN"/>
        </w:rPr>
        <w:t>万元，</w:t>
      </w:r>
      <w:r>
        <w:rPr>
          <w:rFonts w:hint="eastAsia"/>
          <w:color w:val="auto"/>
          <w:lang w:val="en-US" w:eastAsia="zh-CN"/>
        </w:rPr>
        <w:t>截至2022年12月31日共</w:t>
      </w:r>
      <w:r>
        <w:rPr>
          <w:rFonts w:hint="eastAsia"/>
          <w:color w:val="auto"/>
          <w:lang w:eastAsia="zh-CN"/>
        </w:rPr>
        <w:t>支出</w:t>
      </w:r>
      <w:r>
        <w:rPr>
          <w:rFonts w:hint="eastAsia"/>
          <w:color w:val="auto"/>
          <w:lang w:val="en-US" w:eastAsia="zh-CN"/>
        </w:rPr>
        <w:t>5000</w:t>
      </w:r>
      <w:r>
        <w:rPr>
          <w:rFonts w:hint="eastAsia"/>
          <w:color w:val="auto"/>
          <w:lang w:eastAsia="zh-CN"/>
        </w:rPr>
        <w:t>万元，预算</w:t>
      </w:r>
      <w:r>
        <w:rPr>
          <w:rFonts w:hint="eastAsia"/>
          <w:color w:val="auto"/>
          <w:lang w:val="en-US" w:eastAsia="zh-CN"/>
        </w:rPr>
        <w:t>执行</w:t>
      </w:r>
      <w:r>
        <w:rPr>
          <w:rFonts w:hint="eastAsia"/>
          <w:color w:val="auto"/>
          <w:lang w:eastAsia="zh-CN"/>
        </w:rPr>
        <w:t>率为</w:t>
      </w:r>
      <w:r>
        <w:rPr>
          <w:rFonts w:hint="eastAsia"/>
          <w:color w:val="auto"/>
          <w:lang w:val="en-US" w:eastAsia="zh-CN"/>
        </w:rPr>
        <w:t>100</w:t>
      </w:r>
      <w:r>
        <w:rPr>
          <w:rFonts w:hint="eastAsia"/>
          <w:color w:val="auto"/>
          <w:lang w:eastAsia="zh-CN"/>
        </w:rPr>
        <w:t>%。</w:t>
      </w:r>
    </w:p>
    <w:p>
      <w:pPr>
        <w:bidi w:val="0"/>
        <w:rPr>
          <w:rFonts w:hint="eastAsia"/>
          <w:color w:val="auto"/>
          <w:lang w:eastAsia="zh-CN"/>
        </w:rPr>
      </w:pPr>
      <w:r>
        <w:rPr>
          <w:rFonts w:hint="eastAsia"/>
          <w:color w:val="auto"/>
          <w:lang w:eastAsia="zh-CN"/>
        </w:rPr>
        <w:t>阜康市发改委建立健全了预算管理规章制度，各部门严格按预算编制的原则和要求做好当年预算编制工作，在预算绩效管理工作中，做到合理安排各项资金，重点保障基本支出，按轻重缓急顺序原则，优先安排了阜康市发改委发展中关系民生与稳定的项目，切实优化资源配置，提高了资金使用的效率和效果。</w:t>
      </w:r>
    </w:p>
    <w:bookmarkEnd w:id="12"/>
    <w:bookmarkEnd w:id="13"/>
    <w:p>
      <w:pPr>
        <w:bidi w:val="0"/>
        <w:rPr>
          <w:rFonts w:hint="eastAsia"/>
          <w:b/>
          <w:bCs/>
          <w:color w:val="auto"/>
          <w:lang w:eastAsia="zh-CN"/>
        </w:rPr>
      </w:pPr>
      <w:r>
        <w:rPr>
          <w:rFonts w:hint="eastAsia"/>
          <w:b/>
          <w:bCs/>
          <w:color w:val="auto"/>
          <w:lang w:eastAsia="zh-CN"/>
        </w:rPr>
        <w:t>（</w:t>
      </w:r>
      <w:r>
        <w:rPr>
          <w:rFonts w:hint="eastAsia"/>
          <w:b/>
          <w:bCs/>
          <w:color w:val="auto"/>
          <w:lang w:val="en-US" w:eastAsia="zh-CN"/>
        </w:rPr>
        <w:t>二</w:t>
      </w:r>
      <w:r>
        <w:rPr>
          <w:rFonts w:hint="eastAsia"/>
          <w:b/>
          <w:bCs/>
          <w:color w:val="auto"/>
          <w:lang w:eastAsia="zh-CN"/>
        </w:rPr>
        <w:t>）</w:t>
      </w:r>
      <w:r>
        <w:rPr>
          <w:rFonts w:hint="eastAsia"/>
          <w:b/>
          <w:bCs/>
          <w:color w:val="auto"/>
        </w:rPr>
        <w:t>存在的问题及原因分析</w:t>
      </w:r>
    </w:p>
    <w:p>
      <w:pPr>
        <w:pStyle w:val="3"/>
        <w:spacing w:line="360" w:lineRule="auto"/>
        <w:ind w:firstLine="643"/>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对绩效重要性的认识还不够，绩效工作细化方面都亟待加强。单位内控职责不够细化，预算的绩效设定与实际的支出存在差距，争取在今后工作中准确预算把握支出内容，以达到资金使用的最大效益。</w:t>
      </w:r>
    </w:p>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highlight w:val="none"/>
          <w:shd w:val="clear" w:color="auto" w:fill="auto"/>
          <w:lang w:val="en-US" w:eastAsia="zh-CN"/>
        </w:rPr>
        <w:t>七、</w:t>
      </w:r>
      <w:r>
        <w:rPr>
          <w:rFonts w:hint="eastAsia" w:ascii="宋体" w:hAnsi="宋体" w:eastAsia="宋体" w:cs="宋体"/>
          <w:b/>
          <w:bCs/>
          <w:color w:val="auto"/>
          <w:highlight w:val="none"/>
          <w:shd w:val="clear" w:color="auto" w:fill="auto"/>
        </w:rPr>
        <w:t>有关建议</w:t>
      </w:r>
    </w:p>
    <w:p>
      <w:pPr>
        <w:ind w:firstLine="560"/>
        <w:rPr>
          <w:color w:val="auto"/>
        </w:rPr>
      </w:pPr>
      <w:r>
        <w:rPr>
          <w:rFonts w:hint="eastAsia"/>
          <w:color w:val="auto"/>
        </w:rPr>
        <w:t>加强预算绩效目标编制的培训学习。如：财政部《中央部门项目支出核心绩效目标和指标设臵及取值指引（试行）》（财预〔2021〕101号）、《自治区分行业分领域共性项目绩效指标体系（2021年度）》、2021年9月3日自治区财政厅绩效评价中心下发的《关于2022年度部门预算项目支出绩效目标设置及审核要求的提示通知》，提高绩效目标编制质量，确保绩效目标“够得着、能实现”。重视财政资金预算支出绩效工作。局财务室根据年初财政预算额度，分月计划安排资金使用，每月按预算拨款进度报账，严格审核手续，确保依法依规使用财政资金，确保年度财务收支平衡。</w:t>
      </w:r>
    </w:p>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highlight w:val="none"/>
          <w:shd w:val="clear" w:color="auto" w:fill="auto"/>
          <w:lang w:val="en-US" w:eastAsia="zh-CN"/>
        </w:rPr>
        <w:t>八</w:t>
      </w:r>
      <w:r>
        <w:rPr>
          <w:rFonts w:hint="eastAsia" w:ascii="宋体" w:hAnsi="宋体" w:eastAsia="宋体" w:cs="宋体"/>
          <w:b/>
          <w:bCs/>
          <w:color w:val="auto"/>
          <w:highlight w:val="none"/>
          <w:shd w:val="clear" w:color="auto" w:fill="auto"/>
        </w:rPr>
        <w:t>、其他需要说明的问题</w:t>
      </w:r>
    </w:p>
    <w:p>
      <w:pPr>
        <w:bidi w:val="0"/>
        <w:rPr>
          <w:rFonts w:hint="default" w:ascii="宋体" w:hAnsi="宋体" w:eastAsia="宋体" w:cs="宋体"/>
          <w:color w:val="auto"/>
          <w:lang w:val="en-US" w:eastAsia="zh-CN"/>
        </w:rPr>
      </w:pPr>
      <w:r>
        <w:rPr>
          <w:rFonts w:hint="eastAsia" w:ascii="宋体" w:hAnsi="宋体" w:eastAsia="宋体" w:cs="宋体"/>
          <w:color w:val="auto"/>
          <w:lang w:val="en-US" w:eastAsia="zh-CN"/>
        </w:rPr>
        <w:t>无其他需要说明的问题。</w:t>
      </w:r>
    </w:p>
    <w:p>
      <w:pPr>
        <w:pageBreakBefore w:val="0"/>
        <w:kinsoku/>
        <w:wordWrap/>
        <w:overflowPunct/>
        <w:topLinePunct w:val="0"/>
        <w:autoSpaceDE/>
        <w:autoSpaceDN/>
        <w:bidi w:val="0"/>
        <w:adjustRightInd/>
        <w:spacing w:line="360" w:lineRule="auto"/>
        <w:textAlignment w:val="auto"/>
        <w:rPr>
          <w:rFonts w:hint="eastAsia" w:cs="宋体"/>
          <w:color w:val="auto"/>
          <w:highlight w:val="none"/>
          <w:shd w:val="clear" w:color="auto" w:fill="auto"/>
          <w:lang w:val="en-US" w:eastAsia="zh-CN"/>
        </w:rPr>
      </w:pPr>
    </w:p>
    <w:p>
      <w:pPr>
        <w:ind w:left="0" w:leftChars="0" w:firstLine="0" w:firstLineChars="0"/>
        <w:rPr>
          <w:rFonts w:hint="eastAsia"/>
          <w:color w:val="auto"/>
          <w:lang w:val="en-US" w:eastAsia="zh-CN"/>
        </w:rPr>
      </w:pPr>
      <w:r>
        <w:rPr>
          <w:rFonts w:hint="eastAsia"/>
          <w:color w:val="auto"/>
          <w:lang w:val="en-US" w:eastAsia="zh-CN"/>
        </w:rPr>
        <w:br w:type="page"/>
      </w:r>
    </w:p>
    <w:tbl>
      <w:tblPr>
        <w:tblStyle w:val="9"/>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ind w:firstLine="0" w:firstLineChars="0"/>
              <w:jc w:val="both"/>
              <w:rPr>
                <w:rFonts w:ascii="宋体" w:hAnsi="宋体" w:eastAsia="宋体" w:cs="宋体"/>
                <w:b/>
                <w:bCs/>
                <w:color w:val="auto"/>
                <w:kern w:val="0"/>
                <w:sz w:val="32"/>
                <w:szCs w:val="32"/>
              </w:rPr>
            </w:pPr>
            <w:r>
              <w:rPr>
                <w:rFonts w:hint="eastAsia" w:ascii="宋体" w:hAnsi="宋体" w:eastAsia="宋体" w:cs="宋体"/>
                <w:b/>
                <w:bCs/>
                <w:color w:val="auto"/>
                <w:kern w:val="0"/>
                <w:sz w:val="32"/>
                <w:szCs w:val="32"/>
                <w:lang w:val="en-US" w:eastAsia="zh-CN"/>
              </w:rPr>
              <w:t xml:space="preserve">附件一             </w:t>
            </w:r>
            <w:r>
              <w:rPr>
                <w:rFonts w:hint="eastAsia" w:ascii="宋体" w:hAnsi="宋体" w:eastAsia="宋体" w:cs="宋体"/>
                <w:b/>
                <w:bCs/>
                <w:color w:val="auto"/>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spacing w:line="24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w:t>
            </w:r>
            <w:r>
              <w:rPr>
                <w:rFonts w:hint="eastAsia" w:cs="宋体"/>
                <w:color w:val="auto"/>
                <w:kern w:val="0"/>
                <w:sz w:val="22"/>
                <w:szCs w:val="22"/>
                <w:lang w:val="en-US" w:eastAsia="zh-CN"/>
              </w:rPr>
              <w:t>2022</w:t>
            </w:r>
            <w:r>
              <w:rPr>
                <w:rFonts w:hint="eastAsia" w:ascii="宋体" w:hAnsi="宋体" w:eastAsia="宋体" w:cs="宋体"/>
                <w:color w:val="auto"/>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南通港吕四港区广汇能源LNG分销转运站扩建5#20万立方储罐项目</w:t>
            </w:r>
          </w:p>
        </w:tc>
      </w:tr>
      <w:tr>
        <w:tblPrEx>
          <w:tblCellMar>
            <w:top w:w="0" w:type="dxa"/>
            <w:left w:w="108" w:type="dxa"/>
            <w:bottom w:w="0" w:type="dxa"/>
            <w:right w:w="108" w:type="dxa"/>
          </w:tblCellMar>
        </w:tblPrEx>
        <w:trPr>
          <w:trHeight w:val="59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阜康市发展和改革委员会</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广汇能源综合物流发展有限公司</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项目资金</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rPr>
                <w:rFonts w:ascii="宋体" w:hAnsi="宋体" w:eastAsia="宋体" w:cs="宋体"/>
                <w:color w:val="auto"/>
                <w:kern w:val="0"/>
                <w:sz w:val="18"/>
                <w:szCs w:val="18"/>
              </w:rPr>
            </w:pPr>
            <w:r>
              <w:rPr>
                <w:rFonts w:hint="eastAsia" w:ascii="宋体" w:hAnsi="宋体" w:eastAsia="宋体" w:cs="宋体"/>
                <w:color w:val="auto"/>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5000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5000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5000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cs="宋体"/>
                <w:color w:val="auto"/>
                <w:kern w:val="0"/>
                <w:sz w:val="18"/>
                <w:szCs w:val="18"/>
                <w:lang w:val="en-US" w:eastAsia="zh-CN"/>
              </w:rPr>
              <w:t>5000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cs="宋体"/>
                <w:color w:val="auto"/>
                <w:kern w:val="0"/>
                <w:sz w:val="18"/>
                <w:szCs w:val="18"/>
                <w:lang w:val="en-US" w:eastAsia="zh-CN"/>
              </w:rPr>
              <w:t>5000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cs="宋体"/>
                <w:color w:val="auto"/>
                <w:kern w:val="0"/>
                <w:sz w:val="18"/>
                <w:szCs w:val="18"/>
                <w:lang w:val="en-US" w:eastAsia="zh-CN"/>
              </w:rPr>
              <w:t>5000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实际完成情况</w:t>
            </w:r>
          </w:p>
        </w:tc>
      </w:tr>
      <w:tr>
        <w:tblPrEx>
          <w:tblCellMar>
            <w:top w:w="0" w:type="dxa"/>
            <w:left w:w="108" w:type="dxa"/>
            <w:bottom w:w="0" w:type="dxa"/>
            <w:right w:w="108" w:type="dxa"/>
          </w:tblCellMar>
        </w:tblPrEx>
        <w:trPr>
          <w:trHeight w:val="59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建设一座20万水立方LNG储罐，分三年建成。其中3万水立方为昌吉州应急储气能力。形成4800万立方米地方3天应急储气能力。</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截止2022年12月底，本单位完成现场施工建设进度100%，已支付5000万元，建设一座20万水立方LNG储罐，分三年建成。其中3万水立方为昌吉州应急储气能力。形成4800万立方米地方3天应急储气能力。</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w:t>
            </w:r>
          </w:p>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w:t>
            </w:r>
          </w:p>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left"/>
              <w:rPr>
                <w:rFonts w:ascii="宋体" w:hAnsi="宋体" w:eastAsia="宋体" w:cs="宋体"/>
                <w:color w:val="auto"/>
                <w:kern w:val="0"/>
                <w:sz w:val="18"/>
                <w:szCs w:val="18"/>
              </w:rPr>
            </w:pPr>
            <w:r>
              <w:rPr>
                <w:rFonts w:hint="eastAsia"/>
                <w:color w:val="auto"/>
                <w:kern w:val="0"/>
                <w:sz w:val="18"/>
                <w:szCs w:val="18"/>
              </w:rPr>
              <w:t>形成地方3天储气能力</w:t>
            </w:r>
          </w:p>
        </w:tc>
        <w:tc>
          <w:tcPr>
            <w:tcW w:w="850"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3万水立方</w:t>
            </w:r>
          </w:p>
        </w:tc>
        <w:tc>
          <w:tcPr>
            <w:tcW w:w="851"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3万水立方</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项目验收合格率</w:t>
            </w:r>
          </w:p>
        </w:tc>
        <w:tc>
          <w:tcPr>
            <w:tcW w:w="850"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cs="宋体"/>
                <w:color w:val="auto"/>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资金支付完成时间</w:t>
            </w:r>
          </w:p>
        </w:tc>
        <w:tc>
          <w:tcPr>
            <w:tcW w:w="850"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cs="宋体"/>
                <w:color w:val="auto"/>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cs="宋体"/>
                <w:color w:val="auto"/>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cs="宋体"/>
                <w:color w:val="auto"/>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资金支付及时率</w:t>
            </w:r>
          </w:p>
        </w:tc>
        <w:tc>
          <w:tcPr>
            <w:tcW w:w="850"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cs="宋体"/>
                <w:color w:val="auto"/>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cs="宋体"/>
                <w:color w:val="auto"/>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cs="宋体"/>
                <w:color w:val="auto"/>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cs="宋体"/>
                <w:color w:val="auto"/>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支付项目成本</w:t>
            </w:r>
          </w:p>
        </w:tc>
        <w:tc>
          <w:tcPr>
            <w:tcW w:w="850"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5000万元</w:t>
            </w:r>
            <w:r>
              <w:rPr>
                <w:rFonts w:hint="eastAsia" w:ascii="宋体" w:hAnsi="宋体" w:eastAsia="宋体" w:cs="宋体"/>
                <w:color w:val="auto"/>
                <w:kern w:val="0"/>
                <w:sz w:val="18"/>
                <w:szCs w:val="18"/>
              </w:rPr>
              <w:tab/>
            </w:r>
            <w:r>
              <w:rPr>
                <w:rFonts w:hint="eastAsia" w:ascii="宋体" w:hAnsi="宋体" w:eastAsia="宋体" w:cs="宋体"/>
                <w:color w:val="auto"/>
                <w:kern w:val="0"/>
                <w:sz w:val="18"/>
                <w:szCs w:val="18"/>
              </w:rPr>
              <w:t>5000万元</w:t>
            </w:r>
            <w:r>
              <w:rPr>
                <w:rFonts w:hint="eastAsia" w:ascii="宋体" w:hAnsi="宋体" w:eastAsia="宋体" w:cs="宋体"/>
                <w:color w:val="auto"/>
                <w:kern w:val="0"/>
                <w:sz w:val="18"/>
                <w:szCs w:val="18"/>
              </w:rPr>
              <w:tab/>
            </w:r>
            <w:r>
              <w:rPr>
                <w:rFonts w:hint="eastAsia" w:ascii="宋体" w:hAnsi="宋体" w:eastAsia="宋体" w:cs="宋体"/>
                <w:color w:val="auto"/>
                <w:kern w:val="0"/>
                <w:sz w:val="18"/>
                <w:szCs w:val="18"/>
              </w:rPr>
              <w:t>10分</w:t>
            </w:r>
            <w:r>
              <w:rPr>
                <w:rFonts w:hint="eastAsia" w:ascii="宋体" w:hAnsi="宋体" w:eastAsia="宋体" w:cs="宋体"/>
                <w:color w:val="auto"/>
                <w:kern w:val="0"/>
                <w:sz w:val="18"/>
                <w:szCs w:val="18"/>
              </w:rPr>
              <w:tab/>
            </w:r>
            <w:r>
              <w:rPr>
                <w:rFonts w:hint="eastAsia" w:ascii="宋体" w:hAnsi="宋体" w:eastAsia="宋体" w:cs="宋体"/>
                <w:color w:val="auto"/>
                <w:kern w:val="0"/>
                <w:sz w:val="18"/>
                <w:szCs w:val="18"/>
              </w:rPr>
              <w:t>10分</w:t>
            </w:r>
          </w:p>
        </w:tc>
        <w:tc>
          <w:tcPr>
            <w:tcW w:w="851"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5000万元</w:t>
            </w:r>
            <w:r>
              <w:rPr>
                <w:rFonts w:hint="eastAsia" w:ascii="宋体" w:hAnsi="宋体" w:eastAsia="宋体" w:cs="宋体"/>
                <w:color w:val="auto"/>
                <w:kern w:val="0"/>
                <w:sz w:val="18"/>
                <w:szCs w:val="18"/>
              </w:rPr>
              <w:tab/>
            </w:r>
            <w:r>
              <w:rPr>
                <w:rFonts w:hint="eastAsia" w:ascii="宋体" w:hAnsi="宋体" w:eastAsia="宋体" w:cs="宋体"/>
                <w:color w:val="auto"/>
                <w:kern w:val="0"/>
                <w:sz w:val="18"/>
                <w:szCs w:val="18"/>
              </w:rPr>
              <w:t>5000万元</w:t>
            </w:r>
            <w:r>
              <w:rPr>
                <w:rFonts w:hint="eastAsia" w:ascii="宋体" w:hAnsi="宋体" w:eastAsia="宋体" w:cs="宋体"/>
                <w:color w:val="auto"/>
                <w:kern w:val="0"/>
                <w:sz w:val="18"/>
                <w:szCs w:val="18"/>
              </w:rPr>
              <w:tab/>
            </w:r>
            <w:r>
              <w:rPr>
                <w:rFonts w:hint="eastAsia" w:ascii="宋体" w:hAnsi="宋体" w:eastAsia="宋体" w:cs="宋体"/>
                <w:color w:val="auto"/>
                <w:kern w:val="0"/>
                <w:sz w:val="18"/>
                <w:szCs w:val="18"/>
              </w:rPr>
              <w:t>10分</w:t>
            </w:r>
            <w:r>
              <w:rPr>
                <w:rFonts w:hint="eastAsia" w:ascii="宋体" w:hAnsi="宋体" w:eastAsia="宋体" w:cs="宋体"/>
                <w:color w:val="auto"/>
                <w:kern w:val="0"/>
                <w:sz w:val="18"/>
                <w:szCs w:val="18"/>
              </w:rPr>
              <w:tab/>
            </w:r>
            <w:r>
              <w:rPr>
                <w:rFonts w:hint="eastAsia" w:ascii="宋体" w:hAnsi="宋体" w:eastAsia="宋体" w:cs="宋体"/>
                <w:color w:val="auto"/>
                <w:kern w:val="0"/>
                <w:sz w:val="18"/>
                <w:szCs w:val="18"/>
              </w:rPr>
              <w:t>10分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经济效益</w:t>
            </w:r>
          </w:p>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left"/>
              <w:rPr>
                <w:rFonts w:hint="eastAsia" w:ascii="宋体" w:hAnsi="宋体" w:eastAsia="宋体" w:cs="宋体"/>
                <w:color w:val="auto"/>
                <w:kern w:val="0"/>
                <w:sz w:val="18"/>
                <w:szCs w:val="18"/>
                <w:lang w:val="en-US" w:eastAsia="zh-CN"/>
              </w:rPr>
            </w:pPr>
            <w:r>
              <w:rPr>
                <w:rFonts w:hint="eastAsia" w:cs="宋体"/>
                <w:color w:val="auto"/>
                <w:kern w:val="0"/>
                <w:sz w:val="18"/>
                <w:szCs w:val="18"/>
                <w:lang w:val="en-US" w:eastAsia="zh-CN"/>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宋体" w:hAnsi="宋体" w:eastAsia="宋体" w:cs="宋体"/>
                <w:color w:val="auto"/>
                <w:kern w:val="0"/>
                <w:sz w:val="18"/>
                <w:szCs w:val="18"/>
                <w:lang w:val="en-US" w:eastAsia="zh-CN"/>
              </w:rPr>
            </w:pPr>
            <w:r>
              <w:rPr>
                <w:rFonts w:hint="eastAsia" w:cs="宋体"/>
                <w:color w:val="auto"/>
                <w:kern w:val="0"/>
                <w:sz w:val="18"/>
                <w:szCs w:val="18"/>
                <w:lang w:val="en-US" w:eastAsia="zh-CN"/>
              </w:rPr>
              <w:t>/</w:t>
            </w:r>
          </w:p>
        </w:tc>
        <w:tc>
          <w:tcPr>
            <w:tcW w:w="851"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宋体" w:hAnsi="宋体" w:eastAsia="宋体" w:cs="宋体"/>
                <w:color w:val="auto"/>
                <w:kern w:val="0"/>
                <w:sz w:val="18"/>
                <w:szCs w:val="18"/>
                <w:lang w:val="en-US" w:eastAsia="zh-CN"/>
              </w:rPr>
            </w:pPr>
            <w:r>
              <w:rPr>
                <w:rFonts w:hint="eastAsia" w:cs="宋体"/>
                <w:color w:val="auto"/>
                <w:kern w:val="0"/>
                <w:sz w:val="18"/>
                <w:szCs w:val="18"/>
                <w:lang w:val="en-US" w:eastAsia="zh-CN"/>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宋体" w:hAnsi="宋体" w:eastAsia="宋体" w:cs="宋体"/>
                <w:color w:val="auto"/>
                <w:kern w:val="0"/>
                <w:sz w:val="18"/>
                <w:szCs w:val="18"/>
                <w:lang w:val="en-US" w:eastAsia="zh-CN"/>
              </w:rPr>
            </w:pPr>
            <w:r>
              <w:rPr>
                <w:rFonts w:hint="eastAsia" w:cs="宋体"/>
                <w:color w:val="auto"/>
                <w:kern w:val="0"/>
                <w:sz w:val="18"/>
                <w:szCs w:val="18"/>
                <w:lang w:val="en-US" w:eastAsia="zh-CN"/>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宋体" w:hAnsi="宋体" w:eastAsia="宋体" w:cs="宋体"/>
                <w:color w:val="auto"/>
                <w:kern w:val="0"/>
                <w:sz w:val="18"/>
                <w:szCs w:val="18"/>
                <w:lang w:val="en-US" w:eastAsia="zh-CN"/>
              </w:rPr>
            </w:pPr>
            <w:r>
              <w:rPr>
                <w:rFonts w:hint="eastAsia" w:cs="宋体"/>
                <w:color w:val="auto"/>
                <w:kern w:val="0"/>
                <w:sz w:val="18"/>
                <w:szCs w:val="18"/>
                <w:lang w:val="en-US" w:eastAsia="zh-CN"/>
              </w:rPr>
              <w:t>/</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w:t>
            </w:r>
          </w:p>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满足民生用气需求</w:t>
            </w:r>
          </w:p>
        </w:tc>
        <w:tc>
          <w:tcPr>
            <w:tcW w:w="850"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有效满足民生需求</w:t>
            </w:r>
          </w:p>
        </w:tc>
        <w:tc>
          <w:tcPr>
            <w:tcW w:w="851"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cs="宋体"/>
                <w:color w:val="auto"/>
                <w:kern w:val="0"/>
                <w:sz w:val="18"/>
                <w:szCs w:val="18"/>
                <w:lang w:val="en-US" w:eastAsia="zh-CN"/>
              </w:rPr>
              <w:t>100%</w:t>
            </w:r>
            <w:r>
              <w:rPr>
                <w:rFonts w:hint="eastAsia" w:ascii="宋体" w:hAnsi="宋体" w:eastAsia="宋体" w:cs="宋体"/>
                <w:color w:val="auto"/>
                <w:kern w:val="0"/>
                <w:sz w:val="18"/>
                <w:szCs w:val="18"/>
              </w:rPr>
              <w:t>足民生需求</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生态效益</w:t>
            </w:r>
          </w:p>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left"/>
              <w:rPr>
                <w:rFonts w:hint="eastAsia" w:ascii="宋体" w:hAnsi="宋体" w:eastAsia="宋体" w:cs="宋体"/>
                <w:color w:val="auto"/>
                <w:kern w:val="0"/>
                <w:sz w:val="18"/>
                <w:szCs w:val="18"/>
                <w:lang w:val="en-US" w:eastAsia="zh-CN"/>
              </w:rPr>
            </w:pPr>
            <w:r>
              <w:rPr>
                <w:rFonts w:hint="eastAsia" w:cs="宋体"/>
                <w:color w:val="auto"/>
                <w:kern w:val="0"/>
                <w:sz w:val="18"/>
                <w:szCs w:val="18"/>
                <w:lang w:val="en-US" w:eastAsia="zh-CN"/>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宋体" w:hAnsi="宋体" w:eastAsia="宋体" w:cs="宋体"/>
                <w:color w:val="auto"/>
                <w:kern w:val="0"/>
                <w:sz w:val="18"/>
                <w:szCs w:val="18"/>
                <w:lang w:val="en-US" w:eastAsia="zh-CN"/>
              </w:rPr>
            </w:pPr>
            <w:r>
              <w:rPr>
                <w:rFonts w:hint="eastAsia" w:cs="宋体"/>
                <w:color w:val="auto"/>
                <w:kern w:val="0"/>
                <w:sz w:val="18"/>
                <w:szCs w:val="18"/>
                <w:lang w:val="en-US" w:eastAsia="zh-CN"/>
              </w:rPr>
              <w:t>/</w:t>
            </w:r>
          </w:p>
        </w:tc>
        <w:tc>
          <w:tcPr>
            <w:tcW w:w="851"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宋体" w:hAnsi="宋体" w:eastAsia="宋体" w:cs="宋体"/>
                <w:color w:val="auto"/>
                <w:kern w:val="0"/>
                <w:sz w:val="18"/>
                <w:szCs w:val="18"/>
                <w:lang w:val="en-US" w:eastAsia="zh-CN"/>
              </w:rPr>
            </w:pPr>
            <w:r>
              <w:rPr>
                <w:rFonts w:hint="eastAsia" w:cs="宋体"/>
                <w:color w:val="auto"/>
                <w:kern w:val="0"/>
                <w:sz w:val="18"/>
                <w:szCs w:val="18"/>
                <w:lang w:val="en-US" w:eastAsia="zh-CN"/>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left"/>
              <w:rPr>
                <w:rFonts w:hint="eastAsia" w:ascii="宋体" w:hAnsi="宋体" w:eastAsia="宋体" w:cs="宋体"/>
                <w:color w:val="auto"/>
                <w:kern w:val="0"/>
                <w:sz w:val="18"/>
                <w:szCs w:val="18"/>
                <w:lang w:val="en-US" w:eastAsia="zh-CN"/>
              </w:rPr>
            </w:pPr>
            <w:r>
              <w:rPr>
                <w:rFonts w:hint="eastAsia" w:cs="宋体"/>
                <w:color w:val="auto"/>
                <w:kern w:val="0"/>
                <w:sz w:val="18"/>
                <w:szCs w:val="18"/>
                <w:lang w:val="en-US" w:eastAsia="zh-CN"/>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宋体" w:hAnsi="宋体" w:eastAsia="宋体" w:cs="宋体"/>
                <w:color w:val="auto"/>
                <w:kern w:val="0"/>
                <w:sz w:val="18"/>
                <w:szCs w:val="18"/>
                <w:lang w:val="en-US" w:eastAsia="zh-CN"/>
              </w:rPr>
            </w:pPr>
            <w:r>
              <w:rPr>
                <w:rFonts w:hint="eastAsia" w:cs="宋体"/>
                <w:color w:val="auto"/>
                <w:kern w:val="0"/>
                <w:sz w:val="18"/>
                <w:szCs w:val="18"/>
                <w:lang w:val="en-US" w:eastAsia="zh-CN"/>
              </w:rPr>
              <w:t>/</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项目持续发挥作用的期限</w:t>
            </w:r>
          </w:p>
        </w:tc>
        <w:tc>
          <w:tcPr>
            <w:tcW w:w="850"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20年</w:t>
            </w:r>
          </w:p>
        </w:tc>
        <w:tc>
          <w:tcPr>
            <w:tcW w:w="851"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20年</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cs="宋体"/>
                <w:color w:val="auto"/>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cs="宋体"/>
                <w:color w:val="auto"/>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980" w:type="dxa"/>
            <w:tcBorders>
              <w:top w:val="nil"/>
              <w:left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满意度</w:t>
            </w:r>
          </w:p>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受益群众满意度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≥95%</w:t>
            </w:r>
          </w:p>
        </w:tc>
        <w:tc>
          <w:tcPr>
            <w:tcW w:w="851"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auto"/>
                <w:kern w:val="0"/>
                <w:sz w:val="18"/>
                <w:szCs w:val="18"/>
              </w:rPr>
            </w:pPr>
          </w:p>
        </w:tc>
      </w:tr>
    </w:tbl>
    <w:p>
      <w:pPr>
        <w:rPr>
          <w:rFonts w:hint="eastAsia"/>
          <w:color w:val="auto"/>
          <w:lang w:val="en-US" w:eastAsia="zh-CN"/>
        </w:rPr>
        <w:sectPr>
          <w:footerReference r:id="rId5" w:type="default"/>
          <w:pgSz w:w="11906" w:h="16838"/>
          <w:pgMar w:top="1440" w:right="1800" w:bottom="1440" w:left="1800" w:header="737" w:footer="851" w:gutter="0"/>
          <w:pgNumType w:fmt="decimal" w:start="1"/>
          <w:cols w:space="720" w:num="1"/>
          <w:docGrid w:type="lines" w:linePitch="408" w:charSpace="0"/>
        </w:sectPr>
      </w:pPr>
    </w:p>
    <w:p>
      <w:pPr>
        <w:keepNext/>
        <w:keepLines/>
        <w:widowControl w:val="0"/>
        <w:spacing w:before="0" w:beforeLines="0" w:beforeAutospacing="0" w:after="0" w:afterLines="0" w:afterAutospacing="0" w:line="240" w:lineRule="auto"/>
        <w:jc w:val="left"/>
        <w:outlineLvl w:val="1"/>
        <w:rPr>
          <w:rFonts w:hint="eastAsia" w:ascii="Arial" w:hAnsi="Arial" w:eastAsia="宋体" w:cs="Times New Roman"/>
          <w:b/>
          <w:bCs/>
          <w:color w:val="auto"/>
          <w:kern w:val="2"/>
          <w:sz w:val="32"/>
          <w:szCs w:val="24"/>
          <w:lang w:val="en-US" w:eastAsia="zh-CN" w:bidi="ar-SA"/>
        </w:rPr>
      </w:pPr>
      <w:r>
        <w:rPr>
          <w:rFonts w:hint="eastAsia" w:cs="宋体"/>
          <w:b/>
          <w:bCs/>
          <w:color w:val="auto"/>
          <w:kern w:val="2"/>
          <w:sz w:val="36"/>
          <w:szCs w:val="28"/>
          <w:lang w:val="en-US" w:eastAsia="zh-CN" w:bidi="ar-SA"/>
        </w:rPr>
        <w:t xml:space="preserve">附件二              </w:t>
      </w:r>
      <w:r>
        <w:rPr>
          <w:rFonts w:hint="eastAsia" w:ascii="宋体" w:hAnsi="宋体" w:eastAsia="宋体" w:cs="宋体"/>
          <w:b/>
          <w:bCs/>
          <w:color w:val="auto"/>
          <w:kern w:val="2"/>
          <w:sz w:val="36"/>
          <w:szCs w:val="28"/>
          <w:lang w:val="en-US" w:eastAsia="zh-CN" w:bidi="ar-SA"/>
        </w:rPr>
        <w:t>项目支出绩效评价指标体系打分表</w:t>
      </w:r>
    </w:p>
    <w:tbl>
      <w:tblPr>
        <w:tblStyle w:val="9"/>
        <w:tblW w:w="1392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61"/>
        <w:gridCol w:w="727"/>
        <w:gridCol w:w="820"/>
        <w:gridCol w:w="2141"/>
        <w:gridCol w:w="7821"/>
        <w:gridCol w:w="785"/>
        <w:gridCol w:w="7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861" w:type="dxa"/>
            <w:shd w:val="clear" w:color="auto" w:fill="FFFFFF"/>
            <w:noWrap w:val="0"/>
            <w:vAlign w:val="center"/>
          </w:tcPr>
          <w:p>
            <w:pPr>
              <w:widowControl/>
              <w:spacing w:line="0" w:lineRule="atLeast"/>
              <w:ind w:firstLine="0" w:firstLineChars="0"/>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一级指标</w:t>
            </w:r>
          </w:p>
        </w:tc>
        <w:tc>
          <w:tcPr>
            <w:tcW w:w="727" w:type="dxa"/>
            <w:shd w:val="clear" w:color="auto" w:fill="FFFFFF"/>
            <w:noWrap w:val="0"/>
            <w:vAlign w:val="center"/>
          </w:tcPr>
          <w:p>
            <w:pPr>
              <w:widowControl/>
              <w:spacing w:line="0" w:lineRule="atLeast"/>
              <w:ind w:firstLine="0" w:firstLineChars="0"/>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二级指标</w:t>
            </w:r>
          </w:p>
        </w:tc>
        <w:tc>
          <w:tcPr>
            <w:tcW w:w="820" w:type="dxa"/>
            <w:shd w:val="clear" w:color="auto" w:fill="FFFFFF"/>
            <w:noWrap w:val="0"/>
            <w:vAlign w:val="center"/>
          </w:tcPr>
          <w:p>
            <w:pPr>
              <w:widowControl/>
              <w:spacing w:line="0" w:lineRule="atLeast"/>
              <w:ind w:firstLine="0" w:firstLineChars="0"/>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三级指标</w:t>
            </w:r>
          </w:p>
        </w:tc>
        <w:tc>
          <w:tcPr>
            <w:tcW w:w="2141" w:type="dxa"/>
            <w:shd w:val="clear" w:color="auto" w:fill="FFFFFF"/>
            <w:noWrap w:val="0"/>
            <w:vAlign w:val="center"/>
          </w:tcPr>
          <w:p>
            <w:pPr>
              <w:widowControl/>
              <w:spacing w:line="0" w:lineRule="atLeast"/>
              <w:ind w:firstLine="0" w:firstLineChars="0"/>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指标解释</w:t>
            </w:r>
          </w:p>
        </w:tc>
        <w:tc>
          <w:tcPr>
            <w:tcW w:w="7821" w:type="dxa"/>
            <w:shd w:val="clear" w:color="auto" w:fill="FFFFFF"/>
            <w:noWrap w:val="0"/>
            <w:vAlign w:val="center"/>
          </w:tcPr>
          <w:p>
            <w:pPr>
              <w:widowControl/>
              <w:spacing w:line="0" w:lineRule="atLeast"/>
              <w:ind w:firstLine="0" w:firstLineChars="0"/>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指标说明</w:t>
            </w:r>
          </w:p>
        </w:tc>
        <w:tc>
          <w:tcPr>
            <w:tcW w:w="785" w:type="dxa"/>
            <w:shd w:val="clear" w:color="auto" w:fill="FFFFFF"/>
            <w:noWrap w:val="0"/>
            <w:vAlign w:val="center"/>
          </w:tcPr>
          <w:p>
            <w:pPr>
              <w:widowControl/>
              <w:spacing w:line="0" w:lineRule="atLeast"/>
              <w:ind w:firstLine="0" w:firstLineChars="0"/>
              <w:jc w:val="center"/>
              <w:rPr>
                <w:rFonts w:hint="eastAsia" w:ascii="宋体" w:hAnsi="宋体" w:eastAsia="宋体" w:cs="宋体"/>
                <w:b/>
                <w:bCs/>
                <w:color w:val="auto"/>
                <w:kern w:val="0"/>
                <w:sz w:val="22"/>
                <w:szCs w:val="22"/>
                <w:lang w:val="en-US" w:eastAsia="zh-CN"/>
              </w:rPr>
            </w:pPr>
            <w:r>
              <w:rPr>
                <w:rFonts w:hint="eastAsia" w:ascii="宋体" w:hAnsi="宋体" w:eastAsia="宋体" w:cs="宋体"/>
                <w:b/>
                <w:bCs/>
                <w:color w:val="auto"/>
                <w:kern w:val="0"/>
                <w:sz w:val="22"/>
                <w:szCs w:val="22"/>
                <w:lang w:val="en-US" w:eastAsia="zh-CN"/>
              </w:rPr>
              <w:t>分值</w:t>
            </w:r>
          </w:p>
        </w:tc>
        <w:tc>
          <w:tcPr>
            <w:tcW w:w="769" w:type="dxa"/>
            <w:shd w:val="clear" w:color="auto" w:fill="FFFFFF"/>
            <w:noWrap w:val="0"/>
            <w:vAlign w:val="center"/>
          </w:tcPr>
          <w:p>
            <w:pPr>
              <w:widowControl/>
              <w:spacing w:line="0" w:lineRule="atLeast"/>
              <w:ind w:firstLine="0" w:firstLineChars="0"/>
              <w:jc w:val="center"/>
              <w:rPr>
                <w:rFonts w:hint="eastAsia" w:ascii="宋体" w:hAnsi="宋体" w:eastAsia="宋体" w:cs="宋体"/>
                <w:b/>
                <w:bCs/>
                <w:color w:val="auto"/>
                <w:kern w:val="0"/>
                <w:sz w:val="22"/>
                <w:szCs w:val="22"/>
                <w:lang w:val="en-US" w:eastAsia="zh-CN"/>
              </w:rPr>
            </w:pPr>
            <w:r>
              <w:rPr>
                <w:rFonts w:hint="eastAsia" w:ascii="宋体" w:hAnsi="宋体" w:eastAsia="宋体" w:cs="宋体"/>
                <w:b/>
                <w:bCs/>
                <w:color w:val="auto"/>
                <w:kern w:val="0"/>
                <w:sz w:val="22"/>
                <w:szCs w:val="22"/>
                <w:lang w:val="en-US" w:eastAsia="zh-CN"/>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861" w:type="dxa"/>
            <w:vMerge w:val="restart"/>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决策　</w:t>
            </w:r>
          </w:p>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p>
            <w:pPr>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727" w:type="dxa"/>
            <w:vMerge w:val="restart"/>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项目立项　</w:t>
            </w:r>
          </w:p>
        </w:tc>
        <w:tc>
          <w:tcPr>
            <w:tcW w:w="820" w:type="dxa"/>
            <w:shd w:val="clear" w:color="auto" w:fill="FFFFFF"/>
            <w:noWrap w:val="0"/>
            <w:vAlign w:val="center"/>
          </w:tcPr>
          <w:p>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立项依据</w:t>
            </w:r>
          </w:p>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充分性</w:t>
            </w:r>
          </w:p>
        </w:tc>
        <w:tc>
          <w:tcPr>
            <w:tcW w:w="2141" w:type="dxa"/>
            <w:shd w:val="clear" w:color="auto"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项目立项是否符合法律法规、相关政策、发展规划以及部门职责，用以反映和考核项目立项依据情况。</w:t>
            </w:r>
          </w:p>
        </w:tc>
        <w:tc>
          <w:tcPr>
            <w:tcW w:w="7821" w:type="dxa"/>
            <w:shd w:val="clear" w:color="auto" w:fill="FFFFFF"/>
            <w:noWrap w:val="0"/>
            <w:vAlign w:val="center"/>
          </w:tcPr>
          <w:p>
            <w:pPr>
              <w:widowControl/>
              <w:spacing w:line="0" w:lineRule="atLeast"/>
              <w:ind w:firstLine="0" w:firstLineChars="0"/>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评价要点：</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①项目立项是否符合国家法律法规、国民经济发展规划和相关政策；</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②项目立项是否符合行业发展规划和政策要求；</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③项目立项是否与部门职责范围相符，属于部门履职所需；</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④项目是否属于公共财政支持范围，是否符合中央、地方事权支出责任划分原则；</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⑤项目是否与相关部门同类项目或部门内部相关项目重复。</w:t>
            </w:r>
          </w:p>
        </w:tc>
        <w:tc>
          <w:tcPr>
            <w:tcW w:w="7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shd w:val="clear" w:color="auto" w:fill="FFFFFF"/>
            <w:noWrap w:val="0"/>
            <w:vAlign w:val="center"/>
          </w:tcPr>
          <w:p>
            <w:pPr>
              <w:widowControl/>
              <w:spacing w:line="0" w:lineRule="atLeast"/>
              <w:ind w:firstLine="0" w:firstLineChars="0"/>
              <w:jc w:val="left"/>
              <w:rPr>
                <w:rFonts w:hint="eastAsia" w:ascii="宋体" w:hAnsi="宋体" w:eastAsia="宋体" w:cs="宋体"/>
                <w:color w:val="auto"/>
                <w:kern w:val="0"/>
                <w:sz w:val="22"/>
                <w:szCs w:val="22"/>
                <w:lang w:val="en-US" w:eastAsia="zh-CN"/>
              </w:rPr>
            </w:pPr>
            <w:r>
              <w:rPr>
                <w:rFonts w:hint="eastAsia" w:cs="宋体"/>
                <w:color w:val="auto"/>
                <w:kern w:val="0"/>
                <w:sz w:val="22"/>
                <w:szCs w:val="22"/>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40" w:hRule="atLeast"/>
          <w:jc w:val="center"/>
        </w:trPr>
        <w:tc>
          <w:tcPr>
            <w:tcW w:w="861" w:type="dxa"/>
            <w:vMerge w:val="continue"/>
            <w:shd w:val="clear" w:color="auto" w:fill="FFFFFF"/>
            <w:noWrap w:val="0"/>
            <w:vAlign w:val="center"/>
          </w:tcPr>
          <w:p>
            <w:pPr>
              <w:spacing w:line="0" w:lineRule="atLeast"/>
              <w:ind w:firstLine="0" w:firstLineChars="0"/>
              <w:jc w:val="center"/>
              <w:rPr>
                <w:rFonts w:ascii="宋体" w:hAnsi="宋体" w:eastAsia="宋体" w:cs="宋体"/>
                <w:color w:val="auto"/>
                <w:kern w:val="0"/>
                <w:sz w:val="22"/>
                <w:szCs w:val="22"/>
              </w:rPr>
            </w:pPr>
          </w:p>
        </w:tc>
        <w:tc>
          <w:tcPr>
            <w:tcW w:w="727" w:type="dxa"/>
            <w:vMerge w:val="continue"/>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p>
        </w:tc>
        <w:tc>
          <w:tcPr>
            <w:tcW w:w="820" w:type="dxa"/>
            <w:shd w:val="clear" w:color="auto" w:fill="FFFFFF"/>
            <w:noWrap w:val="0"/>
            <w:vAlign w:val="center"/>
          </w:tcPr>
          <w:p>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立项程序</w:t>
            </w:r>
          </w:p>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规范性</w:t>
            </w:r>
          </w:p>
        </w:tc>
        <w:tc>
          <w:tcPr>
            <w:tcW w:w="2141" w:type="dxa"/>
            <w:shd w:val="clear" w:color="auto"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项目申请、设立过程是否符合相关要求，用以反映和考核项目立项的规范情况。</w:t>
            </w:r>
          </w:p>
        </w:tc>
        <w:tc>
          <w:tcPr>
            <w:tcW w:w="7821" w:type="dxa"/>
            <w:shd w:val="clear" w:color="auto" w:fill="FFFFFF"/>
            <w:noWrap w:val="0"/>
            <w:vAlign w:val="center"/>
          </w:tcPr>
          <w:p>
            <w:pPr>
              <w:widowControl/>
              <w:spacing w:line="0" w:lineRule="atLeast"/>
              <w:ind w:firstLine="0" w:firstLineChars="0"/>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评价要点：</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①项目是否按照规定的程序申请设立；</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②审批文件、材料是否符合相关要求；</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③事前是否已经过必要的可行性研究、专家论证、风险评估、绩效评估、集体决策。</w:t>
            </w:r>
          </w:p>
        </w:tc>
        <w:tc>
          <w:tcPr>
            <w:tcW w:w="7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shd w:val="clear" w:color="auto" w:fill="FFFFFF"/>
            <w:noWrap w:val="0"/>
            <w:vAlign w:val="center"/>
          </w:tcPr>
          <w:p>
            <w:pPr>
              <w:widowControl/>
              <w:spacing w:line="0" w:lineRule="atLeast"/>
              <w:ind w:firstLine="0" w:firstLineChars="0"/>
              <w:jc w:val="left"/>
              <w:rPr>
                <w:rFonts w:hint="eastAsia" w:ascii="宋体" w:hAnsi="宋体" w:eastAsia="宋体" w:cs="宋体"/>
                <w:color w:val="auto"/>
                <w:kern w:val="0"/>
                <w:sz w:val="22"/>
                <w:szCs w:val="22"/>
                <w:lang w:val="en-US" w:eastAsia="zh-CN"/>
              </w:rPr>
            </w:pPr>
            <w:r>
              <w:rPr>
                <w:rFonts w:hint="eastAsia" w:cs="宋体"/>
                <w:color w:val="auto"/>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9" w:hRule="atLeast"/>
          <w:jc w:val="center"/>
        </w:trPr>
        <w:tc>
          <w:tcPr>
            <w:tcW w:w="861" w:type="dxa"/>
            <w:vMerge w:val="continue"/>
            <w:shd w:val="clear" w:color="auto" w:fill="FFFFFF"/>
            <w:noWrap w:val="0"/>
            <w:vAlign w:val="center"/>
          </w:tcPr>
          <w:p>
            <w:pPr>
              <w:spacing w:line="0" w:lineRule="atLeast"/>
              <w:ind w:firstLine="0" w:firstLineChars="0"/>
              <w:jc w:val="center"/>
              <w:rPr>
                <w:rFonts w:ascii="宋体" w:hAnsi="宋体" w:eastAsia="宋体" w:cs="宋体"/>
                <w:color w:val="auto"/>
                <w:kern w:val="0"/>
                <w:sz w:val="22"/>
                <w:szCs w:val="22"/>
              </w:rPr>
            </w:pPr>
          </w:p>
        </w:tc>
        <w:tc>
          <w:tcPr>
            <w:tcW w:w="727" w:type="dxa"/>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绩效目标　</w:t>
            </w:r>
          </w:p>
        </w:tc>
        <w:tc>
          <w:tcPr>
            <w:tcW w:w="820" w:type="dxa"/>
            <w:shd w:val="clear" w:color="auto" w:fill="FFFFFF"/>
            <w:noWrap w:val="0"/>
            <w:vAlign w:val="center"/>
          </w:tcPr>
          <w:p>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绩效目标</w:t>
            </w:r>
          </w:p>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合理性</w:t>
            </w:r>
          </w:p>
        </w:tc>
        <w:tc>
          <w:tcPr>
            <w:tcW w:w="214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项目所设定的绩效目标是否依据充分，是否符合客观实际，用以反映和考核项目绩效目标与项目实施的相符情况。</w:t>
            </w:r>
          </w:p>
        </w:tc>
        <w:tc>
          <w:tcPr>
            <w:tcW w:w="7821" w:type="dxa"/>
            <w:shd w:val="clear" w:color="000000" w:fill="FFFFFF"/>
            <w:noWrap w:val="0"/>
            <w:vAlign w:val="center"/>
          </w:tcPr>
          <w:p>
            <w:pPr>
              <w:widowControl/>
              <w:spacing w:line="0" w:lineRule="atLeast"/>
              <w:ind w:firstLine="0" w:firstLineChars="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评价要点：</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（如未设定预算绩效目标，也可考核其他工作任务目标）</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①项目是否有绩效目标；</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②项目绩效目标与实际工作内容是否具有相关性；</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③项目预期产出效益和效果是否符合正常的业绩水平；</w:t>
            </w:r>
          </w:p>
          <w:p>
            <w:pPr>
              <w:widowControl/>
              <w:spacing w:line="0" w:lineRule="atLeast"/>
              <w:ind w:firstLine="0" w:firstLineChars="0"/>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④是否与预算确定的项目投资额或资金量相匹配。</w:t>
            </w:r>
          </w:p>
        </w:tc>
        <w:tc>
          <w:tcPr>
            <w:tcW w:w="78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shd w:val="clear" w:color="000000" w:fill="FFFFFF"/>
            <w:noWrap w:val="0"/>
            <w:vAlign w:val="center"/>
          </w:tcPr>
          <w:p>
            <w:pPr>
              <w:widowControl/>
              <w:spacing w:line="0" w:lineRule="atLeast"/>
              <w:ind w:firstLine="0" w:firstLineChars="0"/>
              <w:jc w:val="left"/>
              <w:rPr>
                <w:rFonts w:hint="eastAsia" w:ascii="宋体" w:hAnsi="宋体" w:eastAsia="宋体" w:cs="宋体"/>
                <w:color w:val="auto"/>
                <w:kern w:val="0"/>
                <w:sz w:val="22"/>
                <w:szCs w:val="22"/>
                <w:lang w:val="en-US" w:eastAsia="zh-CN"/>
              </w:rPr>
            </w:pPr>
            <w:r>
              <w:rPr>
                <w:rFonts w:hint="eastAsia" w:cs="宋体"/>
                <w:color w:val="auto"/>
                <w:kern w:val="0"/>
                <w:sz w:val="22"/>
                <w:szCs w:val="22"/>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861" w:type="dxa"/>
            <w:vMerge w:val="restart"/>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决策　</w:t>
            </w:r>
          </w:p>
        </w:tc>
        <w:tc>
          <w:tcPr>
            <w:tcW w:w="727" w:type="dxa"/>
            <w:shd w:val="clear" w:color="auto" w:fill="FFFFFF"/>
            <w:noWrap w:val="0"/>
            <w:vAlign w:val="center"/>
          </w:tcPr>
          <w:p>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绩效目标</w:t>
            </w:r>
          </w:p>
        </w:tc>
        <w:tc>
          <w:tcPr>
            <w:tcW w:w="820" w:type="dxa"/>
            <w:shd w:val="clear" w:color="auto" w:fill="FFFFFF"/>
            <w:noWrap w:val="0"/>
            <w:vAlign w:val="center"/>
          </w:tcPr>
          <w:p>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绩效指标</w:t>
            </w:r>
          </w:p>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明确性</w:t>
            </w:r>
          </w:p>
        </w:tc>
        <w:tc>
          <w:tcPr>
            <w:tcW w:w="214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依据绩效目标设定的绩效指标是否清晰、细化、可衡量等，用以反映和考核项目绩效目标的明细化情况。</w:t>
            </w:r>
          </w:p>
        </w:tc>
        <w:tc>
          <w:tcPr>
            <w:tcW w:w="782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评价要点：</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①是否将项目绩效目标细化分解为具体的绩效指标；</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②是否通过清晰、可衡量的指标值予以体现；</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③是否与项目目标任务数或计划数相对应。</w:t>
            </w:r>
            <w:r>
              <w:rPr>
                <w:rFonts w:hint="eastAsia" w:ascii="宋体" w:hAnsi="宋体" w:eastAsia="宋体" w:cs="宋体"/>
                <w:color w:val="auto"/>
                <w:kern w:val="0"/>
                <w:sz w:val="22"/>
                <w:szCs w:val="22"/>
              </w:rPr>
              <w:br w:type="textWrapping"/>
            </w:r>
          </w:p>
        </w:tc>
        <w:tc>
          <w:tcPr>
            <w:tcW w:w="78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shd w:val="clear" w:color="000000" w:fill="FFFFFF"/>
            <w:noWrap w:val="0"/>
            <w:vAlign w:val="center"/>
          </w:tcPr>
          <w:p>
            <w:pPr>
              <w:widowControl/>
              <w:spacing w:line="0" w:lineRule="atLeast"/>
              <w:ind w:firstLine="0" w:firstLineChars="0"/>
              <w:rPr>
                <w:rFonts w:hint="eastAsia" w:ascii="宋体" w:hAnsi="宋体" w:eastAsia="宋体" w:cs="宋体"/>
                <w:color w:val="auto"/>
                <w:kern w:val="0"/>
                <w:sz w:val="22"/>
                <w:szCs w:val="22"/>
                <w:lang w:val="en-US" w:eastAsia="zh-CN"/>
              </w:rPr>
            </w:pPr>
            <w:r>
              <w:rPr>
                <w:rFonts w:hint="eastAsia" w:cs="宋体"/>
                <w:color w:val="auto"/>
                <w:kern w:val="0"/>
                <w:sz w:val="22"/>
                <w:szCs w:val="22"/>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861" w:type="dxa"/>
            <w:vMerge w:val="continue"/>
            <w:shd w:val="clear" w:color="auto" w:fill="FFFFFF"/>
            <w:noWrap w:val="0"/>
            <w:vAlign w:val="center"/>
          </w:tcPr>
          <w:p>
            <w:pPr>
              <w:spacing w:line="0" w:lineRule="atLeast"/>
              <w:ind w:firstLine="0" w:firstLineChars="0"/>
              <w:jc w:val="center"/>
              <w:rPr>
                <w:rFonts w:ascii="宋体" w:hAnsi="宋体" w:eastAsia="宋体" w:cs="宋体"/>
                <w:color w:val="auto"/>
                <w:kern w:val="0"/>
                <w:sz w:val="22"/>
                <w:szCs w:val="22"/>
              </w:rPr>
            </w:pPr>
          </w:p>
        </w:tc>
        <w:tc>
          <w:tcPr>
            <w:tcW w:w="727" w:type="dxa"/>
            <w:vMerge w:val="restart"/>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资金投入</w:t>
            </w:r>
          </w:p>
          <w:p>
            <w:pPr>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820" w:type="dxa"/>
            <w:shd w:val="clear" w:color="auto" w:fill="FFFFFF"/>
            <w:noWrap w:val="0"/>
            <w:vAlign w:val="center"/>
          </w:tcPr>
          <w:p>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预算编制</w:t>
            </w:r>
          </w:p>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科学性</w:t>
            </w:r>
          </w:p>
        </w:tc>
        <w:tc>
          <w:tcPr>
            <w:tcW w:w="2141" w:type="dxa"/>
            <w:shd w:val="clear" w:color="auto"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项目预算编制是否经过科学论证、有明确标准，资金额度与年度目标是否相适应，用以反映和考核项目预算编制的科学性、合理性情况。</w:t>
            </w:r>
          </w:p>
        </w:tc>
        <w:tc>
          <w:tcPr>
            <w:tcW w:w="7821" w:type="dxa"/>
            <w:shd w:val="clear" w:color="auto"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评价要点：</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①预算编制是否经过科学论证；</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②预算内容与项目内容是否匹配；</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③预算额度测算依据是否充分，是否按照标准编制；</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④预算确定的项目投资额或资金量是否与工作任务相匹配。</w:t>
            </w:r>
          </w:p>
        </w:tc>
        <w:tc>
          <w:tcPr>
            <w:tcW w:w="7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shd w:val="clear" w:color="auto" w:fill="FFFFFF"/>
            <w:noWrap w:val="0"/>
            <w:vAlign w:val="center"/>
          </w:tcPr>
          <w:p>
            <w:pPr>
              <w:widowControl/>
              <w:spacing w:line="0" w:lineRule="atLeast"/>
              <w:ind w:firstLine="0" w:firstLineChars="0"/>
              <w:rPr>
                <w:rFonts w:hint="eastAsia" w:ascii="宋体" w:hAnsi="宋体" w:eastAsia="宋体" w:cs="宋体"/>
                <w:color w:val="auto"/>
                <w:kern w:val="0"/>
                <w:sz w:val="22"/>
                <w:szCs w:val="22"/>
                <w:lang w:val="en-US" w:eastAsia="zh-CN"/>
              </w:rPr>
            </w:pPr>
            <w:r>
              <w:rPr>
                <w:rFonts w:hint="eastAsia" w:cs="宋体"/>
                <w:color w:val="auto"/>
                <w:kern w:val="0"/>
                <w:sz w:val="22"/>
                <w:szCs w:val="22"/>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861" w:type="dxa"/>
            <w:vMerge w:val="continue"/>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p>
        </w:tc>
        <w:tc>
          <w:tcPr>
            <w:tcW w:w="727" w:type="dxa"/>
            <w:vMerge w:val="continue"/>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p>
        </w:tc>
        <w:tc>
          <w:tcPr>
            <w:tcW w:w="820" w:type="dxa"/>
            <w:shd w:val="clear" w:color="auto" w:fill="FFFFFF"/>
            <w:noWrap w:val="0"/>
            <w:vAlign w:val="center"/>
          </w:tcPr>
          <w:p>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资金分配</w:t>
            </w:r>
          </w:p>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合理性</w:t>
            </w:r>
          </w:p>
        </w:tc>
        <w:tc>
          <w:tcPr>
            <w:tcW w:w="2141" w:type="dxa"/>
            <w:shd w:val="clear" w:color="auto"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项目预算资金分配是否有测算依据，与补助单位或地方实际是否相适应，用以反映和考核项目预算资金分配的科学性、合理性情况。</w:t>
            </w:r>
          </w:p>
        </w:tc>
        <w:tc>
          <w:tcPr>
            <w:tcW w:w="7821" w:type="dxa"/>
            <w:shd w:val="clear" w:color="auto"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评价要点：</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①预算资金分配依据是否充分；</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②资金分配额度是否合理，与项目单位或地方实际是否相适应。</w:t>
            </w:r>
          </w:p>
        </w:tc>
        <w:tc>
          <w:tcPr>
            <w:tcW w:w="7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shd w:val="clear" w:color="auto" w:fill="FFFFFF"/>
            <w:noWrap w:val="0"/>
            <w:vAlign w:val="center"/>
          </w:tcPr>
          <w:p>
            <w:pPr>
              <w:widowControl/>
              <w:spacing w:line="0" w:lineRule="atLeast"/>
              <w:ind w:firstLine="0" w:firstLineChars="0"/>
              <w:rPr>
                <w:rFonts w:hint="eastAsia" w:ascii="宋体" w:hAnsi="宋体" w:eastAsia="宋体" w:cs="宋体"/>
                <w:color w:val="auto"/>
                <w:kern w:val="0"/>
                <w:sz w:val="22"/>
                <w:szCs w:val="22"/>
                <w:lang w:val="en-US" w:eastAsia="zh-CN"/>
              </w:rPr>
            </w:pPr>
            <w:r>
              <w:rPr>
                <w:rFonts w:hint="eastAsia" w:cs="宋体"/>
                <w:color w:val="auto"/>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861" w:type="dxa"/>
            <w:vMerge w:val="restart"/>
            <w:shd w:val="clear" w:color="auto" w:fill="FFFFFF"/>
            <w:noWrap w:val="0"/>
            <w:vAlign w:val="center"/>
          </w:tcPr>
          <w:p>
            <w:pPr>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过程</w:t>
            </w:r>
          </w:p>
        </w:tc>
        <w:tc>
          <w:tcPr>
            <w:tcW w:w="727" w:type="dxa"/>
            <w:vMerge w:val="restart"/>
            <w:shd w:val="clear" w:color="auto" w:fill="FFFFFF"/>
            <w:noWrap w:val="0"/>
            <w:vAlign w:val="center"/>
          </w:tcPr>
          <w:p>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资金管理</w:t>
            </w:r>
          </w:p>
        </w:tc>
        <w:tc>
          <w:tcPr>
            <w:tcW w:w="820" w:type="dxa"/>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资金到位率</w:t>
            </w:r>
          </w:p>
        </w:tc>
        <w:tc>
          <w:tcPr>
            <w:tcW w:w="214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实际到位资金与预算资金的比率，用以反映和考核资金落实情况对项目实施的总体保障程度。</w:t>
            </w:r>
          </w:p>
        </w:tc>
        <w:tc>
          <w:tcPr>
            <w:tcW w:w="7821" w:type="dxa"/>
            <w:shd w:val="clear" w:color="000000" w:fill="FFFFFF"/>
            <w:noWrap w:val="0"/>
            <w:vAlign w:val="center"/>
          </w:tcPr>
          <w:p>
            <w:pPr>
              <w:widowControl/>
              <w:spacing w:line="0" w:lineRule="atLeast"/>
              <w:ind w:firstLine="0" w:firstLineChars="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资金到位率=（实际到位资金/预算资金）×100%。</w:t>
            </w:r>
          </w:p>
          <w:p>
            <w:pPr>
              <w:widowControl/>
              <w:spacing w:line="0" w:lineRule="atLeast"/>
              <w:ind w:firstLine="0" w:firstLineChars="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实际到位资金：一定时期（本年度或项目期）内落实到具体项目的资金。</w:t>
            </w:r>
          </w:p>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预算资金：一定时期（本年度或项目期）内预算安排到具体项目的资金。</w:t>
            </w:r>
          </w:p>
        </w:tc>
        <w:tc>
          <w:tcPr>
            <w:tcW w:w="78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000000" w:fill="FFFFFF"/>
            <w:noWrap w:val="0"/>
            <w:vAlign w:val="center"/>
          </w:tcPr>
          <w:p>
            <w:pPr>
              <w:widowControl/>
              <w:spacing w:line="0" w:lineRule="atLeast"/>
              <w:ind w:firstLine="0" w:firstLineChars="0"/>
              <w:rPr>
                <w:rFonts w:hint="eastAsia" w:ascii="宋体" w:hAnsi="宋体" w:eastAsia="宋体" w:cs="宋体"/>
                <w:color w:val="auto"/>
                <w:kern w:val="0"/>
                <w:sz w:val="22"/>
                <w:szCs w:val="22"/>
                <w:lang w:val="en-US" w:eastAsia="zh-CN"/>
              </w:rPr>
            </w:pPr>
            <w:r>
              <w:rPr>
                <w:rFonts w:hint="eastAsia" w:cs="宋体"/>
                <w:color w:val="auto"/>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861" w:type="dxa"/>
            <w:vMerge w:val="continue"/>
            <w:shd w:val="clear" w:color="auto" w:fill="FFFFFF"/>
            <w:noWrap w:val="0"/>
            <w:vAlign w:val="center"/>
          </w:tcPr>
          <w:p>
            <w:pPr>
              <w:spacing w:line="0" w:lineRule="atLeast"/>
              <w:ind w:firstLine="0" w:firstLineChars="0"/>
              <w:jc w:val="center"/>
              <w:rPr>
                <w:rFonts w:hint="eastAsia" w:ascii="宋体" w:hAnsi="宋体" w:eastAsia="宋体" w:cs="宋体"/>
                <w:color w:val="auto"/>
                <w:kern w:val="0"/>
                <w:sz w:val="22"/>
                <w:szCs w:val="22"/>
              </w:rPr>
            </w:pPr>
          </w:p>
        </w:tc>
        <w:tc>
          <w:tcPr>
            <w:tcW w:w="727" w:type="dxa"/>
            <w:vMerge w:val="continue"/>
            <w:shd w:val="clear" w:color="auto" w:fill="FFFFFF"/>
            <w:noWrap w:val="0"/>
            <w:vAlign w:val="center"/>
          </w:tcPr>
          <w:p>
            <w:pPr>
              <w:spacing w:line="0" w:lineRule="atLeast"/>
              <w:ind w:firstLine="0" w:firstLineChars="0"/>
              <w:jc w:val="center"/>
              <w:rPr>
                <w:rFonts w:hint="eastAsia" w:ascii="宋体" w:hAnsi="宋体" w:eastAsia="宋体" w:cs="宋体"/>
                <w:color w:val="auto"/>
                <w:kern w:val="0"/>
                <w:sz w:val="22"/>
                <w:szCs w:val="22"/>
              </w:rPr>
            </w:pPr>
          </w:p>
        </w:tc>
        <w:tc>
          <w:tcPr>
            <w:tcW w:w="820" w:type="dxa"/>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预算执行率</w:t>
            </w:r>
          </w:p>
        </w:tc>
        <w:tc>
          <w:tcPr>
            <w:tcW w:w="2141" w:type="dxa"/>
            <w:shd w:val="clear" w:color="auto"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项目预算资金是否按照计划执行，用以反映或考核项目预算执行情况。</w:t>
            </w:r>
          </w:p>
        </w:tc>
        <w:tc>
          <w:tcPr>
            <w:tcW w:w="7821" w:type="dxa"/>
            <w:shd w:val="clear" w:color="auto"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预算执行率=（实际支出资金/实际到位资金）×100%。</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实际支出资金：一定时期（本年度或项目期）内项目实际拨付的资金。</w:t>
            </w:r>
          </w:p>
        </w:tc>
        <w:tc>
          <w:tcPr>
            <w:tcW w:w="7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FFFFFF"/>
            <w:noWrap w:val="0"/>
            <w:vAlign w:val="center"/>
          </w:tcPr>
          <w:p>
            <w:pPr>
              <w:widowControl/>
              <w:spacing w:line="0" w:lineRule="atLeast"/>
              <w:ind w:firstLine="0" w:firstLineChars="0"/>
              <w:rPr>
                <w:rFonts w:hint="eastAsia" w:ascii="宋体" w:hAnsi="宋体" w:eastAsia="宋体" w:cs="宋体"/>
                <w:color w:val="auto"/>
                <w:kern w:val="0"/>
                <w:sz w:val="22"/>
                <w:szCs w:val="22"/>
                <w:lang w:val="en-US" w:eastAsia="zh-CN"/>
              </w:rPr>
            </w:pPr>
            <w:r>
              <w:rPr>
                <w:rFonts w:hint="eastAsia" w:cs="宋体"/>
                <w:color w:val="auto"/>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vMerge w:val="restart"/>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p>
            <w:pPr>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过程　</w:t>
            </w:r>
          </w:p>
        </w:tc>
        <w:tc>
          <w:tcPr>
            <w:tcW w:w="727" w:type="dxa"/>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资金管理</w:t>
            </w:r>
          </w:p>
        </w:tc>
        <w:tc>
          <w:tcPr>
            <w:tcW w:w="820" w:type="dxa"/>
            <w:shd w:val="clear" w:color="auto" w:fill="FFFFFF"/>
            <w:noWrap w:val="0"/>
            <w:vAlign w:val="center"/>
          </w:tcPr>
          <w:p>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资金使用</w:t>
            </w:r>
          </w:p>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合规性</w:t>
            </w:r>
          </w:p>
        </w:tc>
        <w:tc>
          <w:tcPr>
            <w:tcW w:w="214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项目资金使用是否符合相关的财务管理制度规定，用以反映和考核项目资金的规范运行情况。</w:t>
            </w:r>
          </w:p>
        </w:tc>
        <w:tc>
          <w:tcPr>
            <w:tcW w:w="782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评价要点：</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①是否符合国家财经法规和财务管理制度以及有关专项资金管理办法的规定；</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②资金的拨付是否有完整的审批程序和手续；</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③是否符合项目预算批复或合同规定的用途；</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④是否存在截留、挤占、挪用、虚列支出等情况。</w:t>
            </w:r>
          </w:p>
        </w:tc>
        <w:tc>
          <w:tcPr>
            <w:tcW w:w="78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000000" w:fill="FFFFFF"/>
            <w:noWrap w:val="0"/>
            <w:vAlign w:val="center"/>
          </w:tcPr>
          <w:p>
            <w:pPr>
              <w:widowControl/>
              <w:spacing w:line="0" w:lineRule="atLeast"/>
              <w:ind w:firstLine="0" w:firstLineChars="0"/>
              <w:rPr>
                <w:rFonts w:hint="eastAsia" w:ascii="宋体" w:hAnsi="宋体" w:eastAsia="宋体" w:cs="宋体"/>
                <w:color w:val="auto"/>
                <w:kern w:val="0"/>
                <w:sz w:val="22"/>
                <w:szCs w:val="22"/>
                <w:lang w:val="en-US" w:eastAsia="zh-CN"/>
              </w:rPr>
            </w:pPr>
            <w:r>
              <w:rPr>
                <w:rFonts w:hint="eastAsia" w:cs="宋体"/>
                <w:color w:val="auto"/>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861" w:type="dxa"/>
            <w:vMerge w:val="continue"/>
            <w:shd w:val="clear" w:color="auto" w:fill="FFFFFF"/>
            <w:noWrap w:val="0"/>
            <w:vAlign w:val="center"/>
          </w:tcPr>
          <w:p>
            <w:pPr>
              <w:spacing w:line="0" w:lineRule="atLeast"/>
              <w:ind w:firstLine="0" w:firstLineChars="0"/>
              <w:jc w:val="center"/>
              <w:rPr>
                <w:rFonts w:ascii="宋体" w:hAnsi="宋体" w:eastAsia="宋体" w:cs="宋体"/>
                <w:color w:val="auto"/>
                <w:kern w:val="0"/>
                <w:sz w:val="22"/>
                <w:szCs w:val="22"/>
              </w:rPr>
            </w:pPr>
          </w:p>
        </w:tc>
        <w:tc>
          <w:tcPr>
            <w:tcW w:w="727" w:type="dxa"/>
            <w:vMerge w:val="restart"/>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组织实施</w:t>
            </w:r>
          </w:p>
          <w:p>
            <w:pPr>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820" w:type="dxa"/>
            <w:shd w:val="clear" w:color="auto" w:fill="FFFFFF"/>
            <w:noWrap w:val="0"/>
            <w:vAlign w:val="center"/>
          </w:tcPr>
          <w:p>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管理制度</w:t>
            </w:r>
          </w:p>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健全性</w:t>
            </w:r>
          </w:p>
        </w:tc>
        <w:tc>
          <w:tcPr>
            <w:tcW w:w="214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项目实施单位的财务和业务管理制度是否健全，用以反映和考核财务和业务管理制度对项目顺利实施的保障情况。</w:t>
            </w:r>
          </w:p>
        </w:tc>
        <w:tc>
          <w:tcPr>
            <w:tcW w:w="782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评价要点：</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①是否已制定或具有相应的财务和业务管理制度；</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②财务和业务管理制度是否合法、合规、完整。</w:t>
            </w:r>
          </w:p>
        </w:tc>
        <w:tc>
          <w:tcPr>
            <w:tcW w:w="78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000000" w:fill="FFFFFF"/>
            <w:noWrap w:val="0"/>
            <w:vAlign w:val="center"/>
          </w:tcPr>
          <w:p>
            <w:pPr>
              <w:widowControl/>
              <w:spacing w:line="0" w:lineRule="atLeast"/>
              <w:ind w:firstLine="0" w:firstLineChars="0"/>
              <w:rPr>
                <w:rFonts w:hint="eastAsia" w:ascii="宋体" w:hAnsi="宋体" w:eastAsia="宋体" w:cs="宋体"/>
                <w:color w:val="auto"/>
                <w:kern w:val="0"/>
                <w:sz w:val="22"/>
                <w:szCs w:val="22"/>
                <w:lang w:val="en-US" w:eastAsia="zh-CN"/>
              </w:rPr>
            </w:pPr>
            <w:r>
              <w:rPr>
                <w:rFonts w:hint="eastAsia" w:cs="宋体"/>
                <w:color w:val="auto"/>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861" w:type="dxa"/>
            <w:vMerge w:val="continue"/>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p>
        </w:tc>
        <w:tc>
          <w:tcPr>
            <w:tcW w:w="727" w:type="dxa"/>
            <w:vMerge w:val="continue"/>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p>
        </w:tc>
        <w:tc>
          <w:tcPr>
            <w:tcW w:w="820" w:type="dxa"/>
            <w:shd w:val="clear" w:color="auto" w:fill="FFFFFF"/>
            <w:noWrap w:val="0"/>
            <w:vAlign w:val="center"/>
          </w:tcPr>
          <w:p>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制度执行</w:t>
            </w:r>
          </w:p>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有效性</w:t>
            </w:r>
          </w:p>
        </w:tc>
        <w:tc>
          <w:tcPr>
            <w:tcW w:w="214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项目实施是否符合相关管理规定，用以反映和考核相关管理制度的有效执行情况。</w:t>
            </w:r>
          </w:p>
        </w:tc>
        <w:tc>
          <w:tcPr>
            <w:tcW w:w="782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评价要点：</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①是否遵守相关法律法规和相关管理规定；</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②项目调整及支出调整手续是否完备；</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③项目合同书、验收报告、技术鉴定等资料是否齐全并及时归档；</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④项目实施的人员条件、场地设备、信息支撑等是否落实到位。</w:t>
            </w:r>
          </w:p>
        </w:tc>
        <w:tc>
          <w:tcPr>
            <w:tcW w:w="78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000000" w:fill="FFFFFF"/>
            <w:noWrap w:val="0"/>
            <w:vAlign w:val="center"/>
          </w:tcPr>
          <w:p>
            <w:pPr>
              <w:widowControl/>
              <w:spacing w:line="0" w:lineRule="atLeast"/>
              <w:ind w:firstLine="0" w:firstLineChars="0"/>
              <w:rPr>
                <w:rFonts w:hint="eastAsia" w:ascii="宋体" w:hAnsi="宋体" w:eastAsia="宋体" w:cs="宋体"/>
                <w:color w:val="auto"/>
                <w:kern w:val="0"/>
                <w:sz w:val="22"/>
                <w:szCs w:val="22"/>
                <w:lang w:val="en-US" w:eastAsia="zh-CN"/>
              </w:rPr>
            </w:pPr>
            <w:r>
              <w:rPr>
                <w:rFonts w:hint="eastAsia" w:cs="宋体"/>
                <w:color w:val="auto"/>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861" w:type="dxa"/>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产出</w:t>
            </w:r>
          </w:p>
        </w:tc>
        <w:tc>
          <w:tcPr>
            <w:tcW w:w="727" w:type="dxa"/>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产出数量</w:t>
            </w:r>
          </w:p>
        </w:tc>
        <w:tc>
          <w:tcPr>
            <w:tcW w:w="820" w:type="dxa"/>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实际完成率</w:t>
            </w:r>
          </w:p>
        </w:tc>
        <w:tc>
          <w:tcPr>
            <w:tcW w:w="214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项目实施的实际产出数与计划产出数的比率，用以反映和考核项目产出数量目标的实现程度。</w:t>
            </w:r>
          </w:p>
        </w:tc>
        <w:tc>
          <w:tcPr>
            <w:tcW w:w="782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实际完成率=（实际产出数/计划产出数）×100%。</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实际产出数：一定时期（本年度或项目期）内项目实际产出的产品或提供的服务数量。</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计划产出数：项目绩效目标确定的在一定时期（本年度或项目期）内计划产出的产品或提供的服务数量。</w:t>
            </w:r>
          </w:p>
        </w:tc>
        <w:tc>
          <w:tcPr>
            <w:tcW w:w="785" w:type="dxa"/>
            <w:shd w:val="clear" w:color="000000" w:fill="FFFFFF"/>
            <w:noWrap w:val="0"/>
            <w:vAlign w:val="center"/>
          </w:tcPr>
          <w:p>
            <w:pPr>
              <w:widowControl/>
              <w:spacing w:line="0" w:lineRule="atLeast"/>
              <w:ind w:firstLine="0" w:firstLineChars="0"/>
              <w:rPr>
                <w:rFonts w:hint="default" w:ascii="宋体" w:hAnsi="宋体" w:eastAsia="宋体" w:cs="宋体"/>
                <w:color w:val="auto"/>
                <w:kern w:val="0"/>
                <w:sz w:val="22"/>
                <w:szCs w:val="22"/>
                <w:lang w:val="en-US" w:eastAsia="zh-CN"/>
              </w:rPr>
            </w:pPr>
            <w:r>
              <w:rPr>
                <w:rFonts w:hint="eastAsia" w:cs="宋体"/>
                <w:color w:val="auto"/>
                <w:kern w:val="0"/>
                <w:sz w:val="22"/>
                <w:szCs w:val="22"/>
                <w:lang w:val="en-US" w:eastAsia="zh-CN"/>
              </w:rPr>
              <w:t>10</w:t>
            </w:r>
          </w:p>
        </w:tc>
        <w:tc>
          <w:tcPr>
            <w:tcW w:w="769" w:type="dxa"/>
            <w:shd w:val="clear" w:color="000000" w:fill="FFFFFF"/>
            <w:noWrap w:val="0"/>
            <w:vAlign w:val="center"/>
          </w:tcPr>
          <w:p>
            <w:pPr>
              <w:widowControl/>
              <w:spacing w:line="0" w:lineRule="atLeast"/>
              <w:ind w:firstLine="0" w:firstLineChars="0"/>
              <w:rPr>
                <w:rFonts w:hint="default" w:ascii="宋体" w:hAnsi="宋体" w:eastAsia="宋体" w:cs="宋体"/>
                <w:color w:val="auto"/>
                <w:kern w:val="0"/>
                <w:sz w:val="22"/>
                <w:szCs w:val="22"/>
                <w:lang w:val="en-US" w:eastAsia="zh-CN"/>
              </w:rPr>
            </w:pPr>
            <w:r>
              <w:rPr>
                <w:rFonts w:hint="eastAsia" w:cs="宋体"/>
                <w:color w:val="auto"/>
                <w:kern w:val="0"/>
                <w:sz w:val="22"/>
                <w:szCs w:val="22"/>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861" w:type="dxa"/>
            <w:vMerge w:val="restart"/>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产出</w:t>
            </w:r>
          </w:p>
        </w:tc>
        <w:tc>
          <w:tcPr>
            <w:tcW w:w="727" w:type="dxa"/>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产出质量</w:t>
            </w:r>
          </w:p>
        </w:tc>
        <w:tc>
          <w:tcPr>
            <w:tcW w:w="820" w:type="dxa"/>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质量达标率</w:t>
            </w:r>
          </w:p>
        </w:tc>
        <w:tc>
          <w:tcPr>
            <w:tcW w:w="214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项目完成的质量达标产出数与实际产出数的比率，用以反映和考核项目产出质量目标的实现程度。</w:t>
            </w:r>
          </w:p>
        </w:tc>
        <w:tc>
          <w:tcPr>
            <w:tcW w:w="7821" w:type="dxa"/>
            <w:shd w:val="clear" w:color="000000" w:fill="FFFFFF"/>
            <w:noWrap w:val="0"/>
            <w:vAlign w:val="center"/>
          </w:tcPr>
          <w:p>
            <w:pPr>
              <w:widowControl/>
              <w:spacing w:line="0" w:lineRule="atLeast"/>
              <w:ind w:firstLine="0" w:firstLineChars="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质量达标率=（质量达标产出数/实际产出数）×100%。</w:t>
            </w:r>
          </w:p>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785" w:type="dxa"/>
            <w:shd w:val="clear" w:color="000000" w:fill="FFFFFF"/>
            <w:noWrap w:val="0"/>
            <w:vAlign w:val="center"/>
          </w:tcPr>
          <w:p>
            <w:pPr>
              <w:widowControl/>
              <w:spacing w:line="0" w:lineRule="atLeast"/>
              <w:ind w:firstLine="0" w:firstLineChars="0"/>
              <w:rPr>
                <w:rFonts w:hint="eastAsia" w:ascii="宋体" w:hAnsi="宋体" w:eastAsia="宋体" w:cs="宋体"/>
                <w:color w:val="auto"/>
                <w:kern w:val="0"/>
                <w:sz w:val="22"/>
                <w:szCs w:val="22"/>
                <w:lang w:val="en-US" w:eastAsia="zh-CN"/>
              </w:rPr>
            </w:pPr>
            <w:r>
              <w:rPr>
                <w:rFonts w:hint="eastAsia" w:cs="宋体"/>
                <w:color w:val="auto"/>
                <w:kern w:val="0"/>
                <w:sz w:val="22"/>
                <w:szCs w:val="22"/>
                <w:lang w:val="en-US" w:eastAsia="zh-CN"/>
              </w:rPr>
              <w:t>5</w:t>
            </w:r>
          </w:p>
        </w:tc>
        <w:tc>
          <w:tcPr>
            <w:tcW w:w="769" w:type="dxa"/>
            <w:shd w:val="clear" w:color="000000" w:fill="FFFFFF"/>
            <w:noWrap w:val="0"/>
            <w:vAlign w:val="center"/>
          </w:tcPr>
          <w:p>
            <w:pPr>
              <w:widowControl/>
              <w:spacing w:line="0" w:lineRule="atLeast"/>
              <w:ind w:firstLine="0" w:firstLineChars="0"/>
              <w:rPr>
                <w:rFonts w:hint="eastAsia" w:ascii="宋体" w:hAnsi="宋体" w:eastAsia="宋体" w:cs="宋体"/>
                <w:color w:val="auto"/>
                <w:kern w:val="0"/>
                <w:sz w:val="22"/>
                <w:szCs w:val="22"/>
                <w:lang w:val="en-US" w:eastAsia="zh-CN"/>
              </w:rPr>
            </w:pPr>
            <w:r>
              <w:rPr>
                <w:rFonts w:hint="eastAsia" w:cs="宋体"/>
                <w:color w:val="auto"/>
                <w:kern w:val="0"/>
                <w:sz w:val="22"/>
                <w:szCs w:val="22"/>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861" w:type="dxa"/>
            <w:vMerge w:val="continue"/>
            <w:shd w:val="clear" w:color="auto" w:fill="FFFFFF"/>
            <w:noWrap w:val="0"/>
            <w:vAlign w:val="center"/>
          </w:tcPr>
          <w:p>
            <w:pPr>
              <w:spacing w:line="0" w:lineRule="atLeast"/>
              <w:ind w:firstLine="0" w:firstLineChars="0"/>
              <w:jc w:val="center"/>
              <w:rPr>
                <w:rFonts w:ascii="宋体" w:hAnsi="宋体" w:eastAsia="宋体" w:cs="宋体"/>
                <w:color w:val="auto"/>
                <w:kern w:val="0"/>
                <w:sz w:val="22"/>
                <w:szCs w:val="22"/>
              </w:rPr>
            </w:pPr>
          </w:p>
        </w:tc>
        <w:tc>
          <w:tcPr>
            <w:tcW w:w="727" w:type="dxa"/>
            <w:shd w:val="clear" w:color="auto" w:fill="FFFFFF"/>
            <w:noWrap w:val="0"/>
            <w:vAlign w:val="center"/>
          </w:tcPr>
          <w:p>
            <w:pPr>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产出时效</w:t>
            </w:r>
          </w:p>
        </w:tc>
        <w:tc>
          <w:tcPr>
            <w:tcW w:w="820" w:type="dxa"/>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完成及时性</w:t>
            </w:r>
          </w:p>
        </w:tc>
        <w:tc>
          <w:tcPr>
            <w:tcW w:w="214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项目实际完成时间与计划完成时间的比较，用以反映和考核项目产出时效目标的实现程度。</w:t>
            </w:r>
          </w:p>
        </w:tc>
        <w:tc>
          <w:tcPr>
            <w:tcW w:w="782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实际完成时间：项目实施单位完成该项目实际所耗用的时间。</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计划完成时间：按照项目实施计划或相关规定完成该项目所需的时间。</w:t>
            </w:r>
          </w:p>
        </w:tc>
        <w:tc>
          <w:tcPr>
            <w:tcW w:w="785" w:type="dxa"/>
            <w:shd w:val="clear" w:color="000000" w:fill="FFFFFF"/>
            <w:noWrap w:val="0"/>
            <w:vAlign w:val="center"/>
          </w:tcPr>
          <w:p>
            <w:pPr>
              <w:widowControl/>
              <w:spacing w:line="0" w:lineRule="atLeast"/>
              <w:ind w:firstLine="0" w:firstLineChars="0"/>
              <w:rPr>
                <w:rFonts w:hint="default" w:ascii="宋体" w:hAnsi="宋体" w:eastAsia="宋体" w:cs="宋体"/>
                <w:color w:val="auto"/>
                <w:kern w:val="0"/>
                <w:sz w:val="22"/>
                <w:szCs w:val="22"/>
                <w:lang w:val="en-US" w:eastAsia="zh-CN"/>
              </w:rPr>
            </w:pPr>
            <w:r>
              <w:rPr>
                <w:rFonts w:hint="eastAsia" w:cs="宋体"/>
                <w:color w:val="auto"/>
                <w:kern w:val="0"/>
                <w:sz w:val="22"/>
                <w:szCs w:val="22"/>
                <w:lang w:val="en-US" w:eastAsia="zh-CN"/>
              </w:rPr>
              <w:t>10</w:t>
            </w:r>
          </w:p>
        </w:tc>
        <w:tc>
          <w:tcPr>
            <w:tcW w:w="769" w:type="dxa"/>
            <w:shd w:val="clear" w:color="000000" w:fill="FFFFFF"/>
            <w:noWrap w:val="0"/>
            <w:vAlign w:val="center"/>
          </w:tcPr>
          <w:p>
            <w:pPr>
              <w:widowControl/>
              <w:spacing w:line="0" w:lineRule="atLeast"/>
              <w:ind w:firstLine="0" w:firstLineChars="0"/>
              <w:rPr>
                <w:rFonts w:hint="default" w:ascii="宋体" w:hAnsi="宋体" w:eastAsia="宋体" w:cs="宋体"/>
                <w:color w:val="auto"/>
                <w:kern w:val="0"/>
                <w:sz w:val="22"/>
                <w:szCs w:val="22"/>
                <w:lang w:val="en-US" w:eastAsia="zh-CN"/>
              </w:rPr>
            </w:pPr>
            <w:r>
              <w:rPr>
                <w:rFonts w:hint="eastAsia" w:cs="宋体"/>
                <w:color w:val="auto"/>
                <w:kern w:val="0"/>
                <w:sz w:val="22"/>
                <w:szCs w:val="22"/>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vMerge w:val="continue"/>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p>
        </w:tc>
        <w:tc>
          <w:tcPr>
            <w:tcW w:w="727" w:type="dxa"/>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产出成本</w:t>
            </w:r>
          </w:p>
        </w:tc>
        <w:tc>
          <w:tcPr>
            <w:tcW w:w="820" w:type="dxa"/>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成本节约率</w:t>
            </w:r>
          </w:p>
        </w:tc>
        <w:tc>
          <w:tcPr>
            <w:tcW w:w="214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完成项目计划工作目标的实际节约成本与计划成本的比率，用以反映和考核项目的成本节约程度。</w:t>
            </w:r>
          </w:p>
        </w:tc>
        <w:tc>
          <w:tcPr>
            <w:tcW w:w="782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成本节约率=[（计划成本-实际成本）/计划成本]×100%。</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实际成本：项目实施单位如期、保质、保量完成既定工作目标实际所耗费的支出。</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计划成本：项目实施单位为完成工作目标计划安排的支出，一般以项目预算为参考。</w:t>
            </w:r>
          </w:p>
        </w:tc>
        <w:tc>
          <w:tcPr>
            <w:tcW w:w="785" w:type="dxa"/>
            <w:shd w:val="clear" w:color="000000" w:fill="FFFFFF"/>
            <w:noWrap w:val="0"/>
            <w:vAlign w:val="center"/>
          </w:tcPr>
          <w:p>
            <w:pPr>
              <w:widowControl/>
              <w:spacing w:line="0" w:lineRule="atLeast"/>
              <w:ind w:firstLine="0" w:firstLineChars="0"/>
              <w:rPr>
                <w:rFonts w:hint="eastAsia" w:ascii="宋体" w:hAnsi="宋体" w:eastAsia="宋体" w:cs="宋体"/>
                <w:color w:val="auto"/>
                <w:kern w:val="0"/>
                <w:sz w:val="22"/>
                <w:szCs w:val="22"/>
                <w:lang w:val="en-US" w:eastAsia="zh-CN"/>
              </w:rPr>
            </w:pPr>
            <w:r>
              <w:rPr>
                <w:rFonts w:hint="eastAsia" w:cs="宋体"/>
                <w:color w:val="auto"/>
                <w:kern w:val="0"/>
                <w:sz w:val="22"/>
                <w:szCs w:val="22"/>
                <w:lang w:val="en-US" w:eastAsia="zh-CN"/>
              </w:rPr>
              <w:t>5</w:t>
            </w:r>
          </w:p>
        </w:tc>
        <w:tc>
          <w:tcPr>
            <w:tcW w:w="769" w:type="dxa"/>
            <w:shd w:val="clear" w:color="000000" w:fill="FFFFFF"/>
            <w:noWrap w:val="0"/>
            <w:vAlign w:val="center"/>
          </w:tcPr>
          <w:p>
            <w:pPr>
              <w:widowControl/>
              <w:spacing w:line="0" w:lineRule="atLeast"/>
              <w:ind w:firstLine="0" w:firstLineChars="0"/>
              <w:rPr>
                <w:rFonts w:hint="eastAsia" w:ascii="宋体" w:hAnsi="宋体" w:eastAsia="宋体" w:cs="宋体"/>
                <w:color w:val="auto"/>
                <w:kern w:val="0"/>
                <w:sz w:val="22"/>
                <w:szCs w:val="22"/>
                <w:lang w:val="en-US" w:eastAsia="zh-CN"/>
              </w:rPr>
            </w:pPr>
            <w:r>
              <w:rPr>
                <w:rFonts w:hint="eastAsia" w:cs="宋体"/>
                <w:color w:val="auto"/>
                <w:kern w:val="0"/>
                <w:sz w:val="22"/>
                <w:szCs w:val="22"/>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jc w:val="center"/>
        </w:trPr>
        <w:tc>
          <w:tcPr>
            <w:tcW w:w="861" w:type="dxa"/>
            <w:vMerge w:val="restart"/>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效益　</w:t>
            </w:r>
          </w:p>
        </w:tc>
        <w:tc>
          <w:tcPr>
            <w:tcW w:w="727" w:type="dxa"/>
            <w:vMerge w:val="restart"/>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项目效益　</w:t>
            </w:r>
          </w:p>
        </w:tc>
        <w:tc>
          <w:tcPr>
            <w:tcW w:w="820" w:type="dxa"/>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实施效益</w:t>
            </w:r>
          </w:p>
        </w:tc>
        <w:tc>
          <w:tcPr>
            <w:tcW w:w="2141" w:type="dxa"/>
            <w:shd w:val="clear" w:color="auto" w:fill="FFFFFF"/>
            <w:noWrap w:val="0"/>
            <w:vAlign w:val="center"/>
          </w:tcPr>
          <w:p>
            <w:pPr>
              <w:widowControl/>
              <w:spacing w:line="0" w:lineRule="atLeast"/>
              <w:ind w:firstLine="0" w:firstLineChars="0"/>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项目实施所产生的效益。</w:t>
            </w:r>
          </w:p>
        </w:tc>
        <w:tc>
          <w:tcPr>
            <w:tcW w:w="7821" w:type="dxa"/>
            <w:shd w:val="clear" w:color="auto"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项目实施所产生的社会效益、经济效益、生态效益、可持续影响等。可根据项目实际情况有选择地设置和细化。</w:t>
            </w:r>
          </w:p>
        </w:tc>
        <w:tc>
          <w:tcPr>
            <w:tcW w:w="785" w:type="dxa"/>
            <w:shd w:val="clear" w:color="auto" w:fill="FFFFFF"/>
            <w:noWrap w:val="0"/>
            <w:vAlign w:val="center"/>
          </w:tcPr>
          <w:p>
            <w:pPr>
              <w:widowControl/>
              <w:spacing w:line="0" w:lineRule="atLeast"/>
              <w:ind w:firstLine="0" w:firstLineChars="0"/>
              <w:rPr>
                <w:rFonts w:hint="default" w:ascii="宋体" w:hAnsi="宋体" w:eastAsia="宋体" w:cs="宋体"/>
                <w:color w:val="auto"/>
                <w:kern w:val="0"/>
                <w:sz w:val="22"/>
                <w:szCs w:val="22"/>
                <w:lang w:val="en-US" w:eastAsia="zh-CN"/>
              </w:rPr>
            </w:pPr>
            <w:r>
              <w:rPr>
                <w:rFonts w:hint="eastAsia" w:cs="宋体"/>
                <w:color w:val="auto"/>
                <w:kern w:val="0"/>
                <w:sz w:val="22"/>
                <w:szCs w:val="22"/>
                <w:lang w:val="en-US" w:eastAsia="zh-CN"/>
              </w:rPr>
              <w:t>20</w:t>
            </w:r>
          </w:p>
        </w:tc>
        <w:tc>
          <w:tcPr>
            <w:tcW w:w="769" w:type="dxa"/>
            <w:shd w:val="clear" w:color="auto" w:fill="FFFFFF"/>
            <w:noWrap w:val="0"/>
            <w:vAlign w:val="center"/>
          </w:tcPr>
          <w:p>
            <w:pPr>
              <w:widowControl/>
              <w:spacing w:line="0" w:lineRule="atLeast"/>
              <w:ind w:firstLine="0" w:firstLineChars="0"/>
              <w:rPr>
                <w:rFonts w:hint="default" w:ascii="宋体" w:hAnsi="宋体" w:eastAsia="宋体" w:cs="宋体"/>
                <w:color w:val="auto"/>
                <w:kern w:val="0"/>
                <w:sz w:val="22"/>
                <w:szCs w:val="22"/>
                <w:lang w:val="en-US" w:eastAsia="zh-CN"/>
              </w:rPr>
            </w:pPr>
            <w:r>
              <w:rPr>
                <w:rFonts w:hint="eastAsia" w:cs="宋体"/>
                <w:color w:val="auto"/>
                <w:kern w:val="0"/>
                <w:sz w:val="22"/>
                <w:szCs w:val="22"/>
                <w:lang w:val="en-US" w:eastAsia="zh-CN"/>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861" w:type="dxa"/>
            <w:vMerge w:val="continue"/>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p>
        </w:tc>
        <w:tc>
          <w:tcPr>
            <w:tcW w:w="727" w:type="dxa"/>
            <w:vMerge w:val="continue"/>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p>
        </w:tc>
        <w:tc>
          <w:tcPr>
            <w:tcW w:w="820" w:type="dxa"/>
            <w:shd w:val="clear" w:color="auto" w:fill="FFFFFF"/>
            <w:noWrap w:val="0"/>
            <w:vAlign w:val="center"/>
          </w:tcPr>
          <w:p>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满意度</w:t>
            </w:r>
          </w:p>
        </w:tc>
        <w:tc>
          <w:tcPr>
            <w:tcW w:w="214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社会公众或服务对象对项目实施效果的满意程度。</w:t>
            </w:r>
          </w:p>
        </w:tc>
        <w:tc>
          <w:tcPr>
            <w:tcW w:w="7821" w:type="dxa"/>
            <w:shd w:val="clear" w:color="000000" w:fill="FFFFFF"/>
            <w:noWrap w:val="0"/>
            <w:vAlign w:val="center"/>
          </w:tcPr>
          <w:p>
            <w:pPr>
              <w:widowControl/>
              <w:spacing w:line="0" w:lineRule="atLeast"/>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社会公众或服务对象是指因该项目实施而受到影响的部门（单位）、群体或个人。一般采取社会调查的方式。</w:t>
            </w:r>
          </w:p>
        </w:tc>
        <w:tc>
          <w:tcPr>
            <w:tcW w:w="785" w:type="dxa"/>
            <w:shd w:val="clear" w:color="000000" w:fill="FFFFFF"/>
            <w:noWrap w:val="0"/>
            <w:vAlign w:val="center"/>
          </w:tcPr>
          <w:p>
            <w:pPr>
              <w:widowControl/>
              <w:spacing w:line="0" w:lineRule="atLeast"/>
              <w:ind w:firstLine="0" w:firstLineChars="0"/>
              <w:rPr>
                <w:rFonts w:hint="default" w:ascii="宋体" w:hAnsi="宋体" w:eastAsia="宋体" w:cs="宋体"/>
                <w:color w:val="auto"/>
                <w:kern w:val="0"/>
                <w:sz w:val="22"/>
                <w:szCs w:val="22"/>
                <w:lang w:val="en-US" w:eastAsia="zh-CN"/>
              </w:rPr>
            </w:pPr>
            <w:r>
              <w:rPr>
                <w:rFonts w:hint="eastAsia" w:cs="宋体"/>
                <w:color w:val="auto"/>
                <w:kern w:val="0"/>
                <w:sz w:val="22"/>
                <w:szCs w:val="22"/>
                <w:lang w:val="en-US" w:eastAsia="zh-CN"/>
              </w:rPr>
              <w:t>10</w:t>
            </w:r>
          </w:p>
        </w:tc>
        <w:tc>
          <w:tcPr>
            <w:tcW w:w="769" w:type="dxa"/>
            <w:shd w:val="clear" w:color="000000" w:fill="FFFFFF"/>
            <w:noWrap w:val="0"/>
            <w:vAlign w:val="center"/>
          </w:tcPr>
          <w:p>
            <w:pPr>
              <w:widowControl/>
              <w:spacing w:line="0" w:lineRule="atLeast"/>
              <w:ind w:firstLine="0" w:firstLineChars="0"/>
              <w:rPr>
                <w:rFonts w:hint="default" w:ascii="宋体" w:hAnsi="宋体" w:eastAsia="宋体" w:cs="宋体"/>
                <w:color w:val="auto"/>
                <w:kern w:val="0"/>
                <w:sz w:val="22"/>
                <w:szCs w:val="22"/>
                <w:lang w:val="en-US" w:eastAsia="zh-CN"/>
              </w:rPr>
            </w:pPr>
            <w:r>
              <w:rPr>
                <w:rFonts w:hint="eastAsia" w:cs="宋体"/>
                <w:color w:val="auto"/>
                <w:kern w:val="0"/>
                <w:sz w:val="22"/>
                <w:szCs w:val="22"/>
                <w:lang w:val="en-US" w:eastAsia="zh-CN"/>
              </w:rPr>
              <w:t>10</w:t>
            </w:r>
          </w:p>
        </w:tc>
      </w:tr>
    </w:tbl>
    <w:p>
      <w:pPr>
        <w:spacing w:line="240" w:lineRule="auto"/>
        <w:ind w:firstLine="0" w:firstLineChars="0"/>
        <w:rPr>
          <w:rFonts w:ascii="Times New Roman" w:hAnsi="Times New Roman" w:eastAsia="仿宋_GB2312" w:cs="Times New Roman"/>
          <w:color w:val="auto"/>
          <w:sz w:val="30"/>
          <w:szCs w:val="24"/>
        </w:rPr>
      </w:pPr>
    </w:p>
    <w:p>
      <w:pPr>
        <w:rPr>
          <w:rFonts w:hint="default"/>
          <w:color w:val="auto"/>
          <w:lang w:val="en-US" w:eastAsia="zh-CN"/>
        </w:rPr>
      </w:pPr>
    </w:p>
    <w:sectPr>
      <w:pgSz w:w="16838" w:h="11906" w:orient="landscape"/>
      <w:pgMar w:top="1800" w:right="1440" w:bottom="1800" w:left="1440" w:header="737" w:footer="851" w:gutter="0"/>
      <w:pgNumType w:fmt="decimal"/>
      <w:cols w:space="720"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C92B9"/>
    <w:multiLevelType w:val="singleLevel"/>
    <w:tmpl w:val="826C92B9"/>
    <w:lvl w:ilvl="0" w:tentative="0">
      <w:start w:val="2"/>
      <w:numFmt w:val="chineseCounting"/>
      <w:suff w:val="nothing"/>
      <w:lvlText w:val="（%1）"/>
      <w:lvlJc w:val="left"/>
      <w:rPr>
        <w:rFonts w:hint="eastAsia"/>
      </w:rPr>
    </w:lvl>
  </w:abstractNum>
  <w:abstractNum w:abstractNumId="1">
    <w:nsid w:val="9CC6D4E5"/>
    <w:multiLevelType w:val="singleLevel"/>
    <w:tmpl w:val="9CC6D4E5"/>
    <w:lvl w:ilvl="0" w:tentative="0">
      <w:start w:val="4"/>
      <w:numFmt w:val="decimal"/>
      <w:lvlText w:val="%1."/>
      <w:lvlJc w:val="left"/>
      <w:pPr>
        <w:tabs>
          <w:tab w:val="left" w:pos="312"/>
        </w:tabs>
      </w:pPr>
    </w:lvl>
  </w:abstractNum>
  <w:abstractNum w:abstractNumId="2">
    <w:nsid w:val="F8E64B2D"/>
    <w:multiLevelType w:val="singleLevel"/>
    <w:tmpl w:val="F8E64B2D"/>
    <w:lvl w:ilvl="0" w:tentative="0">
      <w:start w:val="3"/>
      <w:numFmt w:val="chineseCounting"/>
      <w:suff w:val="nothing"/>
      <w:lvlText w:val="%1、"/>
      <w:lvlJc w:val="left"/>
      <w:rPr>
        <w:rFonts w:hint="eastAsia"/>
      </w:rPr>
    </w:lvl>
  </w:abstractNum>
  <w:abstractNum w:abstractNumId="3">
    <w:nsid w:val="1FFA6D59"/>
    <w:multiLevelType w:val="singleLevel"/>
    <w:tmpl w:val="1FFA6D59"/>
    <w:lvl w:ilvl="0" w:tentative="0">
      <w:start w:val="1"/>
      <w:numFmt w:val="chineseCounting"/>
      <w:suff w:val="nothing"/>
      <w:lvlText w:val="（%1）"/>
      <w:lvlJc w:val="left"/>
      <w:pPr>
        <w:ind w:left="0" w:firstLine="420"/>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NGMzZjdhNTk2ZTdlODc1ZGU4ZjUyYmNjZjNjMGIifQ=="/>
  </w:docVars>
  <w:rsids>
    <w:rsidRoot w:val="68291A1A"/>
    <w:rsid w:val="01470C4C"/>
    <w:rsid w:val="02200440"/>
    <w:rsid w:val="02284B43"/>
    <w:rsid w:val="02B015E2"/>
    <w:rsid w:val="039C3BA0"/>
    <w:rsid w:val="03A845BB"/>
    <w:rsid w:val="04D63993"/>
    <w:rsid w:val="053E33E3"/>
    <w:rsid w:val="07890F4F"/>
    <w:rsid w:val="078E5270"/>
    <w:rsid w:val="09781BD6"/>
    <w:rsid w:val="0A936A12"/>
    <w:rsid w:val="0D4452F3"/>
    <w:rsid w:val="0D8D125B"/>
    <w:rsid w:val="0F5E5042"/>
    <w:rsid w:val="10510571"/>
    <w:rsid w:val="11FA6155"/>
    <w:rsid w:val="12CF0947"/>
    <w:rsid w:val="12F1313F"/>
    <w:rsid w:val="136C678E"/>
    <w:rsid w:val="13EB2FF5"/>
    <w:rsid w:val="141B7A56"/>
    <w:rsid w:val="146C5C86"/>
    <w:rsid w:val="15C009F7"/>
    <w:rsid w:val="165825BC"/>
    <w:rsid w:val="176F36D7"/>
    <w:rsid w:val="18456B1E"/>
    <w:rsid w:val="1C1171C5"/>
    <w:rsid w:val="1C825F20"/>
    <w:rsid w:val="1DA41A79"/>
    <w:rsid w:val="1DF53469"/>
    <w:rsid w:val="1E58492F"/>
    <w:rsid w:val="1E5B6757"/>
    <w:rsid w:val="1E7828D6"/>
    <w:rsid w:val="1ED10AC6"/>
    <w:rsid w:val="1FC0575D"/>
    <w:rsid w:val="21B00C1D"/>
    <w:rsid w:val="23031BEB"/>
    <w:rsid w:val="23917691"/>
    <w:rsid w:val="244D65B8"/>
    <w:rsid w:val="245E1E24"/>
    <w:rsid w:val="266C1AF0"/>
    <w:rsid w:val="27661469"/>
    <w:rsid w:val="27900EAD"/>
    <w:rsid w:val="279B538A"/>
    <w:rsid w:val="286F545C"/>
    <w:rsid w:val="29314FBC"/>
    <w:rsid w:val="295220C5"/>
    <w:rsid w:val="2C927671"/>
    <w:rsid w:val="2D7C5CD6"/>
    <w:rsid w:val="2E483E7E"/>
    <w:rsid w:val="2EAD4AD9"/>
    <w:rsid w:val="2F454B19"/>
    <w:rsid w:val="31E3230A"/>
    <w:rsid w:val="33120523"/>
    <w:rsid w:val="33356F64"/>
    <w:rsid w:val="33944516"/>
    <w:rsid w:val="34B62907"/>
    <w:rsid w:val="38782EDD"/>
    <w:rsid w:val="3B42664A"/>
    <w:rsid w:val="3BFF0015"/>
    <w:rsid w:val="3D836A4E"/>
    <w:rsid w:val="3EFE073C"/>
    <w:rsid w:val="3F487487"/>
    <w:rsid w:val="3FBE0BC5"/>
    <w:rsid w:val="4048103A"/>
    <w:rsid w:val="435241E2"/>
    <w:rsid w:val="439E3FA7"/>
    <w:rsid w:val="44B32266"/>
    <w:rsid w:val="44FC64F4"/>
    <w:rsid w:val="467F4585"/>
    <w:rsid w:val="46852FFE"/>
    <w:rsid w:val="470628CB"/>
    <w:rsid w:val="47555BD4"/>
    <w:rsid w:val="48E12B50"/>
    <w:rsid w:val="499441BE"/>
    <w:rsid w:val="4A2138F0"/>
    <w:rsid w:val="4A583887"/>
    <w:rsid w:val="4A9D353B"/>
    <w:rsid w:val="4B9F6E02"/>
    <w:rsid w:val="4D9D0871"/>
    <w:rsid w:val="4E6E48A8"/>
    <w:rsid w:val="4EEC036B"/>
    <w:rsid w:val="4F636A99"/>
    <w:rsid w:val="501D2673"/>
    <w:rsid w:val="51852833"/>
    <w:rsid w:val="53555F0F"/>
    <w:rsid w:val="535F2A8F"/>
    <w:rsid w:val="583C7AE0"/>
    <w:rsid w:val="59216F96"/>
    <w:rsid w:val="5B9D2CCD"/>
    <w:rsid w:val="5F5D4245"/>
    <w:rsid w:val="60CD2738"/>
    <w:rsid w:val="67394C7D"/>
    <w:rsid w:val="67EE53B8"/>
    <w:rsid w:val="68126B38"/>
    <w:rsid w:val="68291A1A"/>
    <w:rsid w:val="691B1594"/>
    <w:rsid w:val="6A17429C"/>
    <w:rsid w:val="6A567EA3"/>
    <w:rsid w:val="6B4B4368"/>
    <w:rsid w:val="6C7557AF"/>
    <w:rsid w:val="6CBF10C2"/>
    <w:rsid w:val="6DF27166"/>
    <w:rsid w:val="6E557973"/>
    <w:rsid w:val="6F0D6C22"/>
    <w:rsid w:val="6F47657F"/>
    <w:rsid w:val="70670707"/>
    <w:rsid w:val="720E3691"/>
    <w:rsid w:val="732764B3"/>
    <w:rsid w:val="75E5007C"/>
    <w:rsid w:val="77861774"/>
    <w:rsid w:val="79300B45"/>
    <w:rsid w:val="794D3E18"/>
    <w:rsid w:val="79F3729A"/>
    <w:rsid w:val="7ACB0498"/>
    <w:rsid w:val="7AE0201A"/>
    <w:rsid w:val="7AED0B4D"/>
    <w:rsid w:val="7C1E4487"/>
    <w:rsid w:val="7C215E02"/>
    <w:rsid w:val="7CF23764"/>
    <w:rsid w:val="7DFC49B4"/>
    <w:rsid w:val="7FC52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ascii="宋体" w:hAnsi="宋体" w:eastAsia="宋体" w:cs="宋体"/>
      <w:kern w:val="2"/>
      <w:sz w:val="28"/>
      <w:szCs w:val="28"/>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964" w:firstLineChars="200"/>
      <w:outlineLvl w:val="0"/>
    </w:pPr>
    <w:rPr>
      <w:rFonts w:ascii="Times New Roman" w:hAnsi="Times New Roman" w:eastAsia="黑体"/>
      <w:kern w:val="44"/>
      <w:sz w:val="32"/>
      <w:szCs w:val="22"/>
    </w:rPr>
  </w:style>
  <w:style w:type="paragraph" w:styleId="4">
    <w:name w:val="heading 2"/>
    <w:basedOn w:val="1"/>
    <w:next w:val="1"/>
    <w:link w:val="12"/>
    <w:unhideWhenUsed/>
    <w:qFormat/>
    <w:uiPriority w:val="0"/>
    <w:pPr>
      <w:keepNext/>
      <w:keepLines/>
      <w:spacing w:beforeLines="0" w:beforeAutospacing="0" w:afterLines="0" w:afterAutospacing="0" w:line="560" w:lineRule="exact"/>
      <w:ind w:firstLine="964" w:firstLineChars="200"/>
      <w:outlineLvl w:val="1"/>
    </w:pPr>
    <w:rPr>
      <w:rFonts w:ascii="Arial" w:hAnsi="Arial" w:eastAsia="楷体"/>
      <w:b/>
      <w:sz w:val="32"/>
    </w:rPr>
  </w:style>
  <w:style w:type="paragraph" w:styleId="5">
    <w:name w:val="heading 3"/>
    <w:basedOn w:val="1"/>
    <w:next w:val="1"/>
    <w:qFormat/>
    <w:uiPriority w:val="99"/>
    <w:pPr>
      <w:keepNext/>
      <w:keepLines/>
      <w:spacing w:line="560" w:lineRule="exact"/>
      <w:ind w:firstLine="883" w:firstLineChars="200"/>
      <w:outlineLvl w:val="2"/>
    </w:pPr>
    <w:rPr>
      <w:rFonts w:ascii="仿宋_GB2312" w:hAnsi="仿宋_GB2312" w:eastAsia="仿宋_GB2312"/>
      <w:b/>
      <w:bCs/>
      <w:kern w:val="0"/>
      <w:sz w:val="28"/>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after="60" w:afterLines="0"/>
      <w:jc w:val="left"/>
      <w:outlineLvl w:val="0"/>
    </w:pPr>
    <w:rPr>
      <w:rFonts w:ascii="MS Sans Serif" w:hAnsi="MS Sans Serif" w:eastAsia="宋体" w:cs="MS Sans Serif"/>
      <w:b/>
      <w:bCs/>
      <w:sz w:val="24"/>
      <w:szCs w:val="32"/>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正文 A"/>
    <w:qFormat/>
    <w:uiPriority w:val="99"/>
    <w:pPr>
      <w:widowControl w:val="0"/>
      <w:spacing w:before="50" w:after="50" w:line="360" w:lineRule="auto"/>
    </w:pPr>
    <w:rPr>
      <w:rFonts w:ascii="Times New Roman" w:hAnsi="Arial Unicode MS" w:eastAsia="Arial Unicode MS" w:cs="Arial Unicode MS"/>
      <w:color w:val="000000"/>
      <w:kern w:val="2"/>
      <w:sz w:val="28"/>
      <w:szCs w:val="28"/>
      <w:u w:color="000000"/>
      <w:lang w:val="en-US" w:eastAsia="zh-CN" w:bidi="ar-SA"/>
    </w:rPr>
  </w:style>
  <w:style w:type="character" w:customStyle="1" w:styleId="12">
    <w:name w:val="标题 2 Char"/>
    <w:link w:val="4"/>
    <w:qFormat/>
    <w:uiPriority w:val="0"/>
    <w:rPr>
      <w:rFonts w:ascii="Arial" w:hAnsi="Arial" w:eastAsia="楷体"/>
      <w:b/>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11876</Words>
  <Characters>12524</Characters>
  <Lines>0</Lines>
  <Paragraphs>0</Paragraphs>
  <TotalTime>0</TotalTime>
  <ScaleCrop>false</ScaleCrop>
  <LinksUpToDate>false</LinksUpToDate>
  <CharactersWithSpaces>12585</CharactersWithSpaces>
  <Application>WPS Office_11.8.2.12162_F1E327BC-269C-435d-A152-05C5408002CA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2020-04-01T11:28:00Z</dcterms:created>
  <dc:creator>驰远天合-柴万顺-18690160103</dc:creator>
  <cp:lastModifiedBy>Administrator</cp:lastModifiedBy>
  <dcterms:modified xsi:type="dcterms:W3CDTF">2024-12-16T03:59:22Z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2052-11.8.2.12162</vt:lpwstr>
  </property>
  <property fmtid="{D5CDD505-2E9C-101B-9397-08002B2CF9AE}" pid="3" name="ICV">
    <vt:lpwstr>04AA9079B8E54CA08917484A653528D0</vt:lpwstr>
  </property>
</Properties>
</file>