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昌州财教【2022】85号提前下达2023年特殊教育补助资金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项目名称：昌州财教【2022】85号提前下达2023年特殊教育补助资金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jc w:val="left"/>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阜康市上户沟哈萨克族乡中心学校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jc w:val="left"/>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昌州财教【2022】85号提前下达2023年特殊教育补助资金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根据自治区财政厅《关于提前下达2023年特殊教育补助资金预算的通知》（新财教[2022]179号）文件精神，对我校拨付昌州财教【2022】85号提前下达2023年特殊教育补助资金2023年特殊教育补助资金20万元，保障学校教育教学工作正常开展，提高教育教学环境</w:t>
      </w:r>
      <w:r>
        <w:rPr>
          <w:rFonts w:hint="eastAsia" w:cs="宋体"/>
          <w:color w:val="auto"/>
          <w:highlight w:val="none"/>
          <w:shd w:val="clear" w:color="auto" w:fill="auto"/>
          <w:lang w:val="en-US" w:eastAsia="zh-CN"/>
        </w:rPr>
        <w:t>。</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858"/>
      <w:r>
        <w:rPr>
          <w:rFonts w:hint="eastAsia" w:ascii="宋体" w:hAnsi="宋体" w:eastAsia="宋体" w:cs="宋体"/>
          <w:b w:val="0"/>
          <w:bCs w:val="0"/>
          <w:color w:val="auto"/>
          <w:kern w:val="2"/>
          <w:sz w:val="28"/>
          <w:szCs w:val="28"/>
          <w:highlight w:val="none"/>
          <w:shd w:val="clear" w:color="auto" w:fill="auto"/>
          <w:lang w:val="en-US" w:eastAsia="zh-CN" w:bidi="ar-SA"/>
        </w:rPr>
        <w:t>主要内容：完成2023年特殊资源教室维修改造、教学设备购置保障20万元。</w:t>
      </w:r>
    </w:p>
    <w:p>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组织实施：特殊资源教室维修改造施工单位为新疆奇峰建筑装饰有限公司，该工程项目前期手续完备，目前已完工投入使用。教学设备购置施工单位为新疆德钰峰工程项目管理有限公司，该项目严格按照政府采购流程办理，目前已完工投入使用。</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截至2023年12月31日，昌州财教【2022】85号提前下达2023年特殊教育补助资金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7" w:name="_Toc2879"/>
      <w:r>
        <w:rPr>
          <w:rFonts w:hint="eastAsia" w:ascii="宋体" w:hAnsi="宋体" w:eastAsia="宋体" w:cs="宋体"/>
          <w:color w:val="auto"/>
          <w:highlight w:val="none"/>
          <w:shd w:val="clear" w:color="auto" w:fill="auto"/>
        </w:rPr>
        <w:t>项目绩效目标</w:t>
      </w:r>
      <w:bookmarkEnd w:id="7"/>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8" w:name="_Toc10047"/>
      <w:r>
        <w:rPr>
          <w:rFonts w:hint="eastAsia" w:ascii="宋体" w:hAnsi="宋体" w:eastAsia="宋体" w:cs="宋体"/>
          <w:color w:val="auto"/>
          <w:highlight w:val="none"/>
          <w:shd w:val="clear" w:color="auto" w:fill="auto"/>
          <w:lang w:val="en-US" w:eastAsia="zh-CN"/>
        </w:rPr>
        <w:t>1.总体目标</w:t>
      </w:r>
      <w:bookmarkEnd w:id="8"/>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85号提前下达2023年特殊教育补助资金项目绩效总体目标为：我单位为义务教育阶段小学教育，实施九年义务教育，促进基础教育发展。我校2023年采购特殊资源教室设施采购一批，完工合格率达到100%，资金支付及时率达到100%，资源教室维修改造经费4.92万元，教学设备购置保障经费12.88万元，该项目实施保障学校教育教学工作正常开展，提高教育教学环境。计划支付2023年特殊资源教室项目20万元。</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4487"/>
      <w:r>
        <w:rPr>
          <w:rFonts w:hint="eastAsia" w:ascii="宋体" w:hAnsi="宋体" w:eastAsia="宋体" w:cs="宋体"/>
          <w:color w:val="auto"/>
          <w:highlight w:val="none"/>
          <w:shd w:val="clear" w:color="auto" w:fill="auto"/>
          <w:lang w:val="en-US" w:eastAsia="zh-CN"/>
        </w:rPr>
        <w:t>2.阶段性目标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特殊资源教室设备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≧1批</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政府采购率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特殊资源教室合格率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项目计划开工时间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项目计划完工时间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2023-12-31前</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资源教室维修改造经费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 xml:space="preserve">≤4.92万元 </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教学设备购置保障经费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 xml:space="preserve">≤12.88万元  </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该项目不涉及经济效益指标；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保障学校教育教学工作正常开展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 xml:space="preserve">保障 </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提高教育教学环境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该项目不涉及</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该项目不涉及可持续影响</w:t>
      </w:r>
      <w:r>
        <w:rPr>
          <w:rFonts w:hint="eastAsia" w:cs="宋体"/>
          <w:color w:val="auto"/>
          <w:highlight w:val="none"/>
          <w:shd w:val="clear" w:color="auto" w:fill="auto"/>
          <w:lang w:val="en-US" w:eastAsia="zh-CN"/>
        </w:rPr>
        <w:t>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2549"/>
      <w:r>
        <w:rPr>
          <w:rFonts w:hint="eastAsia" w:ascii="宋体" w:hAnsi="宋体" w:eastAsia="宋体" w:cs="宋体"/>
          <w:color w:val="auto"/>
          <w:highlight w:val="none"/>
          <w:shd w:val="clear" w:color="auto" w:fill="auto"/>
          <w:lang w:val="en-US" w:eastAsia="zh-CN"/>
        </w:rPr>
        <w:t>该项目不涉及满意度指标。</w:t>
      </w:r>
    </w:p>
    <w:p>
      <w:pPr>
        <w:pStyle w:val="2"/>
        <w:pageBreakBefore w:val="0"/>
        <w:kinsoku/>
        <w:wordWrap/>
        <w:overflowPunct/>
        <w:topLinePunct w:val="0"/>
        <w:autoSpaceDE/>
        <w:autoSpaceDN/>
        <w:bidi w:val="0"/>
        <w:adjustRightInd/>
        <w:spacing w:beforeLines="0" w:afterLines="0" w:line="360" w:lineRule="auto"/>
        <w:ind w:left="0" w:leftChars="0" w:firstLine="0" w:firstLineChars="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0"/>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1" w:name="_Toc5462343"/>
      <w:bookmarkStart w:id="12" w:name="_Toc22169_WPSOffice_Level2"/>
      <w:bookmarkStart w:id="13" w:name="_Toc22922"/>
      <w:bookmarkStart w:id="14" w:name="_Toc26632"/>
      <w:bookmarkStart w:id="15" w:name="_Toc21664"/>
      <w:bookmarkStart w:id="16" w:name="_Toc480473081"/>
      <w:bookmarkStart w:id="17" w:name="_Toc5258"/>
      <w:bookmarkStart w:id="18" w:name="_Toc12868"/>
      <w:bookmarkStart w:id="19" w:name="_Toc21778"/>
      <w:r>
        <w:rPr>
          <w:rFonts w:hint="eastAsia" w:ascii="宋体" w:hAnsi="宋体" w:eastAsia="宋体" w:cs="宋体"/>
          <w:color w:val="auto"/>
          <w:sz w:val="32"/>
          <w:szCs w:val="32"/>
          <w:highlight w:val="none"/>
          <w:shd w:val="clear" w:color="auto" w:fill="auto"/>
          <w:lang w:eastAsia="zh-CN"/>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auto"/>
          <w:sz w:val="32"/>
          <w:szCs w:val="32"/>
          <w:highlight w:val="none"/>
          <w:shd w:val="clear" w:color="auto" w:fill="auto"/>
          <w:lang w:eastAsia="zh-CN"/>
        </w:rPr>
        <w:t>、对象和范围</w:t>
      </w:r>
      <w:bookmarkEnd w:id="19"/>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0"/>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1" w:name="_Toc30609"/>
      <w:r>
        <w:rPr>
          <w:rFonts w:hint="eastAsia" w:ascii="宋体" w:hAnsi="宋体" w:eastAsia="宋体" w:cs="宋体"/>
          <w:color w:val="auto"/>
          <w:highlight w:val="none"/>
          <w:shd w:val="clear" w:color="auto" w:fill="auto"/>
          <w:lang w:val="en-US" w:eastAsia="zh-CN"/>
        </w:rPr>
        <w:t>2.绩效评价的对象和范围</w:t>
      </w:r>
      <w:bookmarkEnd w:id="2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2"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2"/>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3"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4" w:name="_Toc419984722"/>
      <w:bookmarkStart w:id="25" w:name="_Toc1913"/>
      <w:bookmarkStart w:id="26" w:name="_Toc428278230"/>
      <w:bookmarkStart w:id="27" w:name="_Toc26131"/>
      <w:bookmarkStart w:id="28"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4"/>
      <w:bookmarkEnd w:id="25"/>
      <w:bookmarkEnd w:id="26"/>
      <w:bookmarkEnd w:id="27"/>
      <w:r>
        <w:rPr>
          <w:rFonts w:hint="eastAsia" w:ascii="宋体" w:hAnsi="宋体" w:eastAsia="宋体" w:cs="宋体"/>
          <w:color w:val="auto"/>
          <w:highlight w:val="none"/>
          <w:shd w:val="clear" w:color="auto" w:fill="auto"/>
          <w:lang w:val="en-US" w:eastAsia="zh-CN"/>
        </w:rPr>
        <w:t>标准</w:t>
      </w:r>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9"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val="en-US" w:eastAsia="zh-CN"/>
        </w:rPr>
        <w:t>项目进行评价。</w:t>
      </w:r>
    </w:p>
    <w:p>
      <w:pPr>
        <w:pStyle w:val="4"/>
        <w:rPr>
          <w:rFonts w:hint="default" w:ascii="宋体" w:hAnsi="宋体" w:eastAsia="宋体" w:cs="宋体"/>
          <w:color w:val="auto"/>
          <w:highlight w:val="none"/>
          <w:shd w:val="clear" w:color="auto" w:fill="auto"/>
          <w:lang w:val="en-US" w:eastAsia="zh-CN"/>
        </w:rPr>
      </w:pPr>
      <w:bookmarkStart w:id="30" w:name="_Toc25391"/>
      <w:r>
        <w:rPr>
          <w:rFonts w:hint="eastAsia" w:ascii="宋体" w:hAnsi="宋体" w:eastAsia="宋体" w:cs="宋体"/>
          <w:color w:val="auto"/>
          <w:highlight w:val="none"/>
          <w:shd w:val="clear" w:color="auto" w:fill="auto"/>
          <w:lang w:val="en-US" w:eastAsia="zh-CN"/>
        </w:rPr>
        <w:t>4.评价标准</w:t>
      </w:r>
      <w:bookmarkEnd w:id="3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1" w:name="_Toc1070"/>
      <w:r>
        <w:rPr>
          <w:rFonts w:hint="eastAsia" w:ascii="宋体" w:hAnsi="宋体" w:eastAsia="宋体" w:cs="宋体"/>
          <w:color w:val="auto"/>
          <w:highlight w:val="none"/>
          <w:shd w:val="clear" w:color="auto" w:fill="auto"/>
          <w:lang w:val="en-US" w:eastAsia="zh-CN"/>
        </w:rPr>
        <w:t>（三）绩效评价工作过程</w:t>
      </w:r>
      <w:bookmarkEnd w:id="31"/>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2" w:name="_Toc12862"/>
      <w:r>
        <w:rPr>
          <w:rFonts w:hint="eastAsia" w:ascii="宋体" w:hAnsi="宋体" w:eastAsia="宋体" w:cs="宋体"/>
          <w:color w:val="auto"/>
          <w:highlight w:val="none"/>
          <w:shd w:val="clear" w:color="auto" w:fill="auto"/>
          <w:lang w:val="en-US" w:eastAsia="zh-CN"/>
        </w:rPr>
        <w:t>1.前期准备</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85号提前下达2023年特殊教育补助资金项目实施内容、目标信息、预算信息以及其他的一些项目基本信息，有了初步了解，为制定绩效评价工作方案做好准备。</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8"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1"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3"/>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4"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昌州财教【2022】85号提前下达2023年特殊教育补助资金</w:t>
            </w:r>
            <w:r>
              <w:rPr>
                <w:rFonts w:hint="eastAsia" w:ascii="宋体" w:hAnsi="宋体" w:eastAsia="宋体" w:cs="宋体"/>
                <w:b/>
                <w:bCs/>
                <w:color w:val="auto"/>
                <w:kern w:val="0"/>
                <w:sz w:val="28"/>
                <w:szCs w:val="28"/>
                <w:highlight w:val="none"/>
                <w:shd w:val="clear" w:color="auto" w:fill="auto"/>
                <w:lang w:val="en-US" w:eastAsia="zh-CN"/>
              </w:rPr>
              <w:t>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5" w:name="_Toc9421"/>
      <w:r>
        <w:rPr>
          <w:rFonts w:hint="eastAsia" w:ascii="宋体" w:hAnsi="宋体" w:eastAsia="宋体" w:cs="宋体"/>
          <w:b/>
          <w:bCs/>
          <w:color w:val="auto"/>
          <w:highlight w:val="none"/>
          <w:shd w:val="clear" w:color="auto" w:fill="auto"/>
          <w:lang w:val="en-US" w:eastAsia="zh-CN"/>
        </w:rPr>
        <w:t>四、绩效评价指标分析</w:t>
      </w:r>
      <w:bookmarkEnd w:id="55"/>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6" w:name="_Toc15355"/>
      <w:r>
        <w:rPr>
          <w:rFonts w:hint="eastAsia" w:ascii="宋体" w:hAnsi="宋体" w:eastAsia="宋体" w:cs="宋体"/>
          <w:color w:val="auto"/>
          <w:highlight w:val="none"/>
          <w:shd w:val="clear" w:color="auto" w:fill="auto"/>
        </w:rPr>
        <w:t>（一）项目决策情况</w:t>
      </w:r>
      <w:bookmarkEnd w:id="56"/>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7" w:name="_Toc13522"/>
      <w:r>
        <w:rPr>
          <w:rFonts w:hint="eastAsia"/>
          <w:b/>
          <w:bCs/>
          <w:color w:val="auto"/>
          <w:highlight w:val="none"/>
          <w:lang w:val="en-US" w:eastAsia="zh-CN"/>
        </w:rPr>
        <w:t>1.立项依据充分性</w:t>
      </w:r>
      <w:bookmarkEnd w:id="57"/>
    </w:p>
    <w:p>
      <w:pPr>
        <w:bidi w:val="0"/>
        <w:rPr>
          <w:rFonts w:hint="default"/>
          <w:color w:val="auto"/>
          <w:highlight w:val="none"/>
          <w:lang w:val="en-US" w:eastAsia="zh-CN"/>
        </w:rPr>
      </w:pPr>
      <w:r>
        <w:rPr>
          <w:rFonts w:hint="eastAsia"/>
          <w:color w:val="auto"/>
          <w:highlight w:val="none"/>
          <w:lang w:eastAsia="zh-CN"/>
        </w:rPr>
        <w:t>①项目立项符合符合国家财经法规和财务管理制度以及有关专项资金管理办法的规定，该建设项目严格按照《会计法》、《预算法》严格执行。</w:t>
      </w:r>
    </w:p>
    <w:p>
      <w:pPr>
        <w:bidi w:val="0"/>
        <w:rPr>
          <w:rFonts w:hint="eastAsia"/>
          <w:color w:val="auto"/>
          <w:highlight w:val="none"/>
          <w:lang w:eastAsia="zh-CN"/>
        </w:rPr>
      </w:pPr>
      <w:r>
        <w:rPr>
          <w:rFonts w:hint="eastAsia"/>
          <w:color w:val="auto"/>
          <w:highlight w:val="none"/>
          <w:lang w:eastAsia="zh-CN"/>
        </w:rPr>
        <w:t>②项目立项符合按照《会计法》、《预算法》严格执行。</w:t>
      </w:r>
    </w:p>
    <w:p>
      <w:pPr>
        <w:bidi w:val="0"/>
        <w:rPr>
          <w:rFonts w:hint="eastAsia"/>
          <w:color w:val="auto"/>
          <w:highlight w:val="none"/>
          <w:lang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w:t>
      </w:r>
      <w:r>
        <w:rPr>
          <w:rFonts w:hint="eastAsia" w:cs="宋体"/>
          <w:color w:val="auto"/>
          <w:highlight w:val="none"/>
          <w:lang w:val="en-US" w:eastAsia="zh-CN"/>
        </w:rPr>
        <w:t>小学</w:t>
      </w:r>
      <w:r>
        <w:rPr>
          <w:rFonts w:hint="eastAsia" w:ascii="宋体" w:hAnsi="宋体" w:eastAsia="宋体" w:cs="宋体"/>
          <w:color w:val="auto"/>
          <w:highlight w:val="none"/>
          <w:lang w:eastAsia="zh-CN"/>
        </w:rPr>
        <w:t>义务教育，促进基础教育发展，</w:t>
      </w:r>
      <w:r>
        <w:rPr>
          <w:rFonts w:hint="eastAsia" w:cs="宋体"/>
          <w:color w:val="auto"/>
          <w:highlight w:val="none"/>
          <w:lang w:val="en-US" w:eastAsia="zh-CN"/>
        </w:rPr>
        <w:t>小学</w:t>
      </w:r>
      <w:r>
        <w:rPr>
          <w:rFonts w:hint="eastAsia" w:ascii="宋体" w:hAnsi="宋体" w:eastAsia="宋体" w:cs="宋体"/>
          <w:color w:val="auto"/>
          <w:highlight w:val="none"/>
          <w:lang w:eastAsia="zh-CN"/>
        </w:rPr>
        <w:t>学历教育；宣彻执行党和国家的教育方针、教育政策、教育法律法规，贯彻执行上级教育行政部门的各项规章制度的部门职责范围相符，属于部门履职所需</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8" w:name="_Toc21976"/>
      <w:r>
        <w:rPr>
          <w:rFonts w:hint="eastAsia"/>
          <w:b/>
          <w:bCs/>
          <w:color w:val="auto"/>
          <w:highlight w:val="none"/>
          <w:lang w:val="en-US" w:eastAsia="zh-CN"/>
        </w:rPr>
        <w:t>2.立项程序规范性</w:t>
      </w:r>
      <w:bookmarkEnd w:id="58"/>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59" w:name="_Toc15382"/>
      <w:r>
        <w:rPr>
          <w:rFonts w:hint="eastAsia"/>
          <w:b/>
          <w:bCs/>
          <w:color w:val="auto"/>
          <w:highlight w:val="none"/>
          <w:lang w:val="en-US" w:eastAsia="zh-CN"/>
        </w:rPr>
        <w:t>3.绩效目标合理性</w:t>
      </w:r>
      <w:bookmarkEnd w:id="59"/>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0" w:name="_Toc10650"/>
      <w:r>
        <w:rPr>
          <w:rFonts w:hint="eastAsia"/>
          <w:b/>
          <w:bCs/>
          <w:color w:val="auto"/>
          <w:highlight w:val="none"/>
          <w:lang w:val="en-US" w:eastAsia="zh-CN"/>
        </w:rPr>
        <w:t>4.绩效指标明确性</w:t>
      </w:r>
      <w:bookmarkEnd w:id="60"/>
    </w:p>
    <w:p>
      <w:pPr>
        <w:bidi w:val="0"/>
        <w:ind w:leftChars="10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3个，二</w:t>
      </w:r>
      <w:r>
        <w:rPr>
          <w:rFonts w:hint="eastAsia"/>
          <w:color w:val="auto"/>
          <w:highlight w:val="none"/>
          <w:lang w:eastAsia="zh-CN"/>
        </w:rPr>
        <w:t>级指标</w:t>
      </w:r>
      <w:r>
        <w:rPr>
          <w:rFonts w:hint="eastAsia"/>
          <w:color w:val="auto"/>
          <w:highlight w:val="none"/>
          <w:lang w:val="en-US" w:eastAsia="zh-CN"/>
        </w:rPr>
        <w:t>5个，三</w:t>
      </w:r>
      <w:r>
        <w:rPr>
          <w:rFonts w:hint="eastAsia"/>
          <w:color w:val="auto"/>
          <w:highlight w:val="none"/>
          <w:lang w:eastAsia="zh-CN"/>
        </w:rPr>
        <w:t>级指标</w:t>
      </w:r>
      <w:r>
        <w:rPr>
          <w:rFonts w:hint="eastAsia"/>
          <w:color w:val="auto"/>
          <w:highlight w:val="none"/>
          <w:lang w:val="en-US" w:eastAsia="zh-CN"/>
        </w:rPr>
        <w:t>9个</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三</w:t>
      </w:r>
      <w:r>
        <w:rPr>
          <w:rFonts w:hint="eastAsia"/>
          <w:color w:val="auto"/>
          <w:highlight w:val="none"/>
          <w:lang w:eastAsia="zh-CN"/>
        </w:rPr>
        <w:t>级指标</w:t>
      </w:r>
      <w:r>
        <w:rPr>
          <w:rFonts w:hint="eastAsia"/>
          <w:color w:val="auto"/>
          <w:highlight w:val="none"/>
          <w:lang w:val="en-US" w:eastAsia="zh-CN"/>
        </w:rPr>
        <w:t>9个，定性指标2个，定量指标7个，量化率达到77.78%</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③与项目目标计划数相对应。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9401"/>
      <w:r>
        <w:rPr>
          <w:rFonts w:hint="eastAsia"/>
          <w:b/>
          <w:bCs/>
          <w:color w:val="auto"/>
          <w:highlight w:val="none"/>
          <w:lang w:val="en-US" w:eastAsia="zh-CN"/>
        </w:rPr>
        <w:t>5.预算编制科学性</w:t>
      </w:r>
      <w:bookmarkEnd w:id="61"/>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2" w:name="_Toc697"/>
      <w:r>
        <w:rPr>
          <w:rFonts w:hint="eastAsia"/>
          <w:b/>
          <w:bCs/>
          <w:color w:val="auto"/>
          <w:highlight w:val="none"/>
          <w:lang w:val="en-US" w:eastAsia="zh-CN"/>
        </w:rPr>
        <w:t>6.资金分配合理性</w:t>
      </w:r>
      <w:bookmarkEnd w:id="62"/>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3"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3"/>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4" w:name="_Toc3886"/>
      <w:r>
        <w:rPr>
          <w:rFonts w:hint="eastAsia"/>
          <w:b/>
          <w:bCs/>
          <w:color w:val="auto"/>
          <w:highlight w:val="none"/>
          <w:lang w:val="en-US" w:eastAsia="zh-CN"/>
        </w:rPr>
        <w:t>1.资金到位率</w:t>
      </w:r>
      <w:bookmarkEnd w:id="64"/>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5" w:name="_Toc9705"/>
      <w:r>
        <w:rPr>
          <w:rFonts w:hint="eastAsia"/>
          <w:b/>
          <w:bCs/>
          <w:color w:val="auto"/>
          <w:highlight w:val="none"/>
          <w:lang w:val="en-US" w:eastAsia="zh-CN"/>
        </w:rPr>
        <w:t>2.预算执行率</w:t>
      </w:r>
      <w:bookmarkEnd w:id="65"/>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w:t>
      </w:r>
      <w:r>
        <w:rPr>
          <w:rFonts w:hint="eastAsia" w:ascii="宋体" w:hAnsi="宋体" w:eastAsia="宋体" w:cs="宋体"/>
          <w:color w:val="auto"/>
          <w:highlight w:val="none"/>
          <w:lang w:eastAsia="zh-CN"/>
        </w:rPr>
        <w:t>100%</w:t>
      </w:r>
      <w:r>
        <w:rPr>
          <w:rFonts w:hint="eastAsia" w:ascii="宋体" w:hAnsi="宋体" w:eastAsia="宋体" w:cs="宋体"/>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18691"/>
      <w:r>
        <w:rPr>
          <w:rFonts w:hint="eastAsia"/>
          <w:b/>
          <w:bCs/>
          <w:color w:val="auto"/>
          <w:highlight w:val="none"/>
          <w:lang w:val="en-US" w:eastAsia="zh-CN"/>
        </w:rPr>
        <w:t>3.资金使用合规性</w:t>
      </w:r>
      <w:bookmarkEnd w:id="66"/>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阜康市上户沟学校</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ind w:firstLine="560"/>
        <w:rPr>
          <w:color w:val="auto"/>
          <w:highlight w:val="none"/>
        </w:rPr>
      </w:pPr>
      <w:r>
        <w:rPr>
          <w:rFonts w:hint="eastAsia"/>
          <w:color w:val="auto"/>
          <w:highlight w:val="none"/>
        </w:rPr>
        <w:t>①已制定或具有相应的财务和业务管理制度，阜康市</w:t>
      </w:r>
      <w:r>
        <w:rPr>
          <w:rFonts w:hint="eastAsia"/>
          <w:color w:val="auto"/>
          <w:highlight w:val="none"/>
          <w:lang w:eastAsia="zh-CN"/>
        </w:rPr>
        <w:t>上户沟</w:t>
      </w:r>
      <w:r>
        <w:rPr>
          <w:rFonts w:hint="eastAsia"/>
          <w:color w:val="auto"/>
          <w:highlight w:val="none"/>
          <w:lang w:val="en-US" w:eastAsia="zh-CN"/>
        </w:rPr>
        <w:t>学校</w:t>
      </w:r>
      <w:r>
        <w:rPr>
          <w:rFonts w:hint="eastAsia"/>
          <w:color w:val="auto"/>
          <w:highlight w:val="none"/>
        </w:rPr>
        <w:t>根据国家相关法规和内部控制等制度文件汇编，建立《</w:t>
      </w:r>
      <w:r>
        <w:rPr>
          <w:rFonts w:hint="eastAsia"/>
          <w:color w:val="auto"/>
          <w:highlight w:val="none"/>
          <w:lang w:eastAsia="zh-CN"/>
        </w:rPr>
        <w:t>阜康市上户沟</w:t>
      </w:r>
      <w:r>
        <w:rPr>
          <w:rFonts w:hint="eastAsia"/>
          <w:color w:val="auto"/>
          <w:highlight w:val="none"/>
          <w:lang w:val="en-US" w:eastAsia="zh-CN"/>
        </w:rPr>
        <w:t>学校</w:t>
      </w:r>
      <w:r>
        <w:rPr>
          <w:rFonts w:hint="eastAsia"/>
          <w:color w:val="auto"/>
          <w:highlight w:val="none"/>
        </w:rPr>
        <w:t>内部会计管理制度汇编》、《</w:t>
      </w:r>
      <w:r>
        <w:rPr>
          <w:rFonts w:hint="eastAsia"/>
          <w:color w:val="auto"/>
          <w:highlight w:val="none"/>
          <w:lang w:eastAsia="zh-CN"/>
        </w:rPr>
        <w:t>阜康市上户沟</w:t>
      </w:r>
      <w:r>
        <w:rPr>
          <w:rFonts w:hint="eastAsia"/>
          <w:color w:val="auto"/>
          <w:highlight w:val="none"/>
          <w:lang w:val="en-US" w:eastAsia="zh-CN"/>
        </w:rPr>
        <w:t>学校</w:t>
      </w:r>
      <w:r>
        <w:rPr>
          <w:rFonts w:hint="eastAsia"/>
          <w:color w:val="auto"/>
          <w:highlight w:val="none"/>
          <w:lang w:eastAsia="zh-CN"/>
        </w:rPr>
        <w:t>“三公”经费</w:t>
      </w:r>
      <w:r>
        <w:rPr>
          <w:rFonts w:hint="eastAsia"/>
          <w:color w:val="auto"/>
          <w:highlight w:val="none"/>
        </w:rPr>
        <w:t>预算管理和公开制度》等各项规章制度和工作程序，从制度和程序上严把资金使用、管理、绩效等各环节关口，堵塞漏洞、消除隐患，切实加强资金监管；</w:t>
      </w:r>
    </w:p>
    <w:p>
      <w:pPr>
        <w:bidi w:val="0"/>
        <w:rPr>
          <w:rFonts w:hint="eastAsia"/>
          <w:color w:val="auto"/>
          <w:highlight w:val="none"/>
        </w:rPr>
      </w:pPr>
      <w:r>
        <w:rPr>
          <w:rFonts w:hint="eastAsia"/>
          <w:color w:val="auto"/>
          <w:highlight w:val="none"/>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7" w:name="_Toc31684"/>
      <w:r>
        <w:rPr>
          <w:rFonts w:hint="eastAsia"/>
          <w:b/>
          <w:bCs/>
          <w:color w:val="auto"/>
          <w:highlight w:val="none"/>
          <w:lang w:val="en-US" w:eastAsia="zh-CN"/>
        </w:rPr>
        <w:t>5.制度执行有效性</w:t>
      </w:r>
      <w:bookmarkEnd w:id="67"/>
    </w:p>
    <w:p>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能</w:t>
      </w:r>
      <w:r>
        <w:rPr>
          <w:rFonts w:hint="eastAsia"/>
          <w:color w:val="auto"/>
          <w:highlight w:val="none"/>
          <w:lang w:eastAsia="zh-CN"/>
        </w:rPr>
        <w:t>遵守《</w:t>
      </w:r>
      <w:r>
        <w:rPr>
          <w:rFonts w:hint="eastAsia"/>
          <w:color w:val="auto"/>
          <w:highlight w:val="none"/>
          <w:lang w:val="en-US" w:eastAsia="zh-CN"/>
        </w:rPr>
        <w:t>阜康市上户沟</w:t>
      </w:r>
      <w:r>
        <w:rPr>
          <w:rFonts w:hint="eastAsia"/>
          <w:color w:val="auto"/>
          <w:highlight w:val="none"/>
          <w:lang w:eastAsia="zh-CN"/>
        </w:rPr>
        <w:t>学校制度汇编》</w:t>
      </w:r>
      <w:r>
        <w:rPr>
          <w:rFonts w:hint="eastAsia"/>
          <w:color w:val="auto"/>
          <w:highlight w:val="none"/>
          <w:lang w:val="en-US" w:eastAsia="zh-CN"/>
        </w:rPr>
        <w:t>等</w:t>
      </w:r>
      <w:r>
        <w:rPr>
          <w:rFonts w:hint="eastAsia"/>
          <w:color w:val="auto"/>
          <w:highlight w:val="none"/>
          <w:lang w:eastAsia="zh-CN"/>
        </w:rPr>
        <w:t>相关管理规定；</w:t>
      </w:r>
    </w:p>
    <w:p>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w:t>
      </w:r>
    </w:p>
    <w:p>
      <w:pPr>
        <w:bidi w:val="0"/>
        <w:rPr>
          <w:rFonts w:hint="eastAsia"/>
          <w:color w:val="auto"/>
          <w:highlight w:val="none"/>
          <w:lang w:eastAsia="zh-CN"/>
        </w:rPr>
      </w:pPr>
      <w:r>
        <w:rPr>
          <w:rFonts w:hint="eastAsia"/>
          <w:color w:val="auto"/>
          <w:highlight w:val="none"/>
          <w:lang w:eastAsia="zh-CN"/>
        </w:rPr>
        <w:t>③项目合同书、验收报告等资料齐全并及时归档；</w:t>
      </w:r>
    </w:p>
    <w:p>
      <w:pPr>
        <w:bidi w:val="0"/>
        <w:rPr>
          <w:rFonts w:hint="eastAsia"/>
          <w:color w:val="auto"/>
          <w:highlight w:val="none"/>
          <w:lang w:eastAsia="zh-CN"/>
        </w:rPr>
      </w:pPr>
      <w:r>
        <w:rPr>
          <w:rFonts w:hint="eastAsia"/>
          <w:color w:val="auto"/>
          <w:highlight w:val="none"/>
          <w:lang w:eastAsia="zh-CN"/>
        </w:rPr>
        <w:t>④项目实施的人员条件、场地设备、信息支撑等落实到位。</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8"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8"/>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50" w:hRule="atLeast"/>
        </w:trPr>
        <w:tc>
          <w:tcPr>
            <w:tcW w:w="63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5" w:hRule="atLeast"/>
        </w:trPr>
        <w:tc>
          <w:tcPr>
            <w:tcW w:w="634"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特殊资源教室设备</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≧1批</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1批</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政府采购率</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特殊资源教室合格率</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项目计划开工时间</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2023-12-31前</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12</w:t>
            </w: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1</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项目计划完工时间</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2023-12-31前</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12</w:t>
            </w: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1</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资源教室维修改造经费</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≤4.92万元 </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4.82万元</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教学设备购置保障经费</w:t>
            </w:r>
          </w:p>
        </w:tc>
        <w:tc>
          <w:tcPr>
            <w:tcW w:w="1437"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≤12.88万元 </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15.18万元</w:t>
            </w: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5643" w:type="dxa"/>
            <w:gridSpan w:val="4"/>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69"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69"/>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特殊资源教室设备”指标，预期目标值为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1批</w:t>
      </w:r>
      <w:r>
        <w:rPr>
          <w:rFonts w:hint="eastAsia"/>
          <w:color w:val="auto"/>
          <w:highlight w:val="none"/>
          <w:lang w:val="en-US" w:eastAsia="zh-CN"/>
        </w:rPr>
        <w:t>，实际完成为1批。实际完成率=（1批/1批）×100%=100%。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0" w:name="_Toc31739"/>
      <w:r>
        <w:rPr>
          <w:rFonts w:hint="eastAsia"/>
          <w:b/>
          <w:bCs/>
          <w:color w:val="auto"/>
          <w:highlight w:val="none"/>
          <w:lang w:val="en-US" w:eastAsia="zh-CN"/>
        </w:rPr>
        <w:t>2.项目完成质量</w:t>
      </w:r>
      <w:bookmarkEnd w:id="70"/>
    </w:p>
    <w:p>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政府采购率</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特殊资源教室合格率</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18307"/>
      <w:r>
        <w:rPr>
          <w:rFonts w:hint="eastAsia"/>
          <w:b/>
          <w:bCs/>
          <w:color w:val="auto"/>
          <w:highlight w:val="none"/>
          <w:lang w:val="en-US" w:eastAsia="zh-CN"/>
        </w:rPr>
        <w:t>3.项目完成时效</w:t>
      </w:r>
      <w:bookmarkEnd w:id="71"/>
    </w:p>
    <w:p>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项目计划开工时间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，实际完成为2023/12/31，实际完成率100%。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项目计划完工时间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，实际完成为2023/12/31，实际完成率100%。</w:t>
      </w:r>
    </w:p>
    <w:p>
      <w:pPr>
        <w:bidi w:val="0"/>
        <w:rPr>
          <w:rFonts w:hint="eastAsia"/>
          <w:b/>
          <w:bCs/>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72" w:name="_Toc32765"/>
      <w:r>
        <w:rPr>
          <w:rFonts w:hint="eastAsia"/>
          <w:b/>
          <w:bCs/>
          <w:color w:val="auto"/>
          <w:highlight w:val="none"/>
          <w:lang w:val="en-US" w:eastAsia="zh-CN"/>
        </w:rPr>
        <w:t>4.项目完成成本</w:t>
      </w:r>
      <w:bookmarkEnd w:id="72"/>
    </w:p>
    <w:p>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资源教室维修改造经费</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 xml:space="preserve">≤4.92万元 </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4.82万元</w:t>
      </w:r>
      <w:r>
        <w:rPr>
          <w:rFonts w:hint="eastAsia"/>
          <w:color w:val="auto"/>
          <w:highlight w:val="none"/>
          <w:lang w:val="en-US" w:eastAsia="zh-CN"/>
        </w:rPr>
        <w:t>。实际完成率100%。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教学设备购置保障经费</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 xml:space="preserve">≤12.88万元 </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cs="宋体"/>
          <w:color w:val="auto"/>
          <w:kern w:val="0"/>
          <w:sz w:val="28"/>
          <w:szCs w:val="28"/>
          <w:highlight w:val="none"/>
          <w:shd w:val="clear" w:color="auto" w:fill="auto"/>
          <w:lang w:val="en-US" w:eastAsia="zh-CN"/>
        </w:rPr>
        <w:t>15.18</w:t>
      </w:r>
      <w:r>
        <w:rPr>
          <w:rFonts w:hint="eastAsia" w:ascii="宋体" w:hAnsi="宋体" w:eastAsia="宋体" w:cs="宋体"/>
          <w:color w:val="auto"/>
          <w:kern w:val="0"/>
          <w:sz w:val="28"/>
          <w:szCs w:val="28"/>
          <w:highlight w:val="none"/>
          <w:shd w:val="clear" w:color="auto" w:fill="auto"/>
          <w:lang w:val="en-US" w:eastAsia="zh-CN"/>
        </w:rPr>
        <w:t>万元</w:t>
      </w:r>
      <w:r>
        <w:rPr>
          <w:rFonts w:hint="eastAsia"/>
          <w:color w:val="auto"/>
          <w:highlight w:val="none"/>
          <w:lang w:val="en-US" w:eastAsia="zh-CN"/>
        </w:rPr>
        <w:t>。实际完成率100%。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保障学校教育教学工作正常开展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 xml:space="preserve">保障 </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提高教育教学环境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师生满意度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≥98%</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保障学校教育教学工作正常开展</w:t>
      </w:r>
      <w:r>
        <w:rPr>
          <w:rFonts w:hint="eastAsia"/>
          <w:color w:val="auto"/>
          <w:highlight w:val="none"/>
          <w:lang w:eastAsia="zh-CN"/>
        </w:rPr>
        <w:t>”</w:t>
      </w:r>
      <w:r>
        <w:rPr>
          <w:rFonts w:hint="eastAsia"/>
          <w:color w:val="auto"/>
          <w:highlight w:val="none"/>
          <w:lang w:val="en-US" w:eastAsia="zh-CN"/>
        </w:rPr>
        <w:t>指标，预期目标值为保障，实际完成为100%。</w:t>
      </w:r>
    </w:p>
    <w:p>
      <w:pPr>
        <w:bidi w:val="0"/>
        <w:rPr>
          <w:rFonts w:hint="eastAsia"/>
          <w:color w:val="auto"/>
          <w:highlight w:val="none"/>
          <w:lang w:val="en-US" w:eastAsia="zh-CN"/>
        </w:rPr>
      </w:pPr>
      <w:r>
        <w:rPr>
          <w:rFonts w:hint="eastAsia"/>
          <w:b w:val="0"/>
          <w:bCs w:val="0"/>
          <w:color w:val="auto"/>
          <w:highlight w:val="none"/>
          <w:lang w:val="en-US" w:eastAsia="zh-CN"/>
        </w:rPr>
        <w:t>通过项目的实施，保障学校教育教学工作正常开展，提高教育教学环境。</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提高教育教学环境</w:t>
      </w:r>
      <w:r>
        <w:rPr>
          <w:rFonts w:hint="eastAsia"/>
          <w:color w:val="auto"/>
          <w:highlight w:val="none"/>
          <w:lang w:eastAsia="zh-CN"/>
        </w:rPr>
        <w:t>”</w:t>
      </w:r>
      <w:r>
        <w:rPr>
          <w:rFonts w:hint="eastAsia"/>
          <w:color w:val="auto"/>
          <w:highlight w:val="none"/>
          <w:lang w:val="en-US" w:eastAsia="zh-CN"/>
        </w:rPr>
        <w:t>指标，预期目标值为提高，实际完成为100%。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通过项目的实施，保障学校教育教学工作正常开展，提高教育教学环境。</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3.生态效益指标</w:t>
      </w:r>
      <w:bookmarkEnd w:id="76"/>
    </w:p>
    <w:p>
      <w:pPr>
        <w:bidi w:val="0"/>
        <w:outlineLvl w:val="2"/>
        <w:rPr>
          <w:rFonts w:hint="eastAsia"/>
          <w:color w:val="auto"/>
          <w:highlight w:val="none"/>
          <w:lang w:eastAsia="zh-CN"/>
        </w:rPr>
      </w:pPr>
      <w:bookmarkStart w:id="77"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7"/>
    </w:p>
    <w:p>
      <w:pPr>
        <w:bidi w:val="0"/>
        <w:rPr>
          <w:rFonts w:hint="eastAsia"/>
          <w:color w:val="auto"/>
          <w:highlight w:val="none"/>
          <w:lang w:val="en-US" w:eastAsia="zh-CN"/>
        </w:rPr>
      </w:pPr>
      <w:bookmarkStart w:id="78" w:name="_Toc19962"/>
      <w:r>
        <w:rPr>
          <w:rFonts w:hint="eastAsia"/>
          <w:color w:val="auto"/>
          <w:highlight w:val="none"/>
          <w:lang w:eastAsia="zh-CN"/>
        </w:rPr>
        <w:t>“</w:t>
      </w:r>
      <w:r>
        <w:rPr>
          <w:rFonts w:hint="eastAsia"/>
          <w:color w:val="auto"/>
          <w:highlight w:val="none"/>
          <w:lang w:val="en-US" w:eastAsia="zh-CN"/>
        </w:rPr>
        <w:t>师生满意度</w:t>
      </w:r>
      <w:r>
        <w:rPr>
          <w:rFonts w:hint="eastAsia"/>
          <w:color w:val="auto"/>
          <w:highlight w:val="none"/>
          <w:lang w:eastAsia="zh-CN"/>
        </w:rPr>
        <w:t>”</w:t>
      </w:r>
      <w:r>
        <w:rPr>
          <w:rFonts w:hint="eastAsia"/>
          <w:color w:val="auto"/>
          <w:highlight w:val="none"/>
          <w:lang w:val="en-US" w:eastAsia="zh-CN"/>
        </w:rPr>
        <w:t>指标，预期目标值为≥98%，实际完成为100%。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通过项目的实施，保障学校教育教学工作正常开展，提高教育教学环境。</w:t>
      </w:r>
    </w:p>
    <w:p>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昌州财教【2022】85号提前下达2023年特殊教育补助资金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阜康市上户沟学校</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阜康市上户沟学校</w:t>
      </w:r>
      <w:r>
        <w:rPr>
          <w:rFonts w:hint="eastAsia"/>
          <w:color w:val="auto"/>
          <w:highlight w:val="none"/>
          <w:lang w:eastAsia="zh-CN"/>
        </w:rPr>
        <w:t>事业发展中关系民生与稳定的项目，切实优化资源配置，提高了资金使用的效率和效果。</w:t>
      </w:r>
    </w:p>
    <w:bookmarkEnd w:id="81"/>
    <w:bookmarkEnd w:id="82"/>
    <w:p>
      <w:pPr>
        <w:numPr>
          <w:ilvl w:val="0"/>
          <w:numId w:val="2"/>
        </w:numPr>
        <w:bidi w:val="0"/>
        <w:ind w:left="0" w:leftChars="0" w:firstLine="562" w:firstLineChars="200"/>
        <w:outlineLvl w:val="1"/>
        <w:rPr>
          <w:rFonts w:hint="eastAsia"/>
          <w:b/>
          <w:bCs/>
          <w:color w:val="auto"/>
          <w:highlight w:val="none"/>
        </w:rPr>
      </w:pPr>
      <w:bookmarkStart w:id="83" w:name="_Toc9582"/>
      <w:r>
        <w:rPr>
          <w:rFonts w:hint="eastAsia"/>
          <w:b/>
          <w:bCs/>
          <w:color w:val="auto"/>
          <w:highlight w:val="none"/>
        </w:rPr>
        <w:t>存在的问题及原因分析</w:t>
      </w:r>
      <w:bookmarkEnd w:id="83"/>
    </w:p>
    <w:p>
      <w:pPr>
        <w:bidi w:val="0"/>
        <w:rPr>
          <w:rFonts w:hint="eastAsia" w:cs="宋体"/>
          <w:color w:val="auto"/>
          <w:highlight w:val="none"/>
          <w:lang w:val="en-US" w:eastAsia="zh-CN"/>
        </w:rPr>
      </w:pPr>
      <w:r>
        <w:rPr>
          <w:rFonts w:hint="eastAsia"/>
          <w:color w:val="auto"/>
          <w:highlight w:val="none"/>
        </w:rPr>
        <w:t xml:space="preserve">1. </w:t>
      </w:r>
      <w:r>
        <w:rPr>
          <w:rFonts w:hint="eastAsia" w:ascii="宋体" w:hAnsi="宋体" w:eastAsia="宋体" w:cs="宋体"/>
          <w:color w:val="auto"/>
          <w:highlight w:val="none"/>
          <w:lang w:val="en-US" w:eastAsia="zh-CN"/>
        </w:rPr>
        <w:t>单位</w:t>
      </w:r>
      <w:r>
        <w:rPr>
          <w:rFonts w:hint="eastAsia" w:cs="宋体"/>
          <w:color w:val="auto"/>
          <w:highlight w:val="none"/>
          <w:lang w:val="en-US" w:eastAsia="zh-CN"/>
        </w:rPr>
        <w:t>内控</w:t>
      </w:r>
      <w:r>
        <w:rPr>
          <w:rFonts w:hint="eastAsia" w:ascii="宋体" w:hAnsi="宋体" w:eastAsia="宋体" w:cs="宋体"/>
          <w:color w:val="auto"/>
          <w:highlight w:val="none"/>
          <w:lang w:val="en-US" w:eastAsia="zh-CN"/>
        </w:rPr>
        <w:t>职责不够细化，项目预算的绩效设定与实际的项目支出存在些许差距，争取在今后工作中准确预算把握项目建设支出内容，以达到资金使用的最大效益</w:t>
      </w:r>
      <w:r>
        <w:rPr>
          <w:rFonts w:hint="eastAsia" w:cs="宋体"/>
          <w:color w:val="auto"/>
          <w:highlight w:val="none"/>
          <w:lang w:val="en-US" w:eastAsia="zh-CN"/>
        </w:rPr>
        <w:t>。</w:t>
      </w:r>
    </w:p>
    <w:p>
      <w:pPr>
        <w:bidi w:val="0"/>
        <w:ind w:firstLine="560" w:firstLineChars="200"/>
        <w:rPr>
          <w:rFonts w:hint="eastAsia"/>
          <w:b/>
          <w:bCs/>
          <w:color w:val="auto"/>
          <w:highlight w:val="none"/>
          <w:lang w:eastAsia="zh-CN"/>
        </w:rPr>
      </w:pPr>
      <w:r>
        <w:rPr>
          <w:rFonts w:hint="eastAsia"/>
          <w:color w:val="auto"/>
          <w:highlight w:val="none"/>
          <w:lang w:val="en-US" w:eastAsia="zh-CN"/>
        </w:rPr>
        <w:t>2.因年初预算数据不够清晰明确到明细科目，使得整个年度财务核算及审核流程不能准确清晰。是因为财务人员的业务水平不高不专业。</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left="0" w:leftChars="0" w:firstLine="560" w:firstLineChars="200"/>
        <w:jc w:val="both"/>
        <w:textAlignment w:val="auto"/>
        <w:rPr>
          <w:rFonts w:hint="default"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（二）提高资金使用率，确保项目顺利进行。</w:t>
      </w:r>
      <w:r>
        <w:rPr>
          <w:rFonts w:hint="eastAsia"/>
          <w:color w:val="auto"/>
          <w:highlight w:val="none"/>
          <w:lang w:eastAsia="zh-CN"/>
        </w:rPr>
        <w:t>按轻重缓急顺序原则，切实优化资源配置，提高了资金</w:t>
      </w:r>
      <w:r>
        <w:rPr>
          <w:rFonts w:hint="eastAsia" w:cs="Times New Roman"/>
          <w:color w:val="auto"/>
          <w:kern w:val="2"/>
          <w:sz w:val="28"/>
          <w:szCs w:val="24"/>
          <w:highlight w:val="none"/>
          <w:lang w:val="en-US" w:eastAsia="zh-CN" w:bidi="ar-SA"/>
        </w:rPr>
        <w:t>项目</w:t>
      </w:r>
      <w:r>
        <w:rPr>
          <w:rFonts w:hint="eastAsia"/>
          <w:color w:val="auto"/>
          <w:highlight w:val="none"/>
          <w:lang w:eastAsia="zh-CN"/>
        </w:rPr>
        <w:t>使用的效率和效果。</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ind w:left="0" w:leftChars="0" w:firstLine="0" w:firstLineChars="0"/>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10"/>
        <w:gridCol w:w="675"/>
        <w:gridCol w:w="930"/>
        <w:gridCol w:w="955"/>
        <w:gridCol w:w="1096"/>
        <w:gridCol w:w="858"/>
        <w:gridCol w:w="1214"/>
        <w:gridCol w:w="931"/>
        <w:gridCol w:w="932"/>
        <w:gridCol w:w="1040"/>
        <w:gridCol w:w="995"/>
        <w:gridCol w:w="1101"/>
        <w:gridCol w:w="1012"/>
        <w:gridCol w:w="1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89"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昌州财教【2022】85号提前下达2023年特殊教育补助资金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53"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73"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阜康市上户沟哈萨克族乡中心学校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3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1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8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3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1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8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3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1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1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0" w:hRule="atLeast"/>
        </w:trPr>
        <w:tc>
          <w:tcPr>
            <w:tcW w:w="81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91"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73"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591"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学校随班就读学生正常教学，完成教学活动及其他体育日常的正常运转。我校2023年采购特殊资源教室设施采购一批，完工合格率达到100%，资金支付及时率达到100%，资源教室维修改造经费4.92万元，教学设备购置保障经费12.88万元，该项目实施保障学校教育教学工作正常开展，提高教育教学环境。</w:t>
            </w:r>
          </w:p>
        </w:tc>
        <w:tc>
          <w:tcPr>
            <w:tcW w:w="5773"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截至12月31日本项目完成资源教室维修改造经费4.82万元，教学设备购置保障经费15.18万元，支付比例达到100%，项目的实施均按时实施，补助覆盖率100%。保障学校教育教学工作正常开展，提高教学教学环境。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特殊资源教室设备</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≧1批</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1批</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政府采购率</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特殊资源教室合格率</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项目计划开工时间</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项目计划完工时间</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5"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6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资源教室维修改造经费</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≤4.92万元 </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4.82万元</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教学设备购置保障经费</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≤12.88万元 </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15.18万元</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保障学校教育教学工作正常开展</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保障 </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81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提高教育教学环境</w:t>
            </w:r>
          </w:p>
        </w:tc>
        <w:tc>
          <w:tcPr>
            <w:tcW w:w="10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提高 </w:t>
            </w:r>
          </w:p>
        </w:tc>
        <w:tc>
          <w:tcPr>
            <w:tcW w:w="8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3370"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96"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21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3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0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p>
    <w:p>
      <w:pPr>
        <w:pStyle w:val="3"/>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both"/>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特殊资源教室设备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政府采购率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特殊资源教室合格率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项目计划开工时间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项目计划完工时间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资源教室维修改造经费</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教学设备购置保障经费</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社会效益指标　</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保障学校教育教学工作正常</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提高教育教学环境</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效益指标</w:t>
            </w:r>
          </w:p>
        </w:tc>
        <w:tc>
          <w:tcPr>
            <w:tcW w:w="820"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师生满意度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8B60E1"/>
    <w:rsid w:val="02B015E2"/>
    <w:rsid w:val="02DC08FA"/>
    <w:rsid w:val="033B569D"/>
    <w:rsid w:val="038857AD"/>
    <w:rsid w:val="039C3BA0"/>
    <w:rsid w:val="03A73E80"/>
    <w:rsid w:val="03A845BB"/>
    <w:rsid w:val="03B45AD1"/>
    <w:rsid w:val="03F62C53"/>
    <w:rsid w:val="03F90AE6"/>
    <w:rsid w:val="04D12EE4"/>
    <w:rsid w:val="04D63993"/>
    <w:rsid w:val="056D492C"/>
    <w:rsid w:val="07890F4F"/>
    <w:rsid w:val="087A6553"/>
    <w:rsid w:val="08892439"/>
    <w:rsid w:val="08EB30F3"/>
    <w:rsid w:val="0913720B"/>
    <w:rsid w:val="09237408"/>
    <w:rsid w:val="09781BD6"/>
    <w:rsid w:val="09F359DF"/>
    <w:rsid w:val="0A4C5293"/>
    <w:rsid w:val="0A575E65"/>
    <w:rsid w:val="0ACA0AB6"/>
    <w:rsid w:val="0C032502"/>
    <w:rsid w:val="0C27698C"/>
    <w:rsid w:val="0C8C0AB8"/>
    <w:rsid w:val="0D26585D"/>
    <w:rsid w:val="0D4452F3"/>
    <w:rsid w:val="0F5E5042"/>
    <w:rsid w:val="0FE95707"/>
    <w:rsid w:val="10510571"/>
    <w:rsid w:val="105A7DCC"/>
    <w:rsid w:val="10787A20"/>
    <w:rsid w:val="108672DE"/>
    <w:rsid w:val="10EC685A"/>
    <w:rsid w:val="11FA6155"/>
    <w:rsid w:val="12CF0947"/>
    <w:rsid w:val="12F1313F"/>
    <w:rsid w:val="13237DCD"/>
    <w:rsid w:val="134D2C69"/>
    <w:rsid w:val="136C678E"/>
    <w:rsid w:val="13EB2FF5"/>
    <w:rsid w:val="15A46B04"/>
    <w:rsid w:val="165825BC"/>
    <w:rsid w:val="16BC5D73"/>
    <w:rsid w:val="17345985"/>
    <w:rsid w:val="176F36D7"/>
    <w:rsid w:val="1795226D"/>
    <w:rsid w:val="17D77CF7"/>
    <w:rsid w:val="18456B1E"/>
    <w:rsid w:val="19032AAE"/>
    <w:rsid w:val="1B4932A4"/>
    <w:rsid w:val="1BA81A6F"/>
    <w:rsid w:val="1C1171C5"/>
    <w:rsid w:val="1CFD1CD4"/>
    <w:rsid w:val="1D265138"/>
    <w:rsid w:val="1D7B6BCA"/>
    <w:rsid w:val="1DA41A79"/>
    <w:rsid w:val="1DF53469"/>
    <w:rsid w:val="1E2F24F2"/>
    <w:rsid w:val="1E58492F"/>
    <w:rsid w:val="1E5B6757"/>
    <w:rsid w:val="1ED10AC6"/>
    <w:rsid w:val="1F89225F"/>
    <w:rsid w:val="1F900A1F"/>
    <w:rsid w:val="1FC0575D"/>
    <w:rsid w:val="206132C7"/>
    <w:rsid w:val="20A07AEE"/>
    <w:rsid w:val="20C214CE"/>
    <w:rsid w:val="21B00C1D"/>
    <w:rsid w:val="23031BEB"/>
    <w:rsid w:val="23917691"/>
    <w:rsid w:val="244D65B8"/>
    <w:rsid w:val="245E1E24"/>
    <w:rsid w:val="25AD5E5D"/>
    <w:rsid w:val="2732478D"/>
    <w:rsid w:val="27661469"/>
    <w:rsid w:val="27900EAD"/>
    <w:rsid w:val="279B538A"/>
    <w:rsid w:val="286F545C"/>
    <w:rsid w:val="29314FBC"/>
    <w:rsid w:val="299B7D68"/>
    <w:rsid w:val="2B05040A"/>
    <w:rsid w:val="2C024B86"/>
    <w:rsid w:val="2C927671"/>
    <w:rsid w:val="2D093775"/>
    <w:rsid w:val="2D54289C"/>
    <w:rsid w:val="2D7C5CD6"/>
    <w:rsid w:val="2D831488"/>
    <w:rsid w:val="2E417185"/>
    <w:rsid w:val="2E483E7E"/>
    <w:rsid w:val="2E690493"/>
    <w:rsid w:val="2E9854BD"/>
    <w:rsid w:val="2F0D407F"/>
    <w:rsid w:val="2F454B19"/>
    <w:rsid w:val="310224D9"/>
    <w:rsid w:val="31B4621C"/>
    <w:rsid w:val="31E3230A"/>
    <w:rsid w:val="330957E0"/>
    <w:rsid w:val="332754E4"/>
    <w:rsid w:val="33356F64"/>
    <w:rsid w:val="33944516"/>
    <w:rsid w:val="34B62907"/>
    <w:rsid w:val="36301B2A"/>
    <w:rsid w:val="36BD137C"/>
    <w:rsid w:val="374B3E12"/>
    <w:rsid w:val="3751006B"/>
    <w:rsid w:val="382D2E86"/>
    <w:rsid w:val="385D37E7"/>
    <w:rsid w:val="38782EDD"/>
    <w:rsid w:val="38D820AB"/>
    <w:rsid w:val="3A127B55"/>
    <w:rsid w:val="3A19526E"/>
    <w:rsid w:val="3A56645E"/>
    <w:rsid w:val="3AC40C6A"/>
    <w:rsid w:val="3B23785C"/>
    <w:rsid w:val="3B42664A"/>
    <w:rsid w:val="3C1F309D"/>
    <w:rsid w:val="3D836A4E"/>
    <w:rsid w:val="3E5818E5"/>
    <w:rsid w:val="3EA37E97"/>
    <w:rsid w:val="3FBE0BC5"/>
    <w:rsid w:val="4048103A"/>
    <w:rsid w:val="40736643"/>
    <w:rsid w:val="40C71F4C"/>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89637B"/>
    <w:rsid w:val="4C8E33A0"/>
    <w:rsid w:val="4E6E48A8"/>
    <w:rsid w:val="4EEC036B"/>
    <w:rsid w:val="501D2673"/>
    <w:rsid w:val="50C80BF1"/>
    <w:rsid w:val="50FF36B0"/>
    <w:rsid w:val="51852833"/>
    <w:rsid w:val="52F11AC8"/>
    <w:rsid w:val="534F49D9"/>
    <w:rsid w:val="53555F0F"/>
    <w:rsid w:val="535D23D5"/>
    <w:rsid w:val="56361AEA"/>
    <w:rsid w:val="56C03161"/>
    <w:rsid w:val="56F4341A"/>
    <w:rsid w:val="575A7321"/>
    <w:rsid w:val="580C3AB9"/>
    <w:rsid w:val="583C7AE0"/>
    <w:rsid w:val="586C1E9A"/>
    <w:rsid w:val="586E0800"/>
    <w:rsid w:val="591E43AC"/>
    <w:rsid w:val="59216F96"/>
    <w:rsid w:val="598C4145"/>
    <w:rsid w:val="59957D1B"/>
    <w:rsid w:val="59D4294E"/>
    <w:rsid w:val="5ABC3151"/>
    <w:rsid w:val="5ABF4D70"/>
    <w:rsid w:val="5B634312"/>
    <w:rsid w:val="5B730199"/>
    <w:rsid w:val="5B9D2CCD"/>
    <w:rsid w:val="5B9E71EA"/>
    <w:rsid w:val="5DE22E0E"/>
    <w:rsid w:val="5E226FBC"/>
    <w:rsid w:val="5F442C0E"/>
    <w:rsid w:val="5FE72BD2"/>
    <w:rsid w:val="60120613"/>
    <w:rsid w:val="618D5292"/>
    <w:rsid w:val="61D32A8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86513A3"/>
    <w:rsid w:val="68BE6220"/>
    <w:rsid w:val="691B1594"/>
    <w:rsid w:val="693A016B"/>
    <w:rsid w:val="69A2427D"/>
    <w:rsid w:val="6A17429C"/>
    <w:rsid w:val="6A567E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43DFA"/>
    <w:rsid w:val="724E244C"/>
    <w:rsid w:val="72B86DE6"/>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D7A4011"/>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12848</Words>
  <Characters>13638</Characters>
  <Lines>0</Lines>
  <Paragraphs>0</Paragraphs>
  <TotalTime>1</TotalTime>
  <ScaleCrop>false</ScaleCrop>
  <LinksUpToDate>false</LinksUpToDate>
  <CharactersWithSpaces>13731</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2024-12-13T02:44:17Z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24A9985840D44658A64C04FE774B2408_13</vt:lpwstr>
  </property>
</Properties>
</file>