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cs="宋体"/>
          <w:b/>
          <w:bCs/>
          <w:color w:val="auto"/>
          <w:sz w:val="40"/>
          <w:szCs w:val="40"/>
          <w:highlight w:val="none"/>
          <w:shd w:val="clear" w:color="auto" w:fill="auto"/>
          <w:lang w:val="en-US" w:eastAsia="zh-CN"/>
        </w:rPr>
      </w:pPr>
      <w:bookmarkStart w:id="0" w:name="_Toc15679"/>
      <w:r>
        <w:rPr>
          <w:rFonts w:hint="eastAsia"/>
          <w:b/>
          <w:bCs/>
          <w:color w:val="auto"/>
          <w:sz w:val="40"/>
          <w:szCs w:val="40"/>
          <w:highlight w:val="none"/>
        </w:rPr>
        <w:t>阜康市</w:t>
      </w:r>
      <w:r>
        <w:rPr>
          <w:rFonts w:hint="eastAsia"/>
          <w:b/>
          <w:bCs/>
          <w:color w:val="auto"/>
          <w:sz w:val="40"/>
          <w:szCs w:val="40"/>
          <w:highlight w:val="none"/>
          <w:lang w:eastAsia="zh-CN"/>
        </w:rPr>
        <w:t>滋泥泉子镇</w:t>
      </w:r>
      <w:r>
        <w:rPr>
          <w:rFonts w:hint="eastAsia"/>
          <w:b/>
          <w:bCs/>
          <w:color w:val="auto"/>
          <w:sz w:val="40"/>
          <w:szCs w:val="40"/>
          <w:highlight w:val="none"/>
        </w:rPr>
        <w:t>中心幼儿园</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项目名称：昌州财教【2022】82号提前下达2023年新疆西藏地区特殊教育补助资金（</w:t>
      </w:r>
      <w:r>
        <w:rPr>
          <w:rFonts w:hint="eastAsia" w:cs="宋体"/>
          <w:b/>
          <w:color w:val="auto"/>
          <w:kern w:val="2"/>
          <w:sz w:val="28"/>
          <w:szCs w:val="28"/>
          <w:highlight w:val="none"/>
          <w:shd w:val="clear" w:color="auto" w:fill="auto"/>
          <w:lang w:val="en-US" w:eastAsia="zh-CN"/>
        </w:rPr>
        <w:t>农村学前免费保障</w:t>
      </w:r>
      <w:r>
        <w:rPr>
          <w:rFonts w:hint="eastAsia" w:ascii="宋体" w:hAnsi="宋体" w:eastAsia="宋体" w:cs="宋体"/>
          <w:b/>
          <w:color w:val="auto"/>
          <w:kern w:val="2"/>
          <w:sz w:val="28"/>
          <w:szCs w:val="28"/>
          <w:highlight w:val="none"/>
          <w:shd w:val="clear" w:color="auto" w:fill="auto"/>
          <w:lang w:val="en-US" w:eastAsia="zh-CN"/>
        </w:rPr>
        <w:t>资金）</w:t>
      </w:r>
      <w:r>
        <w:rPr>
          <w:rFonts w:hint="eastAsia" w:cs="宋体"/>
          <w:b/>
          <w:color w:val="auto"/>
          <w:kern w:val="2"/>
          <w:sz w:val="28"/>
          <w:szCs w:val="28"/>
          <w:highlight w:val="none"/>
          <w:shd w:val="clear" w:color="auto" w:fill="auto"/>
          <w:lang w:val="en-US" w:eastAsia="zh-CN"/>
        </w:rPr>
        <w:t>项目</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w:t>
      </w:r>
      <w:r>
        <w:rPr>
          <w:rFonts w:hint="eastAsia" w:cs="宋体"/>
          <w:b/>
          <w:color w:val="auto"/>
          <w:kern w:val="2"/>
          <w:sz w:val="28"/>
          <w:szCs w:val="28"/>
          <w:highlight w:val="none"/>
          <w:shd w:val="clear" w:color="auto" w:fill="auto"/>
          <w:lang w:val="en-US" w:eastAsia="zh-CN"/>
        </w:rPr>
        <w:t>滋泥泉子镇</w:t>
      </w:r>
      <w:r>
        <w:rPr>
          <w:rFonts w:hint="eastAsia" w:ascii="宋体" w:hAnsi="宋体" w:eastAsia="宋体" w:cs="宋体"/>
          <w:b/>
          <w:color w:val="auto"/>
          <w:kern w:val="2"/>
          <w:sz w:val="28"/>
          <w:szCs w:val="28"/>
          <w:highlight w:val="none"/>
          <w:shd w:val="clear" w:color="auto" w:fill="auto"/>
          <w:lang w:val="en-US" w:eastAsia="zh-CN"/>
        </w:rPr>
        <w:t>中心幼儿园</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color w:val="auto"/>
          <w:highlight w:val="none"/>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6</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昌州财教【2022】82号提前下达2023年新疆西藏地区特殊教育补助资金（</w:t>
      </w:r>
      <w:r>
        <w:rPr>
          <w:rFonts w:hint="eastAsia" w:cs="宋体"/>
          <w:b/>
          <w:bCs/>
          <w:color w:val="auto"/>
          <w:sz w:val="36"/>
          <w:szCs w:val="36"/>
          <w:highlight w:val="none"/>
          <w:shd w:val="clear" w:color="auto" w:fill="auto"/>
          <w:lang w:val="en-US" w:eastAsia="zh-CN"/>
        </w:rPr>
        <w:t>农村学前免费保障</w:t>
      </w:r>
      <w:r>
        <w:rPr>
          <w:rFonts w:hint="eastAsia" w:ascii="宋体" w:hAnsi="宋体" w:eastAsia="宋体" w:cs="宋体"/>
          <w:b/>
          <w:bCs/>
          <w:color w:val="auto"/>
          <w:sz w:val="36"/>
          <w:szCs w:val="36"/>
          <w:highlight w:val="none"/>
          <w:shd w:val="clear" w:color="auto" w:fill="auto"/>
          <w:lang w:val="en-US" w:eastAsia="zh-CN"/>
        </w:rPr>
        <w:t>资金）</w:t>
      </w:r>
      <w:r>
        <w:rPr>
          <w:rFonts w:hint="eastAsia" w:ascii="宋体" w:hAnsi="宋体" w:eastAsia="宋体" w:cs="宋体"/>
          <w:b/>
          <w:bCs/>
          <w:color w:val="auto"/>
          <w:sz w:val="36"/>
          <w:szCs w:val="36"/>
          <w:highlight w:val="none"/>
          <w:shd w:val="clear" w:color="auto" w:fill="auto"/>
        </w:rPr>
        <w:t>支出绩效评价报告</w:t>
      </w:r>
      <w:bookmarkEnd w:id="1"/>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b/>
          <w:bCs/>
          <w:color w:val="auto"/>
          <w:kern w:val="2"/>
          <w:sz w:val="32"/>
          <w:szCs w:val="32"/>
          <w:highlight w:val="none"/>
          <w:lang w:val="en-US" w:eastAsia="zh-CN" w:bidi="ar-SA"/>
        </w:rPr>
      </w:pPr>
      <w:bookmarkStart w:id="3" w:name="_Toc18966"/>
      <w:r>
        <w:rPr>
          <w:rFonts w:hint="eastAsia" w:ascii="宋体" w:hAnsi="宋体" w:eastAsia="宋体" w:cs="宋体"/>
          <w:b/>
          <w:bCs/>
          <w:color w:val="auto"/>
          <w:kern w:val="2"/>
          <w:sz w:val="32"/>
          <w:szCs w:val="32"/>
          <w:highlight w:val="none"/>
          <w:lang w:val="en-US" w:eastAsia="zh-CN" w:bidi="ar-SA"/>
        </w:rPr>
        <w:t>（一）项目概况</w:t>
      </w:r>
      <w:bookmarkEnd w:id="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sz w:val="28"/>
          <w:szCs w:val="32"/>
          <w:highlight w:val="none"/>
          <w:shd w:val="clear" w:color="auto" w:fill="auto"/>
          <w:lang w:eastAsia="zh-CN"/>
        </w:rPr>
      </w:pPr>
      <w:bookmarkStart w:id="4" w:name="_Toc5043"/>
      <w:r>
        <w:rPr>
          <w:rFonts w:hint="eastAsia" w:ascii="宋体" w:hAnsi="宋体" w:eastAsia="宋体" w:cs="宋体"/>
          <w:b w:val="0"/>
          <w:bCs w:val="0"/>
          <w:color w:val="auto"/>
          <w:sz w:val="28"/>
          <w:szCs w:val="32"/>
          <w:highlight w:val="none"/>
          <w:shd w:val="clear" w:color="auto" w:fill="auto"/>
          <w:lang w:val="en-US" w:eastAsia="zh-CN"/>
        </w:rPr>
        <w:t>1.</w:t>
      </w:r>
      <w:r>
        <w:rPr>
          <w:rFonts w:hint="eastAsia" w:ascii="宋体" w:hAnsi="宋体" w:eastAsia="宋体" w:cs="宋体"/>
          <w:b w:val="0"/>
          <w:bCs w:val="0"/>
          <w:color w:val="auto"/>
          <w:sz w:val="28"/>
          <w:szCs w:val="32"/>
          <w:highlight w:val="none"/>
          <w:shd w:val="clear" w:color="auto" w:fill="auto"/>
        </w:rPr>
        <w:t>项目背景</w:t>
      </w:r>
      <w:bookmarkEnd w:id="4"/>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color w:val="auto"/>
          <w:highlight w:val="none"/>
          <w:lang w:val="en-US" w:eastAsia="zh-CN"/>
        </w:rPr>
      </w:pPr>
      <w:r>
        <w:rPr>
          <w:rFonts w:hint="eastAsia" w:ascii="宋体" w:hAnsi="宋体" w:eastAsia="宋体" w:cs="宋体"/>
          <w:color w:val="auto"/>
          <w:sz w:val="28"/>
          <w:szCs w:val="28"/>
          <w:highlight w:val="none"/>
          <w:lang w:val="en-US" w:eastAsia="zh-CN"/>
        </w:rPr>
        <w:t>根据自治区财政厅《关于提前下达2023年新疆西藏等地区教育特殊补助资金预算的通知》</w:t>
      </w:r>
      <w:r>
        <w:rPr>
          <w:rFonts w:hint="eastAsia" w:ascii="宋体" w:hAnsi="宋体" w:eastAsia="宋体" w:cs="宋体"/>
          <w:b w:val="0"/>
          <w:bCs w:val="0"/>
          <w:color w:val="auto"/>
          <w:sz w:val="28"/>
          <w:szCs w:val="28"/>
          <w:highlight w:val="none"/>
          <w:lang w:val="en-US" w:eastAsia="zh-CN"/>
        </w:rPr>
        <w:t>（新财教[2022]176号）文件。</w:t>
      </w:r>
      <w:r>
        <w:rPr>
          <w:rFonts w:hint="eastAsia" w:ascii="宋体" w:hAnsi="宋体" w:eastAsia="宋体" w:cs="宋体"/>
          <w:color w:val="auto"/>
          <w:sz w:val="28"/>
          <w:szCs w:val="28"/>
          <w:highlight w:val="none"/>
          <w:lang w:eastAsia="zh-CN"/>
        </w:rPr>
        <w:t>为3-6岁学龄前儿童提供保育与教育，落实好学前三年教育目标，改善幼儿园的办学条件，保障学阶段幼儿在园教学需求，为幼儿提供优质的保教环境。</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sz w:val="28"/>
          <w:szCs w:val="32"/>
          <w:highlight w:val="none"/>
          <w:shd w:val="clear" w:color="auto" w:fill="auto"/>
        </w:rPr>
      </w:pPr>
      <w:bookmarkStart w:id="5" w:name="_Toc27343"/>
      <w:r>
        <w:rPr>
          <w:rFonts w:hint="eastAsia" w:ascii="宋体" w:hAnsi="宋体" w:eastAsia="宋体" w:cs="宋体"/>
          <w:b w:val="0"/>
          <w:bCs w:val="0"/>
          <w:color w:val="auto"/>
          <w:sz w:val="28"/>
          <w:szCs w:val="32"/>
          <w:highlight w:val="none"/>
          <w:shd w:val="clear" w:color="auto" w:fill="auto"/>
          <w:lang w:val="en-US" w:eastAsia="zh-CN"/>
        </w:rPr>
        <w:t>2.</w:t>
      </w:r>
      <w:r>
        <w:rPr>
          <w:rFonts w:hint="eastAsia" w:ascii="宋体" w:hAnsi="宋体" w:eastAsia="宋体" w:cs="宋体"/>
          <w:b w:val="0"/>
          <w:bCs w:val="0"/>
          <w:color w:val="auto"/>
          <w:sz w:val="28"/>
          <w:szCs w:val="32"/>
          <w:highlight w:val="none"/>
          <w:shd w:val="clear" w:color="auto" w:fill="auto"/>
        </w:rPr>
        <w:t>主要内容及实施情况</w:t>
      </w:r>
      <w:bookmarkEnd w:id="5"/>
    </w:p>
    <w:p>
      <w:pPr>
        <w:pStyle w:val="4"/>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6" w:name="_Toc16592"/>
      <w:r>
        <w:rPr>
          <w:rFonts w:hint="eastAsia" w:ascii="宋体" w:hAnsi="宋体" w:eastAsia="宋体" w:cs="宋体"/>
          <w:b w:val="0"/>
          <w:bCs w:val="0"/>
          <w:color w:val="auto"/>
          <w:kern w:val="2"/>
          <w:sz w:val="28"/>
          <w:szCs w:val="28"/>
          <w:highlight w:val="none"/>
          <w:lang w:val="en-US" w:eastAsia="zh-CN" w:bidi="ar-SA"/>
        </w:rPr>
        <w:t>主要内容：</w:t>
      </w:r>
      <w:bookmarkEnd w:id="6"/>
      <w:r>
        <w:rPr>
          <w:rFonts w:hint="eastAsia" w:ascii="宋体" w:hAnsi="宋体" w:eastAsia="宋体" w:cs="宋体"/>
          <w:b w:val="0"/>
          <w:bCs w:val="0"/>
          <w:color w:val="auto"/>
          <w:kern w:val="2"/>
          <w:sz w:val="28"/>
          <w:szCs w:val="28"/>
          <w:highlight w:val="none"/>
          <w:lang w:val="en-US" w:eastAsia="zh-CN" w:bidi="ar-SA"/>
        </w:rPr>
        <w:t xml:space="preserve">为3-6岁学龄前儿童提供保育与教育，落实好学前三年教育目标，改善幼儿园的办学条件，保障学阶段幼儿在园教学需求，为幼儿提供优质的保教环境。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组织实施：根据自治区财政厅《关于提前下达2023年新疆西藏等地区教育特殊补助资金预算的通知》（新财教[2022]176号）文件，经财经会议，确定了项目领导小组，明确了责任分工：组长为李欢，副组长为郑杰，项目负责人为马圆丽,组员为王小娟、路春飞，其中：李欢负责监管工作，马圆丽负责项目档案资料，王小娟负责资金拨付工作。</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宋体" w:eastAsia="仿宋_GB2312" w:cs="宋体"/>
          <w:b w:val="0"/>
          <w:bCs w:val="0"/>
          <w:color w:val="auto"/>
          <w:kern w:val="2"/>
          <w:sz w:val="32"/>
          <w:szCs w:val="32"/>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截至2023年12月31日，已完成农村学前三年适龄幼儿数164人，开展教育活动次数350次，设施设备维护次数20次，完成年度教育教学活动工作达标率100%，保障教育教学活动开展的公用经费已使用10.63万元，培训费0.26万元，项目的实施保障幼儿园各项工作平稳进行，校园环境和条件进一步改善。</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sz w:val="28"/>
          <w:szCs w:val="32"/>
          <w:highlight w:val="none"/>
          <w:shd w:val="clear" w:color="auto" w:fill="auto"/>
          <w:lang w:val="en-US" w:eastAsia="zh-CN"/>
        </w:rPr>
      </w:pPr>
      <w:bookmarkStart w:id="7" w:name="_Toc1858"/>
      <w:r>
        <w:rPr>
          <w:rFonts w:hint="eastAsia" w:ascii="宋体" w:hAnsi="宋体" w:eastAsia="宋体" w:cs="宋体"/>
          <w:b w:val="0"/>
          <w:bCs w:val="0"/>
          <w:color w:val="auto"/>
          <w:sz w:val="28"/>
          <w:szCs w:val="32"/>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（1）项目资金安排落实、总投入等情况分析</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昌州财教【2022】82号提前下达2023年新疆西藏地区特殊教育补助资金（农村学前免费保障资金）项目预算安排总额为18.46万元，其中财政资金18.46万元，其他资金0万元，2023年实际收到预算资金18.46万元，预算资金到位率为100%。</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（2）项目资金实际使用情况分析</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截至2023年12月31日，昌州财教【2022】82号提前下达2023年新疆西藏地区特殊教育补助资金（农村学前免费保障资金）项目实际支付资金18.46万元，预算执行率100%。项目资金主要用于保障教育教学活动开展的公用经费等方面。</w:t>
      </w:r>
    </w:p>
    <w:p>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6"/>
          <w:highlight w:val="none"/>
          <w:shd w:val="clear" w:color="auto" w:fill="auto"/>
          <w:lang w:val="en-US" w:eastAsia="zh-CN"/>
        </w:rPr>
      </w:pPr>
      <w:bookmarkStart w:id="9" w:name="_Toc10047"/>
      <w:r>
        <w:rPr>
          <w:rFonts w:hint="eastAsia" w:ascii="宋体" w:hAnsi="宋体" w:eastAsia="宋体" w:cs="宋体"/>
          <w:color w:val="auto"/>
          <w:sz w:val="32"/>
          <w:szCs w:val="36"/>
          <w:highlight w:val="none"/>
          <w:shd w:val="clear" w:color="auto" w:fill="auto"/>
          <w:lang w:val="en-US" w:eastAsia="zh-CN"/>
        </w:rPr>
        <w:t>1.总体目标</w:t>
      </w:r>
      <w:bookmarkEnd w:id="9"/>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昌州财教【2022】82号提前下达2023年新疆西藏地区特殊教育补助资金（农村学前免费保障资金）项目绩效总体目标为：职能：为3-6岁学龄前儿童提供保育与教育，落实好学前三年教育目标，改善幼儿园的办学条件，保障学阶段幼儿在园教学需求，为幼儿提供优质的保教环。目标：农村学前三年适龄幼儿数164人，开展教育活动次数600次，设施设备维护次数20次，完成年度教育教学活动工作达标率100%，保障教育教学活动开展的公用经费18.46万元，用于日常办公费11.88万元，邮电费6.76万元等费用，保障幼儿园各项工作平稳进行，校园环境和条件进一步改善，家长及教师满意度90%。</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6"/>
          <w:highlight w:val="none"/>
          <w:shd w:val="clear" w:color="auto" w:fill="auto"/>
          <w:lang w:val="en-US" w:eastAsia="zh-CN"/>
        </w:rPr>
      </w:pPr>
      <w:bookmarkStart w:id="10" w:name="_Toc4487"/>
      <w:r>
        <w:rPr>
          <w:rFonts w:hint="eastAsia" w:ascii="宋体" w:hAnsi="宋体" w:eastAsia="宋体" w:cs="宋体"/>
          <w:color w:val="auto"/>
          <w:sz w:val="32"/>
          <w:szCs w:val="36"/>
          <w:highlight w:val="none"/>
          <w:shd w:val="clear" w:color="auto" w:fill="auto"/>
          <w:lang w:val="en-US" w:eastAsia="zh-CN"/>
        </w:rPr>
        <w:t>2.阶段性目标</w:t>
      </w:r>
      <w:bookmarkEnd w:id="10"/>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（1）项目产出目标</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①数量指标</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“农村学前三年适龄幼儿人数”指标，预期目标值为≧164人；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“开展教育教学活动次数”指标，预期目标值为≧600次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“设施设备维护次数”指标，预期目标值为≧20次；</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②质量指标</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“完成年度教育教学活动工作达标率”指标，预期目标值为=100%；</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③时效指标</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“教育教学活动工作开展时间”指标，预期目标值为2023-12-31前；</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“教育教学活动工作开展及时率”指标，预期目标值为=100%；</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成本指标</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①经济成本指标</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“保障教育教学活动开展的公用经费”指标，预期目标值为≤11.88万元；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“保障教育教学活动开展的印刷费”指标，预期目标值为≧3000元万元；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“保障教育教学活动开展的邮电费”指标，预期目标值为≤2.05万元；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“保障教育教学活动开展的电费”指标，预期目标值为≤2.41万元；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“保障教育教学活动开展的维修费”指标，预期目标值为≤1.82万元；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（3）项目效益目标</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①经济效益指标</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“保障幼儿园各项工作平稳进行”指标，预期目标值为有效保障；</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②社会效益指标</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“校园环境和条件进一步改善”指标，预期目标值为有效改善；</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（4）满意度目标</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①满意度指标</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“家长及教师满意度”指标，预期目标值为≥90%。</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80" w:leftChars="0" w:firstLine="640" w:firstLineChars="0"/>
        <w:jc w:val="both"/>
        <w:textAlignment w:val="auto"/>
        <w:rPr>
          <w:rFonts w:hint="eastAsia" w:ascii="宋体" w:hAnsi="宋体" w:eastAsia="宋体" w:cs="宋体"/>
          <w:b/>
          <w:bCs/>
          <w:color w:val="auto"/>
          <w:kern w:val="2"/>
          <w:sz w:val="32"/>
          <w:szCs w:val="32"/>
          <w:highlight w:val="none"/>
          <w:lang w:val="en-US" w:eastAsia="zh-CN" w:bidi="ar-SA"/>
        </w:rPr>
      </w:pPr>
      <w:bookmarkStart w:id="12" w:name="_Toc5258"/>
      <w:bookmarkStart w:id="13" w:name="_Toc480473081"/>
      <w:bookmarkStart w:id="14" w:name="_Toc22169_WPSOffice_Level2"/>
      <w:bookmarkStart w:id="15" w:name="_Toc21664"/>
      <w:bookmarkStart w:id="16" w:name="_Toc5462343"/>
      <w:bookmarkStart w:id="17" w:name="_Toc12868"/>
      <w:bookmarkStart w:id="18" w:name="_Toc22922"/>
      <w:bookmarkStart w:id="19" w:name="_Toc26632"/>
      <w:bookmarkStart w:id="20" w:name="_Toc21778"/>
      <w:r>
        <w:rPr>
          <w:rFonts w:hint="eastAsia" w:ascii="宋体" w:hAnsi="宋体" w:eastAsia="宋体" w:cs="宋体"/>
          <w:b/>
          <w:bCs/>
          <w:color w:val="auto"/>
          <w:kern w:val="2"/>
          <w:sz w:val="32"/>
          <w:szCs w:val="32"/>
          <w:highlight w:val="none"/>
          <w:lang w:val="en-US" w:eastAsia="zh-CN" w:bidi="ar-SA"/>
        </w:rPr>
        <w:t>绩效评价的目的</w:t>
      </w:r>
      <w:bookmarkEnd w:id="12"/>
      <w:bookmarkEnd w:id="13"/>
      <w:bookmarkEnd w:id="14"/>
      <w:bookmarkEnd w:id="15"/>
      <w:bookmarkEnd w:id="16"/>
      <w:bookmarkEnd w:id="17"/>
      <w:bookmarkEnd w:id="18"/>
      <w:bookmarkEnd w:id="19"/>
      <w:r>
        <w:rPr>
          <w:rFonts w:hint="eastAsia" w:ascii="宋体" w:hAnsi="宋体" w:eastAsia="宋体" w:cs="宋体"/>
          <w:b/>
          <w:bCs/>
          <w:color w:val="auto"/>
          <w:kern w:val="2"/>
          <w:sz w:val="32"/>
          <w:szCs w:val="32"/>
          <w:highlight w:val="none"/>
          <w:lang w:val="en-US" w:eastAsia="zh-CN" w:bidi="ar-SA"/>
        </w:rPr>
        <w:t>、对象和范围</w:t>
      </w:r>
      <w:bookmarkEnd w:id="20"/>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shd w:val="clear" w:color="auto" w:fill="auto"/>
          <w:lang w:val="en-US" w:eastAsia="zh-CN"/>
        </w:rPr>
      </w:pPr>
      <w:bookmarkStart w:id="21" w:name="_Toc15732"/>
      <w:r>
        <w:rPr>
          <w:rFonts w:hint="eastAsia" w:ascii="宋体" w:hAnsi="宋体" w:eastAsia="宋体" w:cs="宋体"/>
          <w:b/>
          <w:bCs/>
          <w:color w:val="auto"/>
          <w:sz w:val="28"/>
          <w:szCs w:val="28"/>
          <w:highlight w:val="none"/>
          <w:shd w:val="clear" w:color="auto" w:fill="auto"/>
          <w:lang w:val="en-US" w:eastAsia="zh-CN"/>
        </w:rPr>
        <w:t>1.</w:t>
      </w:r>
      <w:r>
        <w:rPr>
          <w:rFonts w:hint="eastAsia" w:ascii="宋体" w:hAnsi="宋体" w:eastAsia="宋体" w:cs="宋体"/>
          <w:b/>
          <w:bCs/>
          <w:color w:val="auto"/>
          <w:sz w:val="28"/>
          <w:szCs w:val="28"/>
          <w:highlight w:val="none"/>
          <w:shd w:val="clear" w:color="auto" w:fill="auto"/>
          <w:lang w:eastAsia="zh-CN"/>
        </w:rPr>
        <w:t>绩效评价的目的</w:t>
      </w:r>
      <w:bookmarkEnd w:id="21"/>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bCs/>
          <w:color w:val="auto"/>
          <w:sz w:val="32"/>
          <w:szCs w:val="36"/>
          <w:highlight w:val="none"/>
          <w:shd w:val="clear" w:color="auto" w:fill="auto"/>
          <w:lang w:val="en-US" w:eastAsia="zh-CN"/>
        </w:rPr>
      </w:pPr>
      <w:bookmarkStart w:id="22" w:name="_Toc30609"/>
      <w:r>
        <w:rPr>
          <w:rFonts w:hint="eastAsia" w:ascii="宋体" w:hAnsi="宋体" w:eastAsia="宋体" w:cs="宋体"/>
          <w:b/>
          <w:bCs/>
          <w:color w:val="auto"/>
          <w:sz w:val="32"/>
          <w:szCs w:val="36"/>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此次我单位根据《财政支出绩效评价管理暂行办法》（财预〔2020〕10号）文件要求对2023年度我单位实施的昌州财教【2022】82号提前下达2023年新疆西藏地区特殊教育补助资金（农村学前免费保障资金）项目开展部门绩效评价。</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80" w:leftChars="0" w:firstLine="640" w:firstLineChars="0"/>
        <w:jc w:val="both"/>
        <w:textAlignment w:val="auto"/>
        <w:rPr>
          <w:rFonts w:hint="eastAsia" w:ascii="宋体" w:hAnsi="宋体" w:eastAsia="宋体" w:cs="宋体"/>
          <w:b/>
          <w:bCs/>
          <w:color w:val="auto"/>
          <w:kern w:val="2"/>
          <w:sz w:val="32"/>
          <w:szCs w:val="32"/>
          <w:highlight w:val="none"/>
          <w:lang w:val="en-US" w:eastAsia="zh-CN" w:bidi="ar-SA"/>
        </w:rPr>
      </w:pPr>
      <w:bookmarkStart w:id="23" w:name="_Toc15902"/>
      <w:r>
        <w:rPr>
          <w:rFonts w:hint="eastAsia" w:ascii="宋体" w:hAnsi="宋体" w:eastAsia="宋体" w:cs="宋体"/>
          <w:b/>
          <w:bCs/>
          <w:color w:val="auto"/>
          <w:kern w:val="2"/>
          <w:sz w:val="32"/>
          <w:szCs w:val="32"/>
          <w:highlight w:val="none"/>
          <w:lang w:val="en-US" w:eastAsia="zh-CN" w:bidi="ar-SA"/>
        </w:rPr>
        <w:t>绩效评价原则、评价指标体系（附表说明）、评价方法、评价标准</w:t>
      </w:r>
      <w:bookmarkEnd w:id="23"/>
      <w:r>
        <w:rPr>
          <w:rFonts w:hint="eastAsia" w:ascii="宋体" w:hAnsi="宋体" w:eastAsia="宋体" w:cs="宋体"/>
          <w:b/>
          <w:bCs/>
          <w:color w:val="auto"/>
          <w:kern w:val="2"/>
          <w:sz w:val="32"/>
          <w:szCs w:val="32"/>
          <w:highlight w:val="none"/>
          <w:lang w:val="en-US" w:eastAsia="zh-CN" w:bidi="ar-SA"/>
        </w:rPr>
        <w:t>。</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bCs/>
          <w:color w:val="auto"/>
          <w:sz w:val="28"/>
          <w:szCs w:val="32"/>
          <w:highlight w:val="none"/>
          <w:shd w:val="clear" w:color="auto" w:fill="auto"/>
        </w:rPr>
      </w:pPr>
      <w:bookmarkStart w:id="24" w:name="_Toc24506"/>
      <w:r>
        <w:rPr>
          <w:rFonts w:hint="eastAsia" w:ascii="宋体" w:hAnsi="宋体" w:eastAsia="宋体" w:cs="宋体"/>
          <w:b/>
          <w:bCs/>
          <w:color w:val="auto"/>
          <w:sz w:val="28"/>
          <w:szCs w:val="32"/>
          <w:highlight w:val="none"/>
          <w:shd w:val="clear" w:color="auto" w:fill="auto"/>
          <w:lang w:val="en-US" w:eastAsia="zh-CN"/>
        </w:rPr>
        <w:t>1.</w:t>
      </w:r>
      <w:r>
        <w:rPr>
          <w:rFonts w:hint="eastAsia" w:ascii="宋体" w:hAnsi="宋体" w:eastAsia="宋体" w:cs="宋体"/>
          <w:b/>
          <w:bCs/>
          <w:color w:val="auto"/>
          <w:sz w:val="28"/>
          <w:szCs w:val="32"/>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依据《财政支出绩效评价管理暂行办法》（财预〔2020〕10号）本次绩效评价秉承科学规范、公正公开、分级分类、绩效相关等原则，按照从投入、过程到产出效果和影响的绩效逻辑路径，结合昌州财教【2022】82号提前下达2023年新疆西藏地区特殊教育补助资金（农村学前免费保障资金）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（1）科学公正。绩效评价应当运用科学合理的方法，按照规范的程序，对项目绩效进行客观、公正的反映。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（2）统筹兼顾。单位自评、部门评价和财政评价应职责明确，各有侧重，相互衔接。单位自评应由项目单位自主实施，即“谁支出、谁自评”。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（4）公开透明。绩效评价结果应依法依规公开，并自觉接受社会监督。</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bCs/>
          <w:color w:val="auto"/>
          <w:sz w:val="28"/>
          <w:szCs w:val="32"/>
          <w:highlight w:val="none"/>
          <w:shd w:val="clear" w:color="auto" w:fill="auto"/>
          <w:lang w:eastAsia="zh-CN"/>
        </w:rPr>
      </w:pPr>
      <w:bookmarkStart w:id="25" w:name="_Toc26131"/>
      <w:bookmarkStart w:id="26" w:name="_Toc419984722"/>
      <w:bookmarkStart w:id="27" w:name="_Toc428278230"/>
      <w:bookmarkStart w:id="28" w:name="_Toc1913"/>
      <w:bookmarkStart w:id="29" w:name="_Toc24396"/>
      <w:r>
        <w:rPr>
          <w:rFonts w:hint="eastAsia" w:ascii="宋体" w:hAnsi="宋体" w:eastAsia="宋体" w:cs="宋体"/>
          <w:b/>
          <w:bCs/>
          <w:color w:val="auto"/>
          <w:sz w:val="28"/>
          <w:szCs w:val="32"/>
          <w:highlight w:val="none"/>
          <w:shd w:val="clear" w:color="auto" w:fill="auto"/>
          <w:lang w:val="en-US" w:eastAsia="zh-CN"/>
        </w:rPr>
        <w:t>2.</w:t>
      </w:r>
      <w:r>
        <w:rPr>
          <w:rFonts w:hint="eastAsia" w:ascii="宋体" w:hAnsi="宋体" w:eastAsia="宋体" w:cs="宋体"/>
          <w:b/>
          <w:bCs/>
          <w:color w:val="auto"/>
          <w:sz w:val="28"/>
          <w:szCs w:val="32"/>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b/>
          <w:bCs/>
          <w:color w:val="auto"/>
          <w:sz w:val="28"/>
          <w:szCs w:val="32"/>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我单位</w:t>
      </w:r>
      <w:r>
        <w:rPr>
          <w:rFonts w:hint="eastAsia" w:ascii="宋体" w:hAnsi="宋体" w:eastAsia="宋体" w:cs="宋体"/>
          <w:b w:val="0"/>
          <w:bCs w:val="0"/>
          <w:color w:val="auto"/>
          <w:kern w:val="2"/>
          <w:sz w:val="28"/>
          <w:szCs w:val="28"/>
          <w:highlight w:val="none"/>
          <w:lang w:val="zh-TW" w:eastAsia="zh-TW" w:bidi="ar-SA"/>
        </w:rPr>
        <w:t>根据项目的</w:t>
      </w:r>
      <w:r>
        <w:rPr>
          <w:rFonts w:hint="eastAsia" w:ascii="宋体" w:hAnsi="宋体" w:eastAsia="宋体" w:cs="宋体"/>
          <w:b w:val="0"/>
          <w:bCs w:val="0"/>
          <w:color w:val="auto"/>
          <w:kern w:val="2"/>
          <w:sz w:val="28"/>
          <w:szCs w:val="28"/>
          <w:highlight w:val="none"/>
          <w:lang w:val="en-US" w:eastAsia="zh-CN" w:bidi="ar-SA"/>
        </w:rPr>
        <w:t>实施</w:t>
      </w:r>
      <w:r>
        <w:rPr>
          <w:rFonts w:hint="eastAsia" w:ascii="宋体" w:hAnsi="宋体" w:eastAsia="宋体" w:cs="宋体"/>
          <w:b w:val="0"/>
          <w:bCs w:val="0"/>
          <w:color w:val="auto"/>
          <w:kern w:val="2"/>
          <w:sz w:val="28"/>
          <w:szCs w:val="28"/>
          <w:highlight w:val="none"/>
          <w:lang w:val="zh-TW" w:eastAsia="zh-TW" w:bidi="ar-SA"/>
        </w:rPr>
        <w:t>资料研读及前期调研，结合项目的实际开展情况，最终形成了项目绩效评价指标体系</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指标体系结构如下（详见上传的附件）：</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bCs/>
          <w:color w:val="auto"/>
          <w:sz w:val="28"/>
          <w:szCs w:val="32"/>
          <w:highlight w:val="none"/>
          <w:shd w:val="clear" w:color="auto" w:fill="auto"/>
          <w:lang w:val="en-US" w:eastAsia="zh-CN"/>
        </w:rPr>
      </w:pPr>
      <w:bookmarkStart w:id="30" w:name="_Toc9941"/>
      <w:r>
        <w:rPr>
          <w:rFonts w:hint="eastAsia" w:ascii="宋体" w:hAnsi="宋体" w:eastAsia="宋体" w:cs="宋体"/>
          <w:b/>
          <w:bCs/>
          <w:color w:val="auto"/>
          <w:sz w:val="28"/>
          <w:szCs w:val="32"/>
          <w:highlight w:val="none"/>
          <w:shd w:val="clear" w:color="auto" w:fill="auto"/>
          <w:lang w:val="en-US" w:eastAsia="zh-CN"/>
        </w:rPr>
        <w:t>3.</w:t>
      </w:r>
      <w:r>
        <w:rPr>
          <w:rFonts w:hint="eastAsia" w:ascii="宋体" w:hAnsi="宋体" w:eastAsia="宋体" w:cs="宋体"/>
          <w:b/>
          <w:bCs/>
          <w:color w:val="auto"/>
          <w:sz w:val="28"/>
          <w:szCs w:val="32"/>
          <w:highlight w:val="none"/>
          <w:shd w:val="clear" w:color="auto" w:fill="auto"/>
        </w:rPr>
        <w:t>评价</w:t>
      </w:r>
      <w:r>
        <w:rPr>
          <w:rFonts w:hint="eastAsia" w:ascii="宋体" w:hAnsi="宋体" w:eastAsia="宋体" w:cs="宋体"/>
          <w:b/>
          <w:bCs/>
          <w:color w:val="auto"/>
          <w:sz w:val="28"/>
          <w:szCs w:val="32"/>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本次绩效评价采用的方法为比较法、因素分析法、公众评判法对项目绩效目标预期目标值与实施情况进行比较，以及采取公众问卷及抽样调查等方式进行评判的方法对昌州财教【2022】82号提前下达2023年新疆西藏地区特殊教育补助资金（农村学前免费保障资金）项目进行评价。</w:t>
      </w:r>
    </w:p>
    <w:p>
      <w:pPr>
        <w:pStyle w:val="4"/>
        <w:rPr>
          <w:rFonts w:hint="eastAsia" w:ascii="宋体" w:hAnsi="宋体" w:eastAsia="宋体" w:cs="宋体"/>
          <w:b/>
          <w:bCs/>
          <w:color w:val="auto"/>
          <w:sz w:val="28"/>
          <w:szCs w:val="32"/>
          <w:highlight w:val="none"/>
          <w:shd w:val="clear" w:color="auto" w:fill="auto"/>
          <w:lang w:val="en-US" w:eastAsia="zh-CN"/>
        </w:rPr>
      </w:pPr>
      <w:bookmarkStart w:id="31" w:name="_Toc25391"/>
      <w:r>
        <w:rPr>
          <w:rFonts w:hint="eastAsia" w:ascii="宋体" w:hAnsi="宋体" w:eastAsia="宋体" w:cs="宋体"/>
          <w:b/>
          <w:bCs/>
          <w:color w:val="auto"/>
          <w:sz w:val="28"/>
          <w:szCs w:val="32"/>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（3）历史标准。指参照历史数据制定的评价标准，为体现绩效改进的原则，在可实现的条件下应当确定相对较高的评价标准。</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（4）财政部门和预算部门确认或认可的其他标准。</w:t>
      </w:r>
    </w:p>
    <w:p>
      <w:pPr>
        <w:pStyle w:val="4"/>
        <w:outlineLvl w:val="1"/>
        <w:rPr>
          <w:rFonts w:hint="eastAsia" w:ascii="宋体" w:hAnsi="宋体" w:eastAsia="宋体" w:cs="宋体"/>
          <w:b/>
          <w:bCs/>
          <w:color w:val="auto"/>
          <w:kern w:val="2"/>
          <w:sz w:val="28"/>
          <w:szCs w:val="28"/>
          <w:highlight w:val="none"/>
          <w:lang w:val="en-US" w:eastAsia="zh-CN" w:bidi="ar-SA"/>
        </w:rPr>
      </w:pPr>
      <w:bookmarkStart w:id="32" w:name="_Toc1070"/>
      <w:r>
        <w:rPr>
          <w:rFonts w:hint="eastAsia" w:ascii="宋体" w:hAnsi="宋体" w:eastAsia="宋体" w:cs="宋体"/>
          <w:b/>
          <w:bCs/>
          <w:color w:val="auto"/>
          <w:kern w:val="2"/>
          <w:sz w:val="28"/>
          <w:szCs w:val="28"/>
          <w:highlight w:val="none"/>
          <w:lang w:val="en-US" w:eastAsia="zh-CN" w:bidi="ar-SA"/>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33" w:name="_Toc12862"/>
      <w:r>
        <w:rPr>
          <w:rFonts w:hint="eastAsia" w:ascii="宋体" w:hAnsi="宋体" w:eastAsia="宋体" w:cs="宋体"/>
          <w:b w:val="0"/>
          <w:bCs w:val="0"/>
          <w:color w:val="auto"/>
          <w:kern w:val="2"/>
          <w:sz w:val="28"/>
          <w:szCs w:val="28"/>
          <w:highlight w:val="none"/>
          <w:lang w:val="en-US" w:eastAsia="zh-CN" w:bidi="ar-SA"/>
        </w:rPr>
        <w:t>1.前期准备</w:t>
      </w:r>
      <w:bookmarkEnd w:id="33"/>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（1）成立绩效评价项目小组</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为确保该项目绩效评价的顺利实施，评价机构组建了绩效评价项目小组。项目小组负责建立联络制度、明确评价责任人、制定评价方案、实施具体评价等工作。</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34" w:name="_Toc31571"/>
      <w:r>
        <w:rPr>
          <w:rFonts w:hint="eastAsia" w:ascii="宋体" w:hAnsi="宋体" w:eastAsia="宋体" w:cs="宋体"/>
          <w:b w:val="0"/>
          <w:bCs w:val="0"/>
          <w:color w:val="auto"/>
          <w:kern w:val="2"/>
          <w:sz w:val="28"/>
          <w:szCs w:val="28"/>
          <w:highlight w:val="none"/>
          <w:lang w:val="en-US" w:eastAsia="zh-CN" w:bidi="ar-SA"/>
        </w:rPr>
        <w:t>（2）开展前期调研</w:t>
      </w:r>
      <w:bookmarkEnd w:id="34"/>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35" w:name="_Toc21240"/>
      <w:r>
        <w:rPr>
          <w:rFonts w:hint="eastAsia" w:ascii="宋体" w:hAnsi="宋体" w:eastAsia="宋体" w:cs="宋体"/>
          <w:b w:val="0"/>
          <w:bCs w:val="0"/>
          <w:color w:val="auto"/>
          <w:kern w:val="2"/>
          <w:sz w:val="28"/>
          <w:szCs w:val="28"/>
          <w:highlight w:val="none"/>
          <w:lang w:val="en-US" w:eastAsia="zh-CN" w:bidi="ar-SA"/>
        </w:rPr>
        <w:t>绩效评价项目小组依据此次绩效评价受委托内容，对拟评价的项目实施前期调研。通过调研对昌州财教【2022】82号提前下达2023年新疆西藏地区特殊教育补助资金（农村学前免费保障资金）项目实施内容、目标信息、预算信息以及其他的一些项目基本信息，有了初步了解，为制定绩效评价工作方案做好准备。</w:t>
      </w:r>
      <w:bookmarkEnd w:id="35"/>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36" w:name="_Toc27977"/>
      <w:r>
        <w:rPr>
          <w:rFonts w:hint="eastAsia" w:ascii="宋体" w:hAnsi="宋体" w:eastAsia="宋体" w:cs="宋体"/>
          <w:b w:val="0"/>
          <w:bCs w:val="0"/>
          <w:color w:val="auto"/>
          <w:kern w:val="2"/>
          <w:sz w:val="28"/>
          <w:szCs w:val="28"/>
          <w:highlight w:val="none"/>
          <w:lang w:val="en-US" w:eastAsia="zh-CN" w:bidi="ar-SA"/>
        </w:rPr>
        <w:t>（3）制订绩效评价工作方案</w:t>
      </w:r>
      <w:bookmarkEnd w:id="36"/>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37" w:name="_Toc19659"/>
      <w:r>
        <w:rPr>
          <w:rFonts w:hint="eastAsia" w:ascii="宋体" w:hAnsi="宋体" w:eastAsia="宋体" w:cs="宋体"/>
          <w:b w:val="0"/>
          <w:bCs w:val="0"/>
          <w:color w:val="auto"/>
          <w:kern w:val="2"/>
          <w:sz w:val="28"/>
          <w:szCs w:val="28"/>
          <w:highlight w:val="none"/>
          <w:lang w:val="en-US" w:eastAsia="zh-CN" w:bidi="ar-SA"/>
        </w:rPr>
        <w:t>绩效评价项目小组根据有关规定和评价对象的特点以及前期调研收集的一些信息，拟定详细的绩效评价工作方案。</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8"/>
          <w:highlight w:val="none"/>
          <w:lang w:val="en-US" w:eastAsia="zh-CN" w:bidi="ar-SA"/>
        </w:rPr>
      </w:pPr>
      <w:bookmarkStart w:id="38" w:name="_Toc11353"/>
      <w:r>
        <w:rPr>
          <w:rFonts w:hint="eastAsia" w:ascii="宋体" w:hAnsi="宋体" w:eastAsia="宋体" w:cs="宋体"/>
          <w:b w:val="0"/>
          <w:bCs w:val="0"/>
          <w:color w:val="auto"/>
          <w:kern w:val="2"/>
          <w:sz w:val="28"/>
          <w:szCs w:val="28"/>
          <w:highlight w:val="none"/>
          <w:lang w:val="en-US" w:eastAsia="zh-CN" w:bidi="ar-SA"/>
        </w:rPr>
        <w:t>2.具体实施</w:t>
      </w:r>
      <w:bookmarkEnd w:id="38"/>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39" w:name="_Toc14111"/>
      <w:r>
        <w:rPr>
          <w:rFonts w:hint="eastAsia" w:ascii="宋体" w:hAnsi="宋体" w:eastAsia="宋体" w:cs="宋体"/>
          <w:b w:val="0"/>
          <w:bCs w:val="0"/>
          <w:color w:val="auto"/>
          <w:kern w:val="2"/>
          <w:sz w:val="28"/>
          <w:szCs w:val="28"/>
          <w:highlight w:val="none"/>
          <w:lang w:val="en-US" w:eastAsia="zh-CN" w:bidi="ar-SA"/>
        </w:rPr>
        <w:t>（1）收集基础资料</w:t>
      </w:r>
      <w:bookmarkEnd w:id="39"/>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0" w:name="_Toc28524"/>
      <w:r>
        <w:rPr>
          <w:rFonts w:hint="eastAsia" w:ascii="宋体" w:hAnsi="宋体" w:eastAsia="宋体" w:cs="宋体"/>
          <w:b w:val="0"/>
          <w:bCs w:val="0"/>
          <w:color w:val="auto"/>
          <w:kern w:val="2"/>
          <w:sz w:val="28"/>
          <w:szCs w:val="28"/>
          <w:highlight w:val="none"/>
          <w:lang w:val="en-US" w:eastAsia="zh-CN" w:bidi="ar-SA"/>
        </w:rPr>
        <w:t>根据评价工作的需要和要求，在前期调研的基础上，通过多种渠道全面收集项目基础信息资料，主要包括：</w:t>
      </w:r>
      <w:bookmarkEnd w:id="40"/>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1" w:name="_Toc32216"/>
      <w:r>
        <w:rPr>
          <w:rFonts w:hint="eastAsia" w:ascii="宋体" w:hAnsi="宋体" w:eastAsia="宋体" w:cs="宋体"/>
          <w:b w:val="0"/>
          <w:bCs w:val="0"/>
          <w:color w:val="auto"/>
          <w:kern w:val="2"/>
          <w:sz w:val="28"/>
          <w:szCs w:val="28"/>
          <w:highlight w:val="none"/>
          <w:lang w:val="en-US" w:eastAsia="zh-CN" w:bidi="ar-SA"/>
        </w:rPr>
        <w:t>①被评价单位基本概况，如单位职能、事业发展规划、预决算情况、项目立项依据等；</w:t>
      </w:r>
      <w:bookmarkEnd w:id="41"/>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2" w:name="_Toc10505"/>
      <w:r>
        <w:rPr>
          <w:rFonts w:hint="eastAsia" w:ascii="宋体" w:hAnsi="宋体" w:eastAsia="宋体" w:cs="宋体"/>
          <w:b w:val="0"/>
          <w:bCs w:val="0"/>
          <w:color w:val="auto"/>
          <w:kern w:val="2"/>
          <w:sz w:val="28"/>
          <w:szCs w:val="28"/>
          <w:highlight w:val="none"/>
          <w:lang w:val="en-US" w:eastAsia="zh-CN" w:bidi="ar-SA"/>
        </w:rPr>
        <w:t>②绩效目标及其设立依据和调整情况；</w:t>
      </w:r>
      <w:bookmarkEnd w:id="42"/>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3" w:name="_Toc28365"/>
      <w:r>
        <w:rPr>
          <w:rFonts w:hint="eastAsia" w:ascii="宋体" w:hAnsi="宋体" w:eastAsia="宋体" w:cs="宋体"/>
          <w:b w:val="0"/>
          <w:bCs w:val="0"/>
          <w:color w:val="auto"/>
          <w:kern w:val="2"/>
          <w:sz w:val="28"/>
          <w:szCs w:val="28"/>
          <w:highlight w:val="none"/>
          <w:lang w:val="en-US" w:eastAsia="zh-CN" w:bidi="ar-SA"/>
        </w:rPr>
        <w:t>③管理措施及组织实施情况；</w:t>
      </w:r>
      <w:bookmarkEnd w:id="43"/>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4" w:name="_Toc10091"/>
      <w:r>
        <w:rPr>
          <w:rFonts w:hint="eastAsia" w:ascii="宋体" w:hAnsi="宋体" w:eastAsia="宋体" w:cs="宋体"/>
          <w:b w:val="0"/>
          <w:bCs w:val="0"/>
          <w:color w:val="auto"/>
          <w:kern w:val="2"/>
          <w:sz w:val="28"/>
          <w:szCs w:val="28"/>
          <w:highlight w:val="none"/>
          <w:lang w:val="en-US" w:eastAsia="zh-CN" w:bidi="ar-SA"/>
        </w:rPr>
        <w:t>④被评价单位总结分析的绩效目标完成情况及绩效报告；</w:t>
      </w:r>
      <w:bookmarkEnd w:id="44"/>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5" w:name="_Toc1"/>
      <w:r>
        <w:rPr>
          <w:rFonts w:hint="eastAsia" w:ascii="宋体" w:hAnsi="宋体" w:eastAsia="宋体" w:cs="宋体"/>
          <w:b w:val="0"/>
          <w:bCs w:val="0"/>
          <w:color w:val="auto"/>
          <w:kern w:val="2"/>
          <w:sz w:val="28"/>
          <w:szCs w:val="28"/>
          <w:highlight w:val="none"/>
          <w:lang w:val="en-US" w:eastAsia="zh-CN" w:bidi="ar-SA"/>
        </w:rPr>
        <w:t>⑤与绩效评价相关的计划标准、行业标准、历史标准等；</w:t>
      </w:r>
      <w:bookmarkEnd w:id="45"/>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6" w:name="_Toc20059"/>
      <w:r>
        <w:rPr>
          <w:rFonts w:hint="eastAsia" w:ascii="宋体" w:hAnsi="宋体" w:eastAsia="宋体" w:cs="宋体"/>
          <w:b w:val="0"/>
          <w:bCs w:val="0"/>
          <w:color w:val="auto"/>
          <w:kern w:val="2"/>
          <w:sz w:val="28"/>
          <w:szCs w:val="28"/>
          <w:highlight w:val="none"/>
          <w:lang w:val="en-US" w:eastAsia="zh-CN" w:bidi="ar-SA"/>
        </w:rPr>
        <w:t>⑥其他必要的相关资料等。</w:t>
      </w:r>
      <w:bookmarkEnd w:id="46"/>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7" w:name="_Toc31911"/>
      <w:r>
        <w:rPr>
          <w:rFonts w:hint="eastAsia" w:ascii="宋体" w:hAnsi="宋体" w:eastAsia="宋体" w:cs="宋体"/>
          <w:b w:val="0"/>
          <w:bCs w:val="0"/>
          <w:color w:val="auto"/>
          <w:kern w:val="2"/>
          <w:sz w:val="28"/>
          <w:szCs w:val="28"/>
          <w:highlight w:val="none"/>
          <w:lang w:val="en-US" w:eastAsia="zh-CN" w:bidi="ar-SA"/>
        </w:rPr>
        <w:t>（2）整理、研读基础资料</w:t>
      </w:r>
      <w:bookmarkEnd w:id="47"/>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8" w:name="_Toc167"/>
      <w:r>
        <w:rPr>
          <w:rFonts w:hint="eastAsia" w:ascii="宋体" w:hAnsi="宋体" w:eastAsia="宋体" w:cs="宋体"/>
          <w:b w:val="0"/>
          <w:bCs w:val="0"/>
          <w:color w:val="auto"/>
          <w:kern w:val="2"/>
          <w:sz w:val="28"/>
          <w:szCs w:val="28"/>
          <w:highlight w:val="none"/>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8"/>
          <w:highlight w:val="none"/>
          <w:lang w:val="en-US" w:eastAsia="zh-CN" w:bidi="ar-SA"/>
        </w:rPr>
      </w:pPr>
      <w:bookmarkStart w:id="49" w:name="_Toc30513"/>
      <w:r>
        <w:rPr>
          <w:rFonts w:hint="eastAsia" w:ascii="宋体" w:hAnsi="宋体" w:eastAsia="宋体" w:cs="宋体"/>
          <w:b w:val="0"/>
          <w:bCs w:val="0"/>
          <w:color w:val="auto"/>
          <w:kern w:val="2"/>
          <w:sz w:val="28"/>
          <w:szCs w:val="28"/>
          <w:highlight w:val="none"/>
          <w:lang w:val="en-US" w:eastAsia="zh-CN" w:bidi="ar-SA"/>
        </w:rPr>
        <w:t>3.分析评价和撰写报告</w:t>
      </w:r>
      <w:bookmarkEnd w:id="49"/>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50" w:name="_Toc15974"/>
      <w:r>
        <w:rPr>
          <w:rFonts w:hint="eastAsia" w:ascii="宋体" w:hAnsi="宋体" w:eastAsia="宋体" w:cs="宋体"/>
          <w:b w:val="0"/>
          <w:bCs w:val="0"/>
          <w:color w:val="auto"/>
          <w:kern w:val="2"/>
          <w:sz w:val="28"/>
          <w:szCs w:val="28"/>
          <w:highlight w:val="none"/>
          <w:lang w:val="en-US" w:eastAsia="zh-CN" w:bidi="ar-SA"/>
        </w:rPr>
        <w:t>（1）综合分析评价</w:t>
      </w:r>
      <w:bookmarkEnd w:id="50"/>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51" w:name="_Toc4352"/>
      <w:r>
        <w:rPr>
          <w:rFonts w:hint="eastAsia" w:ascii="宋体" w:hAnsi="宋体" w:eastAsia="宋体" w:cs="宋体"/>
          <w:b w:val="0"/>
          <w:bCs w:val="0"/>
          <w:color w:val="auto"/>
          <w:kern w:val="2"/>
          <w:sz w:val="28"/>
          <w:szCs w:val="28"/>
          <w:highlight w:val="none"/>
          <w:lang w:val="en-US" w:eastAsia="zh-CN" w:bidi="ar-SA"/>
        </w:rPr>
        <w:t>①根据所收集的基础资料，结合现场核查的有关情况，整理出绩效评价所需的项目材料和基础数据。</w:t>
      </w:r>
      <w:bookmarkEnd w:id="51"/>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52" w:name="_Toc26231"/>
      <w:r>
        <w:rPr>
          <w:rFonts w:hint="eastAsia" w:ascii="宋体" w:hAnsi="宋体" w:eastAsia="宋体" w:cs="宋体"/>
          <w:b w:val="0"/>
          <w:bCs w:val="0"/>
          <w:color w:val="auto"/>
          <w:kern w:val="2"/>
          <w:sz w:val="28"/>
          <w:szCs w:val="28"/>
          <w:highlight w:val="none"/>
          <w:lang w:val="en-US" w:eastAsia="zh-CN" w:bidi="ar-SA"/>
        </w:rPr>
        <w:t>②将初步评价结论、调整事项、专家咨询意见和有关说明等提交单位内部讨论并征求意见。之后，对所征求的意见及时地进行收集和整理。</w:t>
      </w:r>
      <w:bookmarkEnd w:id="52"/>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53" w:name="_Toc27759"/>
      <w:r>
        <w:rPr>
          <w:rFonts w:hint="eastAsia" w:ascii="宋体" w:hAnsi="宋体" w:eastAsia="宋体" w:cs="宋体"/>
          <w:b w:val="0"/>
          <w:bCs w:val="0"/>
          <w:color w:val="auto"/>
          <w:kern w:val="2"/>
          <w:sz w:val="28"/>
          <w:szCs w:val="28"/>
          <w:highlight w:val="none"/>
          <w:lang w:val="en-US" w:eastAsia="zh-CN" w:bidi="ar-SA"/>
        </w:rPr>
        <w:t>（2）撰写报告</w:t>
      </w:r>
      <w:bookmarkEnd w:id="53"/>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8"/>
          <w:highlight w:val="none"/>
          <w:lang w:val="en-US" w:eastAsia="zh-CN" w:bidi="ar-SA"/>
        </w:rPr>
        <w:t>绩效评价项目小组依照整理、分析后的项目材料、数据资料，依据评价形成的初步结论，按照既定的格式和内容要求撰写绩效评价初步报告，最终形成评价结果。</w:t>
      </w:r>
      <w:bookmarkEnd w:id="54"/>
    </w:p>
    <w:p>
      <w:pPr>
        <w:pStyle w:val="10"/>
        <w:keepNext w:val="0"/>
        <w:keepLines w:val="0"/>
        <w:pageBreakBefore w:val="0"/>
        <w:widowControl w:val="0"/>
        <w:numPr>
          <w:ilvl w:val="0"/>
          <w:numId w:val="3"/>
        </w:numP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32"/>
          <w:szCs w:val="28"/>
          <w:highlight w:val="none"/>
          <w:shd w:val="clear" w:color="auto" w:fill="auto"/>
          <w:lang w:val="en-US" w:eastAsia="zh-CN" w:bidi="ar-SA"/>
        </w:rPr>
      </w:pPr>
      <w:bookmarkStart w:id="55" w:name="_Toc1100"/>
      <w:r>
        <w:rPr>
          <w:rFonts w:hint="eastAsia" w:ascii="宋体" w:hAnsi="宋体" w:eastAsia="宋体" w:cs="宋体"/>
          <w:b/>
          <w:bCs/>
          <w:color w:val="auto"/>
          <w:kern w:val="2"/>
          <w:sz w:val="32"/>
          <w:szCs w:val="28"/>
          <w:highlight w:val="none"/>
          <w:shd w:val="clear" w:color="auto" w:fill="auto"/>
          <w:lang w:val="en-US" w:eastAsia="zh-CN" w:bidi="ar-SA"/>
        </w:rPr>
        <w:t>综合评价情况及评价结论</w:t>
      </w:r>
      <w:bookmarkEnd w:id="55"/>
    </w:p>
    <w:p>
      <w:pPr>
        <w:pStyle w:val="10"/>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560" w:firstLineChars="200"/>
        <w:jc w:val="both"/>
        <w:textAlignment w:val="auto"/>
        <w:outlineLvl w:val="9"/>
        <w:rPr>
          <w:rFonts w:hint="eastAsia" w:ascii="宋体" w:hAnsi="宋体" w:eastAsia="宋体" w:cs="宋体"/>
          <w:color w:val="auto"/>
          <w:sz w:val="28"/>
          <w:szCs w:val="28"/>
          <w:highlight w:val="none"/>
          <w:shd w:val="clear" w:color="auto" w:fill="auto"/>
          <w:lang w:val="zh-TW" w:eastAsia="zh-TW"/>
        </w:rPr>
      </w:pPr>
      <w:r>
        <w:rPr>
          <w:rFonts w:hint="eastAsia" w:ascii="宋体" w:hAnsi="宋体" w:eastAsia="宋体" w:cs="宋体"/>
          <w:b w:val="0"/>
          <w:bCs w:val="0"/>
          <w:color w:val="auto"/>
          <w:kern w:val="2"/>
          <w:sz w:val="28"/>
          <w:szCs w:val="28"/>
          <w:highlight w:val="none"/>
          <w:lang w:val="en-US" w:eastAsia="zh-CN" w:bidi="ar-SA"/>
        </w:rPr>
        <w:t>此次绩效评价</w:t>
      </w:r>
      <w:r>
        <w:rPr>
          <w:rFonts w:hint="eastAsia" w:ascii="宋体" w:hAnsi="宋体" w:eastAsia="宋体" w:cs="宋体"/>
          <w:b w:val="0"/>
          <w:bCs w:val="0"/>
          <w:color w:val="auto"/>
          <w:kern w:val="2"/>
          <w:sz w:val="28"/>
          <w:szCs w:val="28"/>
          <w:highlight w:val="none"/>
          <w:lang w:val="zh-TW" w:eastAsia="zh-TW" w:bidi="ar-SA"/>
        </w:rPr>
        <w:t>通过组论证的评价指标体系及评分标准，</w:t>
      </w:r>
      <w:r>
        <w:rPr>
          <w:rFonts w:hint="eastAsia" w:ascii="宋体" w:hAnsi="宋体" w:eastAsia="宋体" w:cs="宋体"/>
          <w:b w:val="0"/>
          <w:bCs w:val="0"/>
          <w:color w:val="auto"/>
          <w:kern w:val="2"/>
          <w:sz w:val="28"/>
          <w:szCs w:val="28"/>
          <w:highlight w:val="none"/>
          <w:lang w:val="en-US" w:eastAsia="zh-CN" w:bidi="ar-SA"/>
        </w:rPr>
        <w:t>采用的方法比较法、因素分析法、公众评判法，</w:t>
      </w:r>
      <w:r>
        <w:rPr>
          <w:rFonts w:hint="eastAsia" w:ascii="宋体" w:hAnsi="宋体" w:eastAsia="宋体" w:cs="宋体"/>
          <w:b w:val="0"/>
          <w:bCs w:val="0"/>
          <w:color w:val="auto"/>
          <w:kern w:val="2"/>
          <w:sz w:val="28"/>
          <w:szCs w:val="28"/>
          <w:highlight w:val="none"/>
          <w:lang w:val="zh-TW" w:eastAsia="zh-TW" w:bidi="ar-SA"/>
        </w:rPr>
        <w:t>对</w:t>
      </w:r>
      <w:r>
        <w:rPr>
          <w:rFonts w:hint="eastAsia" w:ascii="宋体" w:hAnsi="宋体" w:eastAsia="宋体" w:cs="宋体"/>
          <w:b w:val="0"/>
          <w:bCs w:val="0"/>
          <w:color w:val="auto"/>
          <w:kern w:val="2"/>
          <w:sz w:val="28"/>
          <w:szCs w:val="28"/>
          <w:highlight w:val="none"/>
          <w:lang w:val="en-US" w:eastAsia="zh-CN" w:bidi="ar-SA"/>
        </w:rPr>
        <w:t>昌州财教【2022】82号提前下达2023年新疆西藏地区特殊教育补助资金（农村学前免费保障资金）项目</w:t>
      </w:r>
      <w:r>
        <w:rPr>
          <w:rFonts w:hint="eastAsia" w:ascii="宋体" w:hAnsi="宋体" w:eastAsia="宋体" w:cs="宋体"/>
          <w:b w:val="0"/>
          <w:bCs w:val="0"/>
          <w:color w:val="auto"/>
          <w:kern w:val="2"/>
          <w:sz w:val="28"/>
          <w:szCs w:val="28"/>
          <w:highlight w:val="none"/>
          <w:lang w:val="zh-TW" w:eastAsia="zh-TW" w:bidi="ar-SA"/>
        </w:rPr>
        <w:t>绩效进行客观评价，最终评分结果：总分为</w:t>
      </w:r>
      <w:r>
        <w:rPr>
          <w:rFonts w:hint="eastAsia" w:ascii="宋体" w:hAnsi="宋体" w:eastAsia="宋体" w:cs="宋体"/>
          <w:b w:val="0"/>
          <w:bCs w:val="0"/>
          <w:color w:val="auto"/>
          <w:kern w:val="2"/>
          <w:sz w:val="28"/>
          <w:szCs w:val="28"/>
          <w:highlight w:val="none"/>
          <w:lang w:val="en-US" w:eastAsia="zh-CN" w:bidi="ar-SA"/>
        </w:rPr>
        <w:t>99.2</w:t>
      </w:r>
      <w:r>
        <w:rPr>
          <w:rFonts w:hint="eastAsia" w:ascii="宋体" w:hAnsi="宋体" w:eastAsia="宋体" w:cs="宋体"/>
          <w:b w:val="0"/>
          <w:bCs w:val="0"/>
          <w:color w:val="auto"/>
          <w:kern w:val="2"/>
          <w:sz w:val="28"/>
          <w:szCs w:val="28"/>
          <w:highlight w:val="none"/>
          <w:lang w:val="zh-TW" w:eastAsia="zh-TW" w:bidi="ar-SA"/>
        </w:rPr>
        <w:t>分，绩效评级为“</w:t>
      </w:r>
      <w:r>
        <w:rPr>
          <w:rFonts w:hint="eastAsia" w:ascii="宋体" w:hAnsi="宋体" w:eastAsia="宋体" w:cs="宋体"/>
          <w:b w:val="0"/>
          <w:bCs w:val="0"/>
          <w:color w:val="auto"/>
          <w:kern w:val="2"/>
          <w:sz w:val="28"/>
          <w:szCs w:val="28"/>
          <w:highlight w:val="none"/>
          <w:lang w:val="en-US" w:eastAsia="zh-CN" w:bidi="ar-SA"/>
        </w:rPr>
        <w:t>优</w:t>
      </w:r>
      <w:r>
        <w:rPr>
          <w:rFonts w:hint="eastAsia" w:ascii="宋体" w:hAnsi="宋体" w:eastAsia="宋体" w:cs="宋体"/>
          <w:b w:val="0"/>
          <w:bCs w:val="0"/>
          <w:color w:val="auto"/>
          <w:kern w:val="2"/>
          <w:sz w:val="28"/>
          <w:szCs w:val="28"/>
          <w:highlight w:val="none"/>
          <w:lang w:val="zh-TW" w:eastAsia="zh-TW" w:bidi="ar-SA"/>
        </w:rPr>
        <w:t>”。各部分权重和绩效</w:t>
      </w:r>
      <w:r>
        <w:rPr>
          <w:rFonts w:hint="eastAsia" w:ascii="宋体" w:hAnsi="宋体" w:eastAsia="宋体" w:cs="宋体"/>
          <w:b w:val="0"/>
          <w:bCs w:val="0"/>
          <w:color w:val="auto"/>
          <w:kern w:val="2"/>
          <w:sz w:val="28"/>
          <w:szCs w:val="28"/>
          <w:highlight w:val="none"/>
          <w:lang w:val="en-US" w:eastAsia="zh-CN" w:bidi="ar-SA"/>
        </w:rPr>
        <w:t>汇总</w:t>
      </w:r>
      <w:r>
        <w:rPr>
          <w:rFonts w:hint="eastAsia" w:ascii="宋体" w:hAnsi="宋体" w:eastAsia="宋体" w:cs="宋体"/>
          <w:b w:val="0"/>
          <w:bCs w:val="0"/>
          <w:color w:val="auto"/>
          <w:kern w:val="2"/>
          <w:sz w:val="28"/>
          <w:szCs w:val="28"/>
          <w:highlight w:val="none"/>
          <w:lang w:val="zh-TW" w:eastAsia="zh-TW" w:bidi="ar-SA"/>
        </w:rPr>
        <w:t>分值如下表</w:t>
      </w:r>
      <w:r>
        <w:rPr>
          <w:rFonts w:hint="eastAsia" w:ascii="宋体" w:hAnsi="宋体" w:eastAsia="宋体" w:cs="宋体"/>
          <w:b w:val="0"/>
          <w:bCs w:val="0"/>
          <w:color w:val="auto"/>
          <w:kern w:val="2"/>
          <w:sz w:val="28"/>
          <w:szCs w:val="28"/>
          <w:highlight w:val="none"/>
          <w:lang w:val="en-US" w:eastAsia="zh-CN" w:bidi="ar-SA"/>
        </w:rPr>
        <w:t>3-1</w:t>
      </w:r>
      <w:r>
        <w:rPr>
          <w:rFonts w:hint="eastAsia" w:ascii="宋体" w:hAnsi="宋体" w:eastAsia="宋体" w:cs="宋体"/>
          <w:b w:val="0"/>
          <w:bCs w:val="0"/>
          <w:color w:val="auto"/>
          <w:kern w:val="2"/>
          <w:sz w:val="28"/>
          <w:szCs w:val="28"/>
          <w:highlight w:val="none"/>
          <w:lang w:val="zh-TW" w:eastAsia="zh-TW" w:bidi="ar-SA"/>
        </w:rPr>
        <w:t>所示</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详见上传的附件</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zh-TW" w:eastAsia="zh-TW" w:bidi="ar-SA"/>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highlight w:val="none"/>
          <w:shd w:val="clear" w:color="auto" w:fill="auto"/>
          <w:lang w:val="zh-TW" w:eastAsia="zh-TW"/>
        </w:rPr>
      </w:pP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b w:val="0"/>
                <w:bCs w:val="0"/>
                <w:color w:val="auto"/>
                <w:kern w:val="0"/>
                <w:sz w:val="28"/>
                <w:szCs w:val="28"/>
                <w:highlight w:val="none"/>
                <w:shd w:val="clear" w:color="auto" w:fill="auto"/>
                <w:lang w:val="en-US" w:eastAsia="zh-CN"/>
              </w:rPr>
              <w:t>昌州财教【2022】82号提前下达2023年新疆西藏地区特殊教育补助资金（</w:t>
            </w:r>
            <w:r>
              <w:rPr>
                <w:rFonts w:hint="eastAsia" w:ascii="仿宋_GB2312" w:hAnsi="宋体" w:eastAsia="仿宋_GB2312" w:cs="宋体"/>
                <w:b w:val="0"/>
                <w:bCs w:val="0"/>
                <w:color w:val="auto"/>
                <w:kern w:val="2"/>
                <w:sz w:val="32"/>
                <w:szCs w:val="32"/>
                <w:highlight w:val="none"/>
                <w:lang w:val="en-US" w:eastAsia="zh-CN" w:bidi="ar-SA"/>
              </w:rPr>
              <w:t>农村学前免费保障资金</w:t>
            </w:r>
            <w:r>
              <w:rPr>
                <w:rFonts w:hint="eastAsia" w:ascii="宋体" w:hAnsi="宋体" w:eastAsia="宋体" w:cs="宋体"/>
                <w:b w:val="0"/>
                <w:bCs w:val="0"/>
                <w:color w:val="auto"/>
                <w:kern w:val="0"/>
                <w:sz w:val="28"/>
                <w:szCs w:val="28"/>
                <w:highlight w:val="none"/>
                <w:shd w:val="clear" w:color="auto" w:fill="auto"/>
                <w:lang w:val="en-US" w:eastAsia="zh-CN"/>
              </w:rPr>
              <w:t>）项目得分表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r>
              <w:rPr>
                <w:rFonts w:hint="eastAsia" w:ascii="宋体" w:hAnsi="宋体" w:eastAsia="宋体" w:cs="宋体"/>
                <w:color w:val="auto"/>
                <w:kern w:val="0"/>
                <w:sz w:val="21"/>
                <w:szCs w:val="21"/>
                <w:highlight w:val="none"/>
                <w:shd w:val="clear" w:color="auto" w:fill="auto"/>
                <w:lang w:val="en-US" w:eastAsia="zh-CN"/>
              </w:rPr>
              <w:t>%</w:t>
            </w:r>
          </w:p>
        </w:tc>
      </w:tr>
    </w:tbl>
    <w:p>
      <w:pPr>
        <w:pStyle w:val="2"/>
        <w:pageBreakBefore w:val="0"/>
        <w:numPr>
          <w:ilvl w:val="0"/>
          <w:numId w:val="4"/>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绩效评价指标分析</w:t>
      </w:r>
      <w:bookmarkEnd w:id="56"/>
      <w:bookmarkStart w:id="57" w:name="_Toc15355"/>
    </w:p>
    <w:p>
      <w:pPr>
        <w:pStyle w:val="2"/>
        <w:pageBreakBefore w:val="0"/>
        <w:numPr>
          <w:ilvl w:val="0"/>
          <w:numId w:val="0"/>
        </w:numPr>
        <w:kinsoku/>
        <w:wordWrap/>
        <w:overflowPunct/>
        <w:topLinePunct w:val="0"/>
        <w:autoSpaceDE/>
        <w:autoSpaceDN/>
        <w:bidi w:val="0"/>
        <w:adjustRightInd/>
        <w:spacing w:beforeLines="0" w:afterLines="0" w:line="360" w:lineRule="auto"/>
        <w:ind w:firstLine="560" w:firstLineChars="200"/>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项目决策由6个二级指标和14个三级指标构成，权重分20分，实际得分19.2分，</w:t>
      </w:r>
      <w:r>
        <w:rPr>
          <w:rFonts w:hint="eastAsia" w:ascii="宋体" w:hAnsi="宋体" w:eastAsia="宋体" w:cs="宋体"/>
          <w:b w:val="0"/>
          <w:bCs w:val="0"/>
          <w:color w:val="auto"/>
          <w:kern w:val="2"/>
          <w:sz w:val="28"/>
          <w:szCs w:val="28"/>
          <w:highlight w:val="none"/>
          <w:lang w:val="zh-TW" w:eastAsia="zh-TW" w:bidi="ar-SA"/>
        </w:rPr>
        <w:t>各指标业绩值和绩效分值如表</w:t>
      </w:r>
      <w:r>
        <w:rPr>
          <w:rFonts w:hint="eastAsia" w:ascii="宋体" w:hAnsi="宋体" w:eastAsia="宋体" w:cs="宋体"/>
          <w:b w:val="0"/>
          <w:bCs w:val="0"/>
          <w:color w:val="auto"/>
          <w:kern w:val="2"/>
          <w:sz w:val="28"/>
          <w:szCs w:val="28"/>
          <w:highlight w:val="none"/>
          <w:lang w:val="en-US" w:eastAsia="zh-CN" w:bidi="ar-SA"/>
        </w:rPr>
        <w:t>4-1</w:t>
      </w:r>
      <w:r>
        <w:rPr>
          <w:rFonts w:hint="eastAsia" w:ascii="宋体" w:hAnsi="宋体" w:eastAsia="宋体" w:cs="宋体"/>
          <w:b w:val="0"/>
          <w:bCs w:val="0"/>
          <w:color w:val="auto"/>
          <w:kern w:val="2"/>
          <w:sz w:val="28"/>
          <w:szCs w:val="28"/>
          <w:highlight w:val="none"/>
          <w:lang w:val="zh-TW" w:eastAsia="zh-TW" w:bidi="ar-SA"/>
        </w:rPr>
        <w:t>所示</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详见上传的附件</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19.2</w:t>
            </w:r>
          </w:p>
        </w:tc>
      </w:tr>
    </w:tbl>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bCs/>
          <w:color w:val="auto"/>
          <w:kern w:val="2"/>
          <w:sz w:val="28"/>
          <w:szCs w:val="28"/>
          <w:highlight w:val="none"/>
          <w:lang w:val="en-US" w:eastAsia="zh-CN" w:bidi="ar-SA"/>
        </w:rPr>
      </w:pPr>
      <w:bookmarkStart w:id="58" w:name="_Toc13522"/>
      <w:r>
        <w:rPr>
          <w:rFonts w:hint="eastAsia" w:ascii="宋体" w:hAnsi="宋体" w:eastAsia="宋体" w:cs="宋体"/>
          <w:b/>
          <w:bCs/>
          <w:color w:val="auto"/>
          <w:kern w:val="2"/>
          <w:sz w:val="28"/>
          <w:szCs w:val="28"/>
          <w:highlight w:val="none"/>
          <w:lang w:val="en-US" w:eastAsia="zh-CN" w:bidi="ar-SA"/>
        </w:rPr>
        <w:t>1、立项依据充分性</w:t>
      </w:r>
      <w:bookmarkEnd w:id="58"/>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color w:val="auto"/>
          <w:highlight w:val="none"/>
          <w:lang w:val="en-US" w:eastAsia="zh-CN"/>
        </w:rPr>
        <w:t xml:space="preserve">   </w:t>
      </w:r>
      <w:r>
        <w:rPr>
          <w:rFonts w:hint="eastAsia" w:ascii="宋体" w:hAnsi="宋体" w:eastAsia="宋体" w:cs="宋体"/>
          <w:b w:val="0"/>
          <w:bCs w:val="0"/>
          <w:color w:val="auto"/>
          <w:kern w:val="2"/>
          <w:sz w:val="28"/>
          <w:szCs w:val="28"/>
          <w:highlight w:val="none"/>
          <w:lang w:val="en-US" w:eastAsia="zh-CN" w:bidi="ar-SA"/>
        </w:rPr>
        <w:t xml:space="preserve"> ①项目立项符合自治区财政厅《关于提前下达2023年新疆西藏等地区教育特殊补助资金预算的通知》（新财教[2022]176号）文件，；</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②项目立项符合《阜康市教育扶贫惠民政策宣传手册》相关政策要求；</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③项目立项与宣传贯彻党和国家的教育方针、教育政策、教育法律法规、贯彻执行上级教育行政部门的各项规章制度的部门职责范围相符，属于部门履职所需；</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④项目属于公共财政支持范围，符合中央、地方事权支出责任划分原则；</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⑤项目与相关部门同类项目或部门内部相关项目不重复。</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综上，该项指标满分2分，得分2分。</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bCs/>
          <w:color w:val="auto"/>
          <w:kern w:val="2"/>
          <w:sz w:val="28"/>
          <w:szCs w:val="28"/>
          <w:highlight w:val="none"/>
          <w:lang w:val="en-US" w:eastAsia="zh-CN" w:bidi="ar-SA"/>
        </w:rPr>
      </w:pPr>
      <w:bookmarkStart w:id="59" w:name="_Toc21976"/>
      <w:r>
        <w:rPr>
          <w:rFonts w:hint="eastAsia" w:ascii="宋体" w:hAnsi="宋体" w:eastAsia="宋体" w:cs="宋体"/>
          <w:b/>
          <w:bCs/>
          <w:color w:val="auto"/>
          <w:kern w:val="2"/>
          <w:sz w:val="28"/>
          <w:szCs w:val="28"/>
          <w:highlight w:val="none"/>
          <w:lang w:val="en-US" w:eastAsia="zh-CN" w:bidi="ar-SA"/>
        </w:rPr>
        <w:t>2.立项程序规范性</w:t>
      </w:r>
      <w:bookmarkEnd w:id="59"/>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该项目立项程序符合阜康市滋泥泉子镇中心幼儿园根据国家相关法规和内部控制等制度文件汇编，我园建立《阜康市滋泥泉子镇中心幼儿园财务管理制度汇编》、《阜康市滋泥泉子镇中心幼儿园</w:t>
      </w:r>
      <w:bookmarkStart w:id="86" w:name="_GoBack"/>
      <w:bookmarkEnd w:id="86"/>
      <w:r>
        <w:rPr>
          <w:rFonts w:hint="eastAsia" w:cs="宋体"/>
          <w:b w:val="0"/>
          <w:bCs w:val="0"/>
          <w:color w:val="auto"/>
          <w:kern w:val="2"/>
          <w:sz w:val="28"/>
          <w:szCs w:val="28"/>
          <w:highlight w:val="none"/>
          <w:lang w:val="en-US" w:eastAsia="zh-CN" w:bidi="ar-SA"/>
        </w:rPr>
        <w:t>“三公”经费</w:t>
      </w:r>
      <w:r>
        <w:rPr>
          <w:rFonts w:hint="eastAsia" w:ascii="宋体" w:hAnsi="宋体" w:eastAsia="宋体" w:cs="宋体"/>
          <w:b w:val="0"/>
          <w:bCs w:val="0"/>
          <w:color w:val="auto"/>
          <w:kern w:val="2"/>
          <w:sz w:val="28"/>
          <w:szCs w:val="28"/>
          <w:highlight w:val="none"/>
          <w:lang w:val="en-US" w:eastAsia="zh-CN" w:bidi="ar-SA"/>
        </w:rPr>
        <w:t>预算管理和公开制度》等各项规章制度和工作程序，从制度和程序上严把资金使用、管理、绩效等各环节关口，堵塞漏洞、消除隐患，切实加强资金监管；</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①项目按照规定的程序申请设立；</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②我园建立《阜康市滋泥泉子镇中心幼儿园财务管理制度汇编》、《阜康市滋泥泉子镇中心幼儿园</w:t>
      </w:r>
      <w:r>
        <w:rPr>
          <w:rFonts w:hint="eastAsia" w:cs="宋体"/>
          <w:b w:val="0"/>
          <w:bCs w:val="0"/>
          <w:color w:val="auto"/>
          <w:kern w:val="2"/>
          <w:sz w:val="28"/>
          <w:szCs w:val="28"/>
          <w:highlight w:val="none"/>
          <w:lang w:val="en-US" w:eastAsia="zh-CN" w:bidi="ar-SA"/>
        </w:rPr>
        <w:t>“三公”经费</w:t>
      </w:r>
      <w:r>
        <w:rPr>
          <w:rFonts w:hint="eastAsia" w:ascii="宋体" w:hAnsi="宋体" w:eastAsia="宋体" w:cs="宋体"/>
          <w:b w:val="0"/>
          <w:bCs w:val="0"/>
          <w:color w:val="auto"/>
          <w:kern w:val="2"/>
          <w:sz w:val="28"/>
          <w:szCs w:val="28"/>
          <w:highlight w:val="none"/>
          <w:lang w:val="en-US" w:eastAsia="zh-CN" w:bidi="ar-SA"/>
        </w:rPr>
        <w:t>预算管理和公开制度》等；</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③事前经历过集体决策。</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综上，该项指标满分3分，得分2.2分。</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bCs/>
          <w:color w:val="auto"/>
          <w:kern w:val="2"/>
          <w:sz w:val="28"/>
          <w:szCs w:val="28"/>
          <w:highlight w:val="none"/>
          <w:lang w:val="en-US" w:eastAsia="zh-CN" w:bidi="ar-SA"/>
        </w:rPr>
      </w:pPr>
      <w:bookmarkStart w:id="60" w:name="_Toc15382"/>
      <w:r>
        <w:rPr>
          <w:rFonts w:hint="eastAsia" w:ascii="宋体" w:hAnsi="宋体" w:eastAsia="宋体" w:cs="宋体"/>
          <w:b/>
          <w:bCs/>
          <w:color w:val="auto"/>
          <w:kern w:val="2"/>
          <w:sz w:val="28"/>
          <w:szCs w:val="28"/>
          <w:highlight w:val="none"/>
          <w:lang w:val="en-US" w:eastAsia="zh-CN" w:bidi="ar-SA"/>
        </w:rPr>
        <w:t>3.绩效目标合理性</w:t>
      </w:r>
      <w:bookmarkEnd w:id="60"/>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①项目有绩效目标。</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②项目绩效目标与实际工作内容具有相关性；</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③项目预期为产出效益和效果符合正常的业绩水平；</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④预算确定的项目投资额为18.46万元，资金执行数为18.46万元，资金量相匹配。</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综上，该项指标满分5分，得分5分。</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bCs/>
          <w:color w:val="auto"/>
          <w:kern w:val="2"/>
          <w:sz w:val="28"/>
          <w:szCs w:val="28"/>
          <w:highlight w:val="none"/>
          <w:lang w:val="en-US" w:eastAsia="zh-CN" w:bidi="ar-SA"/>
        </w:rPr>
      </w:pPr>
      <w:bookmarkStart w:id="61" w:name="_Toc10650"/>
      <w:r>
        <w:rPr>
          <w:rFonts w:hint="eastAsia" w:ascii="宋体" w:hAnsi="宋体" w:eastAsia="宋体" w:cs="宋体"/>
          <w:b/>
          <w:bCs/>
          <w:color w:val="auto"/>
          <w:kern w:val="2"/>
          <w:sz w:val="28"/>
          <w:szCs w:val="28"/>
          <w:highlight w:val="none"/>
          <w:lang w:val="en-US" w:eastAsia="zh-CN" w:bidi="ar-SA"/>
        </w:rPr>
        <w:t>4.绩效指标明确性</w:t>
      </w:r>
      <w:bookmarkEnd w:id="61"/>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①将项目绩效目标细化分解为具体的绩效指标，指标数共计24个，其中一级指标4个，二级指标6个，三级指标14个；</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②通过清晰、可衡量的指标值予以体现；三级指标14个，其中定量指标12个，定性指标2个，量化率达到了85%；</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③与项目目标任务数或计划数相对应。</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综上，该项指标满分5分，得分5分。</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bCs/>
          <w:color w:val="auto"/>
          <w:kern w:val="2"/>
          <w:sz w:val="28"/>
          <w:szCs w:val="28"/>
          <w:highlight w:val="none"/>
          <w:lang w:val="en-US" w:eastAsia="zh-CN" w:bidi="ar-SA"/>
        </w:rPr>
      </w:pPr>
      <w:bookmarkStart w:id="62" w:name="_Toc19401"/>
      <w:r>
        <w:rPr>
          <w:rFonts w:hint="eastAsia" w:ascii="宋体" w:hAnsi="宋体" w:eastAsia="宋体" w:cs="宋体"/>
          <w:b/>
          <w:bCs/>
          <w:color w:val="auto"/>
          <w:kern w:val="2"/>
          <w:sz w:val="28"/>
          <w:szCs w:val="28"/>
          <w:highlight w:val="none"/>
          <w:lang w:val="en-US" w:eastAsia="zh-CN" w:bidi="ar-SA"/>
        </w:rPr>
        <w:t>5.预算编制科学性</w:t>
      </w:r>
      <w:bookmarkEnd w:id="62"/>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①昌州财教【2022】82号提前下达2023年新疆西藏地区特殊教育补助资金（农村学前免费保障资金）预算编制经过科学论证；</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②预算内容为改善校园环境，对学校专项资金加强管理，专款专用。预算内容与项目内容匹配；</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③预算额度18.46万元，依据《财政支出绩效评价管理暂行办法》》，符合市场标准；</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④预算确定的项目投资额或资金量与工作任务相匹配。</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综上，该项指标满分2分，得分2分。</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bCs/>
          <w:color w:val="auto"/>
          <w:kern w:val="2"/>
          <w:sz w:val="28"/>
          <w:szCs w:val="28"/>
          <w:highlight w:val="none"/>
          <w:lang w:val="en-US" w:eastAsia="zh-CN" w:bidi="ar-SA"/>
        </w:rPr>
      </w:pPr>
      <w:bookmarkStart w:id="63" w:name="_Toc697"/>
      <w:r>
        <w:rPr>
          <w:rFonts w:hint="eastAsia" w:ascii="宋体" w:hAnsi="宋体" w:eastAsia="宋体" w:cs="宋体"/>
          <w:b/>
          <w:bCs/>
          <w:color w:val="auto"/>
          <w:kern w:val="2"/>
          <w:sz w:val="28"/>
          <w:szCs w:val="28"/>
          <w:highlight w:val="none"/>
          <w:lang w:val="en-US" w:eastAsia="zh-CN" w:bidi="ar-SA"/>
        </w:rPr>
        <w:t>6.资金分配合理性</w:t>
      </w:r>
      <w:bookmarkEnd w:id="63"/>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①预算资金分配依据《财政支出预算管理办法》《阜康市滋泥泉子镇中心幼儿园收支业务管理办法》充分；</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②资金分配依据《财政支出预算管理办法》《阜康市滋泥泉子镇中心幼儿园收支业务管理办法》，额度合理，与项目单位或地方实际相适应。</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综上，该项指标满分3分，得分3分。</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bCs/>
          <w:color w:val="auto"/>
          <w:kern w:val="2"/>
          <w:sz w:val="28"/>
          <w:szCs w:val="28"/>
          <w:highlight w:val="none"/>
          <w:lang w:val="en-US" w:eastAsia="zh-CN" w:bidi="ar-SA"/>
        </w:rPr>
      </w:pPr>
      <w:bookmarkStart w:id="64" w:name="_Toc11361"/>
      <w:r>
        <w:rPr>
          <w:rFonts w:hint="eastAsia" w:ascii="宋体" w:hAnsi="宋体" w:eastAsia="宋体" w:cs="宋体"/>
          <w:b/>
          <w:bCs/>
          <w:color w:val="auto"/>
          <w:kern w:val="2"/>
          <w:sz w:val="28"/>
          <w:szCs w:val="28"/>
          <w:highlight w:val="none"/>
          <w:lang w:val="en-US" w:eastAsia="zh-CN" w:bidi="ar-SA"/>
        </w:rPr>
        <w:t>（二）项目过程情况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b w:val="0"/>
          <w:bCs w:val="0"/>
          <w:color w:val="auto"/>
          <w:kern w:val="2"/>
          <w:sz w:val="28"/>
          <w:szCs w:val="28"/>
          <w:highlight w:val="none"/>
          <w:lang w:val="zh-TW" w:eastAsia="zh-TW" w:bidi="ar-SA"/>
        </w:rPr>
      </w:pPr>
      <w:r>
        <w:rPr>
          <w:rFonts w:hint="eastAsia" w:ascii="宋体" w:hAnsi="宋体" w:eastAsia="宋体" w:cs="宋体"/>
          <w:b w:val="0"/>
          <w:bCs w:val="0"/>
          <w:color w:val="auto"/>
          <w:kern w:val="2"/>
          <w:sz w:val="28"/>
          <w:szCs w:val="28"/>
          <w:highlight w:val="none"/>
          <w:lang w:val="zh-TW" w:eastAsia="zh-TW" w:bidi="ar-SA"/>
        </w:rPr>
        <w:t>项目</w:t>
      </w:r>
      <w:r>
        <w:rPr>
          <w:rFonts w:hint="eastAsia" w:ascii="宋体" w:hAnsi="宋体" w:eastAsia="宋体" w:cs="宋体"/>
          <w:b w:val="0"/>
          <w:bCs w:val="0"/>
          <w:color w:val="auto"/>
          <w:kern w:val="2"/>
          <w:sz w:val="28"/>
          <w:szCs w:val="28"/>
          <w:highlight w:val="none"/>
          <w:lang w:val="en-US" w:eastAsia="zh-CN" w:bidi="ar-SA"/>
        </w:rPr>
        <w:t>过程管理</w:t>
      </w:r>
      <w:r>
        <w:rPr>
          <w:rFonts w:hint="eastAsia" w:ascii="宋体" w:hAnsi="宋体" w:eastAsia="宋体" w:cs="宋体"/>
          <w:b w:val="0"/>
          <w:bCs w:val="0"/>
          <w:color w:val="auto"/>
          <w:kern w:val="2"/>
          <w:sz w:val="28"/>
          <w:szCs w:val="28"/>
          <w:highlight w:val="none"/>
          <w:lang w:val="zh-TW" w:eastAsia="zh-TW" w:bidi="ar-SA"/>
        </w:rPr>
        <w:t>类指标由</w:t>
      </w:r>
      <w:r>
        <w:rPr>
          <w:rFonts w:hint="eastAsia" w:ascii="宋体" w:hAnsi="宋体" w:eastAsia="宋体" w:cs="宋体"/>
          <w:b w:val="0"/>
          <w:bCs w:val="0"/>
          <w:color w:val="auto"/>
          <w:kern w:val="2"/>
          <w:sz w:val="28"/>
          <w:szCs w:val="28"/>
          <w:highlight w:val="none"/>
          <w:lang w:val="en-US" w:eastAsia="zh-CN" w:bidi="ar-SA"/>
        </w:rPr>
        <w:t>2</w:t>
      </w:r>
      <w:r>
        <w:rPr>
          <w:rFonts w:hint="eastAsia" w:ascii="宋体" w:hAnsi="宋体" w:eastAsia="宋体" w:cs="宋体"/>
          <w:b w:val="0"/>
          <w:bCs w:val="0"/>
          <w:color w:val="auto"/>
          <w:kern w:val="2"/>
          <w:sz w:val="28"/>
          <w:szCs w:val="28"/>
          <w:highlight w:val="none"/>
          <w:lang w:val="zh-TW" w:eastAsia="zh-TW" w:bidi="ar-SA"/>
        </w:rPr>
        <w:t>个</w:t>
      </w:r>
      <w:r>
        <w:rPr>
          <w:rFonts w:hint="eastAsia" w:ascii="宋体" w:hAnsi="宋体" w:eastAsia="宋体" w:cs="宋体"/>
          <w:b w:val="0"/>
          <w:bCs w:val="0"/>
          <w:color w:val="auto"/>
          <w:kern w:val="2"/>
          <w:sz w:val="28"/>
          <w:szCs w:val="28"/>
          <w:highlight w:val="none"/>
          <w:lang w:val="zh-TW" w:eastAsia="zh-CN" w:bidi="ar-SA"/>
        </w:rPr>
        <w:t>二</w:t>
      </w:r>
      <w:r>
        <w:rPr>
          <w:rFonts w:hint="eastAsia" w:ascii="宋体" w:hAnsi="宋体" w:eastAsia="宋体" w:cs="宋体"/>
          <w:b w:val="0"/>
          <w:bCs w:val="0"/>
          <w:color w:val="auto"/>
          <w:kern w:val="2"/>
          <w:sz w:val="28"/>
          <w:szCs w:val="28"/>
          <w:highlight w:val="none"/>
          <w:lang w:val="zh-TW" w:eastAsia="zh-TW" w:bidi="ar-SA"/>
        </w:rPr>
        <w:t>级指标和</w:t>
      </w:r>
      <w:r>
        <w:rPr>
          <w:rFonts w:hint="eastAsia" w:ascii="宋体" w:hAnsi="宋体" w:eastAsia="宋体" w:cs="宋体"/>
          <w:b w:val="0"/>
          <w:bCs w:val="0"/>
          <w:color w:val="auto"/>
          <w:kern w:val="2"/>
          <w:sz w:val="28"/>
          <w:szCs w:val="28"/>
          <w:highlight w:val="none"/>
          <w:lang w:val="en-US" w:eastAsia="zh-CN" w:bidi="ar-SA"/>
        </w:rPr>
        <w:t>5</w:t>
      </w:r>
      <w:r>
        <w:rPr>
          <w:rFonts w:hint="eastAsia" w:ascii="宋体" w:hAnsi="宋体" w:eastAsia="宋体" w:cs="宋体"/>
          <w:b w:val="0"/>
          <w:bCs w:val="0"/>
          <w:color w:val="auto"/>
          <w:kern w:val="2"/>
          <w:sz w:val="28"/>
          <w:szCs w:val="28"/>
          <w:highlight w:val="none"/>
          <w:lang w:val="zh-TW" w:eastAsia="zh-TW" w:bidi="ar-SA"/>
        </w:rPr>
        <w:t>个</w:t>
      </w:r>
      <w:r>
        <w:rPr>
          <w:rFonts w:hint="eastAsia" w:ascii="宋体" w:hAnsi="宋体" w:eastAsia="宋体" w:cs="宋体"/>
          <w:b w:val="0"/>
          <w:bCs w:val="0"/>
          <w:color w:val="auto"/>
          <w:kern w:val="2"/>
          <w:sz w:val="28"/>
          <w:szCs w:val="28"/>
          <w:highlight w:val="none"/>
          <w:lang w:val="en-US" w:eastAsia="zh-CN" w:bidi="ar-SA"/>
        </w:rPr>
        <w:t>三</w:t>
      </w:r>
      <w:r>
        <w:rPr>
          <w:rFonts w:hint="eastAsia" w:ascii="宋体" w:hAnsi="宋体" w:eastAsia="宋体" w:cs="宋体"/>
          <w:b w:val="0"/>
          <w:bCs w:val="0"/>
          <w:color w:val="auto"/>
          <w:kern w:val="2"/>
          <w:sz w:val="28"/>
          <w:szCs w:val="28"/>
          <w:highlight w:val="none"/>
          <w:lang w:val="zh-TW" w:eastAsia="zh-TW" w:bidi="ar-SA"/>
        </w:rPr>
        <w:t>级指标构成，权重分</w:t>
      </w:r>
      <w:r>
        <w:rPr>
          <w:rFonts w:hint="eastAsia" w:ascii="宋体" w:hAnsi="宋体" w:eastAsia="宋体" w:cs="宋体"/>
          <w:b w:val="0"/>
          <w:bCs w:val="0"/>
          <w:color w:val="auto"/>
          <w:kern w:val="2"/>
          <w:sz w:val="28"/>
          <w:szCs w:val="28"/>
          <w:highlight w:val="none"/>
          <w:lang w:val="en-US" w:eastAsia="zh-CN" w:bidi="ar-SA"/>
        </w:rPr>
        <w:t>20</w:t>
      </w:r>
      <w:r>
        <w:rPr>
          <w:rFonts w:hint="eastAsia" w:ascii="宋体" w:hAnsi="宋体" w:eastAsia="宋体" w:cs="宋体"/>
          <w:b w:val="0"/>
          <w:bCs w:val="0"/>
          <w:color w:val="auto"/>
          <w:kern w:val="2"/>
          <w:sz w:val="28"/>
          <w:szCs w:val="28"/>
          <w:highlight w:val="none"/>
          <w:lang w:val="zh-TW" w:eastAsia="zh-TW" w:bidi="ar-SA"/>
        </w:rPr>
        <w:t>分，实际得分</w:t>
      </w:r>
      <w:r>
        <w:rPr>
          <w:rFonts w:hint="eastAsia" w:ascii="宋体" w:hAnsi="宋体" w:eastAsia="宋体" w:cs="宋体"/>
          <w:b w:val="0"/>
          <w:bCs w:val="0"/>
          <w:color w:val="auto"/>
          <w:kern w:val="2"/>
          <w:sz w:val="28"/>
          <w:szCs w:val="28"/>
          <w:highlight w:val="none"/>
          <w:lang w:val="en-US" w:eastAsia="zh-CN" w:bidi="ar-SA"/>
        </w:rPr>
        <w:t>20</w:t>
      </w:r>
      <w:r>
        <w:rPr>
          <w:rFonts w:hint="eastAsia" w:ascii="宋体" w:hAnsi="宋体" w:eastAsia="宋体" w:cs="宋体"/>
          <w:b w:val="0"/>
          <w:bCs w:val="0"/>
          <w:color w:val="auto"/>
          <w:kern w:val="2"/>
          <w:sz w:val="28"/>
          <w:szCs w:val="28"/>
          <w:highlight w:val="none"/>
          <w:lang w:val="zh-TW" w:eastAsia="zh-TW" w:bidi="ar-SA"/>
        </w:rPr>
        <w:t>分</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zh-TW" w:eastAsia="zh-TW" w:bidi="ar-SA"/>
        </w:rPr>
        <w:t>各指标业绩值和绩效分值如表</w:t>
      </w:r>
      <w:r>
        <w:rPr>
          <w:rFonts w:hint="eastAsia" w:ascii="宋体" w:hAnsi="宋体" w:eastAsia="宋体" w:cs="宋体"/>
          <w:b w:val="0"/>
          <w:bCs w:val="0"/>
          <w:color w:val="auto"/>
          <w:kern w:val="2"/>
          <w:sz w:val="28"/>
          <w:szCs w:val="28"/>
          <w:highlight w:val="none"/>
          <w:lang w:val="en-US" w:eastAsia="zh-CN" w:bidi="ar-SA"/>
        </w:rPr>
        <w:t>4-2</w:t>
      </w:r>
      <w:r>
        <w:rPr>
          <w:rFonts w:hint="eastAsia" w:ascii="宋体" w:hAnsi="宋体" w:eastAsia="宋体" w:cs="宋体"/>
          <w:b w:val="0"/>
          <w:bCs w:val="0"/>
          <w:color w:val="auto"/>
          <w:kern w:val="2"/>
          <w:sz w:val="28"/>
          <w:szCs w:val="28"/>
          <w:highlight w:val="none"/>
          <w:lang w:val="zh-TW" w:eastAsia="zh-TW" w:bidi="ar-SA"/>
        </w:rPr>
        <w:t>所示</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详见上传的附件</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zh-TW" w:eastAsia="zh-TW" w:bidi="ar-SA"/>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仿宋_GB2312" w:hAnsi="宋体" w:eastAsia="仿宋_GB2312" w:cs="宋体"/>
          <w:b w:val="0"/>
          <w:bCs w:val="0"/>
          <w:color w:val="auto"/>
          <w:kern w:val="2"/>
          <w:sz w:val="32"/>
          <w:szCs w:val="32"/>
          <w:highlight w:val="none"/>
          <w:lang w:val="en-US" w:eastAsia="zh-CN" w:bidi="ar-SA"/>
        </w:rPr>
      </w:pPr>
      <w:r>
        <w:rPr>
          <w:rFonts w:hint="eastAsia" w:ascii="仿宋_GB2312" w:hAnsi="宋体" w:eastAsia="仿宋_GB2312" w:cs="宋体"/>
          <w:b w:val="0"/>
          <w:bCs w:val="0"/>
          <w:color w:val="auto"/>
          <w:kern w:val="2"/>
          <w:sz w:val="32"/>
          <w:szCs w:val="32"/>
          <w:highlight w:val="none"/>
          <w:lang w:val="zh-TW" w:eastAsia="zh-TW" w:bidi="ar-SA"/>
        </w:rPr>
        <w:t>表</w:t>
      </w:r>
      <w:r>
        <w:rPr>
          <w:rFonts w:hint="eastAsia" w:ascii="仿宋_GB2312" w:hAnsi="宋体" w:eastAsia="仿宋_GB2312" w:cs="宋体"/>
          <w:b w:val="0"/>
          <w:bCs w:val="0"/>
          <w:color w:val="auto"/>
          <w:kern w:val="2"/>
          <w:sz w:val="32"/>
          <w:szCs w:val="32"/>
          <w:highlight w:val="none"/>
          <w:lang w:val="en-US" w:eastAsia="zh-CN" w:bidi="ar-SA"/>
        </w:rPr>
        <w:t>4-2</w:t>
      </w:r>
      <w:r>
        <w:rPr>
          <w:rFonts w:hint="eastAsia" w:ascii="仿宋_GB2312" w:hAnsi="宋体" w:eastAsia="仿宋_GB2312" w:cs="宋体"/>
          <w:b w:val="0"/>
          <w:bCs w:val="0"/>
          <w:color w:val="auto"/>
          <w:kern w:val="2"/>
          <w:sz w:val="32"/>
          <w:szCs w:val="32"/>
          <w:highlight w:val="none"/>
          <w:lang w:val="zh-TW" w:eastAsia="zh-TW" w:bidi="ar-SA"/>
        </w:rPr>
        <w:t>项目</w:t>
      </w:r>
      <w:r>
        <w:rPr>
          <w:rFonts w:hint="eastAsia" w:ascii="仿宋_GB2312" w:hAnsi="宋体" w:eastAsia="仿宋_GB2312" w:cs="宋体"/>
          <w:b w:val="0"/>
          <w:bCs w:val="0"/>
          <w:color w:val="auto"/>
          <w:kern w:val="2"/>
          <w:sz w:val="32"/>
          <w:szCs w:val="32"/>
          <w:highlight w:val="none"/>
          <w:lang w:val="zh-TW" w:eastAsia="zh-CN" w:bidi="ar-SA"/>
        </w:rPr>
        <w:t>管理</w:t>
      </w:r>
      <w:r>
        <w:rPr>
          <w:rFonts w:hint="eastAsia" w:ascii="仿宋_GB2312" w:hAnsi="宋体" w:eastAsia="仿宋_GB2312" w:cs="宋体"/>
          <w:b w:val="0"/>
          <w:bCs w:val="0"/>
          <w:color w:val="auto"/>
          <w:kern w:val="2"/>
          <w:sz w:val="32"/>
          <w:szCs w:val="32"/>
          <w:highlight w:val="none"/>
          <w:lang w:val="zh-TW" w:eastAsia="zh-TW" w:bidi="ar-SA"/>
        </w:rPr>
        <w:t>指标及分值</w:t>
      </w:r>
      <w:r>
        <w:rPr>
          <w:rFonts w:hint="eastAsia" w:ascii="仿宋_GB2312" w:hAnsi="宋体" w:eastAsia="仿宋_GB2312" w:cs="宋体"/>
          <w:b w:val="0"/>
          <w:bCs w:val="0"/>
          <w:color w:val="auto"/>
          <w:kern w:val="2"/>
          <w:sz w:val="32"/>
          <w:szCs w:val="32"/>
          <w:highlight w:val="none"/>
          <w:lang w:val="en-US" w:eastAsia="zh-CN" w:bidi="ar-SA"/>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90"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pageBreakBefore w:val="0"/>
        <w:widowControl w:val="0"/>
        <w:numPr>
          <w:ilvl w:val="0"/>
          <w:numId w:val="0"/>
        </w:numPr>
        <w:kinsoku/>
        <w:wordWrap/>
        <w:overflowPunct/>
        <w:topLinePunct w:val="0"/>
        <w:autoSpaceDE/>
        <w:autoSpaceDN/>
        <w:bidi w:val="0"/>
        <w:adjustRightInd/>
        <w:spacing w:line="360" w:lineRule="auto"/>
        <w:ind w:firstLine="281" w:firstLineChars="100"/>
        <w:jc w:val="left"/>
        <w:textAlignment w:val="auto"/>
        <w:rPr>
          <w:rFonts w:hint="eastAsia" w:ascii="宋体" w:hAnsi="宋体" w:eastAsia="宋体" w:cs="宋体"/>
          <w:b/>
          <w:bCs/>
          <w:color w:val="auto"/>
          <w:kern w:val="2"/>
          <w:sz w:val="28"/>
          <w:szCs w:val="28"/>
          <w:highlight w:val="none"/>
          <w:lang w:val="en-US" w:eastAsia="zh-CN" w:bidi="ar-SA"/>
        </w:rPr>
      </w:pPr>
      <w:bookmarkStart w:id="65" w:name="_Toc3886"/>
      <w:r>
        <w:rPr>
          <w:rFonts w:hint="eastAsia" w:ascii="宋体" w:hAnsi="宋体" w:eastAsia="宋体" w:cs="宋体"/>
          <w:b/>
          <w:bCs/>
          <w:color w:val="auto"/>
          <w:kern w:val="2"/>
          <w:sz w:val="28"/>
          <w:szCs w:val="28"/>
          <w:highlight w:val="none"/>
          <w:lang w:val="en-US" w:eastAsia="zh-CN" w:bidi="ar-SA"/>
        </w:rPr>
        <w:t>1.资金到位率</w:t>
      </w:r>
      <w:bookmarkEnd w:id="65"/>
    </w:p>
    <w:p>
      <w:pPr>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TW" w:eastAsia="zh-CN" w:bidi="ar-SA"/>
        </w:rPr>
        <w:t>资金到位率=（</w:t>
      </w:r>
      <w:r>
        <w:rPr>
          <w:rFonts w:hint="eastAsia" w:ascii="宋体" w:hAnsi="宋体" w:eastAsia="宋体" w:cs="宋体"/>
          <w:b w:val="0"/>
          <w:bCs w:val="0"/>
          <w:color w:val="auto"/>
          <w:kern w:val="2"/>
          <w:sz w:val="28"/>
          <w:szCs w:val="28"/>
          <w:highlight w:val="none"/>
          <w:lang w:val="en-US" w:eastAsia="zh-CN" w:bidi="ar-SA"/>
        </w:rPr>
        <w:t>18.46万元</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18.46万元</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×100%=100%</w:t>
      </w:r>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b/>
          <w:bCs/>
          <w:color w:val="auto"/>
          <w:kern w:val="2"/>
          <w:sz w:val="28"/>
          <w:szCs w:val="28"/>
          <w:highlight w:val="none"/>
          <w:lang w:val="zh-TW" w:eastAsia="zh-CN" w:bidi="ar-SA"/>
        </w:rPr>
      </w:pPr>
      <w:r>
        <w:rPr>
          <w:rFonts w:hint="eastAsia" w:ascii="宋体" w:hAnsi="宋体" w:eastAsia="宋体" w:cs="宋体"/>
          <w:b/>
          <w:bCs/>
          <w:color w:val="auto"/>
          <w:kern w:val="2"/>
          <w:sz w:val="28"/>
          <w:szCs w:val="28"/>
          <w:highlight w:val="none"/>
          <w:lang w:val="en-US" w:eastAsia="zh-CN" w:bidi="ar-SA"/>
        </w:rPr>
        <w:t>综上，该项指标满分4分，得分4分。</w:t>
      </w:r>
    </w:p>
    <w:p>
      <w:pPr>
        <w:pageBreakBefore w:val="0"/>
        <w:widowControl w:val="0"/>
        <w:numPr>
          <w:ilvl w:val="0"/>
          <w:numId w:val="0"/>
        </w:numPr>
        <w:kinsoku/>
        <w:wordWrap/>
        <w:overflowPunct/>
        <w:topLinePunct w:val="0"/>
        <w:autoSpaceDE/>
        <w:autoSpaceDN/>
        <w:bidi w:val="0"/>
        <w:adjustRightInd/>
        <w:spacing w:line="360" w:lineRule="auto"/>
        <w:ind w:leftChars="0"/>
        <w:jc w:val="left"/>
        <w:textAlignment w:val="auto"/>
        <w:rPr>
          <w:rFonts w:hint="eastAsia" w:ascii="仿宋_GB2312" w:hAnsi="宋体" w:eastAsia="仿宋_GB2312" w:cs="宋体"/>
          <w:b w:val="0"/>
          <w:bCs w:val="0"/>
          <w:color w:val="auto"/>
          <w:kern w:val="2"/>
          <w:sz w:val="32"/>
          <w:szCs w:val="32"/>
          <w:highlight w:val="none"/>
          <w:lang w:val="en-US" w:eastAsia="zh-CN" w:bidi="ar-SA"/>
        </w:rPr>
      </w:pPr>
      <w:bookmarkStart w:id="66" w:name="_Toc9705"/>
      <w:r>
        <w:rPr>
          <w:rFonts w:hint="eastAsia" w:ascii="仿宋_GB2312" w:eastAsia="仿宋_GB2312" w:cs="宋体"/>
          <w:b w:val="0"/>
          <w:bCs w:val="0"/>
          <w:color w:val="auto"/>
          <w:kern w:val="2"/>
          <w:sz w:val="32"/>
          <w:szCs w:val="32"/>
          <w:highlight w:val="none"/>
          <w:lang w:val="en-US" w:eastAsia="zh-CN" w:bidi="ar-SA"/>
        </w:rPr>
        <w:t xml:space="preserve">  </w:t>
      </w:r>
      <w:r>
        <w:rPr>
          <w:rFonts w:hint="eastAsia" w:ascii="宋体" w:hAnsi="宋体" w:eastAsia="宋体" w:cs="宋体"/>
          <w:b/>
          <w:bCs/>
          <w:color w:val="auto"/>
          <w:kern w:val="2"/>
          <w:sz w:val="28"/>
          <w:szCs w:val="28"/>
          <w:highlight w:val="none"/>
          <w:lang w:val="en-US" w:eastAsia="zh-CN" w:bidi="ar-SA"/>
        </w:rPr>
        <w:t>2.预算执行率</w:t>
      </w:r>
      <w:bookmarkEnd w:id="66"/>
    </w:p>
    <w:p>
      <w:pPr>
        <w:pageBreakBefore w:val="0"/>
        <w:widowControl w:val="0"/>
        <w:numPr>
          <w:ilvl w:val="0"/>
          <w:numId w:val="0"/>
        </w:numPr>
        <w:kinsoku/>
        <w:wordWrap/>
        <w:overflowPunct/>
        <w:topLinePunct w:val="0"/>
        <w:autoSpaceDE/>
        <w:autoSpaceDN/>
        <w:bidi w:val="0"/>
        <w:adjustRightInd/>
        <w:spacing w:line="360" w:lineRule="auto"/>
        <w:ind w:leftChars="0" w:firstLine="560" w:firstLineChars="200"/>
        <w:jc w:val="lef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TW" w:eastAsia="zh-CN" w:bidi="ar-SA"/>
        </w:rPr>
        <w:t>预算执行率=（</w:t>
      </w:r>
      <w:r>
        <w:rPr>
          <w:rFonts w:hint="eastAsia" w:ascii="宋体" w:hAnsi="宋体" w:eastAsia="宋体" w:cs="宋体"/>
          <w:b w:val="0"/>
          <w:bCs w:val="0"/>
          <w:color w:val="auto"/>
          <w:kern w:val="2"/>
          <w:sz w:val="28"/>
          <w:szCs w:val="28"/>
          <w:highlight w:val="none"/>
          <w:lang w:val="en-US" w:eastAsia="zh-CN" w:bidi="ar-SA"/>
        </w:rPr>
        <w:t>18.46万元</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18.46万元</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100%=100%</w:t>
      </w:r>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b/>
          <w:bCs/>
          <w:color w:val="auto"/>
          <w:kern w:val="2"/>
          <w:sz w:val="28"/>
          <w:szCs w:val="28"/>
          <w:highlight w:val="none"/>
          <w:lang w:val="zh-TW" w:eastAsia="zh-CN" w:bidi="ar-SA"/>
        </w:rPr>
      </w:pPr>
      <w:r>
        <w:rPr>
          <w:rFonts w:hint="eastAsia" w:ascii="宋体" w:hAnsi="宋体" w:eastAsia="宋体" w:cs="宋体"/>
          <w:b/>
          <w:bCs/>
          <w:color w:val="auto"/>
          <w:kern w:val="2"/>
          <w:sz w:val="28"/>
          <w:szCs w:val="28"/>
          <w:highlight w:val="none"/>
          <w:lang w:val="en-US" w:eastAsia="zh-CN" w:bidi="ar-SA"/>
        </w:rPr>
        <w:t>综上，该项指标满分4分，得分4分。</w:t>
      </w:r>
    </w:p>
    <w:p>
      <w:pPr>
        <w:pageBreakBefore w:val="0"/>
        <w:widowControl w:val="0"/>
        <w:kinsoku/>
        <w:wordWrap/>
        <w:overflowPunct/>
        <w:topLinePunct w:val="0"/>
        <w:autoSpaceDE/>
        <w:autoSpaceDN/>
        <w:bidi w:val="0"/>
        <w:adjustRightInd/>
        <w:spacing w:line="360" w:lineRule="auto"/>
        <w:ind w:left="0" w:leftChars="0" w:firstLine="281" w:firstLineChars="100"/>
        <w:jc w:val="left"/>
        <w:textAlignment w:val="auto"/>
        <w:rPr>
          <w:rFonts w:hint="eastAsia" w:ascii="宋体" w:hAnsi="宋体" w:eastAsia="宋体" w:cs="宋体"/>
          <w:b/>
          <w:bCs/>
          <w:color w:val="auto"/>
          <w:kern w:val="2"/>
          <w:sz w:val="28"/>
          <w:szCs w:val="28"/>
          <w:highlight w:val="none"/>
          <w:lang w:val="en-US" w:eastAsia="zh-CN" w:bidi="ar-SA"/>
        </w:rPr>
      </w:pPr>
      <w:bookmarkStart w:id="67" w:name="_Toc18691"/>
      <w:r>
        <w:rPr>
          <w:rFonts w:hint="eastAsia" w:ascii="宋体" w:hAnsi="宋体" w:eastAsia="宋体" w:cs="宋体"/>
          <w:b/>
          <w:bCs/>
          <w:color w:val="auto"/>
          <w:kern w:val="2"/>
          <w:sz w:val="28"/>
          <w:szCs w:val="28"/>
          <w:highlight w:val="none"/>
          <w:lang w:val="en-US" w:eastAsia="zh-CN" w:bidi="ar-SA"/>
        </w:rPr>
        <w:t>3.资金使用合规性</w:t>
      </w:r>
      <w:bookmarkEnd w:id="67"/>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①符合国家</w:t>
      </w:r>
      <w:r>
        <w:rPr>
          <w:rFonts w:hint="eastAsia" w:ascii="宋体" w:hAnsi="宋体" w:eastAsia="宋体" w:cs="宋体"/>
          <w:b w:val="0"/>
          <w:bCs w:val="0"/>
          <w:color w:val="auto"/>
          <w:kern w:val="2"/>
          <w:sz w:val="28"/>
          <w:szCs w:val="28"/>
          <w:highlight w:val="none"/>
          <w:lang w:val="en-US" w:eastAsia="zh-CN" w:bidi="ar-SA"/>
        </w:rPr>
        <w:t>财经法规和我园</w:t>
      </w:r>
      <w:r>
        <w:rPr>
          <w:rFonts w:hint="eastAsia" w:ascii="宋体" w:hAnsi="宋体" w:eastAsia="宋体" w:cs="宋体"/>
          <w:b w:val="0"/>
          <w:bCs w:val="0"/>
          <w:color w:val="auto"/>
          <w:kern w:val="2"/>
          <w:sz w:val="28"/>
          <w:szCs w:val="28"/>
          <w:highlight w:val="none"/>
          <w:lang w:val="zh-TW" w:eastAsia="zh-CN" w:bidi="ar-SA"/>
        </w:rPr>
        <w:t>建立《</w:t>
      </w:r>
      <w:r>
        <w:rPr>
          <w:rFonts w:hint="eastAsia" w:ascii="宋体" w:hAnsi="宋体" w:eastAsia="宋体" w:cs="宋体"/>
          <w:b w:val="0"/>
          <w:bCs w:val="0"/>
          <w:color w:val="auto"/>
          <w:kern w:val="2"/>
          <w:sz w:val="28"/>
          <w:szCs w:val="28"/>
          <w:highlight w:val="none"/>
          <w:lang w:val="en-US" w:eastAsia="zh-CN" w:bidi="ar-SA"/>
        </w:rPr>
        <w:t>阜康市滋泥泉子镇中心幼儿园</w:t>
      </w:r>
      <w:r>
        <w:rPr>
          <w:rFonts w:hint="eastAsia" w:ascii="宋体" w:hAnsi="宋体" w:eastAsia="宋体" w:cs="宋体"/>
          <w:b w:val="0"/>
          <w:bCs w:val="0"/>
          <w:color w:val="auto"/>
          <w:kern w:val="2"/>
          <w:sz w:val="28"/>
          <w:szCs w:val="28"/>
          <w:highlight w:val="none"/>
          <w:lang w:val="zh-TW" w:eastAsia="zh-CN" w:bidi="ar-SA"/>
        </w:rPr>
        <w:t>财务管理制度汇编》、《</w:t>
      </w:r>
      <w:r>
        <w:rPr>
          <w:rFonts w:hint="eastAsia" w:ascii="宋体" w:hAnsi="宋体" w:eastAsia="宋体" w:cs="宋体"/>
          <w:b w:val="0"/>
          <w:bCs w:val="0"/>
          <w:color w:val="auto"/>
          <w:kern w:val="2"/>
          <w:sz w:val="28"/>
          <w:szCs w:val="28"/>
          <w:highlight w:val="none"/>
          <w:lang w:val="en-US" w:eastAsia="zh-CN" w:bidi="ar-SA"/>
        </w:rPr>
        <w:t>阜康市滋泥泉子镇中心幼儿园</w:t>
      </w:r>
      <w:r>
        <w:rPr>
          <w:rFonts w:hint="eastAsia" w:cs="宋体"/>
          <w:b w:val="0"/>
          <w:bCs w:val="0"/>
          <w:color w:val="auto"/>
          <w:kern w:val="2"/>
          <w:sz w:val="28"/>
          <w:szCs w:val="28"/>
          <w:highlight w:val="none"/>
          <w:lang w:val="zh-TW" w:eastAsia="zh-CN" w:bidi="ar-SA"/>
        </w:rPr>
        <w:t>“三公”经费</w:t>
      </w:r>
      <w:r>
        <w:rPr>
          <w:rFonts w:hint="eastAsia" w:ascii="宋体" w:hAnsi="宋体" w:eastAsia="宋体" w:cs="宋体"/>
          <w:b w:val="0"/>
          <w:bCs w:val="0"/>
          <w:color w:val="auto"/>
          <w:kern w:val="2"/>
          <w:sz w:val="28"/>
          <w:szCs w:val="28"/>
          <w:highlight w:val="none"/>
          <w:lang w:val="zh-TW" w:eastAsia="zh-CN" w:bidi="ar-SA"/>
        </w:rPr>
        <w:t>预算管理和公开制度》等有关专项资金管理办法的规定；</w:t>
      </w:r>
    </w:p>
    <w:p>
      <w:pPr>
        <w:pageBreakBefore w:val="0"/>
        <w:widowControl w:val="0"/>
        <w:kinsoku/>
        <w:wordWrap/>
        <w:overflowPunct/>
        <w:topLinePunct w:val="0"/>
        <w:autoSpaceDE/>
        <w:autoSpaceDN/>
        <w:bidi w:val="0"/>
        <w:adjustRightInd/>
        <w:spacing w:line="360" w:lineRule="auto"/>
        <w:jc w:val="both"/>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②资金的拨付有完整的审批程序和手续；符合</w:t>
      </w:r>
      <w:r>
        <w:rPr>
          <w:rFonts w:hint="eastAsia" w:ascii="宋体" w:hAnsi="宋体" w:eastAsia="宋体" w:cs="宋体"/>
          <w:b w:val="0"/>
          <w:bCs w:val="0"/>
          <w:color w:val="auto"/>
          <w:kern w:val="2"/>
          <w:sz w:val="28"/>
          <w:szCs w:val="28"/>
          <w:highlight w:val="none"/>
          <w:lang w:val="en-US" w:eastAsia="zh-CN" w:bidi="ar-SA"/>
        </w:rPr>
        <w:t>阜康市滋泥泉子镇中心幼儿园</w:t>
      </w:r>
      <w:r>
        <w:rPr>
          <w:rFonts w:hint="eastAsia" w:ascii="宋体" w:hAnsi="宋体" w:eastAsia="宋体" w:cs="宋体"/>
          <w:b w:val="0"/>
          <w:bCs w:val="0"/>
          <w:color w:val="auto"/>
          <w:kern w:val="2"/>
          <w:sz w:val="28"/>
          <w:szCs w:val="28"/>
          <w:highlight w:val="none"/>
          <w:lang w:val="zh-TW" w:eastAsia="zh-CN" w:bidi="ar-SA"/>
        </w:rPr>
        <w:t>根据国家相关法规和内部控制等制度文件汇编；</w:t>
      </w:r>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③符合</w:t>
      </w:r>
      <w:r>
        <w:rPr>
          <w:rFonts w:hint="eastAsia" w:ascii="宋体" w:hAnsi="宋体" w:eastAsia="宋体" w:cs="宋体"/>
          <w:b w:val="0"/>
          <w:bCs w:val="0"/>
          <w:color w:val="auto"/>
          <w:kern w:val="2"/>
          <w:sz w:val="28"/>
          <w:szCs w:val="28"/>
          <w:highlight w:val="none"/>
          <w:lang w:val="en-US" w:eastAsia="zh-CN" w:bidi="ar-SA"/>
        </w:rPr>
        <w:t>2023年财政局下发</w:t>
      </w:r>
      <w:r>
        <w:rPr>
          <w:rFonts w:hint="eastAsia" w:ascii="宋体" w:hAnsi="宋体" w:eastAsia="宋体" w:cs="宋体"/>
          <w:b w:val="0"/>
          <w:bCs w:val="0"/>
          <w:color w:val="auto"/>
          <w:kern w:val="2"/>
          <w:sz w:val="28"/>
          <w:szCs w:val="28"/>
          <w:highlight w:val="none"/>
          <w:lang w:val="zh-TW" w:eastAsia="zh-CN" w:bidi="ar-SA"/>
        </w:rPr>
        <w:t>项目预算批复</w:t>
      </w:r>
      <w:r>
        <w:rPr>
          <w:rFonts w:hint="eastAsia" w:ascii="宋体" w:hAnsi="宋体" w:eastAsia="宋体" w:cs="宋体"/>
          <w:b w:val="0"/>
          <w:bCs w:val="0"/>
          <w:color w:val="auto"/>
          <w:kern w:val="2"/>
          <w:sz w:val="28"/>
          <w:szCs w:val="28"/>
          <w:highlight w:val="none"/>
          <w:lang w:val="en-US" w:eastAsia="zh-CN" w:bidi="ar-SA"/>
        </w:rPr>
        <w:t>和该项目</w:t>
      </w:r>
      <w:r>
        <w:rPr>
          <w:rFonts w:hint="eastAsia" w:ascii="宋体" w:hAnsi="宋体" w:eastAsia="宋体" w:cs="宋体"/>
          <w:b w:val="0"/>
          <w:bCs w:val="0"/>
          <w:color w:val="auto"/>
          <w:kern w:val="2"/>
          <w:sz w:val="28"/>
          <w:szCs w:val="28"/>
          <w:highlight w:val="none"/>
          <w:lang w:val="zh-TW" w:eastAsia="zh-CN" w:bidi="ar-SA"/>
        </w:rPr>
        <w:t>合同规定的用途；</w:t>
      </w:r>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④</w:t>
      </w:r>
      <w:r>
        <w:rPr>
          <w:rFonts w:hint="eastAsia" w:ascii="宋体" w:hAnsi="宋体" w:eastAsia="宋体" w:cs="宋体"/>
          <w:b w:val="0"/>
          <w:bCs w:val="0"/>
          <w:color w:val="auto"/>
          <w:kern w:val="2"/>
          <w:sz w:val="28"/>
          <w:szCs w:val="28"/>
          <w:highlight w:val="none"/>
          <w:lang w:val="en-US" w:eastAsia="zh-CN" w:bidi="ar-SA"/>
        </w:rPr>
        <w:t>不</w:t>
      </w:r>
      <w:r>
        <w:rPr>
          <w:rFonts w:hint="eastAsia" w:ascii="宋体" w:hAnsi="宋体" w:eastAsia="宋体" w:cs="宋体"/>
          <w:b w:val="0"/>
          <w:bCs w:val="0"/>
          <w:color w:val="auto"/>
          <w:kern w:val="2"/>
          <w:sz w:val="28"/>
          <w:szCs w:val="28"/>
          <w:highlight w:val="none"/>
          <w:lang w:val="zh-TW" w:eastAsia="zh-CN" w:bidi="ar-SA"/>
        </w:rPr>
        <w:t>存在截留、挤占、挪用、虚列支出等情况。</w:t>
      </w:r>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综上，该项指标满分4分，得分4分。</w:t>
      </w:r>
    </w:p>
    <w:p>
      <w:pPr>
        <w:pageBreakBefore w:val="0"/>
        <w:widowControl w:val="0"/>
        <w:kinsoku/>
        <w:wordWrap/>
        <w:overflowPunct/>
        <w:topLinePunct w:val="0"/>
        <w:autoSpaceDE/>
        <w:autoSpaceDN/>
        <w:bidi w:val="0"/>
        <w:adjustRightInd/>
        <w:spacing w:line="360" w:lineRule="auto"/>
        <w:ind w:left="0" w:leftChars="0" w:firstLine="281" w:firstLineChars="100"/>
        <w:jc w:val="both"/>
        <w:textAlignment w:val="auto"/>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4.管理制度健全性</w:t>
      </w:r>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TW" w:eastAsia="zh-CN" w:bidi="ar-SA"/>
        </w:rPr>
        <w:t>①</w:t>
      </w:r>
      <w:r>
        <w:rPr>
          <w:rFonts w:hint="eastAsia" w:ascii="宋体" w:hAnsi="宋体" w:eastAsia="宋体" w:cs="宋体"/>
          <w:b w:val="0"/>
          <w:bCs w:val="0"/>
          <w:color w:val="auto"/>
          <w:kern w:val="2"/>
          <w:sz w:val="28"/>
          <w:szCs w:val="28"/>
          <w:highlight w:val="none"/>
          <w:lang w:val="en-US" w:eastAsia="zh-CN" w:bidi="ar-SA"/>
        </w:rPr>
        <w:t>阜康市滋泥泉子镇中心幼儿园根据国家相关法规和内部控制等制度文件汇编，建立《</w:t>
      </w:r>
      <w:r>
        <w:rPr>
          <w:rFonts w:hint="eastAsia" w:ascii="宋体" w:hAnsi="宋体" w:eastAsia="宋体" w:cs="宋体"/>
          <w:b w:val="0"/>
          <w:bCs w:val="0"/>
          <w:color w:val="auto"/>
          <w:kern w:val="2"/>
          <w:sz w:val="28"/>
          <w:szCs w:val="28"/>
          <w:highlight w:val="none"/>
          <w:lang w:val="zh-TW" w:eastAsia="zh-CN" w:bidi="ar-SA"/>
        </w:rPr>
        <w:t>财务预算管理制度</w:t>
      </w:r>
      <w:r>
        <w:rPr>
          <w:rFonts w:hint="eastAsia" w:ascii="宋体" w:hAnsi="宋体" w:eastAsia="宋体" w:cs="宋体"/>
          <w:b w:val="0"/>
          <w:bCs w:val="0"/>
          <w:color w:val="auto"/>
          <w:kern w:val="2"/>
          <w:sz w:val="28"/>
          <w:szCs w:val="28"/>
          <w:highlight w:val="none"/>
          <w:lang w:val="en-US" w:eastAsia="zh-CN" w:bidi="ar-SA"/>
        </w:rPr>
        <w:t>》、《</w:t>
      </w:r>
      <w:r>
        <w:rPr>
          <w:rFonts w:hint="eastAsia" w:ascii="宋体" w:hAnsi="宋体" w:eastAsia="宋体" w:cs="宋体"/>
          <w:b w:val="0"/>
          <w:bCs w:val="0"/>
          <w:color w:val="auto"/>
          <w:kern w:val="2"/>
          <w:sz w:val="28"/>
          <w:szCs w:val="28"/>
          <w:highlight w:val="none"/>
          <w:lang w:val="zh-TW" w:eastAsia="zh-CN" w:bidi="ar-SA"/>
        </w:rPr>
        <w:t>项目管理制度</w:t>
      </w:r>
      <w:r>
        <w:rPr>
          <w:rFonts w:hint="eastAsia" w:ascii="宋体" w:hAnsi="宋体" w:eastAsia="宋体" w:cs="宋体"/>
          <w:b w:val="0"/>
          <w:bCs w:val="0"/>
          <w:color w:val="auto"/>
          <w:kern w:val="2"/>
          <w:sz w:val="28"/>
          <w:szCs w:val="28"/>
          <w:highlight w:val="none"/>
          <w:lang w:val="en-US" w:eastAsia="zh-CN" w:bidi="ar-SA"/>
        </w:rPr>
        <w:t>》、《</w:t>
      </w:r>
      <w:r>
        <w:rPr>
          <w:rFonts w:hint="eastAsia" w:ascii="宋体" w:hAnsi="宋体" w:eastAsia="宋体" w:cs="宋体"/>
          <w:b w:val="0"/>
          <w:bCs w:val="0"/>
          <w:color w:val="auto"/>
          <w:kern w:val="2"/>
          <w:sz w:val="28"/>
          <w:szCs w:val="28"/>
          <w:highlight w:val="none"/>
          <w:lang w:val="zh-TW" w:eastAsia="zh-CN" w:bidi="ar-SA"/>
        </w:rPr>
        <w:t>财务管理制度</w:t>
      </w:r>
      <w:r>
        <w:rPr>
          <w:rFonts w:hint="eastAsia" w:ascii="宋体" w:hAnsi="宋体" w:eastAsia="宋体" w:cs="宋体"/>
          <w:b w:val="0"/>
          <w:bCs w:val="0"/>
          <w:color w:val="auto"/>
          <w:kern w:val="2"/>
          <w:sz w:val="28"/>
          <w:szCs w:val="28"/>
          <w:highlight w:val="none"/>
          <w:lang w:val="en-US" w:eastAsia="zh-CN" w:bidi="ar-SA"/>
        </w:rPr>
        <w:t>》、《</w:t>
      </w:r>
      <w:r>
        <w:rPr>
          <w:rFonts w:hint="eastAsia" w:ascii="宋体" w:hAnsi="宋体" w:eastAsia="宋体" w:cs="宋体"/>
          <w:b w:val="0"/>
          <w:bCs w:val="0"/>
          <w:color w:val="auto"/>
          <w:kern w:val="2"/>
          <w:sz w:val="28"/>
          <w:szCs w:val="28"/>
          <w:highlight w:val="none"/>
          <w:lang w:val="zh-TW" w:eastAsia="zh-CN" w:bidi="ar-SA"/>
        </w:rPr>
        <w:t>预决算管理制度</w:t>
      </w:r>
      <w:r>
        <w:rPr>
          <w:rFonts w:hint="eastAsia" w:ascii="宋体" w:hAnsi="宋体" w:eastAsia="宋体" w:cs="宋体"/>
          <w:b w:val="0"/>
          <w:bCs w:val="0"/>
          <w:color w:val="auto"/>
          <w:kern w:val="2"/>
          <w:sz w:val="28"/>
          <w:szCs w:val="28"/>
          <w:highlight w:val="none"/>
          <w:lang w:val="en-US" w:eastAsia="zh-CN" w:bidi="ar-SA"/>
        </w:rPr>
        <w:t>》等各项规章制度和工作程序，从制度和程序上严把资金使用、管理、绩效等各环节关口，堵塞漏洞、消除隐患，切实加强资金监管</w:t>
      </w:r>
      <w:r>
        <w:rPr>
          <w:rFonts w:hint="eastAsia" w:ascii="宋体" w:hAnsi="宋体" w:eastAsia="宋体" w:cs="宋体"/>
          <w:b w:val="0"/>
          <w:bCs w:val="0"/>
          <w:color w:val="auto"/>
          <w:kern w:val="2"/>
          <w:sz w:val="28"/>
          <w:szCs w:val="28"/>
          <w:highlight w:val="none"/>
          <w:lang w:val="zh-TW" w:eastAsia="zh-CN" w:bidi="ar-SA"/>
        </w:rPr>
        <w:t>；</w:t>
      </w:r>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②财务和业务管理制度合法、合规、完整。</w:t>
      </w:r>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bCs/>
          <w:color w:val="auto"/>
          <w:kern w:val="2"/>
          <w:sz w:val="28"/>
          <w:szCs w:val="28"/>
          <w:highlight w:val="none"/>
          <w:lang w:val="zh-TW" w:eastAsia="zh-CN" w:bidi="ar-SA"/>
        </w:rPr>
      </w:pPr>
      <w:r>
        <w:rPr>
          <w:rFonts w:hint="eastAsia" w:ascii="宋体" w:hAnsi="宋体" w:eastAsia="宋体" w:cs="宋体"/>
          <w:b/>
          <w:bCs/>
          <w:color w:val="auto"/>
          <w:kern w:val="2"/>
          <w:sz w:val="28"/>
          <w:szCs w:val="28"/>
          <w:highlight w:val="none"/>
          <w:lang w:val="en-US" w:eastAsia="zh-CN" w:bidi="ar-SA"/>
        </w:rPr>
        <w:t>综上，该项指标满分4分，得分4分。</w:t>
      </w:r>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bCs/>
          <w:color w:val="auto"/>
          <w:kern w:val="2"/>
          <w:sz w:val="28"/>
          <w:szCs w:val="28"/>
          <w:highlight w:val="none"/>
          <w:lang w:val="en-US" w:eastAsia="zh-CN" w:bidi="ar-SA"/>
        </w:rPr>
      </w:pPr>
      <w:bookmarkStart w:id="68" w:name="_Toc31684"/>
      <w:r>
        <w:rPr>
          <w:rFonts w:hint="eastAsia" w:ascii="宋体" w:hAnsi="宋体" w:eastAsia="宋体" w:cs="宋体"/>
          <w:b/>
          <w:bCs/>
          <w:color w:val="auto"/>
          <w:kern w:val="2"/>
          <w:sz w:val="28"/>
          <w:szCs w:val="28"/>
          <w:highlight w:val="none"/>
          <w:lang w:val="en-US" w:eastAsia="zh-CN" w:bidi="ar-SA"/>
        </w:rPr>
        <w:t>5.制度执行有效性</w:t>
      </w:r>
      <w:bookmarkEnd w:id="68"/>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①昌州财教【2022】82号提前下达2023年新疆西藏地区特殊教育补助资金（</w:t>
      </w:r>
      <w:r>
        <w:rPr>
          <w:rFonts w:hint="eastAsia" w:ascii="宋体" w:hAnsi="宋体" w:eastAsia="宋体" w:cs="宋体"/>
          <w:b w:val="0"/>
          <w:bCs w:val="0"/>
          <w:color w:val="auto"/>
          <w:kern w:val="2"/>
          <w:sz w:val="28"/>
          <w:szCs w:val="28"/>
          <w:highlight w:val="none"/>
          <w:lang w:val="en-US" w:eastAsia="zh-CN" w:bidi="ar-SA"/>
        </w:rPr>
        <w:t>农村学前免费保障资金</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项目</w:t>
      </w:r>
      <w:r>
        <w:rPr>
          <w:rFonts w:hint="eastAsia" w:ascii="宋体" w:hAnsi="宋体" w:eastAsia="宋体" w:cs="宋体"/>
          <w:b w:val="0"/>
          <w:bCs w:val="0"/>
          <w:color w:val="auto"/>
          <w:kern w:val="2"/>
          <w:sz w:val="28"/>
          <w:szCs w:val="28"/>
          <w:highlight w:val="none"/>
          <w:lang w:val="zh-TW" w:eastAsia="zh-CN" w:bidi="ar-SA"/>
        </w:rPr>
        <w:t>遵守相关法律法规和相关管理规定；</w:t>
      </w:r>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②昌州财教【2022】82号提前下达2023年新疆西藏地区特殊教育补助资金（</w:t>
      </w:r>
      <w:r>
        <w:rPr>
          <w:rFonts w:hint="eastAsia" w:ascii="宋体" w:hAnsi="宋体" w:eastAsia="宋体" w:cs="宋体"/>
          <w:b w:val="0"/>
          <w:bCs w:val="0"/>
          <w:color w:val="auto"/>
          <w:kern w:val="2"/>
          <w:sz w:val="28"/>
          <w:szCs w:val="28"/>
          <w:highlight w:val="none"/>
          <w:lang w:val="en-US" w:eastAsia="zh-CN" w:bidi="ar-SA"/>
        </w:rPr>
        <w:t>农村学前免费保障资金</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项目未</w:t>
      </w:r>
      <w:r>
        <w:rPr>
          <w:rFonts w:hint="eastAsia" w:ascii="宋体" w:hAnsi="宋体" w:eastAsia="宋体" w:cs="宋体"/>
          <w:b w:val="0"/>
          <w:bCs w:val="0"/>
          <w:color w:val="auto"/>
          <w:kern w:val="2"/>
          <w:sz w:val="28"/>
          <w:szCs w:val="28"/>
          <w:highlight w:val="none"/>
          <w:lang w:val="zh-TW" w:eastAsia="zh-CN" w:bidi="ar-SA"/>
        </w:rPr>
        <w:t>调整；</w:t>
      </w:r>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③昌州财教【2022】82号提前下达2023年新疆西藏地区特殊教育补助资金（</w:t>
      </w:r>
      <w:r>
        <w:rPr>
          <w:rFonts w:hint="eastAsia" w:ascii="宋体" w:hAnsi="宋体" w:eastAsia="宋体" w:cs="宋体"/>
          <w:b w:val="0"/>
          <w:bCs w:val="0"/>
          <w:color w:val="auto"/>
          <w:kern w:val="2"/>
          <w:sz w:val="28"/>
          <w:szCs w:val="28"/>
          <w:highlight w:val="none"/>
          <w:lang w:val="en-US" w:eastAsia="zh-CN" w:bidi="ar-SA"/>
        </w:rPr>
        <w:t>农村学前免费保障资金</w:t>
      </w:r>
      <w:r>
        <w:rPr>
          <w:rFonts w:hint="eastAsia" w:ascii="宋体" w:hAnsi="宋体" w:eastAsia="宋体" w:cs="宋体"/>
          <w:b w:val="0"/>
          <w:bCs w:val="0"/>
          <w:color w:val="auto"/>
          <w:kern w:val="2"/>
          <w:sz w:val="28"/>
          <w:szCs w:val="28"/>
          <w:highlight w:val="none"/>
          <w:lang w:val="zh-TW" w:eastAsia="zh-CN" w:bidi="ar-SA"/>
        </w:rPr>
        <w:t>）项目合同书、验收报告、</w:t>
      </w:r>
      <w:r>
        <w:rPr>
          <w:rFonts w:hint="eastAsia" w:ascii="宋体" w:hAnsi="宋体" w:eastAsia="宋体" w:cs="宋体"/>
          <w:b w:val="0"/>
          <w:bCs w:val="0"/>
          <w:color w:val="auto"/>
          <w:kern w:val="2"/>
          <w:sz w:val="28"/>
          <w:szCs w:val="28"/>
          <w:highlight w:val="none"/>
          <w:lang w:val="en-US" w:eastAsia="zh-CN" w:bidi="ar-SA"/>
        </w:rPr>
        <w:t>项目审计报告书、成交通知书</w:t>
      </w:r>
      <w:r>
        <w:rPr>
          <w:rFonts w:hint="eastAsia" w:ascii="宋体" w:hAnsi="宋体" w:eastAsia="宋体" w:cs="宋体"/>
          <w:b w:val="0"/>
          <w:bCs w:val="0"/>
          <w:color w:val="auto"/>
          <w:kern w:val="2"/>
          <w:sz w:val="28"/>
          <w:szCs w:val="28"/>
          <w:highlight w:val="none"/>
          <w:lang w:val="zh-TW" w:eastAsia="zh-CN" w:bidi="ar-SA"/>
        </w:rPr>
        <w:t>等资料齐全并及时</w:t>
      </w:r>
      <w:r>
        <w:rPr>
          <w:rFonts w:hint="eastAsia" w:ascii="宋体" w:hAnsi="宋体" w:eastAsia="宋体" w:cs="宋体"/>
          <w:b w:val="0"/>
          <w:bCs w:val="0"/>
          <w:color w:val="auto"/>
          <w:kern w:val="2"/>
          <w:sz w:val="28"/>
          <w:szCs w:val="28"/>
          <w:highlight w:val="none"/>
          <w:lang w:val="en-US" w:eastAsia="zh-CN" w:bidi="ar-SA"/>
        </w:rPr>
        <w:t>装订成册移交档案室保管</w:t>
      </w:r>
      <w:r>
        <w:rPr>
          <w:rFonts w:hint="eastAsia" w:ascii="宋体" w:hAnsi="宋体" w:eastAsia="宋体" w:cs="宋体"/>
          <w:b w:val="0"/>
          <w:bCs w:val="0"/>
          <w:color w:val="auto"/>
          <w:kern w:val="2"/>
          <w:sz w:val="28"/>
          <w:szCs w:val="28"/>
          <w:highlight w:val="none"/>
          <w:lang w:val="zh-TW" w:eastAsia="zh-CN" w:bidi="ar-SA"/>
        </w:rPr>
        <w:t>；</w:t>
      </w:r>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④项目实施的人员条件、场地设备、信息支撑等落实到位。</w:t>
      </w:r>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综上，该项指标满分4分，得分4分。</w:t>
      </w:r>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bCs/>
          <w:color w:val="auto"/>
          <w:kern w:val="2"/>
          <w:sz w:val="28"/>
          <w:szCs w:val="28"/>
          <w:highlight w:val="none"/>
          <w:lang w:val="en-US" w:eastAsia="zh-CN" w:bidi="ar-SA"/>
        </w:rPr>
      </w:pPr>
      <w:bookmarkStart w:id="69" w:name="_Toc16268"/>
      <w:r>
        <w:rPr>
          <w:rFonts w:hint="eastAsia" w:ascii="宋体" w:hAnsi="宋体" w:eastAsia="宋体" w:cs="宋体"/>
          <w:b/>
          <w:bCs/>
          <w:color w:val="auto"/>
          <w:kern w:val="2"/>
          <w:sz w:val="28"/>
          <w:szCs w:val="28"/>
          <w:highlight w:val="none"/>
          <w:lang w:val="en-US" w:eastAsia="zh-CN" w:bidi="ar-SA"/>
        </w:rPr>
        <w:t>（三）项目产出情况</w:t>
      </w:r>
      <w:bookmarkEnd w:id="69"/>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zh-TW" w:eastAsia="zh-TW" w:bidi="ar-SA"/>
        </w:rPr>
      </w:pPr>
      <w:r>
        <w:rPr>
          <w:rFonts w:hint="eastAsia" w:ascii="宋体" w:hAnsi="宋体" w:eastAsia="宋体" w:cs="宋体"/>
          <w:b w:val="0"/>
          <w:bCs w:val="0"/>
          <w:color w:val="auto"/>
          <w:kern w:val="2"/>
          <w:sz w:val="28"/>
          <w:szCs w:val="28"/>
          <w:highlight w:val="none"/>
          <w:lang w:val="zh-TW" w:eastAsia="zh-TW" w:bidi="ar-SA"/>
        </w:rPr>
        <w:t>项目</w:t>
      </w:r>
      <w:r>
        <w:rPr>
          <w:rFonts w:hint="eastAsia" w:ascii="宋体" w:hAnsi="宋体" w:eastAsia="宋体" w:cs="宋体"/>
          <w:b w:val="0"/>
          <w:bCs w:val="0"/>
          <w:color w:val="auto"/>
          <w:kern w:val="2"/>
          <w:sz w:val="28"/>
          <w:szCs w:val="28"/>
          <w:highlight w:val="none"/>
          <w:lang w:val="en-US" w:eastAsia="zh-CN" w:bidi="ar-SA"/>
        </w:rPr>
        <w:t>产出</w:t>
      </w:r>
      <w:r>
        <w:rPr>
          <w:rFonts w:hint="eastAsia" w:ascii="宋体" w:hAnsi="宋体" w:eastAsia="宋体" w:cs="宋体"/>
          <w:b w:val="0"/>
          <w:bCs w:val="0"/>
          <w:color w:val="auto"/>
          <w:kern w:val="2"/>
          <w:sz w:val="28"/>
          <w:szCs w:val="28"/>
          <w:highlight w:val="none"/>
          <w:lang w:val="zh-TW" w:eastAsia="zh-TW" w:bidi="ar-SA"/>
        </w:rPr>
        <w:t>类指标由</w:t>
      </w:r>
      <w:r>
        <w:rPr>
          <w:rFonts w:hint="eastAsia" w:ascii="宋体" w:hAnsi="宋体" w:eastAsia="宋体" w:cs="宋体"/>
          <w:b w:val="0"/>
          <w:bCs w:val="0"/>
          <w:color w:val="auto"/>
          <w:kern w:val="2"/>
          <w:sz w:val="28"/>
          <w:szCs w:val="28"/>
          <w:highlight w:val="none"/>
          <w:lang w:val="en-US" w:eastAsia="zh-CN" w:bidi="ar-SA"/>
        </w:rPr>
        <w:t>4</w:t>
      </w:r>
      <w:r>
        <w:rPr>
          <w:rFonts w:hint="eastAsia" w:ascii="宋体" w:hAnsi="宋体" w:eastAsia="宋体" w:cs="宋体"/>
          <w:b w:val="0"/>
          <w:bCs w:val="0"/>
          <w:color w:val="auto"/>
          <w:kern w:val="2"/>
          <w:sz w:val="28"/>
          <w:szCs w:val="28"/>
          <w:highlight w:val="none"/>
          <w:lang w:val="zh-TW" w:eastAsia="zh-TW" w:bidi="ar-SA"/>
        </w:rPr>
        <w:t>个</w:t>
      </w:r>
      <w:r>
        <w:rPr>
          <w:rFonts w:hint="eastAsia" w:ascii="宋体" w:hAnsi="宋体" w:eastAsia="宋体" w:cs="宋体"/>
          <w:b w:val="0"/>
          <w:bCs w:val="0"/>
          <w:color w:val="auto"/>
          <w:kern w:val="2"/>
          <w:sz w:val="28"/>
          <w:szCs w:val="28"/>
          <w:highlight w:val="none"/>
          <w:lang w:val="zh-TW" w:eastAsia="zh-CN" w:bidi="ar-SA"/>
        </w:rPr>
        <w:t>二</w:t>
      </w:r>
      <w:r>
        <w:rPr>
          <w:rFonts w:hint="eastAsia" w:ascii="宋体" w:hAnsi="宋体" w:eastAsia="宋体" w:cs="宋体"/>
          <w:b w:val="0"/>
          <w:bCs w:val="0"/>
          <w:color w:val="auto"/>
          <w:kern w:val="2"/>
          <w:sz w:val="28"/>
          <w:szCs w:val="28"/>
          <w:highlight w:val="none"/>
          <w:lang w:val="zh-TW" w:eastAsia="zh-TW" w:bidi="ar-SA"/>
        </w:rPr>
        <w:t>级指标和</w:t>
      </w:r>
      <w:r>
        <w:rPr>
          <w:rFonts w:hint="eastAsia" w:ascii="宋体" w:hAnsi="宋体" w:eastAsia="宋体" w:cs="宋体"/>
          <w:b w:val="0"/>
          <w:bCs w:val="0"/>
          <w:color w:val="auto"/>
          <w:kern w:val="2"/>
          <w:sz w:val="28"/>
          <w:szCs w:val="28"/>
          <w:highlight w:val="none"/>
          <w:lang w:val="en-US" w:eastAsia="zh-CN" w:bidi="ar-SA"/>
        </w:rPr>
        <w:t>11</w:t>
      </w:r>
      <w:r>
        <w:rPr>
          <w:rFonts w:hint="eastAsia" w:ascii="宋体" w:hAnsi="宋体" w:eastAsia="宋体" w:cs="宋体"/>
          <w:b w:val="0"/>
          <w:bCs w:val="0"/>
          <w:color w:val="auto"/>
          <w:kern w:val="2"/>
          <w:sz w:val="28"/>
          <w:szCs w:val="28"/>
          <w:highlight w:val="none"/>
          <w:lang w:val="zh-TW" w:eastAsia="zh-TW" w:bidi="ar-SA"/>
        </w:rPr>
        <w:t>个</w:t>
      </w:r>
      <w:r>
        <w:rPr>
          <w:rFonts w:hint="eastAsia" w:ascii="宋体" w:hAnsi="宋体" w:eastAsia="宋体" w:cs="宋体"/>
          <w:b w:val="0"/>
          <w:bCs w:val="0"/>
          <w:color w:val="auto"/>
          <w:kern w:val="2"/>
          <w:sz w:val="28"/>
          <w:szCs w:val="28"/>
          <w:highlight w:val="none"/>
          <w:lang w:val="zh-TW" w:eastAsia="zh-CN" w:bidi="ar-SA"/>
        </w:rPr>
        <w:t>三</w:t>
      </w:r>
      <w:r>
        <w:rPr>
          <w:rFonts w:hint="eastAsia" w:ascii="宋体" w:hAnsi="宋体" w:eastAsia="宋体" w:cs="宋体"/>
          <w:b w:val="0"/>
          <w:bCs w:val="0"/>
          <w:color w:val="auto"/>
          <w:kern w:val="2"/>
          <w:sz w:val="28"/>
          <w:szCs w:val="28"/>
          <w:highlight w:val="none"/>
          <w:lang w:val="zh-TW" w:eastAsia="zh-TW" w:bidi="ar-SA"/>
        </w:rPr>
        <w:t>级指标构成，权重分</w:t>
      </w:r>
      <w:r>
        <w:rPr>
          <w:rFonts w:hint="eastAsia" w:ascii="宋体" w:hAnsi="宋体" w:eastAsia="宋体" w:cs="宋体"/>
          <w:b w:val="0"/>
          <w:bCs w:val="0"/>
          <w:color w:val="auto"/>
          <w:kern w:val="2"/>
          <w:sz w:val="28"/>
          <w:szCs w:val="28"/>
          <w:highlight w:val="none"/>
          <w:lang w:val="en-US" w:eastAsia="zh-CN" w:bidi="ar-SA"/>
        </w:rPr>
        <w:t>30</w:t>
      </w:r>
      <w:r>
        <w:rPr>
          <w:rFonts w:hint="eastAsia" w:ascii="宋体" w:hAnsi="宋体" w:eastAsia="宋体" w:cs="宋体"/>
          <w:b w:val="0"/>
          <w:bCs w:val="0"/>
          <w:color w:val="auto"/>
          <w:kern w:val="2"/>
          <w:sz w:val="28"/>
          <w:szCs w:val="28"/>
          <w:highlight w:val="none"/>
          <w:lang w:val="zh-TW" w:eastAsia="zh-TW" w:bidi="ar-SA"/>
        </w:rPr>
        <w:t>分，实际得分</w:t>
      </w:r>
      <w:r>
        <w:rPr>
          <w:rFonts w:hint="eastAsia" w:ascii="宋体" w:hAnsi="宋体" w:eastAsia="宋体" w:cs="宋体"/>
          <w:b w:val="0"/>
          <w:bCs w:val="0"/>
          <w:color w:val="auto"/>
          <w:kern w:val="2"/>
          <w:sz w:val="28"/>
          <w:szCs w:val="28"/>
          <w:highlight w:val="none"/>
          <w:lang w:val="en-US" w:eastAsia="zh-CN" w:bidi="ar-SA"/>
        </w:rPr>
        <w:t>30</w:t>
      </w:r>
      <w:r>
        <w:rPr>
          <w:rFonts w:hint="eastAsia" w:ascii="宋体" w:hAnsi="宋体" w:eastAsia="宋体" w:cs="宋体"/>
          <w:b w:val="0"/>
          <w:bCs w:val="0"/>
          <w:color w:val="auto"/>
          <w:kern w:val="2"/>
          <w:sz w:val="28"/>
          <w:szCs w:val="28"/>
          <w:highlight w:val="none"/>
          <w:lang w:val="zh-TW" w:eastAsia="zh-TW" w:bidi="ar-SA"/>
        </w:rPr>
        <w:t>分</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zh-TW" w:eastAsia="zh-TW" w:bidi="ar-SA"/>
        </w:rPr>
        <w:t>各指标业绩值和绩效分值如表</w:t>
      </w:r>
      <w:r>
        <w:rPr>
          <w:rFonts w:hint="eastAsia" w:ascii="宋体" w:hAnsi="宋体" w:eastAsia="宋体" w:cs="宋体"/>
          <w:b w:val="0"/>
          <w:bCs w:val="0"/>
          <w:color w:val="auto"/>
          <w:kern w:val="2"/>
          <w:sz w:val="28"/>
          <w:szCs w:val="28"/>
          <w:highlight w:val="none"/>
          <w:lang w:val="en-US" w:eastAsia="zh-CN" w:bidi="ar-SA"/>
        </w:rPr>
        <w:t>4</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3</w:t>
      </w:r>
      <w:r>
        <w:rPr>
          <w:rFonts w:hint="eastAsia" w:ascii="宋体" w:hAnsi="宋体" w:eastAsia="宋体" w:cs="宋体"/>
          <w:b w:val="0"/>
          <w:bCs w:val="0"/>
          <w:color w:val="auto"/>
          <w:kern w:val="2"/>
          <w:sz w:val="28"/>
          <w:szCs w:val="28"/>
          <w:highlight w:val="none"/>
          <w:lang w:val="zh-TW" w:eastAsia="zh-TW" w:bidi="ar-SA"/>
        </w:rPr>
        <w:t>所示</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详见上传的附件</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zh-TW" w:eastAsia="zh-TW" w:bidi="ar-SA"/>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default"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r>
        <w:rPr>
          <w:rFonts w:hint="eastAsia" w:cs="宋体"/>
          <w:b/>
          <w:bCs/>
          <w:color w:val="auto"/>
          <w:kern w:val="0"/>
          <w:sz w:val="28"/>
          <w:szCs w:val="28"/>
          <w:highlight w:val="none"/>
          <w:shd w:val="clear" w:color="auto" w:fill="auto"/>
          <w:lang w:val="en-US" w:eastAsia="zh-CN"/>
        </w:rPr>
        <w:t>3</w:t>
      </w:r>
    </w:p>
    <w:tbl>
      <w:tblPr>
        <w:tblStyle w:val="11"/>
        <w:tblW w:w="81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34"/>
        <w:gridCol w:w="928"/>
        <w:gridCol w:w="2591"/>
        <w:gridCol w:w="1490"/>
        <w:gridCol w:w="558"/>
        <w:gridCol w:w="1365"/>
        <w:gridCol w:w="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40" w:hRule="atLeast"/>
        </w:trPr>
        <w:tc>
          <w:tcPr>
            <w:tcW w:w="63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59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90"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91" w:hRule="atLeast"/>
        </w:trPr>
        <w:tc>
          <w:tcPr>
            <w:tcW w:w="634" w:type="dxa"/>
            <w:vMerge w:val="restart"/>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产出指标</w:t>
            </w:r>
          </w:p>
        </w:tc>
        <w:tc>
          <w:tcPr>
            <w:tcW w:w="928" w:type="dxa"/>
            <w:vMerge w:val="restart"/>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59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农村学前三年适龄幼儿人数</w:t>
            </w:r>
          </w:p>
        </w:tc>
        <w:tc>
          <w:tcPr>
            <w:tcW w:w="1490" w:type="dxa"/>
            <w:shd w:val="clear" w:color="auto" w:fill="auto"/>
            <w:tcMar>
              <w:top w:w="15" w:type="dxa"/>
              <w:left w:w="15" w:type="dxa"/>
              <w:right w:w="15" w:type="dxa"/>
            </w:tcMar>
            <w:vAlign w:val="center"/>
          </w:tcPr>
          <w:p>
            <w:pPr>
              <w:keepNext w:val="0"/>
              <w:keepLines w:val="0"/>
              <w:widowControl/>
              <w:suppressLineNumbers w:val="0"/>
              <w:spacing w:line="240" w:lineRule="auto"/>
              <w:ind w:firstLine="400" w:firstLineChars="200"/>
              <w:jc w:val="center"/>
              <w:textAlignment w:val="center"/>
              <w:rPr>
                <w:rFonts w:hint="eastAsia" w:cs="宋体"/>
                <w:i w:val="0"/>
                <w:iCs w:val="0"/>
                <w:color w:val="auto"/>
                <w:kern w:val="0"/>
                <w:sz w:val="20"/>
                <w:szCs w:val="20"/>
                <w:highlight w:val="none"/>
                <w:u w:val="none"/>
                <w:lang w:val="en-US" w:eastAsia="zh-CN" w:bidi="ar"/>
              </w:rPr>
            </w:pPr>
          </w:p>
          <w:p>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=196</w:t>
            </w:r>
            <w:r>
              <w:rPr>
                <w:rFonts w:hint="eastAsia" w:ascii="宋体" w:hAnsi="宋体" w:eastAsia="宋体" w:cs="宋体"/>
                <w:i w:val="0"/>
                <w:iCs w:val="0"/>
                <w:color w:val="auto"/>
                <w:kern w:val="0"/>
                <w:sz w:val="20"/>
                <w:szCs w:val="20"/>
                <w:highlight w:val="none"/>
                <w:u w:val="none"/>
                <w:lang w:val="en-US" w:eastAsia="zh-CN" w:bidi="ar"/>
              </w:rPr>
              <w:t>人</w:t>
            </w:r>
          </w:p>
        </w:tc>
        <w:tc>
          <w:tcPr>
            <w:tcW w:w="558"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196</w:t>
            </w:r>
            <w:r>
              <w:rPr>
                <w:rFonts w:hint="eastAsia" w:ascii="宋体" w:hAnsi="宋体" w:eastAsia="宋体" w:cs="宋体"/>
                <w:i w:val="0"/>
                <w:iCs w:val="0"/>
                <w:color w:val="auto"/>
                <w:kern w:val="0"/>
                <w:sz w:val="20"/>
                <w:szCs w:val="20"/>
                <w:highlight w:val="none"/>
                <w:u w:val="none"/>
                <w:lang w:val="en-US" w:eastAsia="zh-CN" w:bidi="ar"/>
              </w:rPr>
              <w:t>人</w:t>
            </w:r>
          </w:p>
        </w:tc>
        <w:tc>
          <w:tcPr>
            <w:tcW w:w="63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72"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开展教育教学活动次数</w:t>
            </w:r>
          </w:p>
        </w:tc>
        <w:tc>
          <w:tcPr>
            <w:tcW w:w="1490" w:type="dxa"/>
            <w:shd w:val="clear" w:color="auto" w:fill="auto"/>
            <w:tcMar>
              <w:top w:w="15" w:type="dxa"/>
              <w:left w:w="15" w:type="dxa"/>
              <w:right w:w="15" w:type="dxa"/>
            </w:tcMar>
            <w:vAlign w:val="center"/>
          </w:tcPr>
          <w:p>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≧600次</w:t>
            </w:r>
          </w:p>
        </w:tc>
        <w:tc>
          <w:tcPr>
            <w:tcW w:w="558"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600</w:t>
            </w:r>
            <w:r>
              <w:rPr>
                <w:rFonts w:hint="eastAsia" w:ascii="宋体" w:hAnsi="宋体" w:eastAsia="宋体" w:cs="宋体"/>
                <w:i w:val="0"/>
                <w:iCs w:val="0"/>
                <w:color w:val="auto"/>
                <w:kern w:val="0"/>
                <w:sz w:val="20"/>
                <w:szCs w:val="20"/>
                <w:highlight w:val="none"/>
                <w:u w:val="none"/>
                <w:lang w:val="en-US" w:eastAsia="zh-CN" w:bidi="ar"/>
              </w:rPr>
              <w:t>次</w:t>
            </w:r>
          </w:p>
        </w:tc>
        <w:tc>
          <w:tcPr>
            <w:tcW w:w="63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32"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设施设备维护次数</w:t>
            </w:r>
          </w:p>
        </w:tc>
        <w:tc>
          <w:tcPr>
            <w:tcW w:w="1490" w:type="dxa"/>
            <w:shd w:val="clear" w:color="auto" w:fill="auto"/>
            <w:tcMar>
              <w:top w:w="15" w:type="dxa"/>
              <w:left w:w="15" w:type="dxa"/>
              <w:right w:w="15" w:type="dxa"/>
            </w:tcMar>
            <w:vAlign w:val="center"/>
          </w:tcPr>
          <w:p>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≧20次</w:t>
            </w:r>
          </w:p>
        </w:tc>
        <w:tc>
          <w:tcPr>
            <w:tcW w:w="558"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20</w:t>
            </w:r>
            <w:r>
              <w:rPr>
                <w:rFonts w:hint="eastAsia" w:ascii="宋体" w:hAnsi="宋体" w:eastAsia="宋体" w:cs="宋体"/>
                <w:i w:val="0"/>
                <w:iCs w:val="0"/>
                <w:color w:val="auto"/>
                <w:kern w:val="0"/>
                <w:sz w:val="20"/>
                <w:szCs w:val="20"/>
                <w:highlight w:val="none"/>
                <w:u w:val="none"/>
                <w:lang w:val="en-US" w:eastAsia="zh-CN" w:bidi="ar"/>
              </w:rPr>
              <w:t>次</w:t>
            </w:r>
          </w:p>
        </w:tc>
        <w:tc>
          <w:tcPr>
            <w:tcW w:w="63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59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完成年度教育教学活动工作达标率</w:t>
            </w:r>
          </w:p>
        </w:tc>
        <w:tc>
          <w:tcPr>
            <w:tcW w:w="1490"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70</w:t>
            </w:r>
            <w:r>
              <w:rPr>
                <w:rFonts w:hint="eastAsia" w:ascii="宋体" w:hAnsi="宋体" w:eastAsia="宋体" w:cs="宋体"/>
                <w:color w:val="auto"/>
                <w:kern w:val="0"/>
                <w:sz w:val="20"/>
                <w:szCs w:val="20"/>
                <w:highlight w:val="none"/>
                <w:shd w:val="clear" w:color="auto" w:fill="auto"/>
                <w:lang w:val="en-US" w:eastAsia="zh-CN"/>
              </w:rPr>
              <w:t>%</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59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教育教学活动工作开展时间</w:t>
            </w:r>
          </w:p>
        </w:tc>
        <w:tc>
          <w:tcPr>
            <w:tcW w:w="1490"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2023-12-31前</w:t>
            </w:r>
          </w:p>
        </w:tc>
        <w:tc>
          <w:tcPr>
            <w:tcW w:w="558"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2023-</w:t>
            </w:r>
            <w:r>
              <w:rPr>
                <w:rFonts w:hint="eastAsia" w:cs="宋体"/>
                <w:i w:val="0"/>
                <w:iCs w:val="0"/>
                <w:color w:val="auto"/>
                <w:kern w:val="0"/>
                <w:sz w:val="20"/>
                <w:szCs w:val="20"/>
                <w:highlight w:val="none"/>
                <w:u w:val="none"/>
                <w:lang w:val="en-US" w:eastAsia="zh-CN" w:bidi="ar"/>
              </w:rPr>
              <w:t>12</w:t>
            </w:r>
            <w:r>
              <w:rPr>
                <w:rFonts w:hint="eastAsia" w:ascii="宋体" w:hAnsi="宋体" w:eastAsia="宋体" w:cs="宋体"/>
                <w:i w:val="0"/>
                <w:iCs w:val="0"/>
                <w:color w:val="auto"/>
                <w:kern w:val="0"/>
                <w:sz w:val="20"/>
                <w:szCs w:val="20"/>
                <w:highlight w:val="none"/>
                <w:u w:val="none"/>
                <w:lang w:val="en-US" w:eastAsia="zh-CN" w:bidi="ar"/>
              </w:rPr>
              <w:t>-31</w:t>
            </w:r>
          </w:p>
        </w:tc>
        <w:tc>
          <w:tcPr>
            <w:tcW w:w="63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教育教学活动工作开展及时率</w:t>
            </w:r>
          </w:p>
        </w:tc>
        <w:tc>
          <w:tcPr>
            <w:tcW w:w="1490" w:type="dxa"/>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=100%</w:t>
            </w:r>
          </w:p>
        </w:tc>
        <w:tc>
          <w:tcPr>
            <w:tcW w:w="558"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100</w:t>
            </w:r>
            <w:r>
              <w:rPr>
                <w:rFonts w:hint="eastAsia" w:ascii="宋体" w:hAnsi="宋体" w:eastAsia="宋体" w:cs="宋体"/>
                <w:i w:val="0"/>
                <w:iCs w:val="0"/>
                <w:color w:val="auto"/>
                <w:kern w:val="0"/>
                <w:sz w:val="20"/>
                <w:szCs w:val="20"/>
                <w:highlight w:val="none"/>
                <w:u w:val="none"/>
                <w:lang w:val="en-US" w:eastAsia="zh-CN" w:bidi="ar"/>
              </w:rPr>
              <w:t>%</w:t>
            </w:r>
          </w:p>
        </w:tc>
        <w:tc>
          <w:tcPr>
            <w:tcW w:w="63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34" w:type="dxa"/>
            <w:vMerge w:val="restart"/>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成本指标</w:t>
            </w:r>
          </w:p>
        </w:tc>
        <w:tc>
          <w:tcPr>
            <w:tcW w:w="928" w:type="dxa"/>
            <w:vMerge w:val="restart"/>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经济成本</w:t>
            </w:r>
          </w:p>
        </w:tc>
        <w:tc>
          <w:tcPr>
            <w:tcW w:w="259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保障教育教学活动开展的办公费</w:t>
            </w:r>
          </w:p>
        </w:tc>
        <w:tc>
          <w:tcPr>
            <w:tcW w:w="1490"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≤11.88万元</w:t>
            </w:r>
          </w:p>
        </w:tc>
        <w:tc>
          <w:tcPr>
            <w:tcW w:w="558"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11.88万元</w:t>
            </w:r>
          </w:p>
        </w:tc>
        <w:tc>
          <w:tcPr>
            <w:tcW w:w="63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保障教育教学活动开展的印刷费</w:t>
            </w:r>
          </w:p>
        </w:tc>
        <w:tc>
          <w:tcPr>
            <w:tcW w:w="1490" w:type="dxa"/>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≧3000元</w:t>
            </w:r>
          </w:p>
        </w:tc>
        <w:tc>
          <w:tcPr>
            <w:tcW w:w="558"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3000元</w:t>
            </w:r>
          </w:p>
        </w:tc>
        <w:tc>
          <w:tcPr>
            <w:tcW w:w="63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保障教育教学活动开展的邮电费</w:t>
            </w:r>
          </w:p>
        </w:tc>
        <w:tc>
          <w:tcPr>
            <w:tcW w:w="1490" w:type="dxa"/>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≤2.05万元</w:t>
            </w:r>
          </w:p>
        </w:tc>
        <w:tc>
          <w:tcPr>
            <w:tcW w:w="558"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2.05万元</w:t>
            </w:r>
          </w:p>
        </w:tc>
        <w:tc>
          <w:tcPr>
            <w:tcW w:w="63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保障教育教学活动开展的电费</w:t>
            </w:r>
          </w:p>
        </w:tc>
        <w:tc>
          <w:tcPr>
            <w:tcW w:w="1490" w:type="dxa"/>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≤2.41万元</w:t>
            </w:r>
          </w:p>
        </w:tc>
        <w:tc>
          <w:tcPr>
            <w:tcW w:w="558"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2.41万元</w:t>
            </w:r>
          </w:p>
        </w:tc>
        <w:tc>
          <w:tcPr>
            <w:tcW w:w="63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保障教育教学活动开展的维护费</w:t>
            </w:r>
          </w:p>
        </w:tc>
        <w:tc>
          <w:tcPr>
            <w:tcW w:w="1490" w:type="dxa"/>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w:t>
            </w:r>
            <w:r>
              <w:rPr>
                <w:rFonts w:hint="eastAsia" w:cs="宋体"/>
                <w:i w:val="0"/>
                <w:color w:val="auto"/>
                <w:kern w:val="0"/>
                <w:sz w:val="20"/>
                <w:szCs w:val="20"/>
                <w:highlight w:val="none"/>
                <w:u w:val="none"/>
                <w:lang w:val="en-US" w:eastAsia="zh-CN" w:bidi="ar"/>
              </w:rPr>
              <w:t>1.82</w:t>
            </w:r>
            <w:r>
              <w:rPr>
                <w:rFonts w:hint="eastAsia" w:ascii="宋体" w:hAnsi="宋体" w:eastAsia="宋体" w:cs="宋体"/>
                <w:i w:val="0"/>
                <w:color w:val="auto"/>
                <w:kern w:val="0"/>
                <w:sz w:val="20"/>
                <w:szCs w:val="20"/>
                <w:highlight w:val="none"/>
                <w:u w:val="none"/>
                <w:lang w:val="en-US" w:eastAsia="zh-CN" w:bidi="ar"/>
              </w:rPr>
              <w:t>万元</w:t>
            </w:r>
          </w:p>
        </w:tc>
        <w:tc>
          <w:tcPr>
            <w:tcW w:w="558"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1.82万元</w:t>
            </w:r>
          </w:p>
        </w:tc>
        <w:tc>
          <w:tcPr>
            <w:tcW w:w="631" w:type="dxa"/>
            <w:shd w:val="clear" w:color="auto" w:fill="auto"/>
            <w:tcMar>
              <w:top w:w="15" w:type="dxa"/>
              <w:left w:w="15" w:type="dxa"/>
              <w:right w:w="15" w:type="dxa"/>
            </w:tcMar>
            <w:vAlign w:val="center"/>
          </w:tcPr>
          <w:p>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trPr>
        <w:tc>
          <w:tcPr>
            <w:tcW w:w="5643" w:type="dxa"/>
            <w:gridSpan w:val="4"/>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bCs/>
          <w:color w:val="auto"/>
          <w:kern w:val="2"/>
          <w:sz w:val="28"/>
          <w:szCs w:val="28"/>
          <w:highlight w:val="none"/>
          <w:lang w:val="en-US" w:eastAsia="zh-CN" w:bidi="ar-SA"/>
        </w:rPr>
      </w:pPr>
      <w:bookmarkStart w:id="70" w:name="_Toc11067"/>
      <w:r>
        <w:rPr>
          <w:rFonts w:hint="eastAsia" w:ascii="宋体" w:hAnsi="宋体" w:eastAsia="宋体" w:cs="宋体"/>
          <w:b/>
          <w:bCs/>
          <w:color w:val="auto"/>
          <w:kern w:val="2"/>
          <w:sz w:val="28"/>
          <w:szCs w:val="28"/>
          <w:highlight w:val="none"/>
          <w:lang w:val="en-US" w:eastAsia="zh-CN" w:bidi="ar-SA"/>
        </w:rPr>
        <w:t>1.项目完成数量</w:t>
      </w:r>
      <w:bookmarkEnd w:id="70"/>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“农村学前三年适龄幼儿人数”指标，预期目标值为=196人，实际完成为196人 。实际完成率=（196人</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196人）</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100%=100%。</w:t>
      </w:r>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val="0"/>
          <w:bCs w:val="0"/>
          <w:color w:val="auto"/>
          <w:kern w:val="2"/>
          <w:sz w:val="28"/>
          <w:szCs w:val="28"/>
          <w:highlight w:val="none"/>
          <w:lang w:val="en-US" w:eastAsia="zh-CN" w:bidi="ar-SA"/>
        </w:rPr>
        <w:t xml:space="preserve"> </w:t>
      </w:r>
      <w:r>
        <w:rPr>
          <w:rFonts w:hint="eastAsia" w:ascii="宋体" w:hAnsi="宋体" w:eastAsia="宋体" w:cs="宋体"/>
          <w:b/>
          <w:bCs/>
          <w:color w:val="auto"/>
          <w:kern w:val="2"/>
          <w:sz w:val="28"/>
          <w:szCs w:val="28"/>
          <w:highlight w:val="none"/>
          <w:lang w:val="en-US" w:eastAsia="zh-CN" w:bidi="ar-SA"/>
        </w:rPr>
        <w:t>综上，该项指标满分3分，得分3分。</w:t>
      </w:r>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“开展教育教学活动次数”指标，预期目标值为≧600次，实际完成为600次。 实际完成率100%。 </w:t>
      </w:r>
    </w:p>
    <w:p>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综上，该项指标满分3分，得分3分。</w:t>
      </w:r>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“设施设备维护次数”指标，预期目标值为≧20次，实际完成为20次。实际完成率100%。</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综上，该项指标满分2分，得分2分。</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bookmarkStart w:id="71" w:name="_Toc31739"/>
      <w:r>
        <w:rPr>
          <w:rFonts w:hint="eastAsia" w:ascii="宋体" w:hAnsi="宋体" w:eastAsia="宋体" w:cs="宋体"/>
          <w:b/>
          <w:bCs/>
          <w:color w:val="auto"/>
          <w:kern w:val="2"/>
          <w:sz w:val="28"/>
          <w:szCs w:val="28"/>
          <w:highlight w:val="none"/>
          <w:lang w:val="en-US" w:eastAsia="zh-CN" w:bidi="ar-SA"/>
        </w:rPr>
        <w:t>2.项目完成质量</w:t>
      </w:r>
      <w:bookmarkEnd w:id="71"/>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“完成年度教育教学活动工作达标率”指标，预期目标值为=100%，实际完成为70%。</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综上，该项指标满分2分，得分2分。</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bookmarkStart w:id="72" w:name="_Toc18307"/>
      <w:r>
        <w:rPr>
          <w:rFonts w:hint="eastAsia" w:ascii="宋体" w:hAnsi="宋体" w:eastAsia="宋体" w:cs="宋体"/>
          <w:b/>
          <w:bCs/>
          <w:color w:val="auto"/>
          <w:kern w:val="2"/>
          <w:sz w:val="28"/>
          <w:szCs w:val="28"/>
          <w:highlight w:val="none"/>
          <w:lang w:val="en-US" w:eastAsia="zh-CN" w:bidi="ar-SA"/>
        </w:rPr>
        <w:t>3.项目完成时效</w:t>
      </w:r>
      <w:bookmarkEnd w:id="72"/>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“教育教学活动工作开展时间” 指标，预期目标值为2023-12-31前，实际完成为2023-12-31，实际完成率100%。</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综上，该项指标满分2分，得分2分。</w:t>
      </w:r>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“教育教学活动工作开展及时率”指标，预期目标值为=100%，实际完成为100%。</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综上，该项指标满分2分，得分2分。</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4.项目完成成本</w:t>
      </w:r>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“保障教育教学活动开展的公用经费”指标，预期目标值为≤11.88万元，实际完成为11.88万元。实际完成率=（11.88万元/11.88万元）×100%=100%。</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综上，该项指标满分3分，得分3分</w:t>
      </w:r>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“保障教育教学活动开展的印刷费”指标，预期目标值为≧3000元，实际完成为3000元，实际完成率=（3000元/3000元）×100%=100%。</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综上，该项指标满分3分，得分3分</w:t>
      </w:r>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“保障教育教学活动开展的邮电费”指标，预期目标值为≤2.05万元万元，实际完成为2.05万元，实际完成率=（2.05万元/2.05万元）×100%=100%。</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综上，该项指标满分3分，得分3分。</w:t>
      </w:r>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“保障教育教学活动开展的电费”指标，预期目标值为≤2.41万元万元，实际完成为2.1万元，实际完成率=（2.41万元/2.41万元）×100%=100%。</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综上，该项指标满分3分，得分3分。</w:t>
      </w:r>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“保障教育教学活动开展的维护费”指标，预期目标值为≤1.82万元万元，实际完成为1.82万元，实际完成率=（1.82万元/1.82万元）×100%=100%。</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综上，该项指标满分3分，得分3分。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b/>
          <w:bCs/>
          <w:color w:val="auto"/>
          <w:kern w:val="2"/>
          <w:sz w:val="28"/>
          <w:szCs w:val="28"/>
          <w:highlight w:val="none"/>
          <w:lang w:val="en-US" w:eastAsia="zh-CN" w:bidi="ar-SA"/>
        </w:rPr>
      </w:pPr>
      <w:bookmarkStart w:id="73" w:name="_Toc18446"/>
      <w:r>
        <w:rPr>
          <w:rFonts w:hint="eastAsia" w:ascii="宋体" w:hAnsi="宋体" w:eastAsia="宋体" w:cs="宋体"/>
          <w:b/>
          <w:bCs/>
          <w:color w:val="auto"/>
          <w:kern w:val="2"/>
          <w:sz w:val="28"/>
          <w:szCs w:val="28"/>
          <w:highlight w:val="none"/>
          <w:lang w:val="en-US" w:eastAsia="zh-CN" w:bidi="ar-SA"/>
        </w:rPr>
        <w:t>（四）项目效益情况</w:t>
      </w:r>
      <w:bookmarkEnd w:id="73"/>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zh-TW" w:eastAsia="zh-TW" w:bidi="ar-SA"/>
        </w:rPr>
      </w:pPr>
      <w:r>
        <w:rPr>
          <w:rFonts w:hint="eastAsia" w:ascii="宋体" w:hAnsi="宋体" w:eastAsia="宋体" w:cs="宋体"/>
          <w:b w:val="0"/>
          <w:bCs w:val="0"/>
          <w:color w:val="auto"/>
          <w:kern w:val="2"/>
          <w:sz w:val="28"/>
          <w:szCs w:val="28"/>
          <w:highlight w:val="none"/>
          <w:lang w:val="zh-TW" w:eastAsia="zh-TW" w:bidi="ar-SA"/>
        </w:rPr>
        <w:t>项目</w:t>
      </w:r>
      <w:r>
        <w:rPr>
          <w:rFonts w:hint="eastAsia" w:ascii="宋体" w:hAnsi="宋体" w:eastAsia="宋体" w:cs="宋体"/>
          <w:b w:val="0"/>
          <w:bCs w:val="0"/>
          <w:color w:val="auto"/>
          <w:kern w:val="2"/>
          <w:sz w:val="28"/>
          <w:szCs w:val="28"/>
          <w:highlight w:val="none"/>
          <w:lang w:val="en-US" w:eastAsia="zh-CN" w:bidi="ar-SA"/>
        </w:rPr>
        <w:t>产出</w:t>
      </w:r>
      <w:r>
        <w:rPr>
          <w:rFonts w:hint="eastAsia" w:ascii="宋体" w:hAnsi="宋体" w:eastAsia="宋体" w:cs="宋体"/>
          <w:b w:val="0"/>
          <w:bCs w:val="0"/>
          <w:color w:val="auto"/>
          <w:kern w:val="2"/>
          <w:sz w:val="28"/>
          <w:szCs w:val="28"/>
          <w:highlight w:val="none"/>
          <w:lang w:val="zh-TW" w:eastAsia="zh-TW" w:bidi="ar-SA"/>
        </w:rPr>
        <w:t>类指标由</w:t>
      </w:r>
      <w:r>
        <w:rPr>
          <w:rFonts w:hint="eastAsia" w:ascii="宋体" w:hAnsi="宋体" w:eastAsia="宋体" w:cs="宋体"/>
          <w:b w:val="0"/>
          <w:bCs w:val="0"/>
          <w:color w:val="auto"/>
          <w:kern w:val="2"/>
          <w:sz w:val="28"/>
          <w:szCs w:val="28"/>
          <w:highlight w:val="none"/>
          <w:lang w:val="en-US" w:eastAsia="zh-CN" w:bidi="ar-SA"/>
        </w:rPr>
        <w:t>3</w:t>
      </w:r>
      <w:r>
        <w:rPr>
          <w:rFonts w:hint="eastAsia" w:ascii="宋体" w:hAnsi="宋体" w:eastAsia="宋体" w:cs="宋体"/>
          <w:b w:val="0"/>
          <w:bCs w:val="0"/>
          <w:color w:val="auto"/>
          <w:kern w:val="2"/>
          <w:sz w:val="28"/>
          <w:szCs w:val="28"/>
          <w:highlight w:val="none"/>
          <w:lang w:val="zh-TW" w:eastAsia="zh-TW" w:bidi="ar-SA"/>
        </w:rPr>
        <w:t>个</w:t>
      </w:r>
      <w:r>
        <w:rPr>
          <w:rFonts w:hint="eastAsia" w:ascii="宋体" w:hAnsi="宋体" w:eastAsia="宋体" w:cs="宋体"/>
          <w:b w:val="0"/>
          <w:bCs w:val="0"/>
          <w:color w:val="auto"/>
          <w:kern w:val="2"/>
          <w:sz w:val="28"/>
          <w:szCs w:val="28"/>
          <w:highlight w:val="none"/>
          <w:lang w:val="zh-TW" w:eastAsia="zh-CN" w:bidi="ar-SA"/>
        </w:rPr>
        <w:t>二</w:t>
      </w:r>
      <w:r>
        <w:rPr>
          <w:rFonts w:hint="eastAsia" w:ascii="宋体" w:hAnsi="宋体" w:eastAsia="宋体" w:cs="宋体"/>
          <w:b w:val="0"/>
          <w:bCs w:val="0"/>
          <w:color w:val="auto"/>
          <w:kern w:val="2"/>
          <w:sz w:val="28"/>
          <w:szCs w:val="28"/>
          <w:highlight w:val="none"/>
          <w:lang w:val="zh-TW" w:eastAsia="zh-TW" w:bidi="ar-SA"/>
        </w:rPr>
        <w:t>级指标和</w:t>
      </w:r>
      <w:r>
        <w:rPr>
          <w:rFonts w:hint="eastAsia" w:ascii="宋体" w:hAnsi="宋体" w:eastAsia="宋体" w:cs="宋体"/>
          <w:b w:val="0"/>
          <w:bCs w:val="0"/>
          <w:color w:val="auto"/>
          <w:kern w:val="2"/>
          <w:sz w:val="28"/>
          <w:szCs w:val="28"/>
          <w:highlight w:val="none"/>
          <w:lang w:val="en-US" w:eastAsia="zh-CN" w:bidi="ar-SA"/>
        </w:rPr>
        <w:t>3</w:t>
      </w:r>
      <w:r>
        <w:rPr>
          <w:rFonts w:hint="eastAsia" w:ascii="宋体" w:hAnsi="宋体" w:eastAsia="宋体" w:cs="宋体"/>
          <w:b w:val="0"/>
          <w:bCs w:val="0"/>
          <w:color w:val="auto"/>
          <w:kern w:val="2"/>
          <w:sz w:val="28"/>
          <w:szCs w:val="28"/>
          <w:highlight w:val="none"/>
          <w:lang w:val="zh-TW" w:eastAsia="zh-TW" w:bidi="ar-SA"/>
        </w:rPr>
        <w:t>个</w:t>
      </w:r>
      <w:r>
        <w:rPr>
          <w:rFonts w:hint="eastAsia" w:ascii="宋体" w:hAnsi="宋体" w:eastAsia="宋体" w:cs="宋体"/>
          <w:b w:val="0"/>
          <w:bCs w:val="0"/>
          <w:color w:val="auto"/>
          <w:kern w:val="2"/>
          <w:sz w:val="28"/>
          <w:szCs w:val="28"/>
          <w:highlight w:val="none"/>
          <w:lang w:val="en-US" w:eastAsia="zh-CN" w:bidi="ar-SA"/>
        </w:rPr>
        <w:t>三</w:t>
      </w:r>
      <w:r>
        <w:rPr>
          <w:rFonts w:hint="eastAsia" w:ascii="宋体" w:hAnsi="宋体" w:eastAsia="宋体" w:cs="宋体"/>
          <w:b w:val="0"/>
          <w:bCs w:val="0"/>
          <w:color w:val="auto"/>
          <w:kern w:val="2"/>
          <w:sz w:val="28"/>
          <w:szCs w:val="28"/>
          <w:highlight w:val="none"/>
          <w:lang w:val="zh-TW" w:eastAsia="zh-TW" w:bidi="ar-SA"/>
        </w:rPr>
        <w:t>级指标构成，权重分</w:t>
      </w:r>
      <w:r>
        <w:rPr>
          <w:rFonts w:hint="eastAsia" w:ascii="宋体" w:hAnsi="宋体" w:eastAsia="宋体" w:cs="宋体"/>
          <w:b w:val="0"/>
          <w:bCs w:val="0"/>
          <w:color w:val="auto"/>
          <w:kern w:val="2"/>
          <w:sz w:val="28"/>
          <w:szCs w:val="28"/>
          <w:highlight w:val="none"/>
          <w:lang w:val="en-US" w:eastAsia="zh-CN" w:bidi="ar-SA"/>
        </w:rPr>
        <w:t>30</w:t>
      </w:r>
      <w:r>
        <w:rPr>
          <w:rFonts w:hint="eastAsia" w:ascii="宋体" w:hAnsi="宋体" w:eastAsia="宋体" w:cs="宋体"/>
          <w:b w:val="0"/>
          <w:bCs w:val="0"/>
          <w:color w:val="auto"/>
          <w:kern w:val="2"/>
          <w:sz w:val="28"/>
          <w:szCs w:val="28"/>
          <w:highlight w:val="none"/>
          <w:lang w:val="zh-TW" w:eastAsia="zh-TW" w:bidi="ar-SA"/>
        </w:rPr>
        <w:t>分，实际得分</w:t>
      </w:r>
      <w:r>
        <w:rPr>
          <w:rFonts w:hint="eastAsia" w:ascii="宋体" w:hAnsi="宋体" w:eastAsia="宋体" w:cs="宋体"/>
          <w:b w:val="0"/>
          <w:bCs w:val="0"/>
          <w:color w:val="auto"/>
          <w:kern w:val="2"/>
          <w:sz w:val="28"/>
          <w:szCs w:val="28"/>
          <w:highlight w:val="none"/>
          <w:lang w:val="en-US" w:eastAsia="zh-CN" w:bidi="ar-SA"/>
        </w:rPr>
        <w:t>30</w:t>
      </w:r>
      <w:r>
        <w:rPr>
          <w:rFonts w:hint="eastAsia" w:ascii="宋体" w:hAnsi="宋体" w:eastAsia="宋体" w:cs="宋体"/>
          <w:b w:val="0"/>
          <w:bCs w:val="0"/>
          <w:color w:val="auto"/>
          <w:kern w:val="2"/>
          <w:sz w:val="28"/>
          <w:szCs w:val="28"/>
          <w:highlight w:val="none"/>
          <w:lang w:val="zh-TW" w:eastAsia="zh-TW" w:bidi="ar-SA"/>
        </w:rPr>
        <w:t>分</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zh-TW" w:eastAsia="zh-TW" w:bidi="ar-SA"/>
        </w:rPr>
        <w:t>各指标业绩值和绩效分值如表</w:t>
      </w:r>
      <w:r>
        <w:rPr>
          <w:rFonts w:hint="eastAsia" w:ascii="宋体" w:hAnsi="宋体" w:eastAsia="宋体" w:cs="宋体"/>
          <w:b w:val="0"/>
          <w:bCs w:val="0"/>
          <w:color w:val="auto"/>
          <w:kern w:val="2"/>
          <w:sz w:val="28"/>
          <w:szCs w:val="28"/>
          <w:highlight w:val="none"/>
          <w:lang w:val="en-US" w:eastAsia="zh-CN" w:bidi="ar-SA"/>
        </w:rPr>
        <w:t>4-4</w:t>
      </w:r>
      <w:r>
        <w:rPr>
          <w:rFonts w:hint="eastAsia" w:ascii="宋体" w:hAnsi="宋体" w:eastAsia="宋体" w:cs="宋体"/>
          <w:b w:val="0"/>
          <w:bCs w:val="0"/>
          <w:color w:val="auto"/>
          <w:kern w:val="2"/>
          <w:sz w:val="28"/>
          <w:szCs w:val="28"/>
          <w:highlight w:val="none"/>
          <w:lang w:val="zh-TW" w:eastAsia="zh-TW" w:bidi="ar-SA"/>
        </w:rPr>
        <w:t>所示</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详见上传的附件</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zh-TW" w:eastAsia="zh-TW" w:bidi="ar-SA"/>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pPr w:leftFromText="180" w:rightFromText="180" w:vertAnchor="text" w:horzAnchor="page" w:tblpX="1851" w:tblpY="211"/>
        <w:tblOverlap w:val="never"/>
        <w:tblW w:w="8372" w:type="dxa"/>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CellMar>
            <w:top w:w="0" w:type="dxa"/>
            <w:left w:w="0" w:type="dxa"/>
            <w:bottom w:w="0" w:type="dxa"/>
            <w:right w:w="0" w:type="dxa"/>
          </w:tblCellMar>
        </w:tblPrEx>
        <w:trPr>
          <w:trHeight w:val="481" w:hRule="atLeast"/>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shd w:val="clear" w:color="auto" w:fill="auto"/>
          <w:tblCellMar>
            <w:top w:w="0" w:type="dxa"/>
            <w:left w:w="0" w:type="dxa"/>
            <w:bottom w:w="0" w:type="dxa"/>
            <w:right w:w="0" w:type="dxa"/>
          </w:tblCellMar>
        </w:tblPrEx>
        <w:trPr>
          <w:trHeight w:val="541" w:hRule="atLeast"/>
        </w:trPr>
        <w:tc>
          <w:tcPr>
            <w:tcW w:w="6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保障幼儿园各项工作平稳进行</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both"/>
              <w:textAlignment w:val="center"/>
              <w:rPr>
                <w:rFonts w:hint="default" w:ascii="宋体" w:hAnsi="宋体" w:eastAsia="宋体" w:cs="宋体"/>
                <w:color w:val="auto"/>
                <w:kern w:val="0"/>
                <w:sz w:val="20"/>
                <w:szCs w:val="20"/>
                <w:highlight w:val="none"/>
                <w:shd w:val="clear" w:color="auto" w:fill="auto"/>
                <w:lang w:val="en-US" w:eastAsia="zh-CN" w:bidi="ar-SA"/>
              </w:rPr>
            </w:pPr>
            <w:r>
              <w:rPr>
                <w:rFonts w:hint="eastAsia" w:cs="宋体"/>
                <w:i w:val="0"/>
                <w:iCs w:val="0"/>
                <w:color w:val="auto"/>
                <w:kern w:val="0"/>
                <w:sz w:val="20"/>
                <w:szCs w:val="20"/>
                <w:highlight w:val="none"/>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612" w:hRule="atLeast"/>
        </w:trPr>
        <w:tc>
          <w:tcPr>
            <w:tcW w:w="6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校园环境和条件进一步改善</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both"/>
              <w:textAlignment w:val="center"/>
              <w:rPr>
                <w:rFonts w:hint="default" w:ascii="宋体" w:hAnsi="宋体" w:eastAsia="宋体" w:cs="宋体"/>
                <w:color w:val="auto"/>
                <w:kern w:val="0"/>
                <w:sz w:val="20"/>
                <w:szCs w:val="20"/>
                <w:highlight w:val="none"/>
                <w:shd w:val="clear" w:color="auto" w:fill="auto"/>
                <w:lang w:val="en-US" w:eastAsia="zh-CN" w:bidi="ar-SA"/>
              </w:rPr>
            </w:pPr>
            <w:r>
              <w:rPr>
                <w:rFonts w:hint="eastAsia" w:cs="宋体"/>
                <w:i w:val="0"/>
                <w:iCs w:val="0"/>
                <w:color w:val="auto"/>
                <w:kern w:val="0"/>
                <w:sz w:val="20"/>
                <w:szCs w:val="20"/>
                <w:highlight w:val="none"/>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76" w:hRule="atLeast"/>
        </w:trPr>
        <w:tc>
          <w:tcPr>
            <w:tcW w:w="6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464" w:hRule="atLeast"/>
        </w:trPr>
        <w:tc>
          <w:tcPr>
            <w:tcW w:w="6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400" w:firstLineChars="20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400" w:firstLineChars="20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343" w:hRule="atLeast"/>
        </w:trPr>
        <w:tc>
          <w:tcPr>
            <w:tcW w:w="68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家长及教师满意度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both"/>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392" w:hRule="atLeast"/>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bookmarkStart w:id="74" w:name="_Toc8010"/>
      <w:r>
        <w:rPr>
          <w:rFonts w:hint="eastAsia" w:ascii="宋体" w:hAnsi="宋体" w:eastAsia="宋体" w:cs="宋体"/>
          <w:b/>
          <w:bCs/>
          <w:color w:val="auto"/>
          <w:kern w:val="2"/>
          <w:sz w:val="28"/>
          <w:szCs w:val="28"/>
          <w:highlight w:val="none"/>
          <w:lang w:val="en-US" w:eastAsia="zh-CN" w:bidi="ar-SA"/>
        </w:rPr>
        <w:t>1.经济效益指标</w:t>
      </w:r>
      <w:bookmarkEnd w:id="74"/>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“保障幼儿园各项工作平稳进行”指标，预期目标值为保障，实际完成为保障。实际完成率 100%；</w:t>
      </w:r>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通过项目的实施，幼儿园环境和条件得到进一步改善，幼儿园各项工作处于稳步推进。</w:t>
      </w:r>
    </w:p>
    <w:p>
      <w:pPr>
        <w:numPr>
          <w:ilvl w:val="0"/>
          <w:numId w:val="0"/>
        </w:numPr>
        <w:bidi w:val="0"/>
        <w:ind w:firstLine="562" w:firstLineChars="200"/>
        <w:rPr>
          <w:rFonts w:hint="eastAsia" w:ascii="仿宋_GB2312" w:eastAsia="仿宋_GB2312" w:cs="宋体"/>
          <w:b/>
          <w:bCs/>
          <w:color w:val="auto"/>
          <w:kern w:val="2"/>
          <w:sz w:val="32"/>
          <w:szCs w:val="32"/>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综上，该项指标满分10分，得分10分。</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bookmarkStart w:id="75" w:name="_Toc27006"/>
      <w:r>
        <w:rPr>
          <w:rFonts w:hint="eastAsia" w:ascii="宋体" w:hAnsi="宋体" w:eastAsia="宋体" w:cs="宋体"/>
          <w:b/>
          <w:bCs/>
          <w:color w:val="auto"/>
          <w:kern w:val="2"/>
          <w:sz w:val="28"/>
          <w:szCs w:val="28"/>
          <w:highlight w:val="none"/>
          <w:lang w:val="en-US" w:eastAsia="zh-CN" w:bidi="ar-SA"/>
        </w:rPr>
        <w:t>2.社会效益指标</w:t>
      </w:r>
      <w:bookmarkEnd w:id="75"/>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“校园环境和条件进一步改善”指标，预期目标值为改善，实际完成为改善。实际完成率 100%；</w:t>
      </w:r>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通过项目的实施，幼儿园环境和条件得到进一步改善，保障幼儿身心健康。 </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综上，该项指标满分10分，得分10分。</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3.生态效益指标</w:t>
      </w:r>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本项目不涉及生态效益指标 </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4.可持续影响指标</w:t>
      </w:r>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本项目不涉及可持续影响指标</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5.满意度指标</w:t>
      </w:r>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“家长及教师满意度”指标，预期目标值为≥90%，实际完成为90%。实际完成率为100%</w:t>
      </w:r>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综上，该项指标满分10分，得分10分。</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sz w:val="28"/>
          <w:szCs w:val="21"/>
          <w:highlight w:val="none"/>
          <w:shd w:val="clear" w:color="auto" w:fill="auto"/>
          <w:lang w:val="en-US" w:eastAsia="zh-CN"/>
        </w:rPr>
      </w:pPr>
      <w:bookmarkStart w:id="76" w:name="_Toc19962"/>
      <w:r>
        <w:rPr>
          <w:rFonts w:hint="eastAsia" w:ascii="宋体" w:hAnsi="宋体" w:eastAsia="宋体" w:cs="宋体"/>
          <w:b/>
          <w:bCs/>
          <w:color w:val="auto"/>
          <w:sz w:val="28"/>
          <w:szCs w:val="21"/>
          <w:highlight w:val="none"/>
          <w:shd w:val="clear" w:color="auto" w:fill="auto"/>
          <w:lang w:val="en-US" w:eastAsia="zh-CN"/>
        </w:rPr>
        <w:t>五、预算执行进度与指标偏差</w:t>
      </w:r>
      <w:bookmarkEnd w:id="76"/>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该项目预算资金总额为18.46万元，全年执行数为18.46万元，预算执行率为100%，总体完成率为100</w:t>
      </w:r>
      <w:r>
        <w:rPr>
          <w:rFonts w:hint="eastAsia" w:ascii="宋体" w:hAnsi="宋体" w:eastAsia="宋体" w:cs="宋体"/>
          <w:b w:val="0"/>
          <w:bCs w:val="0"/>
          <w:color w:val="auto"/>
          <w:kern w:val="2"/>
          <w:sz w:val="28"/>
          <w:szCs w:val="28"/>
          <w:highlight w:val="none"/>
          <w:lang w:val="zh-TW" w:eastAsia="zh-TW" w:bidi="ar-SA"/>
        </w:rPr>
        <w:t>%。</w:t>
      </w:r>
      <w:r>
        <w:rPr>
          <w:rFonts w:hint="eastAsia" w:ascii="宋体" w:hAnsi="宋体" w:eastAsia="宋体" w:cs="宋体"/>
          <w:b w:val="0"/>
          <w:bCs w:val="0"/>
          <w:color w:val="auto"/>
          <w:kern w:val="2"/>
          <w:sz w:val="28"/>
          <w:szCs w:val="28"/>
          <w:highlight w:val="none"/>
          <w:lang w:val="en-US" w:eastAsia="zh-CN" w:bidi="ar-SA"/>
        </w:rPr>
        <w:t>预算执行率与总体完成率之间的偏差值为0%，无偏差。</w:t>
      </w:r>
    </w:p>
    <w:p>
      <w:pPr>
        <w:pStyle w:val="2"/>
        <w:pageBreakBefore w:val="0"/>
        <w:kinsoku/>
        <w:wordWrap/>
        <w:overflowPunct/>
        <w:topLinePunct w:val="0"/>
        <w:autoSpaceDE/>
        <w:autoSpaceDN/>
        <w:bidi w:val="0"/>
        <w:adjustRightInd/>
        <w:spacing w:beforeLines="0" w:afterLines="0" w:line="360" w:lineRule="auto"/>
        <w:ind w:left="0" w:leftChars="0" w:firstLine="562" w:firstLineChars="200"/>
        <w:textAlignment w:val="auto"/>
        <w:rPr>
          <w:rFonts w:hint="eastAsia" w:ascii="宋体" w:hAnsi="宋体" w:eastAsia="宋体" w:cs="宋体"/>
          <w:b/>
          <w:bCs/>
          <w:color w:val="auto"/>
          <w:sz w:val="28"/>
          <w:szCs w:val="21"/>
          <w:highlight w:val="none"/>
          <w:shd w:val="clear" w:color="auto" w:fill="auto"/>
          <w:lang w:val="en-US" w:eastAsia="zh-CN"/>
        </w:rPr>
      </w:pPr>
      <w:bookmarkStart w:id="77" w:name="_Toc29934"/>
      <w:r>
        <w:rPr>
          <w:rFonts w:hint="eastAsia" w:ascii="宋体" w:hAnsi="宋体" w:eastAsia="宋体" w:cs="宋体"/>
          <w:b/>
          <w:bCs/>
          <w:color w:val="auto"/>
          <w:sz w:val="28"/>
          <w:szCs w:val="21"/>
          <w:highlight w:val="none"/>
          <w:shd w:val="clear" w:color="auto" w:fill="auto"/>
          <w:lang w:val="en-US" w:eastAsia="zh-CN"/>
        </w:rPr>
        <w:t>六、主要经验及做法、存在的问题及原因分析</w:t>
      </w:r>
      <w:bookmarkEnd w:id="77"/>
    </w:p>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bookmarkStart w:id="78" w:name="_Toc13160"/>
      <w:bookmarkStart w:id="79" w:name="_Toc28290"/>
      <w:bookmarkStart w:id="80" w:name="_Toc1921"/>
      <w:r>
        <w:rPr>
          <w:rFonts w:hint="eastAsia" w:ascii="宋体" w:hAnsi="宋体" w:eastAsia="宋体" w:cs="宋体"/>
          <w:b/>
          <w:bCs/>
          <w:color w:val="auto"/>
          <w:kern w:val="2"/>
          <w:sz w:val="28"/>
          <w:szCs w:val="28"/>
          <w:highlight w:val="none"/>
          <w:lang w:val="en-US" w:eastAsia="zh-CN" w:bidi="ar-SA"/>
        </w:rPr>
        <w:t>（一）主要经验及做法</w:t>
      </w:r>
      <w:bookmarkEnd w:id="78"/>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昌州财教【2022】82号提前下达2023年新疆西藏地区特殊教育补助资金（农村学前免费保障资金）项目2023年预算数为18.46万元，截至2023年12月31日共支出18.46万元，预算执行率为100%。</w:t>
      </w:r>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阜康市滋泥泉子镇中心幼儿园建立健全了预算管理规章制度，各部门严格按照预算编制的原则和要求做好当年预算编制工作，在预算绩效管理工作中，做到合理安排各项资金，重点保障基本支出，按轻重缓急顺序原则，优先安排了阜康市滋泥泉子镇中心幼儿园事业发展中关系民生与稳定的项目，切实优化资源配置，提高了资金使用的效率和效果。</w:t>
      </w:r>
    </w:p>
    <w:bookmarkEnd w:id="79"/>
    <w:bookmarkEnd w:id="80"/>
    <w:p>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bookmarkStart w:id="81" w:name="_Toc9582"/>
      <w:r>
        <w:rPr>
          <w:rFonts w:hint="eastAsia" w:ascii="宋体" w:hAnsi="宋体" w:eastAsia="宋体" w:cs="宋体"/>
          <w:b/>
          <w:bCs/>
          <w:color w:val="auto"/>
          <w:kern w:val="2"/>
          <w:sz w:val="28"/>
          <w:szCs w:val="28"/>
          <w:highlight w:val="none"/>
          <w:lang w:val="en-US" w:eastAsia="zh-CN" w:bidi="ar-SA"/>
        </w:rPr>
        <w:t>（二）存在的问题及原因分析</w:t>
      </w:r>
      <w:bookmarkEnd w:id="81"/>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bookmarkStart w:id="82" w:name="_Toc5230"/>
      <w:r>
        <w:rPr>
          <w:rFonts w:hint="eastAsia" w:ascii="宋体" w:hAnsi="宋体" w:eastAsia="宋体" w:cs="宋体"/>
          <w:b w:val="0"/>
          <w:bCs w:val="0"/>
          <w:color w:val="auto"/>
          <w:kern w:val="2"/>
          <w:sz w:val="28"/>
          <w:szCs w:val="28"/>
          <w:highlight w:val="none"/>
          <w:lang w:val="en-US" w:eastAsia="zh-CN" w:bidi="ar-SA"/>
        </w:rPr>
        <w:t>1.在项目实施期间部分业务人员未能全面深入认识理解项目管理工作的意义。项目管理经验不足，项目管理工作有待进一步落实。</w:t>
      </w:r>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2.因年初预算数据不够清晰明确到明细科目，使得整个年度财务核算及审核流程不准确清晰。</w:t>
      </w:r>
    </w:p>
    <w:p>
      <w:pPr>
        <w:pStyle w:val="2"/>
        <w:pageBreakBefore w:val="0"/>
        <w:kinsoku/>
        <w:wordWrap/>
        <w:overflowPunct/>
        <w:topLinePunct w:val="0"/>
        <w:autoSpaceDE/>
        <w:autoSpaceDN/>
        <w:bidi w:val="0"/>
        <w:adjustRightInd/>
        <w:spacing w:beforeLines="0" w:afterLines="0" w:line="360" w:lineRule="auto"/>
        <w:ind w:left="0" w:leftChars="0" w:firstLine="560" w:firstLineChars="200"/>
        <w:textAlignment w:val="auto"/>
        <w:rPr>
          <w:rFonts w:hint="eastAsia" w:ascii="宋体" w:hAnsi="宋体" w:eastAsia="宋体" w:cs="宋体"/>
          <w:b w:val="0"/>
          <w:bCs w:val="0"/>
          <w:color w:val="auto"/>
          <w:sz w:val="28"/>
          <w:szCs w:val="21"/>
          <w:highlight w:val="none"/>
          <w:shd w:val="clear" w:color="auto" w:fill="auto"/>
          <w:lang w:val="en-US" w:eastAsia="zh-CN"/>
        </w:rPr>
      </w:pPr>
      <w:r>
        <w:rPr>
          <w:rFonts w:hint="eastAsia" w:ascii="宋体" w:hAnsi="宋体" w:eastAsia="宋体" w:cs="宋体"/>
          <w:b w:val="0"/>
          <w:bCs w:val="0"/>
          <w:color w:val="auto"/>
          <w:sz w:val="28"/>
          <w:szCs w:val="21"/>
          <w:highlight w:val="none"/>
          <w:shd w:val="clear" w:color="auto" w:fill="auto"/>
          <w:lang w:val="en-US" w:eastAsia="zh-CN"/>
        </w:rPr>
        <w:t>七、有关建议</w:t>
      </w:r>
      <w:bookmarkEnd w:id="82"/>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（一）加强项目管理，健全单位项目管理制度体系。 加大项目管理人员的业务培训，确保项目能够顺利实施。</w:t>
      </w:r>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（二）加强财务人员业务培训，在年初预算时及时与各科室联系，将年初预算数据填写清晰，确保财务支付审核程序顺利进行。</w:t>
      </w:r>
    </w:p>
    <w:p>
      <w:pPr>
        <w:pStyle w:val="2"/>
        <w:pageBreakBefore w:val="0"/>
        <w:kinsoku/>
        <w:wordWrap/>
        <w:overflowPunct/>
        <w:topLinePunct w:val="0"/>
        <w:autoSpaceDE/>
        <w:autoSpaceDN/>
        <w:bidi w:val="0"/>
        <w:adjustRightInd/>
        <w:spacing w:beforeLines="0" w:afterLines="0" w:line="360" w:lineRule="auto"/>
        <w:ind w:left="0" w:leftChars="0" w:firstLine="562" w:firstLineChars="200"/>
        <w:textAlignment w:val="auto"/>
        <w:rPr>
          <w:rFonts w:hint="eastAsia" w:ascii="宋体" w:hAnsi="宋体" w:eastAsia="宋体" w:cs="宋体"/>
          <w:b/>
          <w:bCs/>
          <w:color w:val="auto"/>
          <w:sz w:val="28"/>
          <w:szCs w:val="21"/>
          <w:highlight w:val="none"/>
          <w:shd w:val="clear" w:color="auto" w:fill="auto"/>
          <w:lang w:val="en-US" w:eastAsia="zh-CN"/>
        </w:rPr>
      </w:pPr>
      <w:bookmarkStart w:id="83" w:name="_Toc15618"/>
      <w:r>
        <w:rPr>
          <w:rFonts w:hint="eastAsia" w:ascii="宋体" w:hAnsi="宋体" w:eastAsia="宋体" w:cs="宋体"/>
          <w:b/>
          <w:bCs/>
          <w:color w:val="auto"/>
          <w:sz w:val="28"/>
          <w:szCs w:val="21"/>
          <w:highlight w:val="none"/>
          <w:shd w:val="clear" w:color="auto" w:fill="auto"/>
          <w:lang w:val="en-US" w:eastAsia="zh-CN"/>
        </w:rPr>
        <w:t>八、其他需要说明的问题</w:t>
      </w:r>
      <w:bookmarkEnd w:id="83"/>
    </w:p>
    <w:p>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无其他需要说明的问题。</w:t>
      </w:r>
      <w:bookmarkStart w:id="84" w:name="_Toc11349"/>
    </w:p>
    <w:p>
      <w:pPr>
        <w:bidi w:val="0"/>
        <w:ind w:left="0" w:leftChars="0" w:firstLine="0" w:firstLineChars="0"/>
        <w:rPr>
          <w:rFonts w:hint="eastAsia" w:ascii="宋体" w:hAnsi="宋体" w:eastAsia="宋体" w:cs="宋体"/>
          <w:b/>
          <w:bCs/>
          <w:color w:val="auto"/>
          <w:highlight w:val="none"/>
          <w:shd w:val="clear" w:color="auto" w:fill="auto"/>
          <w:lang w:val="en-US" w:eastAsia="zh-CN"/>
        </w:rPr>
      </w:pPr>
    </w:p>
    <w:p>
      <w:pPr>
        <w:bidi w:val="0"/>
        <w:ind w:left="0" w:leftChars="0" w:firstLine="0" w:firstLineChars="0"/>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NumType w:fmt="decimal"/>
          <w:cols w:space="720" w:num="1"/>
          <w:docGrid w:type="lines" w:linePitch="408" w:charSpace="0"/>
        </w:sectPr>
      </w:pPr>
    </w:p>
    <w:p>
      <w:pPr>
        <w:pStyle w:val="2"/>
        <w:bidi w:val="0"/>
        <w:rPr>
          <w:rFonts w:hint="eastAsia"/>
          <w:lang w:val="en-US" w:eastAsia="zh-CN"/>
        </w:rPr>
      </w:pPr>
      <w:r>
        <w:rPr>
          <w:rFonts w:hint="eastAsia"/>
          <w:lang w:val="en-US" w:eastAsia="zh-CN"/>
        </w:rPr>
        <w:t>附件一、项目支出绩效自评表</w:t>
      </w:r>
    </w:p>
    <w:tbl>
      <w:tblPr>
        <w:tblStyle w:val="11"/>
        <w:tblW w:w="493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22"/>
        <w:gridCol w:w="723"/>
        <w:gridCol w:w="947"/>
        <w:gridCol w:w="1146"/>
        <w:gridCol w:w="976"/>
        <w:gridCol w:w="957"/>
        <w:gridCol w:w="1037"/>
        <w:gridCol w:w="898"/>
        <w:gridCol w:w="1036"/>
        <w:gridCol w:w="830"/>
        <w:gridCol w:w="1104"/>
        <w:gridCol w:w="918"/>
        <w:gridCol w:w="1034"/>
        <w:gridCol w:w="2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99" w:hRule="atLeast"/>
        </w:trPr>
        <w:tc>
          <w:tcPr>
            <w:tcW w:w="14873" w:type="dxa"/>
            <w:gridSpan w:val="14"/>
            <w:tcBorders>
              <w:top w:val="nil"/>
              <w:left w:val="nil"/>
              <w:bottom w:val="nil"/>
              <w:right w:val="nil"/>
            </w:tcBorders>
            <w:shd w:val="clear" w:color="auto" w:fill="auto"/>
            <w:vAlign w:val="center"/>
          </w:tcPr>
          <w:p>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9" w:hRule="atLeast"/>
        </w:trPr>
        <w:tc>
          <w:tcPr>
            <w:tcW w:w="14873" w:type="dxa"/>
            <w:gridSpan w:val="14"/>
            <w:tcBorders>
              <w:top w:val="nil"/>
              <w:left w:val="nil"/>
              <w:bottom w:val="single" w:color="auto" w:sz="4" w:space="0"/>
              <w:right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445" w:type="dxa"/>
            <w:gridSpan w:val="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3428" w:type="dxa"/>
            <w:gridSpan w:val="1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昌州财教【2022】82号提前下达2023年新疆西藏地区特殊教育补助资金（农村学前免费保障资金）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44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63"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934"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实施单位</w:t>
            </w:r>
          </w:p>
        </w:tc>
        <w:tc>
          <w:tcPr>
            <w:tcW w:w="6431"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阜康市滋泥泉子镇中心幼儿园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445" w:type="dxa"/>
            <w:gridSpan w:val="2"/>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093"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99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34"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全年执行数</w:t>
            </w:r>
          </w:p>
        </w:tc>
        <w:tc>
          <w:tcPr>
            <w:tcW w:w="193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952"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54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445"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093"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18.46 </w:t>
            </w:r>
          </w:p>
        </w:tc>
        <w:tc>
          <w:tcPr>
            <w:tcW w:w="199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18.46 </w:t>
            </w:r>
          </w:p>
        </w:tc>
        <w:tc>
          <w:tcPr>
            <w:tcW w:w="1934"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18.46 </w:t>
            </w:r>
          </w:p>
        </w:tc>
        <w:tc>
          <w:tcPr>
            <w:tcW w:w="193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52"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54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445"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093"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18.46 </w:t>
            </w:r>
          </w:p>
        </w:tc>
        <w:tc>
          <w:tcPr>
            <w:tcW w:w="199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18.46 </w:t>
            </w:r>
          </w:p>
        </w:tc>
        <w:tc>
          <w:tcPr>
            <w:tcW w:w="1934"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18.46 </w:t>
            </w:r>
          </w:p>
        </w:tc>
        <w:tc>
          <w:tcPr>
            <w:tcW w:w="193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52"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4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445"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093"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9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34"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0.00 </w:t>
            </w:r>
          </w:p>
        </w:tc>
        <w:tc>
          <w:tcPr>
            <w:tcW w:w="193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52"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4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722"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20"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431"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7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20"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能：为3-6岁学龄前儿童提供保育与教育，落实好学前三年教育目标，改善幼儿园的办学条件，保障学阶段幼儿在园教学需求，为幼儿提供优质的保教环境。2023年预计完成农村农村三年适龄幼儿人数196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tc>
        <w:tc>
          <w:tcPr>
            <w:tcW w:w="6431"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截止2023年12月31日   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22"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4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14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5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10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9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指标分值权重</w:t>
            </w:r>
          </w:p>
        </w:tc>
        <w:tc>
          <w:tcPr>
            <w:tcW w:w="10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8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91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3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254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23"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47"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14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农村学前三年适龄幼儿人数</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=196人</w:t>
            </w:r>
          </w:p>
        </w:tc>
        <w:tc>
          <w:tcPr>
            <w:tcW w:w="95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257人</w:t>
            </w:r>
          </w:p>
        </w:tc>
        <w:tc>
          <w:tcPr>
            <w:tcW w:w="89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10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196人</w:t>
            </w:r>
          </w:p>
        </w:tc>
        <w:tc>
          <w:tcPr>
            <w:tcW w:w="91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4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14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开展教育教学活动次数</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95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89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3</w:t>
            </w:r>
          </w:p>
        </w:tc>
        <w:tc>
          <w:tcPr>
            <w:tcW w:w="10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91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4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14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设施设备维护次数</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95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89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7</w:t>
            </w:r>
          </w:p>
        </w:tc>
        <w:tc>
          <w:tcPr>
            <w:tcW w:w="10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91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54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4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14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完成年度教育教学活动工作达标率</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8</w:t>
            </w:r>
          </w:p>
        </w:tc>
        <w:tc>
          <w:tcPr>
            <w:tcW w:w="10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91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103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4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vMerge w:val="restart"/>
            <w:shd w:val="clear" w:color="auto" w:fill="auto"/>
            <w:vAlign w:val="center"/>
          </w:tcPr>
          <w:p>
            <w:pPr>
              <w:jc w:val="center"/>
              <w:rPr>
                <w:rFonts w:hint="eastAsia" w:ascii="宋体" w:hAnsi="宋体" w:eastAsia="宋体" w:cs="宋体"/>
                <w:i w:val="0"/>
                <w:iCs w:val="0"/>
                <w:color w:val="000000"/>
                <w:sz w:val="20"/>
                <w:szCs w:val="20"/>
                <w:u w:val="none"/>
              </w:rPr>
            </w:pPr>
          </w:p>
        </w:tc>
        <w:tc>
          <w:tcPr>
            <w:tcW w:w="947"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14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教育教学活动工作开展时间</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2023-12-31前</w:t>
            </w:r>
          </w:p>
        </w:tc>
        <w:tc>
          <w:tcPr>
            <w:tcW w:w="95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2022/12/31</w:t>
            </w:r>
          </w:p>
        </w:tc>
        <w:tc>
          <w:tcPr>
            <w:tcW w:w="89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8</w:t>
            </w:r>
          </w:p>
        </w:tc>
        <w:tc>
          <w:tcPr>
            <w:tcW w:w="10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91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45" w:type="dxa"/>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14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教育教学活动工作开展及时率</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6</w:t>
            </w:r>
          </w:p>
        </w:tc>
        <w:tc>
          <w:tcPr>
            <w:tcW w:w="10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545" w:type="dxa"/>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47"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14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保障教育教学活动开展的办公费</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≤11.88万元</w:t>
            </w:r>
          </w:p>
        </w:tc>
        <w:tc>
          <w:tcPr>
            <w:tcW w:w="95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≤11.88万元</w:t>
            </w:r>
          </w:p>
        </w:tc>
        <w:tc>
          <w:tcPr>
            <w:tcW w:w="89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10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10.34万元</w:t>
            </w:r>
          </w:p>
        </w:tc>
        <w:tc>
          <w:tcPr>
            <w:tcW w:w="91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87.04%</w:t>
            </w:r>
          </w:p>
        </w:tc>
        <w:tc>
          <w:tcPr>
            <w:tcW w:w="103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45" w:type="dxa"/>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14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保障教育教学活动开展的印刷费</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≧3000元</w:t>
            </w:r>
          </w:p>
        </w:tc>
        <w:tc>
          <w:tcPr>
            <w:tcW w:w="95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≤3000元</w:t>
            </w:r>
          </w:p>
        </w:tc>
        <w:tc>
          <w:tcPr>
            <w:tcW w:w="89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8</w:t>
            </w:r>
          </w:p>
        </w:tc>
        <w:tc>
          <w:tcPr>
            <w:tcW w:w="10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3000元</w:t>
            </w:r>
          </w:p>
        </w:tc>
        <w:tc>
          <w:tcPr>
            <w:tcW w:w="91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45" w:type="dxa"/>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14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保障教育教学活动开展的邮电费</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≤2.05万元</w:t>
            </w:r>
          </w:p>
        </w:tc>
        <w:tc>
          <w:tcPr>
            <w:tcW w:w="95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≤2.05万元</w:t>
            </w:r>
          </w:p>
        </w:tc>
        <w:tc>
          <w:tcPr>
            <w:tcW w:w="89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4</w:t>
            </w:r>
          </w:p>
        </w:tc>
        <w:tc>
          <w:tcPr>
            <w:tcW w:w="10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2.05万元</w:t>
            </w:r>
          </w:p>
        </w:tc>
        <w:tc>
          <w:tcPr>
            <w:tcW w:w="91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45" w:type="dxa"/>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14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保障教育教学活动开展的电费</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≤2.41万元</w:t>
            </w:r>
          </w:p>
        </w:tc>
        <w:tc>
          <w:tcPr>
            <w:tcW w:w="95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≤2.41万元</w:t>
            </w:r>
          </w:p>
        </w:tc>
        <w:tc>
          <w:tcPr>
            <w:tcW w:w="89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3</w:t>
            </w:r>
          </w:p>
        </w:tc>
        <w:tc>
          <w:tcPr>
            <w:tcW w:w="10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2.41万元</w:t>
            </w:r>
          </w:p>
        </w:tc>
        <w:tc>
          <w:tcPr>
            <w:tcW w:w="91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45" w:type="dxa"/>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14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保障教育教学活动开展的维护费</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≤1.82万元</w:t>
            </w:r>
          </w:p>
        </w:tc>
        <w:tc>
          <w:tcPr>
            <w:tcW w:w="95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≤1.82万元</w:t>
            </w:r>
          </w:p>
        </w:tc>
        <w:tc>
          <w:tcPr>
            <w:tcW w:w="89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3</w:t>
            </w:r>
          </w:p>
        </w:tc>
        <w:tc>
          <w:tcPr>
            <w:tcW w:w="10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1.82万元</w:t>
            </w:r>
          </w:p>
        </w:tc>
        <w:tc>
          <w:tcPr>
            <w:tcW w:w="91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4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47"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14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95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89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0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8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4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14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95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89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0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8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4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22"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72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4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4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家长及教师满意度</w:t>
            </w:r>
          </w:p>
        </w:tc>
        <w:tc>
          <w:tcPr>
            <w:tcW w:w="9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5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其他标准</w:t>
            </w:r>
          </w:p>
        </w:tc>
        <w:tc>
          <w:tcPr>
            <w:tcW w:w="10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9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036" w:type="dxa"/>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8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1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4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538" w:type="dxa"/>
            <w:gridSpan w:val="4"/>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76"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57" w:type="dxa"/>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037"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898"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100分</w:t>
            </w:r>
          </w:p>
        </w:tc>
        <w:tc>
          <w:tcPr>
            <w:tcW w:w="1036"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830"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104"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18"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03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545" w:type="dxa"/>
            <w:shd w:val="clear" w:color="auto" w:fill="auto"/>
            <w:vAlign w:val="center"/>
          </w:tcPr>
          <w:p>
            <w:pPr>
              <w:jc w:val="center"/>
              <w:rPr>
                <w:rFonts w:hint="eastAsia" w:ascii="宋体" w:hAnsi="宋体" w:eastAsia="宋体" w:cs="宋体"/>
                <w:i w:val="0"/>
                <w:iCs w:val="0"/>
                <w:color w:val="000000"/>
                <w:sz w:val="20"/>
                <w:szCs w:val="20"/>
                <w:u w:val="none"/>
              </w:rPr>
            </w:pPr>
          </w:p>
        </w:tc>
      </w:tr>
    </w:tbl>
    <w:p>
      <w:pPr>
        <w:keepNext w:val="0"/>
        <w:keepLines w:val="0"/>
        <w:pageBreakBefore w:val="0"/>
        <w:kinsoku/>
        <w:wordWrap/>
        <w:overflowPunct/>
        <w:topLinePunct w:val="0"/>
        <w:autoSpaceDE/>
        <w:autoSpaceDN/>
        <w:bidi w:val="0"/>
        <w:adjustRightInd/>
        <w:snapToGrid/>
        <w:spacing w:line="200" w:lineRule="exact"/>
        <w:ind w:left="0" w:leftChars="0" w:firstLine="0" w:firstLineChars="0"/>
        <w:rPr>
          <w:rFonts w:hint="default" w:cs="宋体"/>
          <w:b/>
          <w:bCs/>
          <w:color w:val="auto"/>
          <w:sz w:val="32"/>
          <w:szCs w:val="32"/>
          <w:highlight w:val="none"/>
          <w:shd w:val="clear" w:color="auto" w:fill="auto"/>
          <w:lang w:val="en-US" w:eastAsia="zh-CN"/>
        </w:rPr>
        <w:sectPr>
          <w:pgSz w:w="16838" w:h="11906" w:orient="landscape"/>
          <w:pgMar w:top="969" w:right="986" w:bottom="969" w:left="986" w:header="737" w:footer="850" w:gutter="0"/>
          <w:pgNumType w:fmt="decimal"/>
          <w:cols w:space="0" w:num="1"/>
          <w:rtlGutter w:val="0"/>
          <w:docGrid w:type="lines" w:linePitch="408" w:charSpace="0"/>
        </w:sectPr>
      </w:pPr>
    </w:p>
    <w:bookmarkEnd w:id="84"/>
    <w:p>
      <w:pPr>
        <w:pStyle w:val="2"/>
        <w:bidi w:val="0"/>
        <w:ind w:left="0" w:leftChars="0" w:firstLine="0" w:firstLineChars="0"/>
        <w:rPr>
          <w:rFonts w:hint="eastAsia"/>
          <w:color w:val="auto"/>
          <w:highlight w:val="none"/>
          <w:lang w:val="en-US" w:eastAsia="zh-CN"/>
        </w:rPr>
      </w:pPr>
      <w:bookmarkStart w:id="85" w:name="_Toc15067"/>
      <w:r>
        <w:rPr>
          <w:rFonts w:hint="eastAsia"/>
          <w:color w:val="auto"/>
          <w:highlight w:val="none"/>
          <w:lang w:val="en-US" w:eastAsia="zh-CN"/>
        </w:rPr>
        <w:t>附件二、项目支出绩效评价指标体系打分表</w:t>
      </w:r>
      <w:bookmarkEnd w:id="85"/>
    </w:p>
    <w:tbl>
      <w:tblPr>
        <w:tblStyle w:val="11"/>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blHeader/>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FFFFFF"/>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FFFFFF"/>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FFFFFF"/>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2</w:t>
            </w:r>
          </w:p>
        </w:tc>
        <w:tc>
          <w:tcPr>
            <w:tcW w:w="769" w:type="dxa"/>
            <w:shd w:val="clear" w:color="auto"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FFFFFF"/>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000000" w:fill="FFFFFF"/>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5</w:t>
            </w:r>
          </w:p>
        </w:tc>
        <w:tc>
          <w:tcPr>
            <w:tcW w:w="769"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5</w:t>
            </w:r>
          </w:p>
        </w:tc>
        <w:tc>
          <w:tcPr>
            <w:tcW w:w="769"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2</w:t>
            </w:r>
          </w:p>
        </w:tc>
        <w:tc>
          <w:tcPr>
            <w:tcW w:w="769" w:type="dxa"/>
            <w:shd w:val="clear" w:color="auto"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c>
          <w:tcPr>
            <w:tcW w:w="769" w:type="dxa"/>
            <w:shd w:val="clear" w:color="auto"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861" w:type="dxa"/>
            <w:vMerge w:val="restart"/>
            <w:shd w:val="clear" w:color="auto" w:fill="FFFFFF"/>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861" w:type="dxa"/>
            <w:vMerge w:val="continue"/>
            <w:shd w:val="clear" w:color="auto" w:fill="FFFFFF"/>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FFFFFF"/>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c>
          <w:tcPr>
            <w:tcW w:w="769" w:type="dxa"/>
            <w:shd w:val="clear" w:color="auto"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4</w:t>
            </w:r>
          </w:p>
        </w:tc>
        <w:tc>
          <w:tcPr>
            <w:tcW w:w="769"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农村学前三年适龄幼儿人数</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开展教育教学活动次数</w:t>
            </w:r>
          </w:p>
        </w:tc>
        <w:tc>
          <w:tcPr>
            <w:tcW w:w="214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000000" w:fill="FFFFFF"/>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设施设备维护次数</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完成年度教育教学活动工作</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FFFFFF"/>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教育教学活动工作开展时间</w:t>
            </w:r>
          </w:p>
        </w:tc>
        <w:tc>
          <w:tcPr>
            <w:tcW w:w="214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000000" w:fill="FFFFFF"/>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000000" w:fill="FFFFFF"/>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教育教学活动工作开展及时率</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000000"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000000"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保障教育教学活动开展的办公费</w:t>
            </w:r>
          </w:p>
        </w:tc>
        <w:tc>
          <w:tcPr>
            <w:tcW w:w="214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000000" w:fill="FFFFFF"/>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000000" w:fill="FFFFFF"/>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保障教育教学活动开展的印刷费</w:t>
            </w:r>
          </w:p>
        </w:tc>
        <w:tc>
          <w:tcPr>
            <w:tcW w:w="214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000000" w:fill="FFFFFF"/>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000000" w:fill="FFFFFF"/>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保障教育教学活动开展的邮电费</w:t>
            </w:r>
          </w:p>
        </w:tc>
        <w:tc>
          <w:tcPr>
            <w:tcW w:w="214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000000" w:fill="FFFFFF"/>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000000" w:fill="FFFFFF"/>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保障教育教学活动开展的电费</w:t>
            </w:r>
          </w:p>
        </w:tc>
        <w:tc>
          <w:tcPr>
            <w:tcW w:w="214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000000" w:fill="FFFFFF"/>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000000" w:fill="FFFFFF"/>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保障教育教学活动开展的维护费</w:t>
            </w:r>
          </w:p>
        </w:tc>
        <w:tc>
          <w:tcPr>
            <w:tcW w:w="214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000000" w:fill="FFFFFF"/>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000000" w:fill="FFFFFF"/>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经济效益指标</w:t>
            </w:r>
          </w:p>
        </w:tc>
        <w:tc>
          <w:tcPr>
            <w:tcW w:w="2141" w:type="dxa"/>
            <w:shd w:val="clear" w:color="auto" w:fill="FFFFFF"/>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FFFFFF"/>
            <w:noWrap w:val="0"/>
            <w:vAlign w:val="center"/>
          </w:tcPr>
          <w:p>
            <w:pPr>
              <w:widowControl/>
              <w:spacing w:line="0" w:lineRule="atLeast"/>
              <w:ind w:left="0" w:leftChars="0"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w:t>
            </w:r>
          </w:p>
        </w:tc>
        <w:tc>
          <w:tcPr>
            <w:tcW w:w="2141" w:type="dxa"/>
            <w:shd w:val="clear" w:color="auto" w:fill="FFFFFF"/>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FFFFFF"/>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FFFFFF"/>
            <w:noWrap w:val="0"/>
            <w:vAlign w:val="center"/>
          </w:tcPr>
          <w:p>
            <w:pPr>
              <w:widowControl/>
              <w:spacing w:line="0" w:lineRule="atLeast"/>
              <w:ind w:left="0" w:leftChars="0"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49" w:type="dxa"/>
            <w:gridSpan w:val="4"/>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000000" w:fill="FFFFFF"/>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99.2</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80" w:firstLine="420"/>
      </w:pPr>
      <w:rPr>
        <w:rFonts w:hint="eastAsia"/>
      </w:rPr>
    </w:lvl>
  </w:abstractNum>
  <w:abstractNum w:abstractNumId="2">
    <w:nsid w:val="29A5BB38"/>
    <w:multiLevelType w:val="singleLevel"/>
    <w:tmpl w:val="29A5BB38"/>
    <w:lvl w:ilvl="0" w:tentative="0">
      <w:start w:val="4"/>
      <w:numFmt w:val="chineseCounting"/>
      <w:suff w:val="nothing"/>
      <w:lvlText w:val="%1、"/>
      <w:lvlJc w:val="left"/>
      <w:rPr>
        <w:rFonts w:hint="eastAsia"/>
      </w:rPr>
    </w:lvl>
  </w:abstractNum>
  <w:abstractNum w:abstractNumId="3">
    <w:nsid w:val="6EA5550B"/>
    <w:multiLevelType w:val="singleLevel"/>
    <w:tmpl w:val="6EA5550B"/>
    <w:lvl w:ilvl="0" w:tentative="0">
      <w:start w:val="3"/>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4B0D73"/>
    <w:rsid w:val="004E2611"/>
    <w:rsid w:val="007D6A04"/>
    <w:rsid w:val="008226D3"/>
    <w:rsid w:val="00BC3A1F"/>
    <w:rsid w:val="00D72607"/>
    <w:rsid w:val="00E23C81"/>
    <w:rsid w:val="00E40880"/>
    <w:rsid w:val="01253350"/>
    <w:rsid w:val="01282E62"/>
    <w:rsid w:val="014029CF"/>
    <w:rsid w:val="01470C4C"/>
    <w:rsid w:val="014D0B1B"/>
    <w:rsid w:val="01F30850"/>
    <w:rsid w:val="02200440"/>
    <w:rsid w:val="02284B43"/>
    <w:rsid w:val="02445A7A"/>
    <w:rsid w:val="02451B19"/>
    <w:rsid w:val="02B015E2"/>
    <w:rsid w:val="02DC08FA"/>
    <w:rsid w:val="03073938"/>
    <w:rsid w:val="033B569D"/>
    <w:rsid w:val="03455F4E"/>
    <w:rsid w:val="0348159A"/>
    <w:rsid w:val="03991DF6"/>
    <w:rsid w:val="039C3BA0"/>
    <w:rsid w:val="03A845BB"/>
    <w:rsid w:val="03B24C65"/>
    <w:rsid w:val="03B45AD1"/>
    <w:rsid w:val="03D1158F"/>
    <w:rsid w:val="03D64DF8"/>
    <w:rsid w:val="03F139E0"/>
    <w:rsid w:val="03F16302"/>
    <w:rsid w:val="04CE1F73"/>
    <w:rsid w:val="04D12EE4"/>
    <w:rsid w:val="04D37589"/>
    <w:rsid w:val="04D56E5D"/>
    <w:rsid w:val="04D63993"/>
    <w:rsid w:val="0534627A"/>
    <w:rsid w:val="05B80C59"/>
    <w:rsid w:val="05CF58D5"/>
    <w:rsid w:val="06104908"/>
    <w:rsid w:val="06952D48"/>
    <w:rsid w:val="07155C37"/>
    <w:rsid w:val="072E0AA7"/>
    <w:rsid w:val="07890F4F"/>
    <w:rsid w:val="0858402D"/>
    <w:rsid w:val="08785AF9"/>
    <w:rsid w:val="08892439"/>
    <w:rsid w:val="08DD09D6"/>
    <w:rsid w:val="08EB30F3"/>
    <w:rsid w:val="09237408"/>
    <w:rsid w:val="09371E95"/>
    <w:rsid w:val="09781BD6"/>
    <w:rsid w:val="09811362"/>
    <w:rsid w:val="09B27B2A"/>
    <w:rsid w:val="09F359DF"/>
    <w:rsid w:val="0A575E65"/>
    <w:rsid w:val="0A5A18A6"/>
    <w:rsid w:val="0A7D5FCD"/>
    <w:rsid w:val="0ACA0AB6"/>
    <w:rsid w:val="0B212DFC"/>
    <w:rsid w:val="0BA15CEB"/>
    <w:rsid w:val="0C032502"/>
    <w:rsid w:val="0C1C7A68"/>
    <w:rsid w:val="0C27698C"/>
    <w:rsid w:val="0C4E7C85"/>
    <w:rsid w:val="0C9814B5"/>
    <w:rsid w:val="0CC56FFE"/>
    <w:rsid w:val="0CC9374C"/>
    <w:rsid w:val="0CDB522D"/>
    <w:rsid w:val="0CF77E51"/>
    <w:rsid w:val="0D166265"/>
    <w:rsid w:val="0D4252AC"/>
    <w:rsid w:val="0D4452F3"/>
    <w:rsid w:val="0D906017"/>
    <w:rsid w:val="0D9A0C44"/>
    <w:rsid w:val="0DE87C01"/>
    <w:rsid w:val="0DF2282E"/>
    <w:rsid w:val="0E2624D8"/>
    <w:rsid w:val="0E884F40"/>
    <w:rsid w:val="0EC512CA"/>
    <w:rsid w:val="0F5E5042"/>
    <w:rsid w:val="0FA062BA"/>
    <w:rsid w:val="0FA718CA"/>
    <w:rsid w:val="0FCD3553"/>
    <w:rsid w:val="0FD91E9D"/>
    <w:rsid w:val="0FE95707"/>
    <w:rsid w:val="1010343F"/>
    <w:rsid w:val="10303AE2"/>
    <w:rsid w:val="10510571"/>
    <w:rsid w:val="10787A20"/>
    <w:rsid w:val="108672DE"/>
    <w:rsid w:val="108F6A5A"/>
    <w:rsid w:val="10947BCD"/>
    <w:rsid w:val="10EC685A"/>
    <w:rsid w:val="10F5757C"/>
    <w:rsid w:val="111B209C"/>
    <w:rsid w:val="112A22DF"/>
    <w:rsid w:val="117D68B3"/>
    <w:rsid w:val="11943BFC"/>
    <w:rsid w:val="11FA6155"/>
    <w:rsid w:val="12192A7F"/>
    <w:rsid w:val="122F22A3"/>
    <w:rsid w:val="124949E7"/>
    <w:rsid w:val="126C6E25"/>
    <w:rsid w:val="127B54E8"/>
    <w:rsid w:val="12CF0947"/>
    <w:rsid w:val="12D1335A"/>
    <w:rsid w:val="12D270D2"/>
    <w:rsid w:val="12F1313F"/>
    <w:rsid w:val="134933C7"/>
    <w:rsid w:val="135D4BEE"/>
    <w:rsid w:val="136C678E"/>
    <w:rsid w:val="137433EE"/>
    <w:rsid w:val="13884FC1"/>
    <w:rsid w:val="13CB5D21"/>
    <w:rsid w:val="13EA459B"/>
    <w:rsid w:val="13EB2FF5"/>
    <w:rsid w:val="14123C2A"/>
    <w:rsid w:val="1441006B"/>
    <w:rsid w:val="14860174"/>
    <w:rsid w:val="14C91E0F"/>
    <w:rsid w:val="14FC0436"/>
    <w:rsid w:val="152534E9"/>
    <w:rsid w:val="152C2AC9"/>
    <w:rsid w:val="15853F88"/>
    <w:rsid w:val="15A1784D"/>
    <w:rsid w:val="15A46B04"/>
    <w:rsid w:val="15E52C78"/>
    <w:rsid w:val="15ED3873"/>
    <w:rsid w:val="162639BD"/>
    <w:rsid w:val="165825BC"/>
    <w:rsid w:val="165F0C7D"/>
    <w:rsid w:val="166E7112"/>
    <w:rsid w:val="16A86180"/>
    <w:rsid w:val="16BC5D73"/>
    <w:rsid w:val="16C84A74"/>
    <w:rsid w:val="170830C2"/>
    <w:rsid w:val="176F36D7"/>
    <w:rsid w:val="17824C23"/>
    <w:rsid w:val="1795226D"/>
    <w:rsid w:val="17A76FCB"/>
    <w:rsid w:val="17DB07D7"/>
    <w:rsid w:val="180970F2"/>
    <w:rsid w:val="180E4708"/>
    <w:rsid w:val="18223F93"/>
    <w:rsid w:val="18456B1E"/>
    <w:rsid w:val="1864257A"/>
    <w:rsid w:val="18822A00"/>
    <w:rsid w:val="18B2778A"/>
    <w:rsid w:val="19045B0B"/>
    <w:rsid w:val="194B373A"/>
    <w:rsid w:val="195E6FCA"/>
    <w:rsid w:val="19C5529B"/>
    <w:rsid w:val="1A9B54D6"/>
    <w:rsid w:val="1AE85583"/>
    <w:rsid w:val="1AF35E37"/>
    <w:rsid w:val="1B0C7993"/>
    <w:rsid w:val="1B0F622D"/>
    <w:rsid w:val="1B2D1349"/>
    <w:rsid w:val="1B3E3557"/>
    <w:rsid w:val="1B813443"/>
    <w:rsid w:val="1B99253B"/>
    <w:rsid w:val="1BDE3555"/>
    <w:rsid w:val="1C085913"/>
    <w:rsid w:val="1C0D6A33"/>
    <w:rsid w:val="1C1171C5"/>
    <w:rsid w:val="1C4D12F5"/>
    <w:rsid w:val="1C6F3C17"/>
    <w:rsid w:val="1C7D1E5D"/>
    <w:rsid w:val="1C8E5E18"/>
    <w:rsid w:val="1CD37CCF"/>
    <w:rsid w:val="1D265138"/>
    <w:rsid w:val="1D7B6BCA"/>
    <w:rsid w:val="1DA41A79"/>
    <w:rsid w:val="1DF53469"/>
    <w:rsid w:val="1E241751"/>
    <w:rsid w:val="1E2F24F2"/>
    <w:rsid w:val="1E58492F"/>
    <w:rsid w:val="1E5B6757"/>
    <w:rsid w:val="1ED10AC6"/>
    <w:rsid w:val="1EF83A1C"/>
    <w:rsid w:val="1F3F789D"/>
    <w:rsid w:val="1F4D3D68"/>
    <w:rsid w:val="1F6B7C4E"/>
    <w:rsid w:val="1F86369D"/>
    <w:rsid w:val="1F89225F"/>
    <w:rsid w:val="1F900A1F"/>
    <w:rsid w:val="1FA94D17"/>
    <w:rsid w:val="1FBF278C"/>
    <w:rsid w:val="1FC0575D"/>
    <w:rsid w:val="20370574"/>
    <w:rsid w:val="20452C91"/>
    <w:rsid w:val="206132C7"/>
    <w:rsid w:val="209B4FA7"/>
    <w:rsid w:val="20C462AC"/>
    <w:rsid w:val="210668C5"/>
    <w:rsid w:val="21714F51"/>
    <w:rsid w:val="21B00C1D"/>
    <w:rsid w:val="21E84C3A"/>
    <w:rsid w:val="220B3A67"/>
    <w:rsid w:val="221F0F05"/>
    <w:rsid w:val="226F2247"/>
    <w:rsid w:val="22CC58EC"/>
    <w:rsid w:val="23031BEB"/>
    <w:rsid w:val="236B0C61"/>
    <w:rsid w:val="23700025"/>
    <w:rsid w:val="23917691"/>
    <w:rsid w:val="23983A20"/>
    <w:rsid w:val="23F23130"/>
    <w:rsid w:val="240D62E5"/>
    <w:rsid w:val="24174945"/>
    <w:rsid w:val="244D65B8"/>
    <w:rsid w:val="245E1E24"/>
    <w:rsid w:val="24653902"/>
    <w:rsid w:val="250F1AC0"/>
    <w:rsid w:val="251470D6"/>
    <w:rsid w:val="25184E18"/>
    <w:rsid w:val="25421E95"/>
    <w:rsid w:val="25AD5E5D"/>
    <w:rsid w:val="265E685B"/>
    <w:rsid w:val="267C71EA"/>
    <w:rsid w:val="26962E44"/>
    <w:rsid w:val="26C64244"/>
    <w:rsid w:val="270F224B"/>
    <w:rsid w:val="2732478D"/>
    <w:rsid w:val="2765234A"/>
    <w:rsid w:val="27661469"/>
    <w:rsid w:val="277D0F63"/>
    <w:rsid w:val="27900EAD"/>
    <w:rsid w:val="279462AC"/>
    <w:rsid w:val="279B538A"/>
    <w:rsid w:val="280A09C1"/>
    <w:rsid w:val="28341F69"/>
    <w:rsid w:val="28377363"/>
    <w:rsid w:val="286F545C"/>
    <w:rsid w:val="28C36E49"/>
    <w:rsid w:val="290A5002"/>
    <w:rsid w:val="29314FBC"/>
    <w:rsid w:val="29432123"/>
    <w:rsid w:val="29714AF7"/>
    <w:rsid w:val="29A70519"/>
    <w:rsid w:val="29C412F1"/>
    <w:rsid w:val="29F714A0"/>
    <w:rsid w:val="29FF65A7"/>
    <w:rsid w:val="2A0C65CE"/>
    <w:rsid w:val="2A297180"/>
    <w:rsid w:val="2A5F7045"/>
    <w:rsid w:val="2AD74E2E"/>
    <w:rsid w:val="2AD96DF8"/>
    <w:rsid w:val="2AFA28CA"/>
    <w:rsid w:val="2B54647E"/>
    <w:rsid w:val="2B5D628A"/>
    <w:rsid w:val="2B5E72FD"/>
    <w:rsid w:val="2B7153EE"/>
    <w:rsid w:val="2B935E6C"/>
    <w:rsid w:val="2BA80578"/>
    <w:rsid w:val="2BC058C2"/>
    <w:rsid w:val="2BC71BD7"/>
    <w:rsid w:val="2C024B86"/>
    <w:rsid w:val="2C131E96"/>
    <w:rsid w:val="2C4958B7"/>
    <w:rsid w:val="2C631659"/>
    <w:rsid w:val="2C6607BC"/>
    <w:rsid w:val="2C927671"/>
    <w:rsid w:val="2CB216AE"/>
    <w:rsid w:val="2CFA3055"/>
    <w:rsid w:val="2D02355E"/>
    <w:rsid w:val="2D137721"/>
    <w:rsid w:val="2D3863B8"/>
    <w:rsid w:val="2D4C3AD3"/>
    <w:rsid w:val="2D7C5CD6"/>
    <w:rsid w:val="2DA3288D"/>
    <w:rsid w:val="2DD83397"/>
    <w:rsid w:val="2DE57862"/>
    <w:rsid w:val="2E162111"/>
    <w:rsid w:val="2E285B38"/>
    <w:rsid w:val="2E483E7E"/>
    <w:rsid w:val="2E690493"/>
    <w:rsid w:val="2E8D18BB"/>
    <w:rsid w:val="2E9279E9"/>
    <w:rsid w:val="2E9854BD"/>
    <w:rsid w:val="2EC043F5"/>
    <w:rsid w:val="2ED26038"/>
    <w:rsid w:val="2EDC122E"/>
    <w:rsid w:val="2F0D407F"/>
    <w:rsid w:val="2F1C3757"/>
    <w:rsid w:val="2F454B19"/>
    <w:rsid w:val="2FC260AC"/>
    <w:rsid w:val="300C7328"/>
    <w:rsid w:val="306453B6"/>
    <w:rsid w:val="30980BBB"/>
    <w:rsid w:val="30C96FC7"/>
    <w:rsid w:val="30EC0F07"/>
    <w:rsid w:val="310224D9"/>
    <w:rsid w:val="31293F09"/>
    <w:rsid w:val="31321010"/>
    <w:rsid w:val="315E1E05"/>
    <w:rsid w:val="31A041CB"/>
    <w:rsid w:val="31B4621C"/>
    <w:rsid w:val="31D64091"/>
    <w:rsid w:val="31E3230A"/>
    <w:rsid w:val="320346B4"/>
    <w:rsid w:val="32075FF9"/>
    <w:rsid w:val="32087FC3"/>
    <w:rsid w:val="324E00CB"/>
    <w:rsid w:val="32747406"/>
    <w:rsid w:val="330957E0"/>
    <w:rsid w:val="33125600"/>
    <w:rsid w:val="33356F64"/>
    <w:rsid w:val="333F17C2"/>
    <w:rsid w:val="33437504"/>
    <w:rsid w:val="33437E6D"/>
    <w:rsid w:val="33884C5A"/>
    <w:rsid w:val="33944516"/>
    <w:rsid w:val="33D95F3C"/>
    <w:rsid w:val="33DB773D"/>
    <w:rsid w:val="33F95E15"/>
    <w:rsid w:val="340A0022"/>
    <w:rsid w:val="345968B4"/>
    <w:rsid w:val="34806404"/>
    <w:rsid w:val="3491429F"/>
    <w:rsid w:val="349D0E96"/>
    <w:rsid w:val="34A264AC"/>
    <w:rsid w:val="34B62907"/>
    <w:rsid w:val="34CB7B3B"/>
    <w:rsid w:val="34D33E29"/>
    <w:rsid w:val="360F1920"/>
    <w:rsid w:val="36483084"/>
    <w:rsid w:val="366B28CE"/>
    <w:rsid w:val="36983186"/>
    <w:rsid w:val="36A4475E"/>
    <w:rsid w:val="36A91D74"/>
    <w:rsid w:val="36BD137C"/>
    <w:rsid w:val="36CF7301"/>
    <w:rsid w:val="37354718"/>
    <w:rsid w:val="373D27A4"/>
    <w:rsid w:val="377D6D5D"/>
    <w:rsid w:val="378B147A"/>
    <w:rsid w:val="379E73FF"/>
    <w:rsid w:val="37CD55EE"/>
    <w:rsid w:val="382B0567"/>
    <w:rsid w:val="384E76B8"/>
    <w:rsid w:val="385D37E7"/>
    <w:rsid w:val="3862463B"/>
    <w:rsid w:val="38782EDD"/>
    <w:rsid w:val="38934A8A"/>
    <w:rsid w:val="38BE13DB"/>
    <w:rsid w:val="38C8225A"/>
    <w:rsid w:val="38C84008"/>
    <w:rsid w:val="38D46E50"/>
    <w:rsid w:val="38DE1A7D"/>
    <w:rsid w:val="38FB43DD"/>
    <w:rsid w:val="394915ED"/>
    <w:rsid w:val="397C3770"/>
    <w:rsid w:val="39C779F1"/>
    <w:rsid w:val="39EB08A5"/>
    <w:rsid w:val="3A175247"/>
    <w:rsid w:val="3A7A7584"/>
    <w:rsid w:val="3AC72CFB"/>
    <w:rsid w:val="3B00687A"/>
    <w:rsid w:val="3B0E2AA0"/>
    <w:rsid w:val="3B42664A"/>
    <w:rsid w:val="3B47390A"/>
    <w:rsid w:val="3BF13876"/>
    <w:rsid w:val="3C1A7270"/>
    <w:rsid w:val="3C261771"/>
    <w:rsid w:val="3C5207B8"/>
    <w:rsid w:val="3CA134EE"/>
    <w:rsid w:val="3CD64F45"/>
    <w:rsid w:val="3D121CF5"/>
    <w:rsid w:val="3D424389"/>
    <w:rsid w:val="3D7D7AB7"/>
    <w:rsid w:val="3D836A4E"/>
    <w:rsid w:val="3DED2CD7"/>
    <w:rsid w:val="3DFA4C63"/>
    <w:rsid w:val="3DFD7742"/>
    <w:rsid w:val="3E496C8B"/>
    <w:rsid w:val="3E5C14D9"/>
    <w:rsid w:val="3EA37E97"/>
    <w:rsid w:val="3EB94B1E"/>
    <w:rsid w:val="3ED71449"/>
    <w:rsid w:val="3ED96F6F"/>
    <w:rsid w:val="3F056677"/>
    <w:rsid w:val="3F082FF8"/>
    <w:rsid w:val="3F965633"/>
    <w:rsid w:val="3FA255B3"/>
    <w:rsid w:val="3FBE0BC5"/>
    <w:rsid w:val="3FD91CE7"/>
    <w:rsid w:val="4000052B"/>
    <w:rsid w:val="40012B51"/>
    <w:rsid w:val="401F09B1"/>
    <w:rsid w:val="40336A42"/>
    <w:rsid w:val="4048103A"/>
    <w:rsid w:val="40736643"/>
    <w:rsid w:val="40956EC5"/>
    <w:rsid w:val="409D4500"/>
    <w:rsid w:val="40AE5488"/>
    <w:rsid w:val="40BA4B7E"/>
    <w:rsid w:val="40C652D1"/>
    <w:rsid w:val="40D24A7A"/>
    <w:rsid w:val="41126350"/>
    <w:rsid w:val="41281798"/>
    <w:rsid w:val="414B60ED"/>
    <w:rsid w:val="417C1E80"/>
    <w:rsid w:val="418036D2"/>
    <w:rsid w:val="41B415CD"/>
    <w:rsid w:val="42072045"/>
    <w:rsid w:val="42621029"/>
    <w:rsid w:val="4285541F"/>
    <w:rsid w:val="42E371E5"/>
    <w:rsid w:val="43076D23"/>
    <w:rsid w:val="43244531"/>
    <w:rsid w:val="435241E2"/>
    <w:rsid w:val="437870FF"/>
    <w:rsid w:val="43975C51"/>
    <w:rsid w:val="439E3FA7"/>
    <w:rsid w:val="43C024AB"/>
    <w:rsid w:val="43EC32A0"/>
    <w:rsid w:val="44B32266"/>
    <w:rsid w:val="44C4124C"/>
    <w:rsid w:val="44D2693A"/>
    <w:rsid w:val="44FC64F4"/>
    <w:rsid w:val="45723C79"/>
    <w:rsid w:val="45BC4EF4"/>
    <w:rsid w:val="45C75D73"/>
    <w:rsid w:val="46396545"/>
    <w:rsid w:val="467F4585"/>
    <w:rsid w:val="468A6DA0"/>
    <w:rsid w:val="469519CD"/>
    <w:rsid w:val="46DD3374"/>
    <w:rsid w:val="46E2098A"/>
    <w:rsid w:val="470628CB"/>
    <w:rsid w:val="474B5445"/>
    <w:rsid w:val="47555BD4"/>
    <w:rsid w:val="4766336A"/>
    <w:rsid w:val="478A7053"/>
    <w:rsid w:val="47A3636C"/>
    <w:rsid w:val="47E96399"/>
    <w:rsid w:val="481C1C7A"/>
    <w:rsid w:val="48696F5E"/>
    <w:rsid w:val="48945CB4"/>
    <w:rsid w:val="48BD345D"/>
    <w:rsid w:val="48E12B50"/>
    <w:rsid w:val="492B6619"/>
    <w:rsid w:val="49552EA8"/>
    <w:rsid w:val="497C50C6"/>
    <w:rsid w:val="499441BE"/>
    <w:rsid w:val="499A6C1C"/>
    <w:rsid w:val="49A60395"/>
    <w:rsid w:val="49B44860"/>
    <w:rsid w:val="4A064990"/>
    <w:rsid w:val="4A1E0464"/>
    <w:rsid w:val="4A2138F0"/>
    <w:rsid w:val="4A5120AF"/>
    <w:rsid w:val="4A583887"/>
    <w:rsid w:val="4A745D9D"/>
    <w:rsid w:val="4A8741CA"/>
    <w:rsid w:val="4A8F2BD7"/>
    <w:rsid w:val="4AB4263E"/>
    <w:rsid w:val="4AC7411F"/>
    <w:rsid w:val="4AF15640"/>
    <w:rsid w:val="4B520BF6"/>
    <w:rsid w:val="4B773841"/>
    <w:rsid w:val="4B9009B5"/>
    <w:rsid w:val="4B9F6E02"/>
    <w:rsid w:val="4C6E5600"/>
    <w:rsid w:val="4C89637B"/>
    <w:rsid w:val="4CA50490"/>
    <w:rsid w:val="4CA74208"/>
    <w:rsid w:val="4CD82614"/>
    <w:rsid w:val="4D1D271C"/>
    <w:rsid w:val="4D7560B4"/>
    <w:rsid w:val="4D97427D"/>
    <w:rsid w:val="4DE1199C"/>
    <w:rsid w:val="4DE82D2A"/>
    <w:rsid w:val="4E037B64"/>
    <w:rsid w:val="4E3917D8"/>
    <w:rsid w:val="4E595CE0"/>
    <w:rsid w:val="4E6E48A8"/>
    <w:rsid w:val="4EA03605"/>
    <w:rsid w:val="4EDB3AAB"/>
    <w:rsid w:val="4EEC036B"/>
    <w:rsid w:val="4EF92D15"/>
    <w:rsid w:val="4F7D1610"/>
    <w:rsid w:val="4F8031E5"/>
    <w:rsid w:val="4FD95020"/>
    <w:rsid w:val="501D2673"/>
    <w:rsid w:val="50224C09"/>
    <w:rsid w:val="50573E5A"/>
    <w:rsid w:val="50591CBD"/>
    <w:rsid w:val="50C80BF1"/>
    <w:rsid w:val="513444D8"/>
    <w:rsid w:val="513D15DF"/>
    <w:rsid w:val="51452242"/>
    <w:rsid w:val="51695F30"/>
    <w:rsid w:val="516A7EFA"/>
    <w:rsid w:val="51852833"/>
    <w:rsid w:val="51A67184"/>
    <w:rsid w:val="51AE428B"/>
    <w:rsid w:val="51BC0756"/>
    <w:rsid w:val="51C15D6C"/>
    <w:rsid w:val="51DB1BB9"/>
    <w:rsid w:val="521C7446"/>
    <w:rsid w:val="526E7576"/>
    <w:rsid w:val="5292175C"/>
    <w:rsid w:val="52C673B2"/>
    <w:rsid w:val="52DB2E5E"/>
    <w:rsid w:val="52EA3B7F"/>
    <w:rsid w:val="52F11AC8"/>
    <w:rsid w:val="5314255F"/>
    <w:rsid w:val="53202F66"/>
    <w:rsid w:val="533662E6"/>
    <w:rsid w:val="534704F3"/>
    <w:rsid w:val="534F49D9"/>
    <w:rsid w:val="53555F0F"/>
    <w:rsid w:val="535D23D5"/>
    <w:rsid w:val="536C61AC"/>
    <w:rsid w:val="53723CD6"/>
    <w:rsid w:val="538D69F3"/>
    <w:rsid w:val="53963229"/>
    <w:rsid w:val="53CB1124"/>
    <w:rsid w:val="54324CFF"/>
    <w:rsid w:val="54B24092"/>
    <w:rsid w:val="554A6079"/>
    <w:rsid w:val="555D5DAC"/>
    <w:rsid w:val="5599336B"/>
    <w:rsid w:val="561843C9"/>
    <w:rsid w:val="56332621"/>
    <w:rsid w:val="568451E8"/>
    <w:rsid w:val="56982E14"/>
    <w:rsid w:val="56F4341A"/>
    <w:rsid w:val="572A5116"/>
    <w:rsid w:val="575A7321"/>
    <w:rsid w:val="578F06BB"/>
    <w:rsid w:val="57A316AD"/>
    <w:rsid w:val="57E74053"/>
    <w:rsid w:val="580C3AB9"/>
    <w:rsid w:val="58134E48"/>
    <w:rsid w:val="583C7AE0"/>
    <w:rsid w:val="58405511"/>
    <w:rsid w:val="584274DB"/>
    <w:rsid w:val="585316E8"/>
    <w:rsid w:val="586C1E9A"/>
    <w:rsid w:val="586C27AA"/>
    <w:rsid w:val="586E0800"/>
    <w:rsid w:val="58823D7B"/>
    <w:rsid w:val="58BB5724"/>
    <w:rsid w:val="58FC1D80"/>
    <w:rsid w:val="59103135"/>
    <w:rsid w:val="59162E41"/>
    <w:rsid w:val="59216F96"/>
    <w:rsid w:val="593B4EC0"/>
    <w:rsid w:val="59521812"/>
    <w:rsid w:val="59525DE4"/>
    <w:rsid w:val="596D2336"/>
    <w:rsid w:val="597E4543"/>
    <w:rsid w:val="59886BA2"/>
    <w:rsid w:val="598C4145"/>
    <w:rsid w:val="59957D1B"/>
    <w:rsid w:val="59A73760"/>
    <w:rsid w:val="59C50460"/>
    <w:rsid w:val="59D4294E"/>
    <w:rsid w:val="59E56370"/>
    <w:rsid w:val="5A90452E"/>
    <w:rsid w:val="5ABF12B7"/>
    <w:rsid w:val="5AEE56F8"/>
    <w:rsid w:val="5AF947C9"/>
    <w:rsid w:val="5B01367D"/>
    <w:rsid w:val="5B2867BC"/>
    <w:rsid w:val="5B634312"/>
    <w:rsid w:val="5B8D3163"/>
    <w:rsid w:val="5B9462A0"/>
    <w:rsid w:val="5B9A17AE"/>
    <w:rsid w:val="5B9D2CCD"/>
    <w:rsid w:val="5B9E71EA"/>
    <w:rsid w:val="5BEA7974"/>
    <w:rsid w:val="5BF925A6"/>
    <w:rsid w:val="5C423F4D"/>
    <w:rsid w:val="5C9127DF"/>
    <w:rsid w:val="5CBF7984"/>
    <w:rsid w:val="5D4810F0"/>
    <w:rsid w:val="5D4C2EF3"/>
    <w:rsid w:val="5D647EF4"/>
    <w:rsid w:val="5D682F18"/>
    <w:rsid w:val="5DDB01B6"/>
    <w:rsid w:val="5E226FBC"/>
    <w:rsid w:val="5E2356B9"/>
    <w:rsid w:val="5E3873B6"/>
    <w:rsid w:val="5E602469"/>
    <w:rsid w:val="5EB84053"/>
    <w:rsid w:val="5EE83EBE"/>
    <w:rsid w:val="5EEA5E68"/>
    <w:rsid w:val="5EF05EE3"/>
    <w:rsid w:val="5F047298"/>
    <w:rsid w:val="5F1871E8"/>
    <w:rsid w:val="5FC058B5"/>
    <w:rsid w:val="5FE72BD2"/>
    <w:rsid w:val="60120613"/>
    <w:rsid w:val="60575AEE"/>
    <w:rsid w:val="60591866"/>
    <w:rsid w:val="60673F83"/>
    <w:rsid w:val="607246D5"/>
    <w:rsid w:val="609808DC"/>
    <w:rsid w:val="60A56859"/>
    <w:rsid w:val="611D0AE5"/>
    <w:rsid w:val="611F4533"/>
    <w:rsid w:val="612400C6"/>
    <w:rsid w:val="61363955"/>
    <w:rsid w:val="61720E31"/>
    <w:rsid w:val="617248B3"/>
    <w:rsid w:val="618D5292"/>
    <w:rsid w:val="622A170C"/>
    <w:rsid w:val="622B272B"/>
    <w:rsid w:val="622B33AF"/>
    <w:rsid w:val="622E78FA"/>
    <w:rsid w:val="625A7327"/>
    <w:rsid w:val="626369CC"/>
    <w:rsid w:val="62972B7A"/>
    <w:rsid w:val="62CA25A7"/>
    <w:rsid w:val="62D60F4C"/>
    <w:rsid w:val="62F022F5"/>
    <w:rsid w:val="63100901"/>
    <w:rsid w:val="63163A3E"/>
    <w:rsid w:val="63343F70"/>
    <w:rsid w:val="63520F1A"/>
    <w:rsid w:val="636D5D54"/>
    <w:rsid w:val="63A744C1"/>
    <w:rsid w:val="63F052D0"/>
    <w:rsid w:val="64296E1C"/>
    <w:rsid w:val="643B19AE"/>
    <w:rsid w:val="645C1924"/>
    <w:rsid w:val="64734FEE"/>
    <w:rsid w:val="649E64A2"/>
    <w:rsid w:val="64BB489D"/>
    <w:rsid w:val="65044496"/>
    <w:rsid w:val="654A0B9D"/>
    <w:rsid w:val="65CE23AE"/>
    <w:rsid w:val="65E5270A"/>
    <w:rsid w:val="66187ACD"/>
    <w:rsid w:val="663D3C54"/>
    <w:rsid w:val="667440DC"/>
    <w:rsid w:val="66862C89"/>
    <w:rsid w:val="668B146C"/>
    <w:rsid w:val="668E38F1"/>
    <w:rsid w:val="6692787F"/>
    <w:rsid w:val="66BB486D"/>
    <w:rsid w:val="66D659BE"/>
    <w:rsid w:val="66FC2F4B"/>
    <w:rsid w:val="67394C7D"/>
    <w:rsid w:val="67A2130F"/>
    <w:rsid w:val="67C27CF0"/>
    <w:rsid w:val="67DD2D7C"/>
    <w:rsid w:val="68126B38"/>
    <w:rsid w:val="68291A1A"/>
    <w:rsid w:val="68352BB8"/>
    <w:rsid w:val="68572B2F"/>
    <w:rsid w:val="68914293"/>
    <w:rsid w:val="68994EF5"/>
    <w:rsid w:val="68F24605"/>
    <w:rsid w:val="691B1594"/>
    <w:rsid w:val="69342E70"/>
    <w:rsid w:val="693A016B"/>
    <w:rsid w:val="69472BA3"/>
    <w:rsid w:val="694F3806"/>
    <w:rsid w:val="698C6909"/>
    <w:rsid w:val="69A51678"/>
    <w:rsid w:val="6A17429C"/>
    <w:rsid w:val="6A567EA3"/>
    <w:rsid w:val="6AAB0F10"/>
    <w:rsid w:val="6B4B4368"/>
    <w:rsid w:val="6B5275DD"/>
    <w:rsid w:val="6B79100E"/>
    <w:rsid w:val="6B99331C"/>
    <w:rsid w:val="6BB12556"/>
    <w:rsid w:val="6BD80EE5"/>
    <w:rsid w:val="6BDD21BA"/>
    <w:rsid w:val="6BE272A9"/>
    <w:rsid w:val="6C372A78"/>
    <w:rsid w:val="6C621AA2"/>
    <w:rsid w:val="6C844C00"/>
    <w:rsid w:val="6CBA48BC"/>
    <w:rsid w:val="6D036DE1"/>
    <w:rsid w:val="6D6F45CA"/>
    <w:rsid w:val="6DDD5884"/>
    <w:rsid w:val="6DE210EC"/>
    <w:rsid w:val="6E10212C"/>
    <w:rsid w:val="6E43561A"/>
    <w:rsid w:val="6E557973"/>
    <w:rsid w:val="6E9568DB"/>
    <w:rsid w:val="6EB72579"/>
    <w:rsid w:val="6ECB1B2D"/>
    <w:rsid w:val="6F0D6C22"/>
    <w:rsid w:val="6F2E3EBD"/>
    <w:rsid w:val="6F307C36"/>
    <w:rsid w:val="6F47657F"/>
    <w:rsid w:val="6F501EB1"/>
    <w:rsid w:val="6F6049BF"/>
    <w:rsid w:val="6F8A1A3C"/>
    <w:rsid w:val="6FA128E1"/>
    <w:rsid w:val="6FAF23D9"/>
    <w:rsid w:val="70384FF4"/>
    <w:rsid w:val="705B5186"/>
    <w:rsid w:val="70635CF6"/>
    <w:rsid w:val="70670707"/>
    <w:rsid w:val="70741DA4"/>
    <w:rsid w:val="70980188"/>
    <w:rsid w:val="709A3F00"/>
    <w:rsid w:val="709D3531"/>
    <w:rsid w:val="70DB5DA0"/>
    <w:rsid w:val="70F27898"/>
    <w:rsid w:val="71125059"/>
    <w:rsid w:val="712612F0"/>
    <w:rsid w:val="716A4FBF"/>
    <w:rsid w:val="71A4709A"/>
    <w:rsid w:val="720E3691"/>
    <w:rsid w:val="721A11FE"/>
    <w:rsid w:val="72473C14"/>
    <w:rsid w:val="724E244C"/>
    <w:rsid w:val="72A42E14"/>
    <w:rsid w:val="72A852AD"/>
    <w:rsid w:val="72DA6946"/>
    <w:rsid w:val="72F35B4A"/>
    <w:rsid w:val="732301DD"/>
    <w:rsid w:val="732764B3"/>
    <w:rsid w:val="735F7AEC"/>
    <w:rsid w:val="737E18B7"/>
    <w:rsid w:val="73F12089"/>
    <w:rsid w:val="74026044"/>
    <w:rsid w:val="74393A30"/>
    <w:rsid w:val="743C0E2B"/>
    <w:rsid w:val="74746410"/>
    <w:rsid w:val="75B95B1A"/>
    <w:rsid w:val="75D94B83"/>
    <w:rsid w:val="75E5007C"/>
    <w:rsid w:val="75E659CC"/>
    <w:rsid w:val="75EA4FE2"/>
    <w:rsid w:val="76191423"/>
    <w:rsid w:val="76553877"/>
    <w:rsid w:val="76946CFC"/>
    <w:rsid w:val="775F37AE"/>
    <w:rsid w:val="775F555C"/>
    <w:rsid w:val="77813724"/>
    <w:rsid w:val="77861774"/>
    <w:rsid w:val="77FC2DAB"/>
    <w:rsid w:val="783A241E"/>
    <w:rsid w:val="78E11F34"/>
    <w:rsid w:val="78F31435"/>
    <w:rsid w:val="79300B45"/>
    <w:rsid w:val="794C03EA"/>
    <w:rsid w:val="794C6138"/>
    <w:rsid w:val="794D3E18"/>
    <w:rsid w:val="795135CA"/>
    <w:rsid w:val="79607369"/>
    <w:rsid w:val="798412AA"/>
    <w:rsid w:val="799A0ACD"/>
    <w:rsid w:val="79BF0534"/>
    <w:rsid w:val="79F3729A"/>
    <w:rsid w:val="79FA156C"/>
    <w:rsid w:val="7A230AC3"/>
    <w:rsid w:val="7A340F22"/>
    <w:rsid w:val="7A4D3D91"/>
    <w:rsid w:val="7A880722"/>
    <w:rsid w:val="7ACB0498"/>
    <w:rsid w:val="7AD973D3"/>
    <w:rsid w:val="7AED0B4D"/>
    <w:rsid w:val="7B000E04"/>
    <w:rsid w:val="7B5F5B2A"/>
    <w:rsid w:val="7B7610C6"/>
    <w:rsid w:val="7BA23C69"/>
    <w:rsid w:val="7BD04C7A"/>
    <w:rsid w:val="7C1E4487"/>
    <w:rsid w:val="7C215E02"/>
    <w:rsid w:val="7C745605"/>
    <w:rsid w:val="7C7F5DE4"/>
    <w:rsid w:val="7CA67C38"/>
    <w:rsid w:val="7CC83BA3"/>
    <w:rsid w:val="7CF23764"/>
    <w:rsid w:val="7D285992"/>
    <w:rsid w:val="7D4476CE"/>
    <w:rsid w:val="7D5176F5"/>
    <w:rsid w:val="7D6815C0"/>
    <w:rsid w:val="7DF509C8"/>
    <w:rsid w:val="7E797F74"/>
    <w:rsid w:val="7E7E09BD"/>
    <w:rsid w:val="7E9975A5"/>
    <w:rsid w:val="7EC64112"/>
    <w:rsid w:val="7EC65EC0"/>
    <w:rsid w:val="7ED700CE"/>
    <w:rsid w:val="7EDC7492"/>
    <w:rsid w:val="7F141322"/>
    <w:rsid w:val="7F2B413E"/>
    <w:rsid w:val="7F74591C"/>
    <w:rsid w:val="7F924011"/>
    <w:rsid w:val="7FC52DC2"/>
    <w:rsid w:val="7FF64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 w:type="paragraph" w:styleId="18">
    <w:name w:val="List Paragraph"/>
    <w:basedOn w:val="1"/>
    <w:qFormat/>
    <w:uiPriority w:val="99"/>
    <w:pPr>
      <w:spacing w:line="560" w:lineRule="exact"/>
      <w:ind w:firstLine="420"/>
    </w:pPr>
    <w:rPr>
      <w:rFonts w:ascii="仿宋" w:hAnsi="仿宋" w:eastAsia="仿宋"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15457</Words>
  <Characters>16577</Characters>
  <Lines>0</Lines>
  <Paragraphs>0</Paragraphs>
  <TotalTime>1</TotalTime>
  <ScaleCrop>false</ScaleCrop>
  <LinksUpToDate>false</LinksUpToDate>
  <CharactersWithSpaces>16678</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2024-12-13T02:45:04Z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A03A25C949F54780ABAB8EA91DA10740_13</vt:lpwstr>
  </property>
</Properties>
</file>