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9E12D8">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3707FD1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88E8D7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5578F5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ascii="宋体" w:hAnsi="宋体" w:eastAsia="宋体" w:cs="宋体"/>
          <w:b/>
          <w:bCs/>
          <w:color w:val="auto"/>
          <w:sz w:val="40"/>
          <w:szCs w:val="40"/>
          <w:highlight w:val="none"/>
          <w:shd w:val="clear" w:color="auto" w:fill="auto"/>
          <w:lang w:val="en-US" w:eastAsia="zh-CN"/>
        </w:rPr>
        <w:t>昌州财教【2021】72号关于提前下达2022年新疆西藏等地区教育特殊补助资金预算的通知</w:t>
      </w:r>
    </w:p>
    <w:p w14:paraId="28F885D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42D4FBB0">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131D15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1E239E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38ED5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209E2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CFF768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FF67054">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389ADB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965" w:leftChars="200" w:hanging="1405" w:hangingChars="5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项目名称：昌州财教【2021】72号关于提前下达2022年新疆西藏等地区教育特殊补助资金预算的通知</w:t>
      </w:r>
    </w:p>
    <w:p w14:paraId="179D48F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阜康市城关镇中心幼儿园</w:t>
      </w:r>
    </w:p>
    <w:p w14:paraId="0E0D66B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sdt>
      <w:sdtPr>
        <w:rPr>
          <w:rFonts w:ascii="宋体" w:hAnsi="宋体" w:eastAsia="宋体" w:cs="宋体"/>
          <w:b/>
          <w:bCs/>
          <w:color w:val="auto"/>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lang w:val="en-US" w:eastAsia="zh-CN" w:bidi="ar-SA"/>
        </w:rPr>
      </w:sdtEndPr>
      <w:sdtContent>
        <w:p w14:paraId="03BA1DF5">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rPr>
          </w:pPr>
          <w:r>
            <w:rPr>
              <w:rFonts w:ascii="宋体" w:hAnsi="宋体" w:eastAsia="宋体"/>
              <w:b/>
              <w:bCs/>
              <w:color w:val="auto"/>
              <w:sz w:val="40"/>
              <w:szCs w:val="40"/>
            </w:rPr>
            <w:t>目录</w:t>
          </w:r>
        </w:p>
        <w:p w14:paraId="426808D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TOC \o "1-3" \h \u </w:instrText>
          </w:r>
          <w:r>
            <w:rPr>
              <w:rFonts w:hint="eastAsia"/>
              <w:color w:val="auto"/>
              <w:sz w:val="28"/>
              <w:szCs w:val="28"/>
              <w:lang w:val="en-US" w:eastAsia="zh-CN"/>
            </w:rPr>
            <w:fldChar w:fldCharType="separate"/>
          </w:r>
        </w:p>
        <w:p w14:paraId="2D0105A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_Toc17540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rPr>
            <w:tab/>
          </w:r>
          <w:r>
            <w:rPr>
              <w:b/>
              <w:bCs/>
              <w:color w:val="auto"/>
              <w:sz w:val="28"/>
              <w:szCs w:val="28"/>
            </w:rPr>
            <w:fldChar w:fldCharType="begin"/>
          </w:r>
          <w:r>
            <w:rPr>
              <w:b/>
              <w:bCs/>
              <w:color w:val="auto"/>
              <w:sz w:val="28"/>
              <w:szCs w:val="28"/>
            </w:rPr>
            <w:instrText xml:space="preserve"> PAGEREF _Toc17540 \h </w:instrText>
          </w:r>
          <w:r>
            <w:rPr>
              <w:b/>
              <w:bCs/>
              <w:color w:val="auto"/>
              <w:sz w:val="28"/>
              <w:szCs w:val="28"/>
            </w:rPr>
            <w:fldChar w:fldCharType="separate"/>
          </w:r>
          <w:r>
            <w:rPr>
              <w:b/>
              <w:bCs/>
              <w:color w:val="auto"/>
              <w:sz w:val="28"/>
              <w:szCs w:val="28"/>
            </w:rPr>
            <w:t>1</w:t>
          </w:r>
          <w:r>
            <w:rPr>
              <w:b/>
              <w:bCs/>
              <w:color w:val="auto"/>
              <w:sz w:val="28"/>
              <w:szCs w:val="28"/>
            </w:rPr>
            <w:fldChar w:fldCharType="end"/>
          </w:r>
          <w:r>
            <w:rPr>
              <w:rFonts w:hint="eastAsia"/>
              <w:b/>
              <w:bCs/>
              <w:color w:val="auto"/>
              <w:sz w:val="28"/>
              <w:szCs w:val="28"/>
              <w:lang w:val="en-US" w:eastAsia="zh-CN"/>
            </w:rPr>
            <w:fldChar w:fldCharType="end"/>
          </w:r>
        </w:p>
        <w:p w14:paraId="1B81AF7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_Toc18966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rPr>
            <w:tab/>
          </w:r>
          <w:r>
            <w:rPr>
              <w:color w:val="auto"/>
              <w:sz w:val="28"/>
              <w:szCs w:val="28"/>
            </w:rPr>
            <w:fldChar w:fldCharType="begin"/>
          </w:r>
          <w:r>
            <w:rPr>
              <w:color w:val="auto"/>
              <w:sz w:val="28"/>
              <w:szCs w:val="28"/>
            </w:rPr>
            <w:instrText xml:space="preserve"> PAGEREF _Toc18966 \h </w:instrText>
          </w:r>
          <w:r>
            <w:rPr>
              <w:color w:val="auto"/>
              <w:sz w:val="28"/>
              <w:szCs w:val="28"/>
            </w:rPr>
            <w:fldChar w:fldCharType="separate"/>
          </w:r>
          <w:r>
            <w:rPr>
              <w:color w:val="auto"/>
              <w:sz w:val="28"/>
              <w:szCs w:val="28"/>
            </w:rPr>
            <w:t>1</w:t>
          </w:r>
          <w:r>
            <w:rPr>
              <w:color w:val="auto"/>
              <w:sz w:val="28"/>
              <w:szCs w:val="28"/>
            </w:rPr>
            <w:fldChar w:fldCharType="end"/>
          </w:r>
          <w:r>
            <w:rPr>
              <w:rFonts w:hint="eastAsia"/>
              <w:color w:val="auto"/>
              <w:sz w:val="28"/>
              <w:szCs w:val="28"/>
              <w:lang w:val="en-US" w:eastAsia="zh-CN"/>
            </w:rPr>
            <w:fldChar w:fldCharType="end"/>
          </w:r>
        </w:p>
        <w:p w14:paraId="000C8AA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_Toc2879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rPr>
            <w:tab/>
          </w:r>
          <w:r>
            <w:rPr>
              <w:color w:val="auto"/>
              <w:sz w:val="28"/>
              <w:szCs w:val="28"/>
            </w:rPr>
            <w:fldChar w:fldCharType="begin"/>
          </w:r>
          <w:r>
            <w:rPr>
              <w:color w:val="auto"/>
              <w:sz w:val="28"/>
              <w:szCs w:val="28"/>
            </w:rPr>
            <w:instrText xml:space="preserve"> PAGEREF _Toc2879 \h </w:instrText>
          </w:r>
          <w:r>
            <w:rPr>
              <w:color w:val="auto"/>
              <w:sz w:val="28"/>
              <w:szCs w:val="28"/>
            </w:rPr>
            <w:fldChar w:fldCharType="separate"/>
          </w:r>
          <w:r>
            <w:rPr>
              <w:color w:val="auto"/>
              <w:sz w:val="28"/>
              <w:szCs w:val="28"/>
            </w:rPr>
            <w:t>2</w:t>
          </w:r>
          <w:r>
            <w:rPr>
              <w:color w:val="auto"/>
              <w:sz w:val="28"/>
              <w:szCs w:val="28"/>
            </w:rPr>
            <w:fldChar w:fldCharType="end"/>
          </w:r>
          <w:r>
            <w:rPr>
              <w:rFonts w:hint="eastAsia"/>
              <w:color w:val="auto"/>
              <w:sz w:val="28"/>
              <w:szCs w:val="28"/>
              <w:lang w:val="en-US" w:eastAsia="zh-CN"/>
            </w:rPr>
            <w:fldChar w:fldCharType="end"/>
          </w:r>
        </w:p>
        <w:p w14:paraId="064C649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_Toc2549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rPr>
            <w:tab/>
          </w:r>
          <w:r>
            <w:rPr>
              <w:b/>
              <w:bCs/>
              <w:color w:val="auto"/>
              <w:sz w:val="28"/>
              <w:szCs w:val="28"/>
            </w:rPr>
            <w:fldChar w:fldCharType="begin"/>
          </w:r>
          <w:r>
            <w:rPr>
              <w:b/>
              <w:bCs/>
              <w:color w:val="auto"/>
              <w:sz w:val="28"/>
              <w:szCs w:val="28"/>
            </w:rPr>
            <w:instrText xml:space="preserve"> PAGEREF _Toc2549 \h </w:instrText>
          </w:r>
          <w:r>
            <w:rPr>
              <w:b/>
              <w:bCs/>
              <w:color w:val="auto"/>
              <w:sz w:val="28"/>
              <w:szCs w:val="28"/>
            </w:rPr>
            <w:fldChar w:fldCharType="separate"/>
          </w:r>
          <w:r>
            <w:rPr>
              <w:b/>
              <w:bCs/>
              <w:color w:val="auto"/>
              <w:sz w:val="28"/>
              <w:szCs w:val="28"/>
            </w:rPr>
            <w:t>4</w:t>
          </w:r>
          <w:r>
            <w:rPr>
              <w:b/>
              <w:bCs/>
              <w:color w:val="auto"/>
              <w:sz w:val="28"/>
              <w:szCs w:val="28"/>
            </w:rPr>
            <w:fldChar w:fldCharType="end"/>
          </w:r>
          <w:r>
            <w:rPr>
              <w:rFonts w:hint="eastAsia"/>
              <w:b/>
              <w:bCs/>
              <w:color w:val="auto"/>
              <w:sz w:val="28"/>
              <w:szCs w:val="28"/>
              <w:lang w:val="en-US" w:eastAsia="zh-CN"/>
            </w:rPr>
            <w:fldChar w:fldCharType="end"/>
          </w:r>
        </w:p>
        <w:p w14:paraId="2B30CE9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_Toc21778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rPr>
            <w:tab/>
          </w:r>
          <w:r>
            <w:rPr>
              <w:color w:val="auto"/>
              <w:sz w:val="28"/>
              <w:szCs w:val="28"/>
            </w:rPr>
            <w:fldChar w:fldCharType="begin"/>
          </w:r>
          <w:r>
            <w:rPr>
              <w:color w:val="auto"/>
              <w:sz w:val="28"/>
              <w:szCs w:val="28"/>
            </w:rPr>
            <w:instrText xml:space="preserve"> PAGEREF _Toc21778 \h </w:instrText>
          </w:r>
          <w:r>
            <w:rPr>
              <w:color w:val="auto"/>
              <w:sz w:val="28"/>
              <w:szCs w:val="28"/>
            </w:rPr>
            <w:fldChar w:fldCharType="separate"/>
          </w:r>
          <w:r>
            <w:rPr>
              <w:color w:val="auto"/>
              <w:sz w:val="28"/>
              <w:szCs w:val="28"/>
            </w:rPr>
            <w:t>4</w:t>
          </w:r>
          <w:r>
            <w:rPr>
              <w:color w:val="auto"/>
              <w:sz w:val="28"/>
              <w:szCs w:val="28"/>
            </w:rPr>
            <w:fldChar w:fldCharType="end"/>
          </w:r>
          <w:r>
            <w:rPr>
              <w:rFonts w:hint="eastAsia"/>
              <w:color w:val="auto"/>
              <w:sz w:val="28"/>
              <w:szCs w:val="28"/>
              <w:lang w:val="en-US" w:eastAsia="zh-CN"/>
            </w:rPr>
            <w:fldChar w:fldCharType="end"/>
          </w:r>
        </w:p>
        <w:p w14:paraId="5CBD221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_Toc15902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rPr>
            <w:tab/>
          </w:r>
          <w:r>
            <w:rPr>
              <w:color w:val="auto"/>
              <w:sz w:val="28"/>
              <w:szCs w:val="28"/>
            </w:rPr>
            <w:fldChar w:fldCharType="begin"/>
          </w:r>
          <w:r>
            <w:rPr>
              <w:color w:val="auto"/>
              <w:sz w:val="28"/>
              <w:szCs w:val="28"/>
            </w:rPr>
            <w:instrText xml:space="preserve"> PAGEREF _Toc15902 \h </w:instrText>
          </w:r>
          <w:r>
            <w:rPr>
              <w:color w:val="auto"/>
              <w:sz w:val="28"/>
              <w:szCs w:val="28"/>
            </w:rPr>
            <w:fldChar w:fldCharType="separate"/>
          </w:r>
          <w:r>
            <w:rPr>
              <w:color w:val="auto"/>
              <w:sz w:val="28"/>
              <w:szCs w:val="28"/>
            </w:rPr>
            <w:t>5</w:t>
          </w:r>
          <w:r>
            <w:rPr>
              <w:color w:val="auto"/>
              <w:sz w:val="28"/>
              <w:szCs w:val="28"/>
            </w:rPr>
            <w:fldChar w:fldCharType="end"/>
          </w:r>
          <w:r>
            <w:rPr>
              <w:rFonts w:hint="eastAsia"/>
              <w:color w:val="auto"/>
              <w:sz w:val="28"/>
              <w:szCs w:val="28"/>
              <w:lang w:val="en-US" w:eastAsia="zh-CN"/>
            </w:rPr>
            <w:fldChar w:fldCharType="end"/>
          </w:r>
        </w:p>
        <w:p w14:paraId="45EEE046">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_Toc1070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rPr>
            <w:tab/>
          </w:r>
          <w:r>
            <w:rPr>
              <w:color w:val="auto"/>
              <w:sz w:val="28"/>
              <w:szCs w:val="28"/>
            </w:rPr>
            <w:fldChar w:fldCharType="begin"/>
          </w:r>
          <w:r>
            <w:rPr>
              <w:color w:val="auto"/>
              <w:sz w:val="28"/>
              <w:szCs w:val="28"/>
            </w:rPr>
            <w:instrText xml:space="preserve"> PAGEREF _Toc1070 \h </w:instrText>
          </w:r>
          <w:r>
            <w:rPr>
              <w:color w:val="auto"/>
              <w:sz w:val="28"/>
              <w:szCs w:val="28"/>
            </w:rPr>
            <w:fldChar w:fldCharType="separate"/>
          </w:r>
          <w:r>
            <w:rPr>
              <w:color w:val="auto"/>
              <w:sz w:val="28"/>
              <w:szCs w:val="28"/>
            </w:rPr>
            <w:t>9</w:t>
          </w:r>
          <w:r>
            <w:rPr>
              <w:color w:val="auto"/>
              <w:sz w:val="28"/>
              <w:szCs w:val="28"/>
            </w:rPr>
            <w:fldChar w:fldCharType="end"/>
          </w:r>
          <w:r>
            <w:rPr>
              <w:rFonts w:hint="eastAsia"/>
              <w:color w:val="auto"/>
              <w:sz w:val="28"/>
              <w:szCs w:val="28"/>
              <w:lang w:val="en-US" w:eastAsia="zh-CN"/>
            </w:rPr>
            <w:fldChar w:fldCharType="end"/>
          </w:r>
        </w:p>
        <w:p w14:paraId="52FFCBF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_Toc1100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rPr>
            <w:tab/>
          </w:r>
          <w:r>
            <w:rPr>
              <w:b/>
              <w:bCs/>
              <w:color w:val="auto"/>
              <w:sz w:val="28"/>
              <w:szCs w:val="28"/>
            </w:rPr>
            <w:fldChar w:fldCharType="begin"/>
          </w:r>
          <w:r>
            <w:rPr>
              <w:b/>
              <w:bCs/>
              <w:color w:val="auto"/>
              <w:sz w:val="28"/>
              <w:szCs w:val="28"/>
            </w:rPr>
            <w:instrText xml:space="preserve"> PAGEREF _Toc1100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14:paraId="04E36E9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_Toc9421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rPr>
            <w:tab/>
          </w:r>
          <w:r>
            <w:rPr>
              <w:b/>
              <w:bCs/>
              <w:color w:val="auto"/>
              <w:sz w:val="28"/>
              <w:szCs w:val="28"/>
            </w:rPr>
            <w:fldChar w:fldCharType="begin"/>
          </w:r>
          <w:r>
            <w:rPr>
              <w:b/>
              <w:bCs/>
              <w:color w:val="auto"/>
              <w:sz w:val="28"/>
              <w:szCs w:val="28"/>
            </w:rPr>
            <w:instrText xml:space="preserve"> PAGEREF _Toc9421 \h </w:instrText>
          </w:r>
          <w:r>
            <w:rPr>
              <w:b/>
              <w:bCs/>
              <w:color w:val="auto"/>
              <w:sz w:val="28"/>
              <w:szCs w:val="28"/>
            </w:rPr>
            <w:fldChar w:fldCharType="separate"/>
          </w:r>
          <w:r>
            <w:rPr>
              <w:b/>
              <w:bCs/>
              <w:color w:val="auto"/>
              <w:sz w:val="28"/>
              <w:szCs w:val="28"/>
            </w:rPr>
            <w:t>12</w:t>
          </w:r>
          <w:r>
            <w:rPr>
              <w:b/>
              <w:bCs/>
              <w:color w:val="auto"/>
              <w:sz w:val="28"/>
              <w:szCs w:val="28"/>
            </w:rPr>
            <w:fldChar w:fldCharType="end"/>
          </w:r>
          <w:r>
            <w:rPr>
              <w:rFonts w:hint="eastAsia"/>
              <w:b/>
              <w:bCs/>
              <w:color w:val="auto"/>
              <w:sz w:val="28"/>
              <w:szCs w:val="28"/>
              <w:lang w:val="en-US" w:eastAsia="zh-CN"/>
            </w:rPr>
            <w:fldChar w:fldCharType="end"/>
          </w:r>
        </w:p>
        <w:p w14:paraId="783ECE4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_Toc15355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rPr>
            <w:tab/>
          </w:r>
          <w:r>
            <w:rPr>
              <w:color w:val="auto"/>
              <w:sz w:val="28"/>
              <w:szCs w:val="28"/>
            </w:rPr>
            <w:fldChar w:fldCharType="begin"/>
          </w:r>
          <w:r>
            <w:rPr>
              <w:color w:val="auto"/>
              <w:sz w:val="28"/>
              <w:szCs w:val="28"/>
            </w:rPr>
            <w:instrText xml:space="preserve"> PAGEREF _Toc15355 \h </w:instrText>
          </w:r>
          <w:r>
            <w:rPr>
              <w:color w:val="auto"/>
              <w:sz w:val="28"/>
              <w:szCs w:val="28"/>
            </w:rPr>
            <w:fldChar w:fldCharType="separate"/>
          </w:r>
          <w:r>
            <w:rPr>
              <w:color w:val="auto"/>
              <w:sz w:val="28"/>
              <w:szCs w:val="28"/>
            </w:rPr>
            <w:t>12</w:t>
          </w:r>
          <w:r>
            <w:rPr>
              <w:color w:val="auto"/>
              <w:sz w:val="28"/>
              <w:szCs w:val="28"/>
            </w:rPr>
            <w:fldChar w:fldCharType="end"/>
          </w:r>
          <w:r>
            <w:rPr>
              <w:rFonts w:hint="eastAsia"/>
              <w:color w:val="auto"/>
              <w:sz w:val="28"/>
              <w:szCs w:val="28"/>
              <w:lang w:val="en-US" w:eastAsia="zh-CN"/>
            </w:rPr>
            <w:fldChar w:fldCharType="end"/>
          </w:r>
        </w:p>
        <w:p w14:paraId="47332F6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_Toc11361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rPr>
            <w:tab/>
          </w:r>
          <w:r>
            <w:rPr>
              <w:color w:val="auto"/>
              <w:sz w:val="28"/>
              <w:szCs w:val="28"/>
            </w:rPr>
            <w:fldChar w:fldCharType="begin"/>
          </w:r>
          <w:r>
            <w:rPr>
              <w:color w:val="auto"/>
              <w:sz w:val="28"/>
              <w:szCs w:val="28"/>
            </w:rPr>
            <w:instrText xml:space="preserve"> PAGEREF _Toc11361 \h </w:instrText>
          </w:r>
          <w:r>
            <w:rPr>
              <w:color w:val="auto"/>
              <w:sz w:val="28"/>
              <w:szCs w:val="28"/>
            </w:rPr>
            <w:fldChar w:fldCharType="separate"/>
          </w:r>
          <w:r>
            <w:rPr>
              <w:color w:val="auto"/>
              <w:sz w:val="28"/>
              <w:szCs w:val="28"/>
            </w:rPr>
            <w:t>14</w:t>
          </w:r>
          <w:r>
            <w:rPr>
              <w:color w:val="auto"/>
              <w:sz w:val="28"/>
              <w:szCs w:val="28"/>
            </w:rPr>
            <w:fldChar w:fldCharType="end"/>
          </w:r>
          <w:r>
            <w:rPr>
              <w:rFonts w:hint="eastAsia"/>
              <w:color w:val="auto"/>
              <w:sz w:val="28"/>
              <w:szCs w:val="28"/>
              <w:lang w:val="en-US" w:eastAsia="zh-CN"/>
            </w:rPr>
            <w:fldChar w:fldCharType="end"/>
          </w:r>
        </w:p>
        <w:p w14:paraId="0BA10C3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_Toc16268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rPr>
            <w:tab/>
          </w:r>
          <w:r>
            <w:rPr>
              <w:color w:val="auto"/>
              <w:sz w:val="28"/>
              <w:szCs w:val="28"/>
            </w:rPr>
            <w:fldChar w:fldCharType="begin"/>
          </w:r>
          <w:r>
            <w:rPr>
              <w:color w:val="auto"/>
              <w:sz w:val="28"/>
              <w:szCs w:val="28"/>
            </w:rPr>
            <w:instrText xml:space="preserve"> PAGEREF _Toc16268 \h </w:instrText>
          </w:r>
          <w:r>
            <w:rPr>
              <w:color w:val="auto"/>
              <w:sz w:val="28"/>
              <w:szCs w:val="28"/>
            </w:rPr>
            <w:fldChar w:fldCharType="separate"/>
          </w:r>
          <w:r>
            <w:rPr>
              <w:color w:val="auto"/>
              <w:sz w:val="28"/>
              <w:szCs w:val="28"/>
            </w:rPr>
            <w:t>16</w:t>
          </w:r>
          <w:r>
            <w:rPr>
              <w:color w:val="auto"/>
              <w:sz w:val="28"/>
              <w:szCs w:val="28"/>
            </w:rPr>
            <w:fldChar w:fldCharType="end"/>
          </w:r>
          <w:r>
            <w:rPr>
              <w:rFonts w:hint="eastAsia"/>
              <w:color w:val="auto"/>
              <w:sz w:val="28"/>
              <w:szCs w:val="28"/>
              <w:lang w:val="en-US" w:eastAsia="zh-CN"/>
            </w:rPr>
            <w:fldChar w:fldCharType="end"/>
          </w:r>
        </w:p>
        <w:p w14:paraId="76D9B11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_Toc18446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rPr>
            <w:tab/>
          </w:r>
          <w:r>
            <w:rPr>
              <w:color w:val="auto"/>
              <w:sz w:val="28"/>
              <w:szCs w:val="28"/>
            </w:rPr>
            <w:fldChar w:fldCharType="begin"/>
          </w:r>
          <w:r>
            <w:rPr>
              <w:color w:val="auto"/>
              <w:sz w:val="28"/>
              <w:szCs w:val="28"/>
            </w:rPr>
            <w:instrText xml:space="preserve"> PAGEREF _Toc18446 \h </w:instrText>
          </w:r>
          <w:r>
            <w:rPr>
              <w:color w:val="auto"/>
              <w:sz w:val="28"/>
              <w:szCs w:val="28"/>
            </w:rPr>
            <w:fldChar w:fldCharType="separate"/>
          </w:r>
          <w:r>
            <w:rPr>
              <w:color w:val="auto"/>
              <w:sz w:val="28"/>
              <w:szCs w:val="28"/>
            </w:rPr>
            <w:t>18</w:t>
          </w:r>
          <w:r>
            <w:rPr>
              <w:color w:val="auto"/>
              <w:sz w:val="28"/>
              <w:szCs w:val="28"/>
            </w:rPr>
            <w:fldChar w:fldCharType="end"/>
          </w:r>
          <w:r>
            <w:rPr>
              <w:rFonts w:hint="eastAsia"/>
              <w:color w:val="auto"/>
              <w:sz w:val="28"/>
              <w:szCs w:val="28"/>
              <w:lang w:val="en-US" w:eastAsia="zh-CN"/>
            </w:rPr>
            <w:fldChar w:fldCharType="end"/>
          </w:r>
        </w:p>
        <w:p w14:paraId="3D7E9B9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_Toc19962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rPr>
            <w:tab/>
          </w:r>
          <w:r>
            <w:rPr>
              <w:b/>
              <w:bCs/>
              <w:color w:val="auto"/>
              <w:sz w:val="28"/>
              <w:szCs w:val="28"/>
            </w:rPr>
            <w:fldChar w:fldCharType="begin"/>
          </w:r>
          <w:r>
            <w:rPr>
              <w:b/>
              <w:bCs/>
              <w:color w:val="auto"/>
              <w:sz w:val="28"/>
              <w:szCs w:val="28"/>
            </w:rPr>
            <w:instrText xml:space="preserve"> PAGEREF _Toc19962 \h </w:instrText>
          </w:r>
          <w:r>
            <w:rPr>
              <w:b/>
              <w:bCs/>
              <w:color w:val="auto"/>
              <w:sz w:val="28"/>
              <w:szCs w:val="28"/>
            </w:rPr>
            <w:fldChar w:fldCharType="separate"/>
          </w:r>
          <w:r>
            <w:rPr>
              <w:b/>
              <w:bCs/>
              <w:color w:val="auto"/>
              <w:sz w:val="28"/>
              <w:szCs w:val="28"/>
            </w:rPr>
            <w:t>20</w:t>
          </w:r>
          <w:r>
            <w:rPr>
              <w:b/>
              <w:bCs/>
              <w:color w:val="auto"/>
              <w:sz w:val="28"/>
              <w:szCs w:val="28"/>
            </w:rPr>
            <w:fldChar w:fldCharType="end"/>
          </w:r>
          <w:r>
            <w:rPr>
              <w:rFonts w:hint="eastAsia"/>
              <w:b/>
              <w:bCs/>
              <w:color w:val="auto"/>
              <w:sz w:val="28"/>
              <w:szCs w:val="28"/>
              <w:lang w:val="en-US" w:eastAsia="zh-CN"/>
            </w:rPr>
            <w:fldChar w:fldCharType="end"/>
          </w:r>
        </w:p>
        <w:p w14:paraId="059DEDD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_Toc29934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rPr>
            <w:tab/>
          </w:r>
          <w:r>
            <w:rPr>
              <w:b/>
              <w:bCs/>
              <w:color w:val="auto"/>
              <w:sz w:val="28"/>
              <w:szCs w:val="28"/>
            </w:rPr>
            <w:fldChar w:fldCharType="begin"/>
          </w:r>
          <w:r>
            <w:rPr>
              <w:b/>
              <w:bCs/>
              <w:color w:val="auto"/>
              <w:sz w:val="28"/>
              <w:szCs w:val="28"/>
            </w:rPr>
            <w:instrText xml:space="preserve"> PAGEREF _Toc29934 \h </w:instrText>
          </w:r>
          <w:r>
            <w:rPr>
              <w:b/>
              <w:bCs/>
              <w:color w:val="auto"/>
              <w:sz w:val="28"/>
              <w:szCs w:val="28"/>
            </w:rPr>
            <w:fldChar w:fldCharType="separate"/>
          </w:r>
          <w:r>
            <w:rPr>
              <w:b/>
              <w:bCs/>
              <w:color w:val="auto"/>
              <w:sz w:val="28"/>
              <w:szCs w:val="28"/>
            </w:rPr>
            <w:t>20</w:t>
          </w:r>
          <w:r>
            <w:rPr>
              <w:b/>
              <w:bCs/>
              <w:color w:val="auto"/>
              <w:sz w:val="28"/>
              <w:szCs w:val="28"/>
            </w:rPr>
            <w:fldChar w:fldCharType="end"/>
          </w:r>
          <w:r>
            <w:rPr>
              <w:rFonts w:hint="eastAsia"/>
              <w:b/>
              <w:bCs/>
              <w:color w:val="auto"/>
              <w:sz w:val="28"/>
              <w:szCs w:val="28"/>
              <w:lang w:val="en-US" w:eastAsia="zh-CN"/>
            </w:rPr>
            <w:fldChar w:fldCharType="end"/>
          </w:r>
        </w:p>
        <w:p w14:paraId="651C47F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_Toc13160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一</w:t>
          </w:r>
          <w:r>
            <w:rPr>
              <w:rFonts w:hint="eastAsia"/>
              <w:bCs/>
              <w:color w:val="auto"/>
              <w:sz w:val="28"/>
              <w:szCs w:val="28"/>
              <w:lang w:eastAsia="zh-CN"/>
            </w:rPr>
            <w:t>）</w:t>
          </w:r>
          <w:r>
            <w:rPr>
              <w:rFonts w:hint="eastAsia"/>
              <w:bCs/>
              <w:color w:val="auto"/>
              <w:sz w:val="28"/>
              <w:szCs w:val="28"/>
            </w:rPr>
            <w:t>主要经验及做法</w:t>
          </w:r>
          <w:r>
            <w:rPr>
              <w:color w:val="auto"/>
              <w:sz w:val="28"/>
              <w:szCs w:val="28"/>
            </w:rPr>
            <w:tab/>
          </w:r>
          <w:r>
            <w:rPr>
              <w:color w:val="auto"/>
              <w:sz w:val="28"/>
              <w:szCs w:val="28"/>
            </w:rPr>
            <w:fldChar w:fldCharType="begin"/>
          </w:r>
          <w:r>
            <w:rPr>
              <w:color w:val="auto"/>
              <w:sz w:val="28"/>
              <w:szCs w:val="28"/>
            </w:rPr>
            <w:instrText xml:space="preserve"> PAGEREF _Toc13160 \h </w:instrText>
          </w:r>
          <w:r>
            <w:rPr>
              <w:color w:val="auto"/>
              <w:sz w:val="28"/>
              <w:szCs w:val="28"/>
            </w:rPr>
            <w:fldChar w:fldCharType="separate"/>
          </w:r>
          <w:r>
            <w:rPr>
              <w:color w:val="auto"/>
              <w:sz w:val="28"/>
              <w:szCs w:val="28"/>
            </w:rPr>
            <w:t>20</w:t>
          </w:r>
          <w:r>
            <w:rPr>
              <w:color w:val="auto"/>
              <w:sz w:val="28"/>
              <w:szCs w:val="28"/>
            </w:rPr>
            <w:fldChar w:fldCharType="end"/>
          </w:r>
          <w:r>
            <w:rPr>
              <w:rFonts w:hint="eastAsia"/>
              <w:color w:val="auto"/>
              <w:sz w:val="28"/>
              <w:szCs w:val="28"/>
              <w:lang w:val="en-US" w:eastAsia="zh-CN"/>
            </w:rPr>
            <w:fldChar w:fldCharType="end"/>
          </w:r>
        </w:p>
        <w:p w14:paraId="0A4FE88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_Toc9582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二</w:t>
          </w:r>
          <w:r>
            <w:rPr>
              <w:rFonts w:hint="eastAsia"/>
              <w:bCs/>
              <w:color w:val="auto"/>
              <w:sz w:val="28"/>
              <w:szCs w:val="28"/>
              <w:lang w:eastAsia="zh-CN"/>
            </w:rPr>
            <w:t>）</w:t>
          </w:r>
          <w:r>
            <w:rPr>
              <w:rFonts w:hint="eastAsia"/>
              <w:bCs/>
              <w:color w:val="auto"/>
              <w:sz w:val="28"/>
              <w:szCs w:val="28"/>
            </w:rPr>
            <w:t>存在的问题及原因分析</w:t>
          </w:r>
          <w:r>
            <w:rPr>
              <w:color w:val="auto"/>
              <w:sz w:val="28"/>
              <w:szCs w:val="28"/>
            </w:rPr>
            <w:tab/>
          </w:r>
          <w:r>
            <w:rPr>
              <w:color w:val="auto"/>
              <w:sz w:val="28"/>
              <w:szCs w:val="28"/>
            </w:rPr>
            <w:fldChar w:fldCharType="begin"/>
          </w:r>
          <w:r>
            <w:rPr>
              <w:color w:val="auto"/>
              <w:sz w:val="28"/>
              <w:szCs w:val="28"/>
            </w:rPr>
            <w:instrText xml:space="preserve"> PAGEREF _Toc9582 \h </w:instrText>
          </w:r>
          <w:r>
            <w:rPr>
              <w:color w:val="auto"/>
              <w:sz w:val="28"/>
              <w:szCs w:val="28"/>
            </w:rPr>
            <w:fldChar w:fldCharType="separate"/>
          </w:r>
          <w:r>
            <w:rPr>
              <w:color w:val="auto"/>
              <w:sz w:val="28"/>
              <w:szCs w:val="28"/>
            </w:rPr>
            <w:t>20</w:t>
          </w:r>
          <w:r>
            <w:rPr>
              <w:color w:val="auto"/>
              <w:sz w:val="28"/>
              <w:szCs w:val="28"/>
            </w:rPr>
            <w:fldChar w:fldCharType="end"/>
          </w:r>
          <w:r>
            <w:rPr>
              <w:rFonts w:hint="eastAsia"/>
              <w:color w:val="auto"/>
              <w:sz w:val="28"/>
              <w:szCs w:val="28"/>
              <w:lang w:val="en-US" w:eastAsia="zh-CN"/>
            </w:rPr>
            <w:fldChar w:fldCharType="end"/>
          </w:r>
        </w:p>
        <w:p w14:paraId="34B449A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_Toc5230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rPr>
            <w:tab/>
          </w:r>
          <w:r>
            <w:rPr>
              <w:b/>
              <w:bCs/>
              <w:color w:val="auto"/>
              <w:sz w:val="28"/>
              <w:szCs w:val="28"/>
            </w:rPr>
            <w:fldChar w:fldCharType="begin"/>
          </w:r>
          <w:r>
            <w:rPr>
              <w:b/>
              <w:bCs/>
              <w:color w:val="auto"/>
              <w:sz w:val="28"/>
              <w:szCs w:val="28"/>
            </w:rPr>
            <w:instrText xml:space="preserve"> PAGEREF _Toc5230 \h </w:instrText>
          </w:r>
          <w:r>
            <w:rPr>
              <w:b/>
              <w:bCs/>
              <w:color w:val="auto"/>
              <w:sz w:val="28"/>
              <w:szCs w:val="28"/>
            </w:rPr>
            <w:fldChar w:fldCharType="separate"/>
          </w:r>
          <w:r>
            <w:rPr>
              <w:b/>
              <w:bCs/>
              <w:color w:val="auto"/>
              <w:sz w:val="28"/>
              <w:szCs w:val="28"/>
            </w:rPr>
            <w:t>21</w:t>
          </w:r>
          <w:r>
            <w:rPr>
              <w:b/>
              <w:bCs/>
              <w:color w:val="auto"/>
              <w:sz w:val="28"/>
              <w:szCs w:val="28"/>
            </w:rPr>
            <w:fldChar w:fldCharType="end"/>
          </w:r>
          <w:r>
            <w:rPr>
              <w:rFonts w:hint="eastAsia"/>
              <w:b/>
              <w:bCs/>
              <w:color w:val="auto"/>
              <w:sz w:val="28"/>
              <w:szCs w:val="28"/>
              <w:lang w:val="en-US" w:eastAsia="zh-CN"/>
            </w:rPr>
            <w:fldChar w:fldCharType="end"/>
          </w:r>
        </w:p>
        <w:p w14:paraId="75C333F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_Toc15618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rPr>
            <w:tab/>
          </w:r>
          <w:r>
            <w:rPr>
              <w:b/>
              <w:bCs/>
              <w:color w:val="auto"/>
              <w:sz w:val="28"/>
              <w:szCs w:val="28"/>
            </w:rPr>
            <w:fldChar w:fldCharType="begin"/>
          </w:r>
          <w:r>
            <w:rPr>
              <w:b/>
              <w:bCs/>
              <w:color w:val="auto"/>
              <w:sz w:val="28"/>
              <w:szCs w:val="28"/>
            </w:rPr>
            <w:instrText xml:space="preserve"> PAGEREF _Toc15618 \h </w:instrText>
          </w:r>
          <w:r>
            <w:rPr>
              <w:b/>
              <w:bCs/>
              <w:color w:val="auto"/>
              <w:sz w:val="28"/>
              <w:szCs w:val="28"/>
            </w:rPr>
            <w:fldChar w:fldCharType="separate"/>
          </w:r>
          <w:r>
            <w:rPr>
              <w:b/>
              <w:bCs/>
              <w:color w:val="auto"/>
              <w:sz w:val="28"/>
              <w:szCs w:val="28"/>
            </w:rPr>
            <w:t>21</w:t>
          </w:r>
          <w:r>
            <w:rPr>
              <w:b/>
              <w:bCs/>
              <w:color w:val="auto"/>
              <w:sz w:val="28"/>
              <w:szCs w:val="28"/>
            </w:rPr>
            <w:fldChar w:fldCharType="end"/>
          </w:r>
          <w:r>
            <w:rPr>
              <w:rFonts w:hint="eastAsia"/>
              <w:b/>
              <w:bCs/>
              <w:color w:val="auto"/>
              <w:sz w:val="28"/>
              <w:szCs w:val="28"/>
              <w:lang w:val="en-US" w:eastAsia="zh-CN"/>
            </w:rPr>
            <w:fldChar w:fldCharType="end"/>
          </w:r>
        </w:p>
        <w:p w14:paraId="4398F52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p>
        <w:p w14:paraId="6037A94A">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lang w:val="en-US" w:eastAsia="zh-CN"/>
            </w:rPr>
            <w:fldChar w:fldCharType="end"/>
          </w:r>
        </w:p>
      </w:sdtContent>
    </w:sdt>
    <w:p w14:paraId="21BDC3B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6"/>
          <w:szCs w:val="36"/>
          <w:highlight w:val="none"/>
          <w:shd w:val="clear" w:color="auto" w:fill="auto"/>
          <w:lang w:val="en-US" w:eastAsia="zh-CN"/>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昌州财教【2021】72号关于提前下达2022年新疆西藏等地区教育特殊补助资金预算的通知1</w:t>
      </w:r>
    </w:p>
    <w:p w14:paraId="1599FEE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713DCC7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67939D75">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3A84A320">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7BDF879F">
      <w:pPr>
        <w:ind w:firstLine="560" w:firstLineChars="200"/>
        <w:rPr>
          <w:rFonts w:hint="eastAsia"/>
          <w:color w:val="auto"/>
          <w:lang w:val="en-US" w:eastAsia="zh-CN"/>
        </w:rPr>
      </w:pPr>
      <w:r>
        <w:rPr>
          <w:rFonts w:hint="eastAsia" w:cs="宋体"/>
          <w:color w:val="auto"/>
          <w:highlight w:val="none"/>
          <w:shd w:val="clear" w:color="auto" w:fill="auto"/>
          <w:lang w:val="en-US" w:eastAsia="zh-CN"/>
        </w:rPr>
        <w:t>为了能够更好地为幼儿提供</w:t>
      </w:r>
      <w:r>
        <w:rPr>
          <w:rFonts w:hint="eastAsia"/>
          <w:color w:val="auto"/>
          <w:lang w:val="en-US" w:eastAsia="zh-CN"/>
        </w:rPr>
        <w:t>保育与教育，落实好学前三年教育目标，改善幼儿园的办学条</w:t>
      </w:r>
      <w:bookmarkStart w:id="89" w:name="_GoBack"/>
      <w:bookmarkEnd w:id="89"/>
      <w:r>
        <w:rPr>
          <w:rFonts w:hint="eastAsia"/>
          <w:color w:val="auto"/>
          <w:lang w:val="en-US" w:eastAsia="zh-CN"/>
        </w:rPr>
        <w:t>件，保障学前阶段幼儿在园教学需求，为幼儿提供优质的保教环境实行保育与教育相结合的原则，对幼儿实施体、智、德、美诸多方面全面发展的教育，促进其身心健康发展。幼儿园同时为家长参加工作、学习提供便利条件。保障教育教学活动正常开展，为幼儿园和谐、稳定发展提供有力支撑，</w:t>
      </w:r>
      <w:r>
        <w:rPr>
          <w:rFonts w:hint="eastAsia" w:ascii="宋体" w:hAnsi="宋体" w:eastAsia="宋体" w:cs="宋体"/>
          <w:color w:val="auto"/>
          <w:highlight w:val="none"/>
          <w:shd w:val="clear" w:color="auto" w:fill="auto"/>
          <w:lang w:val="zh-CN" w:eastAsia="zh-CN"/>
        </w:rPr>
        <w:t>严肃财经纪律，落实好惠民政策，保证资金安全，按月申请拨付学前三年补助资金；严格执行“三重一大”支出审批制度，资金管理遵循“统一规划、集中使用；突出重点；预算控制、单独核算，专款专用”的原则，强调过程管理，定期出台财务报表，科学、高效使用资金</w:t>
      </w:r>
      <w:r>
        <w:rPr>
          <w:rFonts w:hint="eastAsia" w:cs="宋体"/>
          <w:color w:val="auto"/>
          <w:highlight w:val="none"/>
          <w:shd w:val="clear" w:color="auto" w:fill="auto"/>
          <w:lang w:val="en-US" w:eastAsia="zh-CN"/>
        </w:rPr>
        <w:t>。</w:t>
      </w:r>
    </w:p>
    <w:p w14:paraId="4D8403A8">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0DAEBB2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highlight w:val="none"/>
          <w:shd w:val="clear" w:color="auto" w:fill="auto"/>
          <w:lang w:val="en-US" w:eastAsia="zh-CN"/>
        </w:rPr>
        <w:t>本项目主要内容为维护幼儿园教育教学工作和幼儿园日常运转所需的幼儿伙食费。</w:t>
      </w:r>
    </w:p>
    <w:p w14:paraId="5938A7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阜康市财政局下发的《阜康市财政局关于2023年部门预算的批复》（阜财预字[2023]6号）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幼儿园党支部</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史莉</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樊晓宏</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项目负责人为徐怀莉,</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路雪、张雪莹、安波、何月娇</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史莉</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何月娇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安波</w:t>
      </w:r>
      <w:r>
        <w:rPr>
          <w:rFonts w:hint="eastAsia" w:ascii="宋体" w:hAnsi="宋体" w:eastAsia="宋体" w:cs="宋体"/>
          <w:color w:val="auto"/>
          <w:highlight w:val="none"/>
          <w:shd w:val="clear" w:color="auto" w:fill="auto"/>
          <w:lang w:val="en-US" w:eastAsia="zh-CN"/>
        </w:rPr>
        <w:t>负责资金拨付工作。</w:t>
      </w:r>
    </w:p>
    <w:p w14:paraId="4AD8BE3F">
      <w:pPr>
        <w:pStyle w:val="7"/>
        <w:rPr>
          <w:rFonts w:hint="default" w:eastAsia="宋体"/>
          <w:color w:val="auto"/>
          <w:highlight w:val="none"/>
          <w:lang w:val="en-US" w:eastAsia="zh-CN"/>
        </w:rPr>
      </w:pPr>
      <w:r>
        <w:rPr>
          <w:rFonts w:hint="eastAsia" w:cs="宋体"/>
          <w:color w:val="auto"/>
          <w:kern w:val="2"/>
          <w:sz w:val="28"/>
          <w:szCs w:val="28"/>
          <w:highlight w:val="none"/>
          <w:shd w:val="clear" w:color="auto" w:fill="auto"/>
          <w:lang w:val="en-US" w:eastAsia="zh-CN" w:bidi="ar-SA"/>
        </w:rPr>
        <w:t>项目资金</w:t>
      </w:r>
      <w:r>
        <w:rPr>
          <w:rFonts w:hint="eastAsia" w:ascii="宋体" w:hAnsi="宋体" w:eastAsia="宋体" w:cs="宋体"/>
          <w:color w:val="auto"/>
          <w:kern w:val="2"/>
          <w:sz w:val="28"/>
          <w:szCs w:val="28"/>
          <w:highlight w:val="none"/>
          <w:shd w:val="clear" w:color="auto" w:fill="auto"/>
          <w:lang w:val="en-US" w:eastAsia="zh-CN" w:bidi="ar-SA"/>
        </w:rPr>
        <w:t>用于幼儿园日常运转</w:t>
      </w:r>
      <w:r>
        <w:rPr>
          <w:rFonts w:hint="eastAsia" w:ascii="宋体" w:hAnsi="宋体" w:eastAsia="宋体" w:cs="宋体"/>
          <w:b w:val="0"/>
          <w:bCs w:val="0"/>
          <w:color w:val="auto"/>
          <w:highlight w:val="none"/>
          <w:shd w:val="clear" w:color="auto" w:fill="auto"/>
          <w:lang w:val="en-US" w:eastAsia="zh-CN"/>
        </w:rPr>
        <w:t>幼儿伙食费</w:t>
      </w:r>
      <w:r>
        <w:rPr>
          <w:rFonts w:hint="eastAsia" w:ascii="宋体" w:hAnsi="宋体" w:eastAsia="宋体" w:cs="宋体"/>
          <w:color w:val="auto"/>
          <w:kern w:val="2"/>
          <w:sz w:val="28"/>
          <w:szCs w:val="28"/>
          <w:highlight w:val="none"/>
          <w:shd w:val="clear" w:color="auto" w:fill="auto"/>
          <w:lang w:val="en-US" w:eastAsia="zh-CN" w:bidi="ar-SA"/>
        </w:rPr>
        <w:t>方面</w:t>
      </w:r>
      <w:r>
        <w:rPr>
          <w:rFonts w:hint="eastAsia" w:cs="宋体"/>
          <w:color w:val="auto"/>
          <w:kern w:val="2"/>
          <w:sz w:val="28"/>
          <w:szCs w:val="28"/>
          <w:highlight w:val="none"/>
          <w:shd w:val="clear" w:color="auto" w:fill="auto"/>
          <w:lang w:val="en-US" w:eastAsia="zh-CN" w:bidi="ar-SA"/>
        </w:rPr>
        <w:t>，且实施采购前审批物品采购计划，采购结束后及时签订采购合同并在收到货物后及时进行验收。</w:t>
      </w:r>
    </w:p>
    <w:p w14:paraId="6C32E4F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1B40B4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7EB378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昌州财教【2021】72号关于提前下达2022年新疆西藏等地区教育特殊补助资金预算的通知1，项目预算安排总额为</w:t>
      </w:r>
      <w:r>
        <w:rPr>
          <w:rFonts w:hint="eastAsia" w:cs="宋体"/>
          <w:color w:val="auto"/>
          <w:highlight w:val="none"/>
          <w:shd w:val="clear" w:color="auto" w:fill="auto"/>
          <w:lang w:val="en-US" w:eastAsia="zh-CN"/>
        </w:rPr>
        <w:t>10.55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金10.55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10.55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2285D6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6C076A7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10.55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幼儿园日常运转的幼儿伙食费方面。</w:t>
      </w:r>
    </w:p>
    <w:p w14:paraId="059CB7F6">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5CC467FE">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1C1D8C50">
      <w:pPr>
        <w:pageBreakBefore w:val="0"/>
        <w:widowControl w:val="0"/>
        <w:kinsoku/>
        <w:wordWrap/>
        <w:overflowPunct/>
        <w:topLinePunct w:val="0"/>
        <w:autoSpaceDE/>
        <w:autoSpaceDN/>
        <w:bidi w:val="0"/>
        <w:adjustRightInd/>
        <w:snapToGrid/>
        <w:spacing w:line="360" w:lineRule="auto"/>
        <w:jc w:val="left"/>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cs="宋体"/>
          <w:color w:val="auto"/>
          <w:highlight w:val="none"/>
          <w:shd w:val="clear" w:color="auto" w:fill="auto"/>
          <w:lang w:val="en-US" w:eastAsia="zh-CN"/>
        </w:rPr>
        <w:t>项目绩效总体目标为：为3-6岁学龄前儿童提供保育与教育，落实好学前三年教育目标，改善幼儿园的办学条件，保障学阶段幼儿在园教学需求，为幼儿提供优质的保教环境。</w:t>
      </w:r>
    </w:p>
    <w:p w14:paraId="3C51770D">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预计完成农村农村三年适龄幼儿人数160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14:paraId="302359C1">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2D950BE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42FDF0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D69C2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7140F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yellow"/>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=160人</w:t>
      </w:r>
      <w:r>
        <w:rPr>
          <w:rFonts w:hint="eastAsia" w:ascii="宋体" w:hAnsi="宋体" w:eastAsia="宋体" w:cs="宋体"/>
          <w:color w:val="auto"/>
          <w:highlight w:val="none"/>
          <w:shd w:val="clear" w:color="auto" w:fill="auto"/>
          <w:lang w:val="en-US" w:eastAsia="zh-CN"/>
        </w:rPr>
        <w:t>；</w:t>
      </w:r>
    </w:p>
    <w:p w14:paraId="7C794A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开展教育教学活动次数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≥600次</w:t>
      </w:r>
      <w:r>
        <w:rPr>
          <w:rFonts w:hint="eastAsia" w:ascii="宋体" w:hAnsi="宋体" w:eastAsia="宋体" w:cs="宋体"/>
          <w:color w:val="auto"/>
          <w:highlight w:val="none"/>
          <w:shd w:val="clear" w:color="auto" w:fill="auto"/>
          <w:lang w:val="en-US" w:eastAsia="zh-CN"/>
        </w:rPr>
        <w:t>；</w:t>
      </w:r>
    </w:p>
    <w:p w14:paraId="11F703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≥20次</w:t>
      </w:r>
    </w:p>
    <w:p w14:paraId="21A294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2FFD1E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设施设备质量达标率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14:paraId="524006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A8676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50BA44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为≤2023年12月；</w:t>
      </w:r>
    </w:p>
    <w:p w14:paraId="003379F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14:paraId="29DCF7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4B9E04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公用经费生均标准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=2800</w:t>
      </w:r>
      <w:r>
        <w:rPr>
          <w:rFonts w:hint="eastAsia" w:ascii="宋体" w:hAnsi="宋体" w:eastAsia="宋体" w:cs="宋体"/>
          <w:color w:val="auto"/>
          <w:highlight w:val="none"/>
          <w:shd w:val="clear" w:color="auto" w:fill="auto"/>
          <w:lang w:val="en-US" w:eastAsia="zh-CN"/>
        </w:rPr>
        <w:t>元/生/年；</w:t>
      </w:r>
    </w:p>
    <w:p w14:paraId="1B7784E6">
      <w:pPr>
        <w:pageBreakBefore w:val="0"/>
        <w:widowControl w:val="0"/>
        <w:numPr>
          <w:ilvl w:val="0"/>
          <w:numId w:val="2"/>
        </w:numPr>
        <w:kinsoku/>
        <w:wordWrap/>
        <w:overflowPunct/>
        <w:topLinePunct w:val="0"/>
        <w:autoSpaceDE/>
        <w:autoSpaceDN/>
        <w:bidi w:val="0"/>
        <w:adjustRightInd/>
        <w:snapToGrid/>
        <w:spacing w:line="360" w:lineRule="auto"/>
        <w:ind w:left="-163" w:leftChars="0" w:firstLineChars="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75409EF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30F62888">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p>
    <w:p w14:paraId="04DC6CE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yellow"/>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15A7EF1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w:t>
      </w:r>
      <w:r>
        <w:rPr>
          <w:rFonts w:hint="eastAsia" w:ascii="宋体" w:hAnsi="宋体" w:eastAsia="宋体" w:cs="宋体"/>
          <w:color w:val="auto"/>
          <w:highlight w:val="none"/>
          <w:shd w:val="clear" w:color="auto" w:fill="auto"/>
          <w:lang w:val="en-US" w:eastAsia="zh-CN"/>
        </w:rPr>
        <w:t>保障；</w:t>
      </w:r>
    </w:p>
    <w:p w14:paraId="538C969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r>
        <w:rPr>
          <w:rFonts w:hint="eastAsia" w:cs="宋体"/>
          <w:color w:val="auto"/>
          <w:highlight w:val="none"/>
          <w:shd w:val="clear" w:color="auto" w:fill="auto"/>
          <w:lang w:val="en-US" w:eastAsia="zh-CN"/>
        </w:rPr>
        <w:t>。</w:t>
      </w:r>
    </w:p>
    <w:p w14:paraId="07A8388A">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1918592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6E088B1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1F04BED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14:paraId="7DA03EF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7602E82D">
      <w:pPr>
        <w:pageBreakBefore w:val="0"/>
        <w:widowControl w:val="0"/>
        <w:kinsoku/>
        <w:wordWrap/>
        <w:overflowPunct/>
        <w:topLinePunct w:val="0"/>
        <w:autoSpaceDE/>
        <w:autoSpaceDN/>
        <w:bidi w:val="0"/>
        <w:adjustRightInd/>
        <w:snapToGrid/>
        <w:spacing w:line="360" w:lineRule="auto"/>
        <w:textAlignment w:val="auto"/>
        <w:rPr>
          <w:rFonts w:hint="eastAsia"/>
          <w:color w:val="auto"/>
          <w:lang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14:paraId="21E1BCA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6F592533">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12868"/>
      <w:bookmarkStart w:id="13" w:name="_Toc5462343"/>
      <w:bookmarkStart w:id="14" w:name="_Toc22922"/>
      <w:bookmarkStart w:id="15" w:name="_Toc480473081"/>
      <w:bookmarkStart w:id="16" w:name="_Toc5258"/>
      <w:bookmarkStart w:id="17" w:name="_Toc22169_WPSOffice_Level2"/>
      <w:bookmarkStart w:id="18" w:name="_Toc26632"/>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3AE222D3">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1AB5605E">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37D0457A">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bookmarkStart w:id="22" w:name="_Toc30609"/>
      <w:r>
        <w:rPr>
          <w:rFonts w:hint="eastAsia" w:ascii="宋体" w:hAnsi="宋体" w:eastAsia="宋体" w:cs="宋体"/>
          <w:color w:val="auto"/>
          <w:sz w:val="32"/>
          <w:szCs w:val="32"/>
          <w:highlight w:val="none"/>
          <w:shd w:val="clear" w:color="auto" w:fill="auto"/>
          <w:lang w:val="en-US" w:eastAsia="zh-CN"/>
        </w:rPr>
        <w:t>2.绩效评价的对象和范围</w:t>
      </w:r>
      <w:bookmarkEnd w:id="22"/>
    </w:p>
    <w:p w14:paraId="68E912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预算的通知1项目开展部门绩效评价。</w:t>
      </w:r>
    </w:p>
    <w:p w14:paraId="7C66C3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4650BA8C">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5AC8164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4372300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49E79F4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0757DA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46C28D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5A05B5B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3702C81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57E2519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19984722"/>
      <w:bookmarkStart w:id="27" w:name="_Toc1913"/>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048C134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433C06B0">
      <w:pPr>
        <w:jc w:val="center"/>
        <w:rPr>
          <w:rFonts w:hint="default"/>
          <w:b/>
          <w:bCs/>
          <w:color w:val="auto"/>
          <w:sz w:val="28"/>
          <w:szCs w:val="28"/>
          <w:lang w:val="en-US" w:eastAsia="zh-CN"/>
        </w:rPr>
      </w:pPr>
      <w:r>
        <w:rPr>
          <w:rFonts w:hint="eastAsia"/>
          <w:b/>
          <w:bCs/>
          <w:color w:val="auto"/>
          <w:sz w:val="28"/>
          <w:szCs w:val="28"/>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766C2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64A1FF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6FFFBE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4DE047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52DAE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1F9F7E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6EE76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66111E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5F6FE9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710DA3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51D27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B8F86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26FE934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3B383C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3DF4AC2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341A661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48E857A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25A6917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0F0C8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27F9FC3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0647E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EB12F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7239B2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5BF6C1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7EADC95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DA37D3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7FCA33D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3E84A3C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383E8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5047E1B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FF2B7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3D89C0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27B725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5EB30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6F07E65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D949FB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5DE32B0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33EF559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00AE916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3B7EB87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3BA77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8F555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A21A2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573B5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5F5852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548C1E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5BB5B24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58096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1472A3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2FE8E6A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68C9C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DCE211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2AF50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0A2FB1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62B61E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669980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7D88F9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C0851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043C47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16D6008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4FCC14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77C74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57E6C9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57790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6E8AB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513090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0D018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262C28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C4035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09263E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115C9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69854A7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5C08EF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107C6F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2FA0EB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033B82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2A7F1E6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1C1B19A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099CB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4A55DB6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75C197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53BC9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3652B6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4D2E37A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4F7733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675D5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7D7E8D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D6F13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36505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2C6952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74089F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32A09CA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E1B7C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50F769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6ACCDD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528EED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5B8B4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AD7F5F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B7653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69F112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305F96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57503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103EC96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F672E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7946A3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05164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D8960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C1419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FCAE2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0F2907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31AF70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3D6680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E1D44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1D139A6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586A3E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579D05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132C4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99286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2B7E38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2CEE65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243C086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1280A9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669D5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046E25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2C201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3CF68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CD81D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424AAC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249043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3C99E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55E898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0371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0FB28A0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132D6A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78C13D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23497F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67A92E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0FAF9B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4303B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4D2A1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020E0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2965F8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E7A4E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0CDB69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423A01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07021B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23B6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3B5641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6CD3EF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05358B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2B77949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502D78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3A67B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1D53C5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D23C1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F0EC5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215726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0CACA26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2770C6B">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2B8948B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预算的通知1进行评价。</w:t>
      </w:r>
    </w:p>
    <w:p w14:paraId="09F6852D">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4016C8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E3CA0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EFBC7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05D7892A">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33026D51">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3C957C8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3EDA057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596D403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001C2B9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58ED25F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cs="宋体"/>
          <w:b w:val="0"/>
          <w:bCs w:val="0"/>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b w:val="0"/>
          <w:bCs w:val="0"/>
          <w:color w:val="auto"/>
          <w:highlight w:val="none"/>
          <w:shd w:val="clear" w:color="auto" w:fill="auto"/>
          <w:lang w:val="en-US" w:eastAsia="zh-CN"/>
        </w:rPr>
        <w:t>预算的通知1</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1D6F94A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33D3453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7304FE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391FBCC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1A204D2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5B86F2C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0758810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6F27FF9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7494F23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1561638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0A1D4D5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565C53E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2C56088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CDC2E1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159D4E2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55E7352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10D9835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6477646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7192C40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6E35A47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01214D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31E41BC7">
        <w:tblPrEx>
          <w:shd w:val="clear" w:color="auto" w:fill="auto"/>
          <w:tblCellMar>
            <w:top w:w="0" w:type="dxa"/>
            <w:left w:w="0" w:type="dxa"/>
            <w:bottom w:w="0" w:type="dxa"/>
            <w:right w:w="0" w:type="dxa"/>
          </w:tblCellMar>
        </w:tblPrEx>
        <w:trPr>
          <w:trHeight w:val="662"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B0B2C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sz w:val="28"/>
                <w:szCs w:val="28"/>
                <w:highlight w:val="none"/>
                <w:shd w:val="clear" w:color="auto" w:fill="auto"/>
                <w:lang w:val="en-US" w:eastAsia="zh-CN"/>
              </w:rPr>
              <w:t>表3-1：</w:t>
            </w:r>
            <w:r>
              <w:rPr>
                <w:rFonts w:hint="eastAsia" w:cs="宋体"/>
                <w:b/>
                <w:bCs/>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b/>
                <w:bCs/>
                <w:color w:val="auto"/>
                <w:highlight w:val="none"/>
                <w:shd w:val="clear" w:color="auto" w:fill="auto"/>
                <w:lang w:val="en-US" w:eastAsia="zh-CN"/>
              </w:rPr>
              <w:t>预算的通知1</w:t>
            </w:r>
            <w:r>
              <w:rPr>
                <w:rFonts w:hint="eastAsia" w:ascii="宋体" w:hAnsi="宋体" w:eastAsia="宋体" w:cs="宋体"/>
                <w:b/>
                <w:bCs/>
                <w:color w:val="auto"/>
                <w:sz w:val="28"/>
                <w:szCs w:val="28"/>
                <w:highlight w:val="none"/>
                <w:shd w:val="clear" w:color="auto" w:fill="auto"/>
                <w:lang w:val="en-US" w:eastAsia="zh-CN"/>
              </w:rPr>
              <w:t>得分表</w:t>
            </w:r>
          </w:p>
        </w:tc>
      </w:tr>
      <w:tr w14:paraId="2474ECDF">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85A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ED5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FE1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0C1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CB6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FC1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0E55466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C1C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2F8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4A7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10F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6FD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C8D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E56432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196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E38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18.8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0A5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E35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yellow"/>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930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yellow"/>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163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98.8</w:t>
            </w:r>
          </w:p>
        </w:tc>
      </w:tr>
      <w:tr w14:paraId="712A0B54">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4DC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661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94</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2F8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ADC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DEB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528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yellow"/>
                <w:shd w:val="clear" w:color="auto" w:fill="auto"/>
                <w:lang w:val="en-US" w:eastAsia="zh-CN"/>
              </w:rPr>
            </w:pPr>
            <w:r>
              <w:rPr>
                <w:rFonts w:hint="eastAsia" w:cs="宋体"/>
                <w:color w:val="auto"/>
                <w:kern w:val="0"/>
                <w:sz w:val="21"/>
                <w:szCs w:val="21"/>
                <w:highlight w:val="none"/>
                <w:shd w:val="clear" w:color="auto" w:fill="auto"/>
                <w:lang w:val="en-US" w:eastAsia="zh-CN"/>
              </w:rPr>
              <w:t>98.8</w:t>
            </w:r>
            <w:r>
              <w:rPr>
                <w:rFonts w:hint="eastAsia" w:ascii="宋体" w:hAnsi="宋体" w:eastAsia="宋体" w:cs="宋体"/>
                <w:color w:val="auto"/>
                <w:kern w:val="0"/>
                <w:sz w:val="21"/>
                <w:szCs w:val="21"/>
                <w:highlight w:val="none"/>
                <w:shd w:val="clear" w:color="auto" w:fill="auto"/>
                <w:lang w:val="en-US" w:eastAsia="zh-CN"/>
              </w:rPr>
              <w:t>%</w:t>
            </w:r>
          </w:p>
        </w:tc>
      </w:tr>
    </w:tbl>
    <w:p w14:paraId="650ADD9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37238DD1">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36EBC6F3">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4E53F7A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4"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14:paraId="1A2303F0">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4097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FDFB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28D8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89A7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ECC0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4863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201F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7C204A3">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8BC9B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8A11B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68C37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0EBA0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94F0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1CA2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B327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14:paraId="3EF7A7C6">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C231D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5F21F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E7F1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1E7F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2CA7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8F34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C1BA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640CA834">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DAB2D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BE66C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B544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2700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B358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22E7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F4DE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138F3B13">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04F89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0C38D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4ED1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16B8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0F3F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004D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8DA4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14AF7360">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A401C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237B9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933BB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26BED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497A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E6B0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02B8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3D1366EE">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1DAB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009C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5045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757D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7B91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9607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3AA9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2D962ADA">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A8FD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9BFB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BD85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3C40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6ECC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18.8</w:t>
            </w:r>
          </w:p>
        </w:tc>
      </w:tr>
    </w:tbl>
    <w:p w14:paraId="34AA2AC9">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64E231F5">
      <w:pPr>
        <w:bidi w:val="0"/>
        <w:rPr>
          <w:rFonts w:hint="eastAsia"/>
          <w:color w:val="auto"/>
          <w:highlight w:val="none"/>
          <w:lang w:eastAsia="zh-CN"/>
        </w:rPr>
      </w:pPr>
      <w:r>
        <w:rPr>
          <w:rFonts w:hint="eastAsia"/>
          <w:color w:val="auto"/>
          <w:lang w:eastAsia="zh-CN"/>
        </w:rPr>
        <w:t>①</w:t>
      </w:r>
      <w:r>
        <w:rPr>
          <w:rFonts w:hint="eastAsia"/>
          <w:color w:val="auto"/>
          <w:highlight w:val="none"/>
          <w:lang w:eastAsia="zh-CN"/>
        </w:rPr>
        <w:t>项目无具体项目立项国家法律法规、国民经济发展规划和相关政策，扣</w:t>
      </w:r>
      <w:r>
        <w:rPr>
          <w:rFonts w:hint="eastAsia"/>
          <w:color w:val="auto"/>
          <w:highlight w:val="none"/>
          <w:lang w:val="en-US" w:eastAsia="zh-CN"/>
        </w:rPr>
        <w:t>0.4分；</w:t>
      </w:r>
    </w:p>
    <w:p w14:paraId="1BA35CA9">
      <w:pPr>
        <w:bidi w:val="0"/>
        <w:rPr>
          <w:rFonts w:hint="eastAsia" w:ascii="宋体" w:hAnsi="宋体" w:eastAsia="宋体" w:cs="宋体"/>
          <w:color w:val="auto"/>
          <w:lang w:val="en-US" w:eastAsia="zh-CN"/>
        </w:rPr>
      </w:pPr>
      <w:r>
        <w:rPr>
          <w:rFonts w:hint="eastAsia"/>
          <w:color w:val="auto"/>
          <w:lang w:eastAsia="zh-CN"/>
        </w:rPr>
        <w:t>②项目立项符合阜教【2023】1号关于印发《阜康市2023年教</w:t>
      </w:r>
      <w:r>
        <w:rPr>
          <w:rFonts w:hint="eastAsia" w:ascii="宋体" w:hAnsi="宋体" w:eastAsia="宋体" w:cs="宋体"/>
          <w:color w:val="auto"/>
          <w:lang w:eastAsia="zh-CN"/>
        </w:rPr>
        <w:t>育工作要点》《昌吉州幼儿园规范化办园行为等级评估标准》的通知</w:t>
      </w:r>
      <w:r>
        <w:rPr>
          <w:rFonts w:hint="eastAsia" w:cs="宋体"/>
          <w:color w:val="auto"/>
          <w:lang w:eastAsia="zh-CN"/>
        </w:rPr>
        <w:t>；</w:t>
      </w:r>
      <w:r>
        <w:rPr>
          <w:rFonts w:hint="eastAsia" w:ascii="宋体" w:hAnsi="宋体" w:eastAsia="宋体" w:cs="宋体"/>
          <w:color w:val="auto"/>
          <w:lang w:val="en-US" w:eastAsia="zh-CN"/>
        </w:rPr>
        <w:t xml:space="preserve">   </w:t>
      </w:r>
    </w:p>
    <w:p w14:paraId="59B8BF68">
      <w:pPr>
        <w:bidi w:val="0"/>
        <w:rPr>
          <w:rFonts w:hint="eastAsia"/>
          <w:color w:val="auto"/>
          <w:lang w:eastAsia="zh-CN"/>
        </w:rPr>
      </w:pPr>
      <w:r>
        <w:rPr>
          <w:rFonts w:hint="eastAsia"/>
          <w:b w:val="0"/>
          <w:bCs w:val="0"/>
          <w:color w:val="auto"/>
          <w:highlight w:val="none"/>
          <w:lang w:eastAsia="zh-CN"/>
        </w:rPr>
        <w:t>③</w:t>
      </w:r>
      <w:r>
        <w:rPr>
          <w:rFonts w:hint="eastAsia"/>
          <w:color w:val="auto"/>
          <w:highlight w:val="none"/>
          <w:lang w:eastAsia="zh-CN"/>
        </w:rPr>
        <w:t>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cs="宋体"/>
          <w:color w:val="auto"/>
          <w:highlight w:val="none"/>
          <w:shd w:val="clear" w:color="auto" w:fill="auto"/>
          <w:lang w:val="en-US" w:eastAsia="zh-CN"/>
        </w:rPr>
        <w:t>实施学前免费三年教育，促进基础教育发展，</w:t>
      </w:r>
      <w:r>
        <w:rPr>
          <w:rFonts w:hint="eastAsia"/>
          <w:b w:val="0"/>
          <w:bCs w:val="0"/>
          <w:color w:val="auto"/>
          <w:highlight w:val="none"/>
          <w:lang w:eastAsia="zh-CN"/>
        </w:rPr>
        <w:t>项目立项与部门职责范围相符，属于部门履职所需；</w:t>
      </w:r>
    </w:p>
    <w:p w14:paraId="46EA61F8">
      <w:pPr>
        <w:bidi w:val="0"/>
        <w:rPr>
          <w:rFonts w:hint="eastAsia"/>
          <w:color w:val="auto"/>
          <w:lang w:eastAsia="zh-CN"/>
        </w:rPr>
      </w:pPr>
      <w:r>
        <w:rPr>
          <w:rFonts w:hint="eastAsia"/>
          <w:color w:val="auto"/>
          <w:lang w:eastAsia="zh-CN"/>
        </w:rPr>
        <w:t>④项目属于公共财政支持范围，符合中央、地方事权支出责任划分原则；</w:t>
      </w:r>
    </w:p>
    <w:p w14:paraId="4396E3C5">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14:paraId="0835ACFD">
      <w:pPr>
        <w:bidi w:val="0"/>
        <w:rPr>
          <w:rFonts w:hint="default"/>
          <w:color w:val="auto"/>
          <w:lang w:val="en-US" w:eastAsia="zh-CN"/>
        </w:rPr>
      </w:pPr>
      <w:r>
        <w:rPr>
          <w:rFonts w:hint="eastAsia"/>
          <w:b/>
          <w:bCs/>
          <w:color w:val="auto"/>
          <w:lang w:val="en-US" w:eastAsia="zh-CN"/>
        </w:rPr>
        <w:t>综上，该项指标满分2分，得分1.6分。</w:t>
      </w:r>
    </w:p>
    <w:p w14:paraId="32334D0C">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7B0834C7">
      <w:pPr>
        <w:bidi w:val="0"/>
        <w:rPr>
          <w:rFonts w:hint="eastAsia"/>
          <w:color w:val="auto"/>
          <w:highlight w:val="yellow"/>
          <w:lang w:eastAsia="zh-CN"/>
        </w:rPr>
      </w:pPr>
      <w:r>
        <w:rPr>
          <w:rFonts w:hint="eastAsia"/>
          <w:color w:val="auto"/>
          <w:lang w:eastAsia="zh-CN"/>
        </w:rPr>
        <w:t>①</w:t>
      </w:r>
      <w:r>
        <w:rPr>
          <w:rFonts w:hint="eastAsia"/>
          <w:color w:val="auto"/>
          <w:lang w:val="en-US" w:eastAsia="zh-CN"/>
        </w:rPr>
        <w:t>2</w:t>
      </w:r>
      <w:r>
        <w:rPr>
          <w:rFonts w:hint="eastAsia" w:cs="宋体"/>
          <w:color w:val="auto"/>
          <w:highlight w:val="none"/>
          <w:shd w:val="clear" w:color="auto" w:fill="auto"/>
          <w:lang w:val="en-US" w:eastAsia="zh-CN"/>
        </w:rPr>
        <w:t>023年度昌州财教【2021】72号提前下达2022年新疆西藏地区特殊教育补助资金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color w:val="auto"/>
          <w:highlight w:val="none"/>
          <w:lang w:eastAsia="zh-CN"/>
        </w:rPr>
        <w:t>；</w:t>
      </w:r>
      <w:r>
        <w:rPr>
          <w:rFonts w:hint="eastAsia" w:ascii="宋体" w:hAnsi="宋体" w:eastAsia="宋体" w:cs="宋体"/>
          <w:color w:val="auto"/>
          <w:kern w:val="0"/>
          <w:szCs w:val="30"/>
          <w:highlight w:val="none"/>
        </w:rPr>
        <w:t>立项资料齐全，立项程序规范；</w:t>
      </w:r>
    </w:p>
    <w:p w14:paraId="584CDF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lang w:eastAsia="zh-CN"/>
        </w:rPr>
      </w:pPr>
      <w:r>
        <w:rPr>
          <w:rFonts w:hint="eastAsia"/>
          <w:color w:val="auto"/>
          <w:highlight w:val="none"/>
          <w:lang w:eastAsia="zh-CN"/>
        </w:rPr>
        <w:t>②项目审批文件《阜康市教育系统政府采购审批表》符合相关要求；</w:t>
      </w:r>
    </w:p>
    <w:p w14:paraId="0F154D5D">
      <w:pPr>
        <w:bidi w:val="0"/>
        <w:rPr>
          <w:rFonts w:hint="eastAsia"/>
          <w:color w:val="auto"/>
          <w:highlight w:val="none"/>
          <w:lang w:eastAsia="zh-CN"/>
        </w:rPr>
      </w:pPr>
      <w:r>
        <w:rPr>
          <w:rFonts w:hint="eastAsia"/>
          <w:color w:val="auto"/>
          <w:highlight w:val="none"/>
          <w:lang w:eastAsia="zh-CN"/>
        </w:rPr>
        <w:t>③事前经过《阜康市城关镇中心幼儿园党总支会议》集体决策，没有进行可行性研究、专家论证、风险评估、绩效评估，扣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14:paraId="1BB9869C">
      <w:pPr>
        <w:bidi w:val="0"/>
        <w:rPr>
          <w:rFonts w:hint="eastAsia"/>
          <w:color w:val="auto"/>
          <w:lang w:eastAsia="zh-CN"/>
        </w:rPr>
      </w:pPr>
      <w:r>
        <w:rPr>
          <w:rFonts w:hint="eastAsia"/>
          <w:b/>
          <w:bCs/>
          <w:color w:val="auto"/>
          <w:lang w:val="en-US" w:eastAsia="zh-CN"/>
        </w:rPr>
        <w:t>综上，该项指标满分3分，得分2.2分。</w:t>
      </w:r>
    </w:p>
    <w:p w14:paraId="2CC0E48E">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29E095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①项目有绩效目标，2023年完成项目实施，项目的实施有效提升改善全校师生员工的生活条件，已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14:paraId="5D764D3E">
      <w:pPr>
        <w:bidi w:val="0"/>
        <w:rPr>
          <w:rFonts w:hint="eastAsia"/>
          <w:color w:val="auto"/>
          <w:highlight w:val="none"/>
          <w:lang w:eastAsia="zh-CN"/>
        </w:rPr>
      </w:pPr>
      <w:r>
        <w:rPr>
          <w:rFonts w:hint="eastAsia"/>
          <w:color w:val="auto"/>
          <w:highlight w:val="none"/>
          <w:lang w:eastAsia="zh-CN"/>
        </w:rPr>
        <w:t>②项目绩效目标</w:t>
      </w:r>
      <w:r>
        <w:rPr>
          <w:rFonts w:hint="eastAsia"/>
          <w:color w:val="auto"/>
          <w:highlight w:val="none"/>
          <w:lang w:val="en-US" w:eastAsia="zh-CN"/>
        </w:rPr>
        <w:t>为</w:t>
      </w:r>
      <w:r>
        <w:rPr>
          <w:rFonts w:hint="eastAsia" w:ascii="宋体" w:hAnsi="宋体" w:eastAsia="宋体" w:cs="宋体"/>
          <w:color w:val="auto"/>
          <w:highlight w:val="none"/>
          <w:lang w:val="en-US" w:eastAsia="zh-CN"/>
        </w:rPr>
        <w:t>开展教育教学活动和设施设备维护</w:t>
      </w:r>
      <w:r>
        <w:rPr>
          <w:rFonts w:hint="eastAsia" w:cs="宋体"/>
          <w:color w:val="auto"/>
          <w:highlight w:val="none"/>
          <w:lang w:val="en-US" w:eastAsia="zh-CN"/>
        </w:rPr>
        <w:t>，</w:t>
      </w:r>
      <w:r>
        <w:rPr>
          <w:rFonts w:hint="eastAsia" w:ascii="宋体" w:hAnsi="宋体" w:eastAsia="宋体" w:cs="宋体"/>
          <w:color w:val="auto"/>
          <w:highlight w:val="none"/>
          <w:lang w:val="en-US" w:eastAsia="zh-CN"/>
        </w:rPr>
        <w:t>确保幼儿园正常运转，与实际工作内容具有相关性；</w:t>
      </w:r>
    </w:p>
    <w:p w14:paraId="6AFDC957">
      <w:pPr>
        <w:bidi w:val="0"/>
        <w:rPr>
          <w:rFonts w:hint="eastAsia"/>
          <w:color w:val="auto"/>
          <w:highlight w:val="none"/>
          <w:lang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项目预期为效提升保障幼儿园各项工作平稳进行</w:t>
      </w:r>
      <w:r>
        <w:rPr>
          <w:rFonts w:hint="eastAsia" w:cs="宋体"/>
          <w:color w:val="auto"/>
          <w:highlight w:val="none"/>
          <w:lang w:val="en-US" w:eastAsia="zh-CN"/>
        </w:rPr>
        <w:t>，校园环境和条件进一步改善</w:t>
      </w:r>
      <w:r>
        <w:rPr>
          <w:rFonts w:hint="eastAsia" w:ascii="宋体" w:hAnsi="宋体" w:eastAsia="宋体" w:cs="宋体"/>
          <w:color w:val="auto"/>
          <w:highlight w:val="none"/>
          <w:lang w:val="en-US" w:eastAsia="zh-CN"/>
        </w:rPr>
        <w:t>，产出效益和效果符合正常的业绩水平</w:t>
      </w:r>
      <w:r>
        <w:rPr>
          <w:rFonts w:hint="eastAsia"/>
          <w:color w:val="auto"/>
          <w:highlight w:val="none"/>
          <w:lang w:eastAsia="zh-CN"/>
        </w:rPr>
        <w:t>；</w:t>
      </w:r>
    </w:p>
    <w:p w14:paraId="63D8D8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10.55万元，资金执行数为10.55万元，</w:t>
      </w:r>
      <w:r>
        <w:rPr>
          <w:rFonts w:hint="eastAsia"/>
          <w:color w:val="auto"/>
          <w:highlight w:val="none"/>
          <w:lang w:eastAsia="zh-CN"/>
        </w:rPr>
        <w:t>资金量相匹配。</w:t>
      </w:r>
    </w:p>
    <w:p w14:paraId="15E13098">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1BAB9D2">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296CEFBE">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bookmarkStart w:id="62" w:name="_Toc19401"/>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17</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10</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330A633F">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8</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2个，量化率达到80%</w:t>
      </w:r>
      <w:r>
        <w:rPr>
          <w:rFonts w:hint="eastAsia"/>
          <w:color w:val="auto"/>
          <w:highlight w:val="none"/>
          <w:lang w:eastAsia="zh-CN"/>
        </w:rPr>
        <w:t>；</w:t>
      </w:r>
    </w:p>
    <w:p w14:paraId="03440C9E">
      <w:pPr>
        <w:bidi w:val="0"/>
        <w:outlineLvl w:val="2"/>
        <w:rPr>
          <w:rFonts w:hint="default"/>
          <w:b/>
          <w:bCs/>
          <w:color w:val="auto"/>
          <w:highlight w:val="none"/>
          <w:lang w:val="en-US" w:eastAsia="zh-CN"/>
        </w:rPr>
      </w:pPr>
      <w:r>
        <w:rPr>
          <w:rFonts w:hint="eastAsia"/>
          <w:b/>
          <w:bCs/>
          <w:color w:val="auto"/>
          <w:highlight w:val="none"/>
          <w:lang w:val="en-US" w:eastAsia="zh-CN"/>
        </w:rPr>
        <w:t>5.预算编制科学性</w:t>
      </w:r>
      <w:bookmarkEnd w:id="62"/>
    </w:p>
    <w:p w14:paraId="61CD558F">
      <w:pPr>
        <w:bidi w:val="0"/>
        <w:rPr>
          <w:rFonts w:hint="eastAsia"/>
          <w:color w:val="auto"/>
          <w:highlight w:val="none"/>
          <w:lang w:eastAsia="zh-CN"/>
        </w:rPr>
      </w:pPr>
      <w:r>
        <w:rPr>
          <w:rFonts w:hint="eastAsia"/>
          <w:color w:val="auto"/>
          <w:highlight w:val="none"/>
          <w:lang w:eastAsia="zh-CN"/>
        </w:rPr>
        <w:t>①2023年度</w:t>
      </w: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color w:val="auto"/>
          <w:highlight w:val="none"/>
          <w:lang w:eastAsia="zh-CN"/>
        </w:rPr>
        <w:t>项目预算编制经过科学论证；</w:t>
      </w:r>
    </w:p>
    <w:p w14:paraId="05381D64">
      <w:pPr>
        <w:bidi w:val="0"/>
        <w:rPr>
          <w:rFonts w:hint="eastAsia"/>
          <w:color w:val="auto"/>
          <w:highlight w:val="none"/>
          <w:lang w:eastAsia="zh-CN"/>
        </w:rPr>
      </w:pPr>
      <w:r>
        <w:rPr>
          <w:rFonts w:hint="eastAsia"/>
          <w:color w:val="auto"/>
          <w:highlight w:val="none"/>
          <w:lang w:eastAsia="zh-CN"/>
        </w:rPr>
        <w:t>②预算内容</w:t>
      </w:r>
      <w:r>
        <w:rPr>
          <w:rFonts w:hint="eastAsia"/>
          <w:color w:val="auto"/>
          <w:highlight w:val="none"/>
          <w:lang w:val="en-US" w:eastAsia="zh-CN"/>
        </w:rPr>
        <w:t>与项目内容</w:t>
      </w:r>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w:t>
      </w:r>
      <w:r>
        <w:rPr>
          <w:rFonts w:hint="eastAsia" w:cs="宋体"/>
          <w:b w:val="0"/>
          <w:bCs w:val="0"/>
          <w:color w:val="auto"/>
          <w:kern w:val="2"/>
          <w:sz w:val="28"/>
          <w:szCs w:val="28"/>
          <w:highlight w:val="none"/>
          <w:shd w:val="clear" w:color="auto" w:fill="auto"/>
          <w:lang w:val="en-US" w:eastAsia="zh-CN" w:bidi="ar-SA"/>
        </w:rPr>
        <w:t>幼儿伙食费</w:t>
      </w:r>
      <w:r>
        <w:rPr>
          <w:rFonts w:hint="eastAsia"/>
          <w:color w:val="auto"/>
          <w:highlight w:val="none"/>
          <w:lang w:eastAsia="zh-CN"/>
        </w:rPr>
        <w:t>；</w:t>
      </w:r>
    </w:p>
    <w:p w14:paraId="25E7DEFB">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10.55</w:t>
      </w:r>
      <w:r>
        <w:rPr>
          <w:rFonts w:hint="eastAsia"/>
          <w:color w:val="auto"/>
          <w:highlight w:val="none"/>
          <w:lang w:eastAsia="zh-CN"/>
        </w:rPr>
        <w:t>万元，依据《财政支出绩效评价管理暂行办法》》，符合市场标准；</w:t>
      </w:r>
    </w:p>
    <w:p w14:paraId="0E090E1D">
      <w:pPr>
        <w:bidi w:val="0"/>
        <w:rPr>
          <w:rFonts w:hint="default"/>
          <w:color w:val="auto"/>
          <w:highlight w:val="none"/>
          <w:lang w:val="en-US" w:eastAsia="zh-CN"/>
        </w:rPr>
      </w:pPr>
      <w:r>
        <w:rPr>
          <w:rFonts w:hint="eastAsia"/>
          <w:color w:val="auto"/>
          <w:highlight w:val="none"/>
          <w:lang w:eastAsia="zh-CN"/>
        </w:rPr>
        <w:t>④预算确定的项目投资额或资金量与工作任务相匹配。</w:t>
      </w:r>
    </w:p>
    <w:p w14:paraId="4DF02502">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3B9CE478">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2D8DF46A">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《阜康市城关镇中心幼儿园收支业务管理办法》充分；</w:t>
      </w:r>
    </w:p>
    <w:p w14:paraId="686E1047">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》《阜康市城关镇中心幼儿园收支业务管理办法》额度合理，与项目单位或地方实际相适应。</w:t>
      </w:r>
    </w:p>
    <w:p w14:paraId="5C664CAE">
      <w:pPr>
        <w:bidi w:val="0"/>
        <w:ind w:left="0" w:leftChars="0" w:firstLine="562" w:firstLineChars="200"/>
        <w:rPr>
          <w:rFonts w:hint="eastAsia"/>
          <w:color w:val="auto"/>
          <w:highlight w:val="none"/>
          <w:lang w:eastAsia="zh-CN"/>
        </w:rPr>
      </w:pPr>
      <w:r>
        <w:rPr>
          <w:rFonts w:hint="eastAsia"/>
          <w:b/>
          <w:bCs/>
          <w:color w:val="auto"/>
          <w:highlight w:val="none"/>
          <w:lang w:val="en-US" w:eastAsia="zh-CN"/>
        </w:rPr>
        <w:t>综上，该项指标满分3分，得分3分。</w:t>
      </w:r>
    </w:p>
    <w:p w14:paraId="5BAC3AB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42935CB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8584BD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0F532446">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34E5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C066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BA54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BAC0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3DDE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FD06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87B5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15C86D5">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5C75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32D2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5AF8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420B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EE28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47F7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D37D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14414F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1D95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EAB3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8CF5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C979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6D0D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F60D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94F5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ADCE5A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4F0E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521D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A6F6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7FD3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FD37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F518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5013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2985835F">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8B92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43DA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D8A0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571B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25E5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5FE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3F9B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4E0CB48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209A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4471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557E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0087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7973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88B6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28C2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6363D1AB">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E7D0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2BFC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5942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FF31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4C3B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6A5EE86C">
      <w:pPr>
        <w:bidi w:val="0"/>
        <w:outlineLvl w:val="2"/>
        <w:rPr>
          <w:rFonts w:hint="default"/>
          <w:b/>
          <w:bCs/>
          <w:color w:val="auto"/>
          <w:lang w:val="en-US" w:eastAsia="zh-CN"/>
        </w:rPr>
      </w:pPr>
      <w:bookmarkStart w:id="65" w:name="_Toc3886"/>
      <w:r>
        <w:rPr>
          <w:rFonts w:hint="eastAsia"/>
          <w:b/>
          <w:bCs/>
          <w:color w:val="auto"/>
          <w:lang w:val="en-US" w:eastAsia="zh-CN"/>
        </w:rPr>
        <w:t>1.资金到位率</w:t>
      </w:r>
      <w:bookmarkEnd w:id="65"/>
    </w:p>
    <w:p w14:paraId="0EF6D538">
      <w:pPr>
        <w:bidi w:val="0"/>
        <w:rPr>
          <w:rFonts w:hint="default"/>
          <w:b w:val="0"/>
          <w:bCs w:val="0"/>
          <w:color w:val="auto"/>
          <w:highlight w:val="none"/>
          <w:lang w:val="en-US" w:eastAsia="zh-CN"/>
        </w:rPr>
      </w:pPr>
      <w:r>
        <w:rPr>
          <w:rFonts w:hint="eastAsia"/>
          <w:color w:val="auto"/>
          <w:lang w:eastAsia="zh-CN"/>
        </w:rPr>
        <w:t>资金到</w:t>
      </w:r>
      <w:r>
        <w:rPr>
          <w:rFonts w:hint="eastAsia"/>
          <w:color w:val="auto"/>
          <w:highlight w:val="none"/>
          <w:lang w:eastAsia="zh-CN"/>
        </w:rPr>
        <w:t>位率=（</w:t>
      </w:r>
      <w:r>
        <w:rPr>
          <w:rFonts w:hint="eastAsia"/>
          <w:color w:val="auto"/>
          <w:highlight w:val="none"/>
          <w:lang w:val="en-US" w:eastAsia="zh-CN"/>
        </w:rPr>
        <w:t>10.55万元/10.55万元</w:t>
      </w:r>
      <w:r>
        <w:rPr>
          <w:rFonts w:hint="eastAsia"/>
          <w:color w:val="auto"/>
          <w:highlight w:val="none"/>
          <w:lang w:eastAsia="zh-CN"/>
        </w:rPr>
        <w:t>）</w:t>
      </w:r>
      <w:r>
        <w:rPr>
          <w:rFonts w:hint="eastAsia"/>
          <w:b w:val="0"/>
          <w:bCs w:val="0"/>
          <w:color w:val="auto"/>
          <w:highlight w:val="none"/>
          <w:lang w:eastAsia="zh-CN"/>
        </w:rPr>
        <w:t>×100%</w:t>
      </w:r>
      <w:r>
        <w:rPr>
          <w:rFonts w:hint="eastAsia"/>
          <w:b w:val="0"/>
          <w:bCs w:val="0"/>
          <w:color w:val="auto"/>
          <w:highlight w:val="none"/>
          <w:lang w:val="en-US" w:eastAsia="zh-CN"/>
        </w:rPr>
        <w:t>=100%</w:t>
      </w:r>
    </w:p>
    <w:p w14:paraId="586F644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884C768">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067E8440">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10.55万元/10.55万元</w:t>
      </w:r>
      <w:r>
        <w:rPr>
          <w:rFonts w:hint="eastAsia"/>
          <w:color w:val="auto"/>
          <w:highlight w:val="none"/>
          <w:lang w:eastAsia="zh-CN"/>
        </w:rPr>
        <w:t>）×100%</w:t>
      </w:r>
      <w:r>
        <w:rPr>
          <w:rFonts w:hint="eastAsia"/>
          <w:b/>
          <w:bCs/>
          <w:color w:val="auto"/>
          <w:highlight w:val="none"/>
          <w:lang w:val="en-US" w:eastAsia="zh-CN"/>
        </w:rPr>
        <w:t>=</w:t>
      </w:r>
      <w:r>
        <w:rPr>
          <w:rFonts w:hint="eastAsia"/>
          <w:b w:val="0"/>
          <w:bCs w:val="0"/>
          <w:color w:val="auto"/>
          <w:highlight w:val="none"/>
          <w:lang w:val="en-US" w:eastAsia="zh-CN"/>
        </w:rPr>
        <w:t>100%</w:t>
      </w:r>
    </w:p>
    <w:p w14:paraId="5D6DD2B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47F195D">
      <w:pPr>
        <w:bidi w:val="0"/>
        <w:outlineLvl w:val="2"/>
        <w:rPr>
          <w:rFonts w:hint="default"/>
          <w:b/>
          <w:bCs/>
          <w:color w:val="auto"/>
          <w:lang w:val="en-US" w:eastAsia="zh-CN"/>
        </w:rPr>
      </w:pPr>
      <w:bookmarkStart w:id="67" w:name="_Toc18691"/>
      <w:r>
        <w:rPr>
          <w:rFonts w:hint="eastAsia"/>
          <w:b/>
          <w:bCs/>
          <w:color w:val="auto"/>
          <w:lang w:val="en-US" w:eastAsia="zh-CN"/>
        </w:rPr>
        <w:t>3.资金使用合规性</w:t>
      </w:r>
      <w:bookmarkEnd w:id="67"/>
    </w:p>
    <w:p w14:paraId="5736DF0A">
      <w:pPr>
        <w:bidi w:val="0"/>
        <w:rPr>
          <w:rFonts w:hint="eastAsia"/>
          <w:color w:val="auto"/>
          <w:lang w:eastAsia="zh-CN"/>
        </w:rPr>
      </w:pPr>
      <w:r>
        <w:rPr>
          <w:rFonts w:hint="eastAsia"/>
          <w:color w:val="auto"/>
          <w:lang w:eastAsia="zh-CN"/>
        </w:rPr>
        <w:t>①符合国家财经法规和</w:t>
      </w:r>
      <w:r>
        <w:rPr>
          <w:rFonts w:hint="eastAsia"/>
          <w:color w:val="auto"/>
          <w:highlight w:val="none"/>
          <w:lang w:eastAsia="zh-CN"/>
        </w:rPr>
        <w:t>《阜康市城关镇中心幼儿园收支业务管理办法》</w:t>
      </w:r>
      <w:r>
        <w:rPr>
          <w:rFonts w:hint="eastAsia"/>
          <w:color w:val="auto"/>
          <w:lang w:eastAsia="zh-CN"/>
        </w:rPr>
        <w:t>；以及有关专项资金管理办法的规定；该建设项目严格按照《会计法》、《预算法》严格执行；</w:t>
      </w:r>
    </w:p>
    <w:p w14:paraId="24E0DC12">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②资金的拨付有《阜康市教育系统政府采购审批表》，审批程序和手续齐全；</w:t>
      </w:r>
    </w:p>
    <w:p w14:paraId="1691CBE2">
      <w:pPr>
        <w:bidi w:val="0"/>
        <w:rPr>
          <w:rFonts w:hint="eastAsia"/>
          <w:color w:val="auto"/>
          <w:highlight w:val="none"/>
          <w:lang w:eastAsia="zh-CN"/>
        </w:rPr>
      </w:pPr>
      <w:r>
        <w:rPr>
          <w:rFonts w:hint="eastAsia"/>
          <w:color w:val="auto"/>
          <w:highlight w:val="none"/>
          <w:lang w:eastAsia="zh-CN"/>
        </w:rPr>
        <w:t>③符合项目预算《阜康市城关镇中心幼儿园党总支会议》批复规定的用途；</w:t>
      </w:r>
    </w:p>
    <w:p w14:paraId="2E4E21D5">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14:paraId="4FAF77DF">
      <w:pPr>
        <w:bidi w:val="0"/>
        <w:rPr>
          <w:rFonts w:hint="eastAsia"/>
          <w:color w:val="auto"/>
          <w:lang w:eastAsia="zh-CN"/>
        </w:rPr>
      </w:pPr>
      <w:r>
        <w:rPr>
          <w:rFonts w:hint="eastAsia"/>
          <w:b/>
          <w:bCs/>
          <w:color w:val="auto"/>
          <w:lang w:val="en-US" w:eastAsia="zh-CN"/>
        </w:rPr>
        <w:t>综上，该项指标满分4分，得分4分。</w:t>
      </w:r>
    </w:p>
    <w:p w14:paraId="6EF9AC8E">
      <w:pPr>
        <w:bidi w:val="0"/>
        <w:rPr>
          <w:rFonts w:hint="eastAsia"/>
          <w:b/>
          <w:bCs/>
          <w:color w:val="auto"/>
          <w:lang w:val="en-US" w:eastAsia="zh-CN"/>
        </w:rPr>
      </w:pPr>
      <w:r>
        <w:rPr>
          <w:rFonts w:hint="eastAsia"/>
          <w:b/>
          <w:bCs/>
          <w:color w:val="auto"/>
          <w:lang w:val="en-US" w:eastAsia="zh-CN"/>
        </w:rPr>
        <w:t>4.管理制度健全性</w:t>
      </w:r>
    </w:p>
    <w:p w14:paraId="20EB38FA">
      <w:pPr>
        <w:bidi w:val="0"/>
        <w:rPr>
          <w:rFonts w:hint="eastAsia"/>
          <w:color w:val="auto"/>
        </w:rPr>
      </w:pPr>
      <w:r>
        <w:rPr>
          <w:rFonts w:hint="eastAsia"/>
          <w:color w:val="auto"/>
        </w:rPr>
        <w:t>为加强我单位预算管理、规范财务行为我单位制定了《</w:t>
      </w:r>
      <w:r>
        <w:rPr>
          <w:rFonts w:hint="eastAsia"/>
          <w:color w:val="auto"/>
          <w:lang w:val="en-US" w:eastAsia="zh-CN"/>
        </w:rPr>
        <w:t>阜康市城关镇中心幼儿园</w:t>
      </w:r>
      <w:r>
        <w:rPr>
          <w:rFonts w:hint="eastAsia"/>
          <w:color w:val="auto"/>
        </w:rPr>
        <w:t>内部控制规范》《</w:t>
      </w:r>
      <w:r>
        <w:rPr>
          <w:rFonts w:hint="eastAsia"/>
          <w:color w:val="auto"/>
          <w:lang w:val="en-US" w:eastAsia="zh-CN"/>
        </w:rPr>
        <w:t>阜康市城关镇中心幼儿园</w:t>
      </w:r>
      <w:r>
        <w:rPr>
          <w:rFonts w:hint="eastAsia"/>
          <w:color w:val="auto"/>
        </w:rPr>
        <w:t>项目管理规范》等资金管理制度，已建立制度均健全且有效运行</w:t>
      </w:r>
    </w:p>
    <w:p w14:paraId="563C0802">
      <w:pPr>
        <w:bidi w:val="0"/>
        <w:rPr>
          <w:rFonts w:hint="eastAsia"/>
          <w:color w:val="auto"/>
          <w:lang w:eastAsia="zh-CN"/>
        </w:rPr>
      </w:pPr>
      <w:r>
        <w:rPr>
          <w:rFonts w:hint="eastAsia"/>
          <w:color w:val="auto"/>
          <w:lang w:eastAsia="zh-CN"/>
        </w:rPr>
        <w:t>①已制定</w:t>
      </w:r>
      <w:r>
        <w:rPr>
          <w:rFonts w:hint="eastAsia"/>
          <w:color w:val="auto"/>
        </w:rPr>
        <w:t>《</w:t>
      </w:r>
      <w:r>
        <w:rPr>
          <w:rFonts w:hint="eastAsia"/>
          <w:color w:val="auto"/>
          <w:lang w:val="en-US" w:eastAsia="zh-CN"/>
        </w:rPr>
        <w:t>阜康市城关镇中心幼儿园</w:t>
      </w:r>
      <w:r>
        <w:rPr>
          <w:rFonts w:hint="eastAsia"/>
          <w:color w:val="auto"/>
        </w:rPr>
        <w:t>内部控制规范》《</w:t>
      </w:r>
      <w:r>
        <w:rPr>
          <w:rFonts w:hint="eastAsia"/>
          <w:color w:val="auto"/>
          <w:lang w:val="en-US" w:eastAsia="zh-CN"/>
        </w:rPr>
        <w:t>阜康市城关镇中心幼儿园</w:t>
      </w:r>
      <w:r>
        <w:rPr>
          <w:rFonts w:hint="eastAsia"/>
          <w:color w:val="auto"/>
        </w:rPr>
        <w:t>项目管理规范》等资金</w:t>
      </w:r>
      <w:r>
        <w:rPr>
          <w:rFonts w:hint="eastAsia"/>
          <w:color w:val="auto"/>
          <w:lang w:eastAsia="zh-CN"/>
        </w:rPr>
        <w:t>管理制度；</w:t>
      </w:r>
    </w:p>
    <w:p w14:paraId="06173ED0">
      <w:pPr>
        <w:bidi w:val="0"/>
        <w:rPr>
          <w:rFonts w:hint="eastAsia"/>
          <w:color w:val="auto"/>
          <w:lang w:eastAsia="zh-CN"/>
        </w:rPr>
      </w:pPr>
      <w:r>
        <w:rPr>
          <w:rFonts w:hint="eastAsia"/>
          <w:color w:val="auto"/>
          <w:lang w:eastAsia="zh-CN"/>
        </w:rPr>
        <w:t>②财务和业务管理制度合法、合规、完整。</w:t>
      </w:r>
    </w:p>
    <w:p w14:paraId="07D63030">
      <w:pPr>
        <w:bidi w:val="0"/>
        <w:rPr>
          <w:rFonts w:hint="eastAsia"/>
          <w:color w:val="auto"/>
          <w:lang w:eastAsia="zh-CN"/>
        </w:rPr>
      </w:pPr>
      <w:r>
        <w:rPr>
          <w:rFonts w:hint="eastAsia"/>
          <w:b/>
          <w:bCs/>
          <w:color w:val="auto"/>
          <w:lang w:val="en-US" w:eastAsia="zh-CN"/>
        </w:rPr>
        <w:t>综上，该项指标满分4分，得分4分。</w:t>
      </w:r>
    </w:p>
    <w:p w14:paraId="55F1CAFC">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3A245FBE">
      <w:pPr>
        <w:bidi w:val="0"/>
        <w:rPr>
          <w:rFonts w:hint="eastAsia"/>
          <w:color w:val="auto"/>
          <w:lang w:eastAsia="zh-CN"/>
        </w:rPr>
      </w:pPr>
      <w:r>
        <w:rPr>
          <w:rFonts w:hint="eastAsia"/>
          <w:color w:val="auto"/>
          <w:lang w:eastAsia="zh-CN"/>
        </w:rPr>
        <w:t>①遵守</w:t>
      </w:r>
      <w:r>
        <w:rPr>
          <w:rFonts w:hint="eastAsia"/>
          <w:color w:val="auto"/>
          <w:highlight w:val="none"/>
          <w:lang w:eastAsia="zh-CN"/>
        </w:rPr>
        <w:t>《阜康市城关镇中心幼儿园建设项目管理办法》，《阜康市城关镇中心幼儿园收支业务管理办法》等</w:t>
      </w:r>
      <w:r>
        <w:rPr>
          <w:rFonts w:hint="eastAsia"/>
          <w:color w:val="auto"/>
          <w:lang w:eastAsia="zh-CN"/>
        </w:rPr>
        <w:t>相关管理规定；</w:t>
      </w:r>
    </w:p>
    <w:p w14:paraId="203B9C07">
      <w:pPr>
        <w:bidi w:val="0"/>
        <w:rPr>
          <w:rFonts w:hint="eastAsia"/>
          <w:color w:val="auto"/>
          <w:lang w:eastAsia="zh-CN"/>
        </w:rPr>
      </w:pPr>
      <w:r>
        <w:rPr>
          <w:rFonts w:hint="eastAsia"/>
          <w:color w:val="auto"/>
          <w:lang w:eastAsia="zh-CN"/>
        </w:rPr>
        <w:t>②项目未调整；</w:t>
      </w:r>
    </w:p>
    <w:p w14:paraId="348E19C6">
      <w:pPr>
        <w:bidi w:val="0"/>
        <w:rPr>
          <w:rFonts w:hint="eastAsia"/>
          <w:color w:val="auto"/>
          <w:lang w:eastAsia="zh-CN"/>
        </w:rPr>
      </w:pPr>
      <w:r>
        <w:rPr>
          <w:rFonts w:hint="eastAsia"/>
          <w:color w:val="auto"/>
          <w:lang w:eastAsia="zh-CN"/>
        </w:rPr>
        <w:t>③项目合同书、验收报告、工程竣工决算审核报告</w:t>
      </w:r>
      <w:r>
        <w:rPr>
          <w:rFonts w:hint="eastAsia"/>
          <w:color w:val="auto"/>
          <w:highlight w:val="none"/>
          <w:lang w:eastAsia="zh-CN"/>
        </w:rPr>
        <w:t>按照规定进行归档，符合要求。</w:t>
      </w:r>
    </w:p>
    <w:p w14:paraId="33260F9F">
      <w:pPr>
        <w:bidi w:val="0"/>
        <w:rPr>
          <w:rFonts w:hint="eastAsia"/>
          <w:color w:val="auto"/>
          <w:lang w:eastAsia="zh-CN"/>
        </w:rPr>
      </w:pPr>
      <w:r>
        <w:rPr>
          <w:rFonts w:hint="eastAsia"/>
          <w:color w:val="auto"/>
          <w:lang w:eastAsia="zh-CN"/>
        </w:rPr>
        <w:t>④项目实施的</w:t>
      </w:r>
      <w:r>
        <w:rPr>
          <w:rFonts w:hint="eastAsia"/>
          <w:color w:val="auto"/>
          <w:highlight w:val="none"/>
          <w:lang w:eastAsia="zh-CN"/>
        </w:rPr>
        <w:t>人员条件、场地设备、信息支撑等</w:t>
      </w:r>
      <w:r>
        <w:rPr>
          <w:rFonts w:hint="eastAsia"/>
          <w:color w:val="auto"/>
          <w:lang w:eastAsia="zh-CN"/>
        </w:rPr>
        <w:t>落实到位。人员条件有我校相关项目负责人员、教育局项目办负责人员等对该项目进行监督审查。</w:t>
      </w:r>
    </w:p>
    <w:p w14:paraId="19CE3C53">
      <w:pPr>
        <w:bidi w:val="0"/>
        <w:rPr>
          <w:rFonts w:hint="eastAsia"/>
          <w:color w:val="auto"/>
          <w:lang w:eastAsia="zh-CN"/>
        </w:rPr>
      </w:pPr>
      <w:r>
        <w:rPr>
          <w:rFonts w:hint="eastAsia"/>
          <w:b/>
          <w:bCs/>
          <w:color w:val="auto"/>
          <w:lang w:val="en-US" w:eastAsia="zh-CN"/>
        </w:rPr>
        <w:t>综上，该项指标满分4分，得分4分。</w:t>
      </w:r>
    </w:p>
    <w:p w14:paraId="0452B72A">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0FDE66C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0F9EF7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7B7E9A93">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BB1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C1C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883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ED5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BF2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8F4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8D4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40009C11">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E9E4A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E2E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8BA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11668">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w:t>
            </w:r>
            <w:r>
              <w:rPr>
                <w:rFonts w:hint="eastAsia" w:cs="宋体"/>
                <w:i w:val="0"/>
                <w:color w:val="auto"/>
                <w:kern w:val="0"/>
                <w:sz w:val="20"/>
                <w:szCs w:val="20"/>
                <w:u w:val="none"/>
                <w:lang w:val="en-US" w:eastAsia="zh-CN" w:bidi="ar"/>
              </w:rPr>
              <w:t>160</w:t>
            </w:r>
            <w:r>
              <w:rPr>
                <w:rFonts w:hint="eastAsia" w:ascii="宋体" w:hAnsi="宋体" w:eastAsia="宋体" w:cs="宋体"/>
                <w:i w:val="0"/>
                <w:color w:val="auto"/>
                <w:kern w:val="0"/>
                <w:sz w:val="20"/>
                <w:szCs w:val="20"/>
                <w:u w:val="none"/>
                <w:lang w:val="en-US" w:eastAsia="zh-CN" w:bidi="ar"/>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00606">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58A70">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160</w:t>
            </w:r>
            <w:r>
              <w:rPr>
                <w:rFonts w:hint="eastAsia" w:ascii="宋体" w:hAnsi="宋体" w:eastAsia="宋体" w:cs="宋体"/>
                <w:i w:val="0"/>
                <w:color w:val="auto"/>
                <w:kern w:val="0"/>
                <w:sz w:val="20"/>
                <w:szCs w:val="20"/>
                <w:u w:val="none"/>
                <w:lang w:val="en-US" w:eastAsia="zh-CN" w:bidi="ar"/>
              </w:rPr>
              <w:t>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C2D43">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w:t>
            </w:r>
          </w:p>
        </w:tc>
      </w:tr>
      <w:tr w14:paraId="53E52F32">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83551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A27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3AD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57137">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≧600次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AD95F">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7FD8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600次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BC062">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w:t>
            </w:r>
          </w:p>
        </w:tc>
      </w:tr>
      <w:tr w14:paraId="3130CD0E">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0E969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7A4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97E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5DCE7">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90014">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3D520">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D7E53">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3F3EDA1">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10483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214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CAB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设施设备质量达标率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E3B49">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47591">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4E599">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F539F">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14:paraId="37C61344">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B459F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532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F35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A667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EA004">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CC013">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C8A88">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14:paraId="1D2D2AEC">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EC38C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1F1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977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9C378">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Style w:val="19"/>
                <w:rFonts w:eastAsia="宋体"/>
                <w:color w:val="auto"/>
                <w:lang w:val="en-US" w:eastAsia="zh-CN" w:bidi="ar"/>
              </w:rPr>
              <w:t>≤</w:t>
            </w:r>
            <w:r>
              <w:rPr>
                <w:rStyle w:val="20"/>
                <w:color w:val="auto"/>
                <w:lang w:val="en-US" w:eastAsia="zh-CN" w:bidi="ar"/>
              </w:rPr>
              <w:t>2023年12月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4DA59">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BD643">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2023-12-31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51110">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w:t>
            </w:r>
          </w:p>
        </w:tc>
      </w:tr>
      <w:tr w14:paraId="5CCC5327">
        <w:tblPrEx>
          <w:shd w:val="clear" w:color="auto" w:fill="auto"/>
          <w:tblCellMar>
            <w:top w:w="0" w:type="dxa"/>
            <w:left w:w="0" w:type="dxa"/>
            <w:bottom w:w="0" w:type="dxa"/>
            <w:right w:w="0" w:type="dxa"/>
          </w:tblCellMar>
        </w:tblPrEx>
        <w:trPr>
          <w:trHeight w:val="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28DE2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FF0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235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21B38">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61D61">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97EB3">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FA178">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14:paraId="6007B281">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666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A76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B11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公用经费生均经费标准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D68F8">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=2800元/生/年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04E3A">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58D27">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2800元/生/年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7E958">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5</w:t>
            </w:r>
          </w:p>
        </w:tc>
      </w:tr>
      <w:tr w14:paraId="6E8DC7F7">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B21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AC1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972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31A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09E6B3B">
      <w:pPr>
        <w:bidi w:val="0"/>
        <w:rPr>
          <w:rFonts w:hint="default"/>
          <w:b/>
          <w:bCs/>
          <w:color w:val="auto"/>
          <w:lang w:val="en-US" w:eastAsia="zh-CN"/>
        </w:rPr>
      </w:pPr>
      <w:bookmarkStart w:id="70" w:name="_Toc11067"/>
      <w:r>
        <w:rPr>
          <w:rFonts w:hint="eastAsia"/>
          <w:b/>
          <w:bCs/>
          <w:color w:val="auto"/>
          <w:lang w:val="en-US" w:eastAsia="zh-CN"/>
        </w:rPr>
        <w:t>1.项目完成数量</w:t>
      </w:r>
      <w:bookmarkEnd w:id="70"/>
    </w:p>
    <w:p w14:paraId="095DA651">
      <w:pPr>
        <w:bidi w:val="0"/>
        <w:rPr>
          <w:rFonts w:hint="eastAsia"/>
          <w:color w:val="auto"/>
          <w:lang w:val="en-US" w:eastAsia="zh-CN"/>
        </w:rPr>
      </w:pPr>
      <w:r>
        <w:rPr>
          <w:rFonts w:hint="eastAsia"/>
          <w:color w:val="auto"/>
          <w:lang w:eastAsia="zh-CN"/>
        </w:rPr>
        <w:t>“</w:t>
      </w:r>
      <w:r>
        <w:rPr>
          <w:rFonts w:hint="eastAsia"/>
          <w:color w:val="auto"/>
          <w:lang w:val="en-US" w:eastAsia="zh-CN"/>
        </w:rPr>
        <w:t>农村学前三年适龄幼儿人数</w:t>
      </w:r>
      <w:r>
        <w:rPr>
          <w:rFonts w:hint="eastAsia"/>
          <w:color w:val="auto"/>
          <w:lang w:eastAsia="zh-CN"/>
        </w:rPr>
        <w:t>”</w:t>
      </w:r>
      <w:r>
        <w:rPr>
          <w:rFonts w:hint="eastAsia"/>
          <w:color w:val="auto"/>
          <w:lang w:val="en-US" w:eastAsia="zh-CN"/>
        </w:rPr>
        <w:t>指标，预期目标值为=160人，实际完成为160人。实际完成率=（160人/160人）×100%=100%。</w:t>
      </w:r>
    </w:p>
    <w:p w14:paraId="0426DC34">
      <w:pPr>
        <w:bidi w:val="0"/>
        <w:rPr>
          <w:rFonts w:hint="eastAsia"/>
          <w:color w:val="auto"/>
          <w:lang w:eastAsia="zh-CN"/>
        </w:rPr>
      </w:pPr>
      <w:r>
        <w:rPr>
          <w:rFonts w:hint="eastAsia"/>
          <w:b/>
          <w:bCs/>
          <w:color w:val="auto"/>
          <w:lang w:val="en-US" w:eastAsia="zh-CN"/>
        </w:rPr>
        <w:t>综上，该项指标满分5分，得分5分。</w:t>
      </w:r>
    </w:p>
    <w:p w14:paraId="38412B14">
      <w:pPr>
        <w:bidi w:val="0"/>
        <w:rPr>
          <w:rFonts w:hint="eastAsia"/>
          <w:color w:val="auto"/>
          <w:lang w:val="en-US" w:eastAsia="zh-CN"/>
        </w:rPr>
      </w:pPr>
      <w:r>
        <w:rPr>
          <w:rFonts w:hint="eastAsia"/>
          <w:color w:val="auto"/>
          <w:lang w:eastAsia="zh-CN"/>
        </w:rPr>
        <w:t>“</w:t>
      </w:r>
      <w:r>
        <w:rPr>
          <w:rFonts w:hint="eastAsia"/>
          <w:color w:val="auto"/>
          <w:lang w:val="en-US" w:eastAsia="zh-CN"/>
        </w:rPr>
        <w:t>开展教育教学活动次数</w:t>
      </w:r>
      <w:r>
        <w:rPr>
          <w:rFonts w:hint="eastAsia"/>
          <w:color w:val="auto"/>
          <w:lang w:eastAsia="zh-CN"/>
        </w:rPr>
        <w:t>”</w:t>
      </w:r>
      <w:r>
        <w:rPr>
          <w:rFonts w:hint="eastAsia"/>
          <w:color w:val="auto"/>
          <w:lang w:val="en-US" w:eastAsia="zh-CN"/>
        </w:rPr>
        <w:t>指标，预期目标值为≥600次，实际完成为600次。实际完成率=（600次/600次）×100%=100%。</w:t>
      </w:r>
    </w:p>
    <w:p w14:paraId="2F9AB8D7">
      <w:pPr>
        <w:bidi w:val="0"/>
        <w:rPr>
          <w:rFonts w:hint="eastAsia"/>
          <w:color w:val="auto"/>
          <w:lang w:eastAsia="zh-CN"/>
        </w:rPr>
      </w:pPr>
      <w:r>
        <w:rPr>
          <w:rFonts w:hint="eastAsia"/>
          <w:b/>
          <w:bCs/>
          <w:color w:val="auto"/>
          <w:lang w:val="en-US" w:eastAsia="zh-CN"/>
        </w:rPr>
        <w:t>综上，该项指标满分3分，得分3分。</w:t>
      </w:r>
    </w:p>
    <w:p w14:paraId="071F7F6B">
      <w:pPr>
        <w:bidi w:val="0"/>
        <w:rPr>
          <w:rFonts w:hint="eastAsia"/>
          <w:color w:val="auto"/>
          <w:lang w:val="en-US" w:eastAsia="zh-CN"/>
        </w:rPr>
      </w:pPr>
      <w:r>
        <w:rPr>
          <w:rFonts w:hint="eastAsia"/>
          <w:color w:val="auto"/>
          <w:lang w:eastAsia="zh-CN"/>
        </w:rPr>
        <w:t>“</w:t>
      </w:r>
      <w:r>
        <w:rPr>
          <w:rFonts w:hint="eastAsia"/>
          <w:color w:val="auto"/>
          <w:lang w:val="en-US" w:eastAsia="zh-CN"/>
        </w:rPr>
        <w:t>设施设备维护次数</w:t>
      </w:r>
      <w:r>
        <w:rPr>
          <w:rFonts w:hint="eastAsia"/>
          <w:color w:val="auto"/>
          <w:lang w:eastAsia="zh-CN"/>
        </w:rPr>
        <w:t>”</w:t>
      </w:r>
      <w:r>
        <w:rPr>
          <w:rFonts w:hint="eastAsia"/>
          <w:color w:val="auto"/>
          <w:lang w:val="en-US" w:eastAsia="zh-CN"/>
        </w:rPr>
        <w:t>指标，预期目标值为≥20次，实际完成为20次。实际完成率=（20次/20次）×100%=100%。</w:t>
      </w:r>
    </w:p>
    <w:p w14:paraId="594B9AA5">
      <w:pPr>
        <w:bidi w:val="0"/>
        <w:rPr>
          <w:rFonts w:hint="eastAsia"/>
          <w:color w:val="auto"/>
          <w:lang w:eastAsia="zh-CN"/>
        </w:rPr>
      </w:pPr>
      <w:r>
        <w:rPr>
          <w:rFonts w:hint="eastAsia"/>
          <w:b/>
          <w:bCs/>
          <w:color w:val="auto"/>
          <w:lang w:val="en-US" w:eastAsia="zh-CN"/>
        </w:rPr>
        <w:t>综上，该项指标满分3分，得分3分。</w:t>
      </w:r>
    </w:p>
    <w:p w14:paraId="2B06704D">
      <w:pPr>
        <w:bidi w:val="0"/>
        <w:outlineLvl w:val="2"/>
        <w:rPr>
          <w:rFonts w:hint="default"/>
          <w:b/>
          <w:bCs/>
          <w:color w:val="auto"/>
          <w:lang w:val="en-US" w:eastAsia="zh-CN"/>
        </w:rPr>
      </w:pPr>
      <w:bookmarkStart w:id="71" w:name="_Toc31739"/>
      <w:r>
        <w:rPr>
          <w:rFonts w:hint="eastAsia"/>
          <w:b/>
          <w:bCs/>
          <w:color w:val="auto"/>
          <w:lang w:val="en-US" w:eastAsia="zh-CN"/>
        </w:rPr>
        <w:t>2.项目完成质量</w:t>
      </w:r>
      <w:bookmarkEnd w:id="71"/>
    </w:p>
    <w:p w14:paraId="142BA5CB">
      <w:pPr>
        <w:bidi w:val="0"/>
        <w:rPr>
          <w:rFonts w:hint="eastAsia"/>
          <w:color w:val="auto"/>
          <w:lang w:val="en-US" w:eastAsia="zh-CN"/>
        </w:rPr>
      </w:pPr>
      <w:r>
        <w:rPr>
          <w:rFonts w:hint="eastAsia"/>
          <w:color w:val="auto"/>
          <w:lang w:eastAsia="zh-CN"/>
        </w:rPr>
        <w:t>“</w:t>
      </w:r>
      <w:r>
        <w:rPr>
          <w:rFonts w:hint="eastAsia"/>
          <w:color w:val="auto"/>
          <w:lang w:val="en-US" w:eastAsia="zh-CN"/>
        </w:rPr>
        <w:t>设施设备质量达标率</w:t>
      </w:r>
      <w:r>
        <w:rPr>
          <w:rFonts w:hint="eastAsia"/>
          <w:color w:val="auto"/>
          <w:lang w:eastAsia="zh-CN"/>
        </w:rPr>
        <w:t>”</w:t>
      </w:r>
      <w:r>
        <w:rPr>
          <w:rFonts w:hint="eastAsia"/>
          <w:color w:val="auto"/>
          <w:lang w:val="en-US" w:eastAsia="zh-CN"/>
        </w:rPr>
        <w:t>指标，预期目标值为≥90%，实际完成为90%，实际完成率100%。</w:t>
      </w:r>
    </w:p>
    <w:p w14:paraId="1BD2588D">
      <w:pPr>
        <w:bidi w:val="0"/>
        <w:rPr>
          <w:rFonts w:hint="eastAsia"/>
          <w:color w:val="auto"/>
          <w:lang w:eastAsia="zh-CN"/>
        </w:rPr>
      </w:pPr>
      <w:r>
        <w:rPr>
          <w:rFonts w:hint="eastAsia"/>
          <w:b/>
          <w:bCs/>
          <w:color w:val="auto"/>
          <w:lang w:val="en-US" w:eastAsia="zh-CN"/>
        </w:rPr>
        <w:t>综上，该项指标满分3分，得分3分。</w:t>
      </w:r>
    </w:p>
    <w:p w14:paraId="58283703">
      <w:pPr>
        <w:bidi w:val="0"/>
        <w:rPr>
          <w:rFonts w:hint="eastAsia"/>
          <w:color w:val="auto"/>
          <w:lang w:val="en-US" w:eastAsia="zh-CN"/>
        </w:rPr>
      </w:pPr>
      <w:r>
        <w:rPr>
          <w:rFonts w:hint="eastAsia"/>
          <w:color w:val="auto"/>
          <w:lang w:eastAsia="zh-CN"/>
        </w:rPr>
        <w:t>“</w:t>
      </w:r>
      <w:r>
        <w:rPr>
          <w:rFonts w:hint="eastAsia"/>
          <w:color w:val="auto"/>
          <w:lang w:val="en-US" w:eastAsia="zh-CN"/>
        </w:rPr>
        <w:t>完成年度教育教学活动工作达标率</w:t>
      </w:r>
      <w:r>
        <w:rPr>
          <w:rFonts w:hint="eastAsia"/>
          <w:color w:val="auto"/>
          <w:lang w:eastAsia="zh-CN"/>
        </w:rPr>
        <w:t>”</w:t>
      </w:r>
      <w:r>
        <w:rPr>
          <w:rFonts w:hint="eastAsia"/>
          <w:color w:val="auto"/>
          <w:lang w:val="en-US" w:eastAsia="zh-CN"/>
        </w:rPr>
        <w:t>指标，预期目标值为=100%，实际完成为100%，实际完成率100%。</w:t>
      </w:r>
    </w:p>
    <w:p w14:paraId="02FE4E9D">
      <w:pPr>
        <w:bidi w:val="0"/>
        <w:rPr>
          <w:rFonts w:hint="eastAsia"/>
          <w:color w:val="auto"/>
          <w:lang w:eastAsia="zh-CN"/>
        </w:rPr>
      </w:pPr>
      <w:r>
        <w:rPr>
          <w:rFonts w:hint="eastAsia"/>
          <w:b/>
          <w:bCs/>
          <w:color w:val="auto"/>
          <w:lang w:val="en-US" w:eastAsia="zh-CN"/>
        </w:rPr>
        <w:t>综上，该项指标满分3分，得分3分。</w:t>
      </w:r>
    </w:p>
    <w:p w14:paraId="2FB6D88A">
      <w:pPr>
        <w:bidi w:val="0"/>
        <w:outlineLvl w:val="2"/>
        <w:rPr>
          <w:rFonts w:hint="default"/>
          <w:b/>
          <w:bCs/>
          <w:color w:val="auto"/>
          <w:lang w:val="en-US" w:eastAsia="zh-CN"/>
        </w:rPr>
      </w:pPr>
      <w:bookmarkStart w:id="72" w:name="_Toc18307"/>
      <w:r>
        <w:rPr>
          <w:rFonts w:hint="eastAsia"/>
          <w:b/>
          <w:bCs/>
          <w:color w:val="auto"/>
          <w:lang w:val="en-US" w:eastAsia="zh-CN"/>
        </w:rPr>
        <w:t>3.项目完成时效</w:t>
      </w:r>
      <w:bookmarkEnd w:id="72"/>
    </w:p>
    <w:p w14:paraId="636B7CC0">
      <w:pPr>
        <w:bidi w:val="0"/>
        <w:rPr>
          <w:rFonts w:hint="eastAsia"/>
          <w:color w:val="auto"/>
          <w:lang w:eastAsia="zh-CN"/>
        </w:rPr>
      </w:pPr>
      <w:r>
        <w:rPr>
          <w:rFonts w:hint="eastAsia"/>
          <w:color w:val="auto"/>
          <w:lang w:eastAsia="zh-CN"/>
        </w:rPr>
        <w:t>“</w:t>
      </w:r>
      <w:r>
        <w:rPr>
          <w:rFonts w:hint="eastAsia"/>
          <w:color w:val="auto"/>
          <w:lang w:val="en-US" w:eastAsia="zh-CN"/>
        </w:rPr>
        <w:t>教育教学活动工作开展时间</w:t>
      </w:r>
      <w:r>
        <w:rPr>
          <w:rFonts w:hint="eastAsia"/>
          <w:color w:val="auto"/>
          <w:lang w:eastAsia="zh-CN"/>
        </w:rPr>
        <w:t>”</w:t>
      </w:r>
      <w:r>
        <w:rPr>
          <w:rFonts w:hint="eastAsia"/>
          <w:color w:val="auto"/>
          <w:lang w:val="en-US" w:eastAsia="zh-CN"/>
        </w:rPr>
        <w:t>指标，预期目标值为≤2023年12月，实际完成为2023-12-31，实际完成率100%。</w:t>
      </w:r>
    </w:p>
    <w:p w14:paraId="104620B3">
      <w:pPr>
        <w:bidi w:val="0"/>
        <w:rPr>
          <w:rFonts w:hint="eastAsia"/>
          <w:color w:val="auto"/>
          <w:lang w:eastAsia="zh-CN"/>
        </w:rPr>
      </w:pPr>
      <w:r>
        <w:rPr>
          <w:rFonts w:hint="eastAsia"/>
          <w:b/>
          <w:bCs/>
          <w:color w:val="auto"/>
          <w:lang w:val="en-US" w:eastAsia="zh-CN"/>
        </w:rPr>
        <w:t>综上，该项指标满分5分，得分5分。</w:t>
      </w:r>
    </w:p>
    <w:p w14:paraId="0B58D9EE">
      <w:pPr>
        <w:bidi w:val="0"/>
        <w:rPr>
          <w:rFonts w:hint="eastAsia"/>
          <w:color w:val="auto"/>
          <w:lang w:val="en-US" w:eastAsia="zh-CN"/>
        </w:rPr>
      </w:pPr>
      <w:r>
        <w:rPr>
          <w:rFonts w:hint="eastAsia"/>
          <w:color w:val="auto"/>
          <w:lang w:eastAsia="zh-CN"/>
        </w:rPr>
        <w:t>“</w:t>
      </w:r>
      <w:r>
        <w:rPr>
          <w:rFonts w:hint="eastAsia"/>
          <w:color w:val="auto"/>
          <w:lang w:val="en-US" w:eastAsia="zh-CN"/>
        </w:rPr>
        <w:t>教育教学活动工作开展及时率</w:t>
      </w:r>
      <w:r>
        <w:rPr>
          <w:rFonts w:hint="eastAsia"/>
          <w:color w:val="auto"/>
          <w:lang w:eastAsia="zh-CN"/>
        </w:rPr>
        <w:t>”</w:t>
      </w:r>
      <w:r>
        <w:rPr>
          <w:rFonts w:hint="eastAsia"/>
          <w:color w:val="auto"/>
          <w:lang w:val="en-US" w:eastAsia="zh-CN"/>
        </w:rPr>
        <w:t>指标，预期目标值为=100%，实际完成为100%，实际完成率100%。</w:t>
      </w:r>
    </w:p>
    <w:p w14:paraId="74537DAB">
      <w:pPr>
        <w:bidi w:val="0"/>
        <w:rPr>
          <w:rFonts w:hint="eastAsia"/>
          <w:color w:val="auto"/>
          <w:lang w:eastAsia="zh-CN"/>
        </w:rPr>
      </w:pPr>
      <w:r>
        <w:rPr>
          <w:rFonts w:hint="eastAsia"/>
          <w:b/>
          <w:bCs/>
          <w:color w:val="auto"/>
          <w:lang w:val="en-US" w:eastAsia="zh-CN"/>
        </w:rPr>
        <w:t>综上，该项指标满分3分，得分3分。</w:t>
      </w:r>
    </w:p>
    <w:p w14:paraId="018F099C">
      <w:pPr>
        <w:bidi w:val="0"/>
        <w:outlineLvl w:val="2"/>
        <w:rPr>
          <w:rFonts w:hint="default"/>
          <w:b/>
          <w:bCs/>
          <w:color w:val="auto"/>
          <w:lang w:val="en-US" w:eastAsia="zh-CN"/>
        </w:rPr>
      </w:pPr>
      <w:bookmarkStart w:id="73" w:name="_Toc32765"/>
      <w:r>
        <w:rPr>
          <w:rFonts w:hint="eastAsia"/>
          <w:b/>
          <w:bCs/>
          <w:color w:val="auto"/>
          <w:lang w:val="en-US" w:eastAsia="zh-CN"/>
        </w:rPr>
        <w:t>4.项目完成成本</w:t>
      </w:r>
      <w:bookmarkEnd w:id="73"/>
    </w:p>
    <w:p w14:paraId="1B1F7315">
      <w:pPr>
        <w:bidi w:val="0"/>
        <w:rPr>
          <w:rFonts w:hint="eastAsia"/>
          <w:color w:val="auto"/>
          <w:lang w:eastAsia="zh-CN"/>
        </w:rPr>
      </w:pPr>
      <w:r>
        <w:rPr>
          <w:rFonts w:hint="eastAsia"/>
          <w:color w:val="auto"/>
          <w:lang w:eastAsia="zh-CN"/>
        </w:rPr>
        <w:t>“</w:t>
      </w:r>
      <w:r>
        <w:rPr>
          <w:rFonts w:hint="eastAsia"/>
          <w:color w:val="auto"/>
          <w:lang w:val="en-US" w:eastAsia="zh-CN"/>
        </w:rPr>
        <w:t>公用经费生均标准</w:t>
      </w:r>
      <w:r>
        <w:rPr>
          <w:rFonts w:hint="eastAsia"/>
          <w:color w:val="auto"/>
          <w:lang w:eastAsia="zh-CN"/>
        </w:rPr>
        <w:t>”</w:t>
      </w:r>
      <w:r>
        <w:rPr>
          <w:rFonts w:hint="eastAsia"/>
          <w:color w:val="auto"/>
          <w:lang w:val="en-US" w:eastAsia="zh-CN"/>
        </w:rPr>
        <w:t>指标，预期目标值为=2800元/生/年，实际完成为2800元/生/年，实际完成率=100%。</w:t>
      </w:r>
    </w:p>
    <w:p w14:paraId="2321A25F">
      <w:pPr>
        <w:bidi w:val="0"/>
        <w:rPr>
          <w:rFonts w:hint="eastAsia"/>
          <w:color w:val="auto"/>
          <w:lang w:eastAsia="zh-CN"/>
        </w:rPr>
      </w:pPr>
      <w:r>
        <w:rPr>
          <w:rFonts w:hint="eastAsia"/>
          <w:b/>
          <w:bCs/>
          <w:color w:val="auto"/>
          <w:lang w:val="en-US" w:eastAsia="zh-CN"/>
        </w:rPr>
        <w:t>综上，该项指标满分5分，得分5分。</w:t>
      </w:r>
    </w:p>
    <w:p w14:paraId="6005D219">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0E615723">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5344F7C">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3259"/>
        <w:gridCol w:w="624"/>
        <w:gridCol w:w="528"/>
        <w:gridCol w:w="898"/>
        <w:gridCol w:w="653"/>
      </w:tblGrid>
      <w:tr w14:paraId="5A0784C3">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94817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bookmarkStart w:id="75" w:name="_Toc8010"/>
            <w:r>
              <w:rPr>
                <w:rFonts w:hint="eastAsia" w:ascii="宋体" w:hAnsi="宋体" w:eastAsia="宋体" w:cs="宋体"/>
                <w:b/>
                <w:bCs/>
                <w:color w:val="auto"/>
                <w:kern w:val="0"/>
                <w:sz w:val="20"/>
                <w:szCs w:val="20"/>
                <w:highlight w:val="none"/>
                <w:shd w:val="clear" w:color="auto" w:fill="auto"/>
                <w:lang w:val="en-US" w:eastAsia="zh-CN"/>
              </w:rPr>
              <w:t>一级</w:t>
            </w:r>
          </w:p>
          <w:p w14:paraId="382ECD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D4D5E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F9D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A60A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58EB5F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750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33AB85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A60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7533C8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217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3F874B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987E800">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5D7C3C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BF5D8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2E1D2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111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E80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B3C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05A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68142AE">
        <w:tblPrEx>
          <w:tblCellMar>
            <w:top w:w="0" w:type="dxa"/>
            <w:left w:w="0" w:type="dxa"/>
            <w:bottom w:w="0" w:type="dxa"/>
            <w:right w:w="0" w:type="dxa"/>
          </w:tblCellMar>
        </w:tblPrEx>
        <w:trPr>
          <w:trHeight w:val="702"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38391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744323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41B57B8">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保障幼儿园各项工作平稳进行</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FDB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有效保障</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3B7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A5E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DC1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022A0C79">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FA2A3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092CB9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97F2E18">
            <w:pPr>
              <w:keepNext w:val="0"/>
              <w:keepLines w:val="0"/>
              <w:widowControl/>
              <w:suppressLineNumbers w:val="0"/>
              <w:ind w:firstLine="400" w:firstLineChars="200"/>
              <w:jc w:val="left"/>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校园环境和条件进一步改善</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A81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421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0EA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B65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80F6E1E">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B2A74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11148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EFA9F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07F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AFB8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B77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178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A54C5F1">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DE15F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55DE11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73CAC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895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755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1A9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49D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90CB476">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66FBF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2A7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B79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792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50F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4A9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CE1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8311554">
        <w:tblPrEx>
          <w:shd w:val="clear" w:color="auto" w:fill="auto"/>
          <w:tblCellMar>
            <w:top w:w="0" w:type="dxa"/>
            <w:left w:w="0" w:type="dxa"/>
            <w:bottom w:w="0" w:type="dxa"/>
            <w:right w:w="0" w:type="dxa"/>
          </w:tblCellMar>
        </w:tblPrEx>
        <w:trPr>
          <w:trHeight w:val="469" w:hRule="atLeast"/>
          <w:jc w:val="center"/>
        </w:trPr>
        <w:tc>
          <w:tcPr>
            <w:tcW w:w="629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B6D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0E9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5B7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939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bookmarkEnd w:id="75"/>
    </w:tbl>
    <w:p w14:paraId="7044115A">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1.经济效益指标</w:t>
      </w:r>
    </w:p>
    <w:p w14:paraId="33810B24">
      <w:pPr>
        <w:bidi w:val="0"/>
        <w:rPr>
          <w:rFonts w:hint="eastAsia"/>
          <w:b w:val="0"/>
          <w:bCs w:val="0"/>
          <w:color w:val="auto"/>
          <w:highlight w:val="none"/>
          <w:lang w:val="en-US" w:eastAsia="zh-CN"/>
        </w:rPr>
      </w:pPr>
      <w:r>
        <w:rPr>
          <w:rFonts w:hint="eastAsia"/>
          <w:b w:val="0"/>
          <w:bCs w:val="0"/>
          <w:color w:val="auto"/>
          <w:highlight w:val="none"/>
          <w:lang w:val="en-US" w:eastAsia="zh-CN"/>
        </w:rPr>
        <w:t>项目不涉及经济效益指标</w:t>
      </w:r>
    </w:p>
    <w:p w14:paraId="18468A4E">
      <w:pPr>
        <w:bidi w:val="0"/>
        <w:outlineLvl w:val="2"/>
        <w:rPr>
          <w:rFonts w:hint="eastAsia"/>
          <w:b/>
          <w:bCs/>
          <w:color w:val="auto"/>
          <w:lang w:val="en-US" w:eastAsia="zh-CN"/>
        </w:rPr>
      </w:pPr>
      <w:bookmarkStart w:id="76" w:name="_Toc27006"/>
      <w:r>
        <w:rPr>
          <w:rFonts w:hint="eastAsia"/>
          <w:b/>
          <w:bCs/>
          <w:color w:val="auto"/>
          <w:lang w:val="en-US" w:eastAsia="zh-CN"/>
        </w:rPr>
        <w:t>2.社会效益指标</w:t>
      </w:r>
      <w:bookmarkEnd w:id="76"/>
    </w:p>
    <w:p w14:paraId="4B46A58B">
      <w:pPr>
        <w:bidi w:val="0"/>
        <w:rPr>
          <w:rFonts w:hint="eastAsia"/>
          <w:color w:val="auto"/>
          <w:highlight w:val="none"/>
          <w:lang w:val="en-US" w:eastAsia="zh-CN"/>
        </w:rPr>
      </w:pPr>
      <w:r>
        <w:rPr>
          <w:rFonts w:hint="eastAsia"/>
          <w:color w:val="auto"/>
          <w:lang w:val="en-US" w:eastAsia="zh-CN"/>
        </w:rPr>
        <w:t>“</w:t>
      </w:r>
      <w:r>
        <w:rPr>
          <w:rFonts w:hint="eastAsia" w:ascii="宋体" w:hAnsi="宋体" w:eastAsia="宋体" w:cs="宋体"/>
          <w:b w:val="0"/>
          <w:bCs w:val="0"/>
          <w:color w:val="auto"/>
          <w:lang w:val="en-US" w:eastAsia="zh-CN"/>
        </w:rPr>
        <w:t>保障幼儿园各项工作平稳进行”指标</w:t>
      </w:r>
      <w:r>
        <w:rPr>
          <w:rFonts w:hint="eastAsia"/>
          <w:color w:val="auto"/>
          <w:lang w:val="en-US" w:eastAsia="zh-CN"/>
        </w:rPr>
        <w:t>，预期目标值为有效提升，实际完成为100%</w:t>
      </w:r>
      <w:r>
        <w:rPr>
          <w:rFonts w:hint="eastAsia"/>
          <w:color w:val="auto"/>
          <w:highlight w:val="none"/>
          <w:lang w:val="en-US" w:eastAsia="zh-CN"/>
        </w:rPr>
        <w:t>，实际完成率100%。</w:t>
      </w:r>
    </w:p>
    <w:p w14:paraId="68DF3D1C">
      <w:pPr>
        <w:bidi w:val="0"/>
        <w:ind w:left="0" w:leftChars="0" w:firstLine="840" w:firstLineChars="30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提升了我校校园环境，丰富了学校文化内涵，消除校园安全隐患，改善全校师生员工的生活条件，有效提升了教学质量。</w:t>
      </w:r>
    </w:p>
    <w:p w14:paraId="13016F60">
      <w:pPr>
        <w:bidi w:val="0"/>
        <w:rPr>
          <w:rFonts w:hint="eastAsia"/>
          <w:color w:val="auto"/>
          <w:lang w:val="en-US" w:eastAsia="zh-CN"/>
        </w:rPr>
      </w:pPr>
      <w:r>
        <w:rPr>
          <w:rFonts w:hint="eastAsia"/>
          <w:b/>
          <w:bCs/>
          <w:color w:val="auto"/>
          <w:lang w:val="en-US" w:eastAsia="zh-CN"/>
        </w:rPr>
        <w:t>综上，该项指标满分10分，得分10分。</w:t>
      </w:r>
    </w:p>
    <w:p w14:paraId="43FED7E8">
      <w:pPr>
        <w:bidi w:val="0"/>
        <w:rPr>
          <w:rFonts w:hint="eastAsia"/>
          <w:color w:val="auto"/>
          <w:lang w:val="en-US" w:eastAsia="zh-CN"/>
        </w:rPr>
      </w:pPr>
      <w:r>
        <w:rPr>
          <w:rFonts w:hint="eastAsia"/>
          <w:color w:val="auto"/>
          <w:lang w:val="en-US" w:eastAsia="zh-CN"/>
        </w:rPr>
        <w:t>“</w:t>
      </w:r>
      <w:r>
        <w:rPr>
          <w:rFonts w:hint="eastAsia" w:ascii="宋体" w:hAnsi="宋体" w:eastAsia="宋体" w:cs="宋体"/>
          <w:color w:val="auto"/>
          <w:highlight w:val="none"/>
          <w:lang w:val="en-US" w:eastAsia="zh-CN"/>
        </w:rPr>
        <w:t>校园环境和条件进一步改善</w:t>
      </w:r>
      <w:r>
        <w:rPr>
          <w:rFonts w:hint="eastAsia" w:ascii="宋体" w:hAnsi="宋体" w:eastAsia="宋体" w:cs="宋体"/>
          <w:b w:val="0"/>
          <w:bCs w:val="0"/>
          <w:color w:val="auto"/>
          <w:lang w:val="en-US" w:eastAsia="zh-CN"/>
        </w:rPr>
        <w:t>”指标</w:t>
      </w:r>
      <w:r>
        <w:rPr>
          <w:rFonts w:hint="eastAsia"/>
          <w:color w:val="auto"/>
          <w:lang w:val="en-US" w:eastAsia="zh-CN"/>
        </w:rPr>
        <w:t>，预期目标值为有效提升，实际完成为100%</w:t>
      </w:r>
      <w:r>
        <w:rPr>
          <w:rFonts w:hint="eastAsia"/>
          <w:color w:val="auto"/>
          <w:highlight w:val="none"/>
          <w:lang w:val="en-US" w:eastAsia="zh-CN"/>
        </w:rPr>
        <w:t>，实际完成率100%。</w:t>
      </w:r>
    </w:p>
    <w:p w14:paraId="409840C7">
      <w:pPr>
        <w:bidi w:val="0"/>
        <w:ind w:left="0" w:leftChars="0" w:firstLine="840" w:firstLineChars="30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提升了我园环境，丰富了我园文化内涵，消除校园安全隐患，改善全校师生员工的生活条件，有效提升了教学质量。</w:t>
      </w:r>
    </w:p>
    <w:p w14:paraId="21C62A31">
      <w:pPr>
        <w:bidi w:val="0"/>
        <w:rPr>
          <w:rFonts w:hint="eastAsia"/>
          <w:b/>
          <w:bCs/>
          <w:color w:val="auto"/>
          <w:lang w:val="en-US" w:eastAsia="zh-CN"/>
        </w:rPr>
      </w:pPr>
      <w:r>
        <w:rPr>
          <w:rFonts w:hint="eastAsia"/>
          <w:b/>
          <w:bCs/>
          <w:color w:val="auto"/>
          <w:lang w:val="en-US" w:eastAsia="zh-CN"/>
        </w:rPr>
        <w:t>综上，该项指标满分10分，得分10分。</w:t>
      </w:r>
    </w:p>
    <w:p w14:paraId="6A12E9B1">
      <w:pPr>
        <w:bidi w:val="0"/>
        <w:outlineLvl w:val="2"/>
        <w:rPr>
          <w:rFonts w:hint="eastAsia"/>
          <w:color w:val="auto"/>
          <w:lang w:val="en-US" w:eastAsia="zh-CN"/>
        </w:rPr>
      </w:pPr>
      <w:bookmarkStart w:id="77" w:name="_Toc23106"/>
      <w:r>
        <w:rPr>
          <w:rFonts w:hint="eastAsia"/>
          <w:b/>
          <w:bCs/>
          <w:color w:val="auto"/>
          <w:lang w:val="en-US" w:eastAsia="zh-CN"/>
        </w:rPr>
        <w:t>3.生态效益指标</w:t>
      </w:r>
      <w:bookmarkEnd w:id="77"/>
    </w:p>
    <w:p w14:paraId="303B4D7F">
      <w:pPr>
        <w:bidi w:val="0"/>
        <w:rPr>
          <w:rFonts w:hint="eastAsia"/>
          <w:b w:val="0"/>
          <w:bCs w:val="0"/>
          <w:color w:val="auto"/>
          <w:lang w:val="en-US" w:eastAsia="zh-CN"/>
        </w:rPr>
      </w:pPr>
      <w:r>
        <w:rPr>
          <w:rFonts w:hint="eastAsia"/>
          <w:b w:val="0"/>
          <w:bCs w:val="0"/>
          <w:color w:val="auto"/>
          <w:highlight w:val="none"/>
          <w:lang w:val="en-US" w:eastAsia="zh-CN"/>
        </w:rPr>
        <w:t>项目不涉及</w:t>
      </w:r>
      <w:r>
        <w:rPr>
          <w:rFonts w:hint="eastAsia"/>
          <w:b w:val="0"/>
          <w:bCs w:val="0"/>
          <w:color w:val="auto"/>
          <w:lang w:val="en-US" w:eastAsia="zh-CN"/>
        </w:rPr>
        <w:t>生态效益指标。</w:t>
      </w:r>
    </w:p>
    <w:p w14:paraId="45C86593">
      <w:pPr>
        <w:pStyle w:val="6"/>
        <w:numPr>
          <w:ilvl w:val="0"/>
          <w:numId w:val="4"/>
        </w:numPr>
        <w:rPr>
          <w:rFonts w:hint="default"/>
          <w:color w:val="auto"/>
          <w:lang w:val="en-US" w:eastAsia="zh-CN"/>
        </w:rPr>
      </w:pPr>
      <w:r>
        <w:rPr>
          <w:rFonts w:hint="eastAsia"/>
          <w:b/>
          <w:bCs/>
          <w:color w:val="auto"/>
          <w:lang w:val="en-US" w:eastAsia="zh-CN"/>
        </w:rPr>
        <w:t>可持续影响指标</w:t>
      </w:r>
    </w:p>
    <w:p w14:paraId="06A3659B">
      <w:pPr>
        <w:rPr>
          <w:rFonts w:hint="default"/>
          <w:color w:val="auto"/>
          <w:lang w:val="en-US" w:eastAsia="zh-CN"/>
        </w:rPr>
      </w:pPr>
      <w:r>
        <w:rPr>
          <w:rFonts w:hint="eastAsia"/>
          <w:b w:val="0"/>
          <w:bCs w:val="0"/>
          <w:color w:val="auto"/>
          <w:highlight w:val="none"/>
          <w:lang w:val="en-US" w:eastAsia="zh-CN"/>
        </w:rPr>
        <w:t>项目不涉及可持续影响指标</w:t>
      </w:r>
    </w:p>
    <w:p w14:paraId="7E1989C2">
      <w:pPr>
        <w:numPr>
          <w:ilvl w:val="0"/>
          <w:numId w:val="0"/>
        </w:numPr>
        <w:bidi w:val="0"/>
        <w:ind w:left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5.满意度指标</w:t>
      </w:r>
      <w:bookmarkEnd w:id="78"/>
    </w:p>
    <w:p w14:paraId="417A636C">
      <w:pPr>
        <w:bidi w:val="0"/>
        <w:rPr>
          <w:rFonts w:hint="eastAsia"/>
          <w:color w:val="auto"/>
          <w:highlight w:val="none"/>
          <w:lang w:val="en-US" w:eastAsia="zh-CN"/>
        </w:rPr>
      </w:pPr>
      <w:r>
        <w:rPr>
          <w:rFonts w:hint="eastAsia"/>
          <w:color w:val="auto"/>
          <w:highlight w:val="none"/>
          <w:lang w:val="en-US" w:eastAsia="zh-CN"/>
        </w:rPr>
        <w:t>“教师满意度”指标，预期目标值为95%，实际完成为95%，实际完成率100%。</w:t>
      </w:r>
    </w:p>
    <w:p w14:paraId="53A40964">
      <w:pPr>
        <w:bidi w:val="0"/>
        <w:rPr>
          <w:rFonts w:hint="eastAsia"/>
          <w:color w:val="auto"/>
          <w:lang w:val="en-US" w:eastAsia="zh-CN"/>
        </w:rPr>
      </w:pPr>
      <w:r>
        <w:rPr>
          <w:rFonts w:hint="eastAsia"/>
          <w:b/>
          <w:bCs/>
          <w:color w:val="auto"/>
          <w:lang w:val="en-US" w:eastAsia="zh-CN"/>
        </w:rPr>
        <w:t>综上，该项指标满分10分，得分10分。</w:t>
      </w:r>
    </w:p>
    <w:p w14:paraId="1CA44F6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03D14990">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rPr>
      </w:pPr>
      <w:r>
        <w:rPr>
          <w:rFonts w:hint="eastAsia" w:cs="仿宋_GB2312"/>
          <w:color w:val="auto"/>
          <w:sz w:val="28"/>
          <w:szCs w:val="28"/>
          <w:lang w:val="en-US" w:eastAsia="zh-CN"/>
        </w:rPr>
        <w:t>该</w:t>
      </w:r>
      <w:r>
        <w:rPr>
          <w:rFonts w:hint="eastAsia" w:cs="仿宋_GB2312"/>
          <w:color w:val="auto"/>
          <w:sz w:val="28"/>
          <w:szCs w:val="28"/>
          <w:lang w:eastAsia="zh-CN"/>
        </w:rPr>
        <w:t>项目预算资金总额</w:t>
      </w:r>
      <w:r>
        <w:rPr>
          <w:rFonts w:hint="eastAsia" w:cs="仿宋_GB2312"/>
          <w:b w:val="0"/>
          <w:bCs w:val="0"/>
          <w:color w:val="auto"/>
          <w:sz w:val="28"/>
          <w:szCs w:val="28"/>
          <w:lang w:eastAsia="zh-CN"/>
        </w:rPr>
        <w:t>为</w:t>
      </w:r>
      <w:r>
        <w:rPr>
          <w:rFonts w:hint="eastAsia"/>
          <w:b w:val="0"/>
          <w:bCs w:val="0"/>
          <w:color w:val="auto"/>
          <w:lang w:val="en-US" w:eastAsia="zh-CN"/>
        </w:rPr>
        <w:t>10.55</w:t>
      </w:r>
      <w:r>
        <w:rPr>
          <w:rFonts w:hint="eastAsia" w:cs="仿宋_GB2312"/>
          <w:b w:val="0"/>
          <w:bCs w:val="0"/>
          <w:color w:val="auto"/>
          <w:sz w:val="28"/>
          <w:szCs w:val="28"/>
          <w:lang w:val="en-US" w:eastAsia="zh-CN"/>
        </w:rPr>
        <w:t>万元，全年执行数为</w:t>
      </w:r>
      <w:r>
        <w:rPr>
          <w:rFonts w:hint="eastAsia"/>
          <w:b w:val="0"/>
          <w:bCs w:val="0"/>
          <w:color w:val="auto"/>
          <w:lang w:val="en-US" w:eastAsia="zh-CN"/>
        </w:rPr>
        <w:t>10.55</w:t>
      </w:r>
      <w:r>
        <w:rPr>
          <w:rFonts w:hint="eastAsia" w:cs="仿宋_GB2312"/>
          <w:b w:val="0"/>
          <w:bCs w:val="0"/>
          <w:color w:val="auto"/>
          <w:sz w:val="28"/>
          <w:szCs w:val="28"/>
          <w:lang w:val="en-US" w:eastAsia="zh-CN"/>
        </w:rPr>
        <w:t>万元，预算执行率为</w:t>
      </w:r>
      <w:r>
        <w:rPr>
          <w:rFonts w:hint="eastAsia"/>
          <w:b w:val="0"/>
          <w:bCs w:val="0"/>
          <w:color w:val="auto"/>
          <w:lang w:val="en-US" w:eastAsia="zh-CN"/>
        </w:rPr>
        <w:t>100</w:t>
      </w:r>
      <w:r>
        <w:rPr>
          <w:rFonts w:hint="eastAsia" w:cs="仿宋_GB2312"/>
          <w:b w:val="0"/>
          <w:bCs w:val="0"/>
          <w:color w:val="auto"/>
          <w:sz w:val="28"/>
          <w:szCs w:val="28"/>
          <w:lang w:val="en-US" w:eastAsia="zh-CN"/>
        </w:rPr>
        <w:t>%，</w:t>
      </w:r>
      <w:r>
        <w:rPr>
          <w:rFonts w:hint="eastAsia" w:cs="仿宋_GB2312"/>
          <w:b w:val="0"/>
          <w:bCs w:val="0"/>
          <w:color w:val="auto"/>
          <w:sz w:val="28"/>
          <w:szCs w:val="28"/>
          <w:lang w:eastAsia="zh-CN"/>
        </w:rPr>
        <w:t>总体完成率为</w:t>
      </w:r>
      <w:r>
        <w:rPr>
          <w:rFonts w:hint="eastAsia"/>
          <w:b w:val="0"/>
          <w:bCs w:val="0"/>
          <w:color w:val="auto"/>
          <w:lang w:val="en-US" w:eastAsia="zh-CN"/>
        </w:rPr>
        <w:t>100</w:t>
      </w:r>
      <w:r>
        <w:rPr>
          <w:rFonts w:hint="eastAsia" w:cs="仿宋_GB2312"/>
          <w:b w:val="0"/>
          <w:bCs w:val="0"/>
          <w:color w:val="auto"/>
          <w:sz w:val="28"/>
          <w:szCs w:val="28"/>
          <w:lang w:val="zh-TW" w:eastAsia="zh-TW"/>
        </w:rPr>
        <w:t>%。</w:t>
      </w:r>
      <w:r>
        <w:rPr>
          <w:rFonts w:hint="eastAsia" w:cs="仿宋_GB2312"/>
          <w:b w:val="0"/>
          <w:bCs w:val="0"/>
          <w:color w:val="auto"/>
          <w:sz w:val="28"/>
          <w:szCs w:val="28"/>
          <w:lang w:val="en-US" w:eastAsia="zh-CN"/>
        </w:rPr>
        <w:t>预算执行率与总体完成率之间的偏差为</w:t>
      </w:r>
      <w:r>
        <w:rPr>
          <w:rFonts w:hint="eastAsia"/>
          <w:b w:val="0"/>
          <w:bCs w:val="0"/>
          <w:color w:val="auto"/>
          <w:lang w:val="en-US" w:eastAsia="zh-CN"/>
        </w:rPr>
        <w:t>0</w:t>
      </w:r>
      <w:r>
        <w:rPr>
          <w:rFonts w:hint="eastAsia" w:cs="仿宋_GB2312"/>
          <w:b w:val="0"/>
          <w:bCs w:val="0"/>
          <w:color w:val="auto"/>
          <w:sz w:val="28"/>
          <w:szCs w:val="28"/>
          <w:lang w:val="en-US" w:eastAsia="zh-CN"/>
        </w:rPr>
        <w:t>%，无</w:t>
      </w:r>
      <w:r>
        <w:rPr>
          <w:rFonts w:hint="eastAsia"/>
          <w:b w:val="0"/>
          <w:bCs w:val="0"/>
          <w:color w:val="auto"/>
        </w:rPr>
        <w:t>偏差</w:t>
      </w:r>
      <w:r>
        <w:rPr>
          <w:rFonts w:hint="eastAsia" w:ascii="仿宋_GB2312" w:hAnsi="仿宋_GB2312" w:cs="仿宋_GB2312"/>
          <w:b w:val="0"/>
          <w:bCs w:val="0"/>
          <w:color w:val="auto"/>
          <w:sz w:val="28"/>
          <w:szCs w:val="28"/>
        </w:rPr>
        <w:t>。</w:t>
      </w:r>
    </w:p>
    <w:p w14:paraId="75CF8F4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20F6E7C5">
      <w:pPr>
        <w:numPr>
          <w:ilvl w:val="0"/>
          <w:numId w:val="0"/>
        </w:numPr>
        <w:bidi w:val="0"/>
        <w:ind w:left="560" w:leftChars="0"/>
        <w:outlineLvl w:val="1"/>
        <w:rPr>
          <w:rFonts w:hint="eastAsia"/>
          <w:b/>
          <w:bCs/>
          <w:color w:val="auto"/>
          <w:lang w:eastAsia="zh-CN"/>
        </w:rPr>
      </w:pPr>
      <w:bookmarkStart w:id="81" w:name="_Toc13160"/>
      <w:bookmarkStart w:id="82" w:name="_Toc28290"/>
      <w:bookmarkStart w:id="83" w:name="_Toc1921"/>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bookmarkEnd w:id="81"/>
    </w:p>
    <w:p w14:paraId="00A59211">
      <w:pPr>
        <w:bidi w:val="0"/>
        <w:rPr>
          <w:rFonts w:hint="eastAsia"/>
          <w:color w:val="auto"/>
          <w:lang w:eastAsia="zh-CN"/>
        </w:rPr>
      </w:pPr>
      <w:r>
        <w:rPr>
          <w:rFonts w:hint="eastAsia" w:cs="宋体"/>
          <w:color w:val="auto"/>
          <w:highlight w:val="none"/>
          <w:shd w:val="clear" w:color="auto" w:fill="auto"/>
          <w:lang w:val="en-US" w:eastAsia="zh-CN"/>
        </w:rPr>
        <w:t>昌州财教【2021】72号提前下达2022年新疆西藏地区特殊教育补助资金</w:t>
      </w:r>
      <w:r>
        <w:rPr>
          <w:rFonts w:hint="eastAsia" w:ascii="宋体" w:hAnsi="宋体" w:eastAsia="宋体" w:cs="宋体"/>
          <w:color w:val="auto"/>
          <w:highlight w:val="none"/>
          <w:shd w:val="clear" w:color="auto" w:fill="auto"/>
          <w:lang w:val="en-US" w:eastAsia="zh-CN"/>
        </w:rPr>
        <w:t>预算的通知1</w:t>
      </w:r>
      <w:r>
        <w:rPr>
          <w:rFonts w:hint="eastAsia"/>
          <w:color w:val="auto"/>
          <w:lang w:val="en-US" w:eastAsia="zh-CN"/>
        </w:rPr>
        <w:t>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10.55</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10.55</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bookmarkEnd w:id="82"/>
    <w:bookmarkEnd w:id="83"/>
    <w:p w14:paraId="56E777C9">
      <w:pPr>
        <w:bidi w:val="0"/>
        <w:rPr>
          <w:rFonts w:hint="eastAsia"/>
          <w:color w:val="auto"/>
          <w:highlight w:val="none"/>
          <w:lang w:eastAsia="zh-CN"/>
        </w:rPr>
      </w:pPr>
      <w:bookmarkStart w:id="84" w:name="_Toc9582"/>
      <w:r>
        <w:rPr>
          <w:rFonts w:hint="eastAsia"/>
          <w:color w:val="auto"/>
          <w:lang w:eastAsia="zh-CN"/>
        </w:rPr>
        <w:t>阜康市城关镇中心幼儿园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阜康市城关镇中心幼儿园</w:t>
      </w:r>
      <w:r>
        <w:rPr>
          <w:rFonts w:hint="eastAsia"/>
          <w:color w:val="auto"/>
          <w:lang w:eastAsia="zh-CN"/>
        </w:rPr>
        <w:t>事业发展中关系民生与稳定的项目，切实优化资源配置，提高了资金使用的效率和效</w:t>
      </w:r>
      <w:r>
        <w:rPr>
          <w:rFonts w:hint="eastAsia"/>
          <w:color w:val="auto"/>
          <w:highlight w:val="none"/>
          <w:lang w:eastAsia="zh-CN"/>
        </w:rPr>
        <w:t>果。</w:t>
      </w:r>
    </w:p>
    <w:p w14:paraId="5FC365C1">
      <w:pPr>
        <w:bidi w:val="0"/>
        <w:outlineLvl w:val="1"/>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10E997D4">
      <w:pPr>
        <w:numPr>
          <w:ilvl w:val="0"/>
          <w:numId w:val="0"/>
        </w:numPr>
        <w:bidi w:val="0"/>
        <w:ind w:left="-443" w:leftChars="0" w:firstLine="1002" w:firstLineChars="358"/>
        <w:rPr>
          <w:rFonts w:hint="eastAsia" w:ascii="宋体" w:hAnsi="宋体" w:eastAsia="宋体" w:cs="宋体"/>
          <w:color w:val="auto"/>
          <w:highlight w:val="none"/>
          <w:lang w:val="en-US" w:eastAsia="zh-CN"/>
        </w:rPr>
      </w:pPr>
      <w:bookmarkStart w:id="85" w:name="_Toc5230"/>
      <w:r>
        <w:rPr>
          <w:rFonts w:hint="eastAsia" w:ascii="宋体" w:hAnsi="宋体" w:eastAsia="宋体" w:cs="宋体"/>
          <w:color w:val="auto"/>
          <w:kern w:val="2"/>
          <w:sz w:val="28"/>
          <w:szCs w:val="28"/>
          <w:highlight w:val="none"/>
          <w:lang w:val="en-US" w:eastAsia="zh-CN" w:bidi="ar-SA"/>
        </w:rPr>
        <w:t>1</w:t>
      </w:r>
      <w:r>
        <w:rPr>
          <w:rFonts w:hint="eastAsia" w:cs="宋体"/>
          <w:color w:val="auto"/>
          <w:kern w:val="2"/>
          <w:sz w:val="28"/>
          <w:szCs w:val="28"/>
          <w:highlight w:val="none"/>
          <w:lang w:val="en-US" w:eastAsia="zh-CN" w:bidi="ar-SA"/>
        </w:rPr>
        <w:t>.因项目实施人员对项目采购流程不熟悉，导致</w:t>
      </w:r>
      <w:r>
        <w:rPr>
          <w:rFonts w:hint="eastAsia"/>
          <w:color w:val="auto"/>
          <w:highlight w:val="none"/>
          <w:lang w:val="en-US" w:eastAsia="zh-CN"/>
        </w:rPr>
        <w:t>项目前期采购手续不完整，存在部分采购缺少验收单情况等问题</w:t>
      </w:r>
      <w:r>
        <w:rPr>
          <w:rFonts w:hint="eastAsia" w:cs="宋体"/>
          <w:color w:val="auto"/>
          <w:highlight w:val="none"/>
          <w:lang w:val="en-US" w:eastAsia="zh-CN"/>
        </w:rPr>
        <w:t>。</w:t>
      </w:r>
    </w:p>
    <w:p w14:paraId="3DCA2490">
      <w:pPr>
        <w:bidi w:val="0"/>
        <w:rPr>
          <w:rFonts w:hint="default"/>
          <w:color w:val="auto"/>
          <w:highlight w:val="none"/>
          <w:lang w:val="en-US"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w:t>
      </w:r>
      <w:r>
        <w:rPr>
          <w:rFonts w:hint="eastAsia"/>
          <w:color w:val="auto"/>
          <w:highlight w:val="none"/>
          <w:lang w:val="en-US" w:eastAsia="zh-CN"/>
        </w:rPr>
        <w:t>城关镇中心幼儿园党支部委员会</w:t>
      </w:r>
      <w:r>
        <w:rPr>
          <w:rFonts w:hint="eastAsia"/>
          <w:color w:val="auto"/>
          <w:highlight w:val="none"/>
          <w:lang w:eastAsia="zh-CN"/>
        </w:rPr>
        <w:t>会议》集体决策，</w:t>
      </w:r>
      <w:r>
        <w:rPr>
          <w:rFonts w:hint="eastAsia"/>
          <w:color w:val="auto"/>
          <w:highlight w:val="none"/>
          <w:lang w:val="en-US" w:eastAsia="zh-CN"/>
        </w:rPr>
        <w:t>事前</w:t>
      </w:r>
      <w:r>
        <w:rPr>
          <w:rFonts w:hint="eastAsia"/>
          <w:color w:val="auto"/>
          <w:highlight w:val="none"/>
          <w:lang w:eastAsia="zh-CN"/>
        </w:rPr>
        <w:t>没有进行可行性研究、专家论证、风险评估、绩效评估。</w:t>
      </w:r>
    </w:p>
    <w:p w14:paraId="6371359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7D3812B5">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ascii="宋体" w:hAnsi="宋体" w:eastAsia="宋体" w:cs="宋体"/>
          <w:color w:val="auto"/>
          <w:kern w:val="2"/>
          <w:sz w:val="28"/>
          <w:szCs w:val="28"/>
          <w:highlight w:val="none"/>
          <w:lang w:val="en-US" w:eastAsia="zh-CN" w:bidi="ar-SA"/>
        </w:rPr>
      </w:pPr>
      <w:bookmarkStart w:id="86" w:name="_Toc15618"/>
      <w:r>
        <w:rPr>
          <w:rFonts w:hint="eastAsia" w:ascii="宋体" w:hAnsi="宋体" w:eastAsia="宋体" w:cs="宋体"/>
          <w:color w:val="auto"/>
          <w:kern w:val="2"/>
          <w:sz w:val="28"/>
          <w:szCs w:val="28"/>
          <w:highlight w:val="none"/>
          <w:lang w:val="en-US" w:eastAsia="zh-CN" w:bidi="ar-SA"/>
        </w:rPr>
        <w:t>（一）完善项目采购手续，加强项目采购过程性资料的收集和整理。加强采购人员对《采购法》等法律法规的学习，提高采购人员的业务能力，避免出现类似问题。</w:t>
      </w:r>
    </w:p>
    <w:p w14:paraId="283465F1">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14:paraId="520CC91C">
      <w:pPr>
        <w:bidi w:val="0"/>
        <w:outlineLvl w:val="1"/>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7D3E7CD2">
      <w:pPr>
        <w:bidi w:val="0"/>
        <w:rPr>
          <w:rFonts w:hint="default" w:ascii="宋体" w:hAnsi="宋体" w:eastAsia="宋体" w:cs="宋体"/>
          <w:color w:val="auto"/>
          <w:lang w:val="en-US" w:eastAsia="zh-CN"/>
        </w:rPr>
      </w:pPr>
      <w:r>
        <w:rPr>
          <w:rFonts w:hint="eastAsia" w:ascii="宋体" w:hAnsi="宋体" w:eastAsia="宋体" w:cs="宋体"/>
          <w:color w:val="auto"/>
          <w:lang w:val="en-US" w:eastAsia="zh-CN"/>
        </w:rPr>
        <w:t>无其他需要说明的问题。</w:t>
      </w:r>
    </w:p>
    <w:p w14:paraId="4A157B8B">
      <w:pPr>
        <w:ind w:left="0" w:leftChars="0" w:firstLine="0" w:firstLineChars="0"/>
        <w:rPr>
          <w:rFonts w:hint="default"/>
          <w:color w:va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p>
    <w:p w14:paraId="7DCA92B0">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rPr>
      </w:pPr>
      <w:bookmarkStart w:id="87" w:name="_Toc11349"/>
      <w:bookmarkStart w:id="88" w:name="_Toc15067"/>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13400" w:type="dxa"/>
        <w:tblInd w:w="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49"/>
        <w:gridCol w:w="649"/>
        <w:gridCol w:w="843"/>
        <w:gridCol w:w="1049"/>
        <w:gridCol w:w="877"/>
        <w:gridCol w:w="853"/>
        <w:gridCol w:w="926"/>
        <w:gridCol w:w="807"/>
        <w:gridCol w:w="926"/>
        <w:gridCol w:w="745"/>
        <w:gridCol w:w="989"/>
        <w:gridCol w:w="823"/>
        <w:gridCol w:w="1302"/>
        <w:gridCol w:w="1962"/>
      </w:tblGrid>
      <w:tr w14:paraId="3A919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4" w:hRule="atLeast"/>
        </w:trPr>
        <w:tc>
          <w:tcPr>
            <w:tcW w:w="13400" w:type="dxa"/>
            <w:gridSpan w:val="14"/>
            <w:tcBorders>
              <w:top w:val="nil"/>
              <w:left w:val="nil"/>
              <w:bottom w:val="nil"/>
              <w:right w:val="nil"/>
            </w:tcBorders>
            <w:shd w:val="clear" w:color="auto" w:fill="auto"/>
            <w:tcMar>
              <w:top w:w="12" w:type="dxa"/>
              <w:left w:w="12" w:type="dxa"/>
              <w:right w:w="12" w:type="dxa"/>
            </w:tcMar>
            <w:vAlign w:val="center"/>
          </w:tcPr>
          <w:p w14:paraId="48033584">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AD17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5" w:hRule="atLeast"/>
        </w:trPr>
        <w:tc>
          <w:tcPr>
            <w:tcW w:w="13400" w:type="dxa"/>
            <w:gridSpan w:val="14"/>
            <w:tcBorders>
              <w:top w:val="nil"/>
              <w:left w:val="nil"/>
              <w:bottom w:val="single" w:color="auto" w:sz="4" w:space="0"/>
              <w:right w:val="nil"/>
            </w:tcBorders>
            <w:shd w:val="clear" w:color="auto" w:fill="auto"/>
            <w:tcMar>
              <w:top w:w="12" w:type="dxa"/>
              <w:left w:w="12" w:type="dxa"/>
              <w:right w:w="12" w:type="dxa"/>
            </w:tcMar>
            <w:vAlign w:val="center"/>
          </w:tcPr>
          <w:p w14:paraId="36D24C25">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63D54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9" w:hRule="atLeast"/>
        </w:trPr>
        <w:tc>
          <w:tcPr>
            <w:tcW w:w="129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C8A1F2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102" w:type="dxa"/>
            <w:gridSpan w:val="1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C80EA4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昌州财教【2021】72号关于提前下达2022年新疆西藏等地区教育特殊补助资金预算的通知</w:t>
            </w:r>
          </w:p>
        </w:tc>
      </w:tr>
      <w:tr w14:paraId="1DABA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9" w:hRule="atLeast"/>
        </w:trPr>
        <w:tc>
          <w:tcPr>
            <w:tcW w:w="129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5FBE77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548"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2188DF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7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E30ABF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21"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E1868A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阜康市城关镇中心幼儿园</w:t>
            </w:r>
          </w:p>
        </w:tc>
      </w:tr>
      <w:tr w14:paraId="300DA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8" w:hRule="atLeast"/>
        </w:trPr>
        <w:tc>
          <w:tcPr>
            <w:tcW w:w="1298"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B41919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8234F9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14CE9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7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9963BD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428D0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01CB76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2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58F2F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48A99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FD70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8" w:hRule="atLeast"/>
        </w:trPr>
        <w:tc>
          <w:tcPr>
            <w:tcW w:w="129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1F4B3EB">
            <w:pPr>
              <w:jc w:val="center"/>
              <w:rPr>
                <w:rFonts w:hint="eastAsia" w:ascii="宋体" w:hAnsi="宋体" w:eastAsia="宋体" w:cs="宋体"/>
                <w:i w:val="0"/>
                <w:color w:val="auto"/>
                <w:sz w:val="20"/>
                <w:szCs w:val="20"/>
                <w:u w:val="none"/>
              </w:rPr>
            </w:pPr>
          </w:p>
        </w:tc>
        <w:tc>
          <w:tcPr>
            <w:tcW w:w="18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D78648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075536F">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7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485BD53">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16C063F">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11EE82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2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365903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10B21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F649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8" w:hRule="atLeast"/>
        </w:trPr>
        <w:tc>
          <w:tcPr>
            <w:tcW w:w="129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2AF2328">
            <w:pPr>
              <w:jc w:val="center"/>
              <w:rPr>
                <w:rFonts w:hint="eastAsia" w:ascii="宋体" w:hAnsi="宋体" w:eastAsia="宋体" w:cs="宋体"/>
                <w:i w:val="0"/>
                <w:color w:val="auto"/>
                <w:sz w:val="20"/>
                <w:szCs w:val="20"/>
                <w:u w:val="none"/>
              </w:rPr>
            </w:pPr>
          </w:p>
        </w:tc>
        <w:tc>
          <w:tcPr>
            <w:tcW w:w="18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1637C4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E76C03">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7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D63A6F">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22C9856">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10.55 </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CFAE5D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2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62F42A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D72A1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5512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129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30082C">
            <w:pPr>
              <w:jc w:val="center"/>
              <w:rPr>
                <w:rFonts w:hint="eastAsia" w:ascii="宋体" w:hAnsi="宋体" w:eastAsia="宋体" w:cs="宋体"/>
                <w:i w:val="0"/>
                <w:color w:val="auto"/>
                <w:sz w:val="20"/>
                <w:szCs w:val="20"/>
                <w:u w:val="none"/>
              </w:rPr>
            </w:pPr>
          </w:p>
        </w:tc>
        <w:tc>
          <w:tcPr>
            <w:tcW w:w="18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EE944E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57C228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7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111CA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3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A0DDE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34"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031FD7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2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3946C8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5C3198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FC02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9" w:hRule="atLeast"/>
        </w:trPr>
        <w:tc>
          <w:tcPr>
            <w:tcW w:w="649"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78393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930"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468EF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21"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5D292E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2D97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9"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E7359F4">
            <w:pPr>
              <w:jc w:val="center"/>
              <w:rPr>
                <w:rFonts w:hint="eastAsia" w:ascii="宋体" w:hAnsi="宋体" w:eastAsia="宋体" w:cs="宋体"/>
                <w:i w:val="0"/>
                <w:color w:val="auto"/>
                <w:sz w:val="20"/>
                <w:szCs w:val="20"/>
                <w:u w:val="none"/>
              </w:rPr>
            </w:pPr>
          </w:p>
        </w:tc>
        <w:tc>
          <w:tcPr>
            <w:tcW w:w="6930"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DB396A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职能：为3-6岁学龄前儿童提供保育与教育，落实好学前三年教育目标，改善幼儿园的办学条件，保障学阶段幼儿在园教学需求，为幼儿提供优质的保教环境。 目标：2023年在园幼儿160人，开展教育教学活动600次和设施维护次数20次，确保幼儿园正常运转。完成年度教育教学活动工作达标，设施设备质量达标。教育教学活动时间2023年1月-12月，项目实施预计能够保障幼儿园各项工作平稳进行校园环境和条件进一步改善。</w:t>
            </w:r>
          </w:p>
        </w:tc>
        <w:tc>
          <w:tcPr>
            <w:tcW w:w="5821"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8FE0635">
            <w:pPr>
              <w:keepNext w:val="0"/>
              <w:keepLines w:val="0"/>
              <w:widowControl/>
              <w:suppressLineNumbers w:val="0"/>
              <w:ind w:firstLine="400" w:firstLineChars="20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iCs w:val="0"/>
                <w:color w:val="000000"/>
                <w:kern w:val="0"/>
                <w:sz w:val="20"/>
                <w:szCs w:val="20"/>
                <w:u w:val="none"/>
                <w:lang w:val="en-US" w:eastAsia="zh-CN" w:bidi="ar"/>
              </w:rPr>
              <w:t>截止2023年12月31日，本单位实际完成开展教育教学活动次数600次，设施设备维护20次；全部用于幼儿园师资建设，稳定教师队伍；完成幼儿园设施设备维护次数20次0校园环境进一步改善，教育教学活动全部完成，提升教学质量，保障幼儿园各项工作平稳进行。</w:t>
            </w:r>
          </w:p>
        </w:tc>
      </w:tr>
      <w:tr w14:paraId="5886D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4" w:hRule="atLeast"/>
        </w:trPr>
        <w:tc>
          <w:tcPr>
            <w:tcW w:w="6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A03137A">
            <w:pPr>
              <w:jc w:val="center"/>
              <w:rPr>
                <w:rFonts w:hint="eastAsia" w:ascii="宋体" w:hAnsi="宋体" w:eastAsia="宋体" w:cs="宋体"/>
                <w:i w:val="0"/>
                <w:color w:val="auto"/>
                <w:sz w:val="20"/>
                <w:szCs w:val="20"/>
                <w:u w:val="none"/>
              </w:rPr>
            </w:pPr>
          </w:p>
        </w:tc>
        <w:tc>
          <w:tcPr>
            <w:tcW w:w="6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64C2F8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4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CEA0E0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36F2FB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CEEBE1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ADA480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D53FFA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上年完成值</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3FBEA7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2D7788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8B50B7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BD4F76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973C9A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完成率</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124300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B3AE3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A418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8" w:hRule="atLeast"/>
        </w:trPr>
        <w:tc>
          <w:tcPr>
            <w:tcW w:w="649"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F1CF2E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49"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55248C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84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EB1C6A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79160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9F0542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=160人</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61DC64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0C216F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189人</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FF6AE7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D26A43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A55D78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1C174F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160人</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A2BDB6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B3C93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FDF5940">
            <w:pPr>
              <w:jc w:val="center"/>
              <w:rPr>
                <w:rFonts w:hint="eastAsia" w:ascii="宋体" w:hAnsi="宋体" w:eastAsia="宋体" w:cs="宋体"/>
                <w:i w:val="0"/>
                <w:color w:val="auto"/>
                <w:kern w:val="0"/>
                <w:sz w:val="20"/>
                <w:szCs w:val="20"/>
                <w:u w:val="none"/>
                <w:lang w:val="en-US" w:eastAsia="zh-CN" w:bidi="ar"/>
              </w:rPr>
            </w:pPr>
          </w:p>
        </w:tc>
      </w:tr>
      <w:tr w14:paraId="066D0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01"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7128E3B">
            <w:pPr>
              <w:jc w:val="center"/>
              <w:rPr>
                <w:rFonts w:hint="eastAsia" w:ascii="宋体" w:hAnsi="宋体" w:eastAsia="宋体" w:cs="宋体"/>
                <w:i w:val="0"/>
                <w:color w:val="auto"/>
                <w:kern w:val="0"/>
                <w:sz w:val="20"/>
                <w:szCs w:val="20"/>
                <w:u w:val="none"/>
                <w:lang w:val="en-US" w:eastAsia="zh-CN" w:bidi="ar"/>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B3995B4">
            <w:pPr>
              <w:jc w:val="center"/>
              <w:rPr>
                <w:rFonts w:hint="eastAsia" w:ascii="宋体" w:hAnsi="宋体" w:eastAsia="宋体" w:cs="宋体"/>
                <w:i w:val="0"/>
                <w:color w:val="auto"/>
                <w:kern w:val="0"/>
                <w:sz w:val="20"/>
                <w:szCs w:val="20"/>
                <w:u w:val="none"/>
                <w:lang w:val="en-US" w:eastAsia="zh-CN" w:bidi="ar"/>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FE2BC3">
            <w:pPr>
              <w:jc w:val="center"/>
              <w:rPr>
                <w:rFonts w:hint="eastAsia" w:ascii="宋体" w:hAnsi="宋体" w:eastAsia="宋体" w:cs="宋体"/>
                <w:i w:val="0"/>
                <w:color w:val="auto"/>
                <w:kern w:val="0"/>
                <w:sz w:val="20"/>
                <w:szCs w:val="20"/>
                <w:u w:val="none"/>
                <w:lang w:val="en-US" w:eastAsia="zh-CN" w:bidi="ar"/>
              </w:rPr>
            </w:pP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02A42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5E9EC5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7717BD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AFE4B5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21B69D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D5793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4BBD97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79FA82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22A85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685869">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3AB6168">
            <w:pPr>
              <w:jc w:val="center"/>
              <w:rPr>
                <w:rFonts w:hint="eastAsia" w:ascii="宋体" w:hAnsi="宋体" w:eastAsia="宋体" w:cs="宋体"/>
                <w:i w:val="0"/>
                <w:color w:val="auto"/>
                <w:kern w:val="0"/>
                <w:sz w:val="20"/>
                <w:szCs w:val="20"/>
                <w:u w:val="none"/>
                <w:lang w:val="en-US" w:eastAsia="zh-CN" w:bidi="ar"/>
              </w:rPr>
            </w:pPr>
          </w:p>
        </w:tc>
      </w:tr>
      <w:tr w14:paraId="6BBBC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8"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092B176">
            <w:pPr>
              <w:jc w:val="center"/>
              <w:rPr>
                <w:rFonts w:hint="eastAsia" w:ascii="宋体" w:hAnsi="宋体" w:eastAsia="宋体" w:cs="宋体"/>
                <w:i w:val="0"/>
                <w:color w:val="auto"/>
                <w:kern w:val="0"/>
                <w:sz w:val="20"/>
                <w:szCs w:val="20"/>
                <w:u w:val="none"/>
                <w:lang w:val="en-US" w:eastAsia="zh-CN" w:bidi="ar"/>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E6F43A6">
            <w:pPr>
              <w:jc w:val="center"/>
              <w:rPr>
                <w:rFonts w:hint="eastAsia" w:ascii="宋体" w:hAnsi="宋体" w:eastAsia="宋体" w:cs="宋体"/>
                <w:i w:val="0"/>
                <w:color w:val="auto"/>
                <w:kern w:val="0"/>
                <w:sz w:val="20"/>
                <w:szCs w:val="20"/>
                <w:u w:val="none"/>
                <w:lang w:val="en-US" w:eastAsia="zh-CN" w:bidi="ar"/>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7D86077">
            <w:pPr>
              <w:jc w:val="center"/>
              <w:rPr>
                <w:rFonts w:hint="eastAsia" w:ascii="宋体" w:hAnsi="宋体" w:eastAsia="宋体" w:cs="宋体"/>
                <w:i w:val="0"/>
                <w:color w:val="auto"/>
                <w:kern w:val="0"/>
                <w:sz w:val="20"/>
                <w:szCs w:val="20"/>
                <w:u w:val="none"/>
                <w:lang w:val="en-US" w:eastAsia="zh-CN" w:bidi="ar"/>
              </w:rPr>
            </w:pP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415EDA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设施设备维护次数</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3593C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5BA268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FD32A9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294E0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A4B332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0CE5C9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E6929E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E889A6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8160C8F">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FAD3157">
            <w:pPr>
              <w:jc w:val="center"/>
              <w:rPr>
                <w:rFonts w:hint="eastAsia" w:ascii="宋体" w:hAnsi="宋体" w:eastAsia="宋体" w:cs="宋体"/>
                <w:i w:val="0"/>
                <w:color w:val="auto"/>
                <w:kern w:val="0"/>
                <w:sz w:val="20"/>
                <w:szCs w:val="20"/>
                <w:u w:val="none"/>
                <w:lang w:val="en-US" w:eastAsia="zh-CN" w:bidi="ar"/>
              </w:rPr>
            </w:pPr>
          </w:p>
        </w:tc>
      </w:tr>
      <w:tr w14:paraId="1C0A5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02"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98945A1">
            <w:pPr>
              <w:jc w:val="center"/>
              <w:rPr>
                <w:rFonts w:hint="eastAsia" w:ascii="宋体" w:hAnsi="宋体" w:eastAsia="宋体" w:cs="宋体"/>
                <w:i w:val="0"/>
                <w:color w:val="auto"/>
                <w:sz w:val="20"/>
                <w:szCs w:val="20"/>
                <w:u w:val="none"/>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ACAEBE2">
            <w:pPr>
              <w:jc w:val="center"/>
              <w:rPr>
                <w:rFonts w:hint="eastAsia" w:ascii="宋体" w:hAnsi="宋体" w:eastAsia="宋体" w:cs="宋体"/>
                <w:i w:val="0"/>
                <w:color w:val="auto"/>
                <w:kern w:val="0"/>
                <w:sz w:val="20"/>
                <w:szCs w:val="20"/>
                <w:u w:val="none"/>
                <w:lang w:val="en-US" w:eastAsia="zh-CN" w:bidi="ar"/>
              </w:rPr>
            </w:pPr>
          </w:p>
        </w:tc>
        <w:tc>
          <w:tcPr>
            <w:tcW w:w="84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76207B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2E5100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设施设备质量达标率</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AF7CB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≧90%</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40F1F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38973C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6E79CB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DDFC7D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6811FE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C0CE5D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890669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DAA2DD7">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DF144B">
            <w:pPr>
              <w:jc w:val="center"/>
              <w:rPr>
                <w:rFonts w:hint="eastAsia" w:ascii="宋体" w:hAnsi="宋体" w:eastAsia="宋体" w:cs="宋体"/>
                <w:i w:val="0"/>
                <w:color w:val="auto"/>
                <w:kern w:val="0"/>
                <w:sz w:val="20"/>
                <w:szCs w:val="20"/>
                <w:u w:val="none"/>
                <w:lang w:val="en-US" w:eastAsia="zh-CN" w:bidi="ar"/>
              </w:rPr>
            </w:pPr>
          </w:p>
        </w:tc>
      </w:tr>
      <w:tr w14:paraId="28001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02"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1977294">
            <w:pPr>
              <w:jc w:val="center"/>
              <w:rPr>
                <w:rFonts w:hint="eastAsia" w:ascii="宋体" w:hAnsi="宋体" w:eastAsia="宋体" w:cs="宋体"/>
                <w:i w:val="0"/>
                <w:color w:val="auto"/>
                <w:sz w:val="20"/>
                <w:szCs w:val="20"/>
                <w:u w:val="none"/>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4EE9CD1">
            <w:pPr>
              <w:jc w:val="center"/>
              <w:rPr>
                <w:rFonts w:hint="eastAsia" w:ascii="宋体" w:hAnsi="宋体" w:eastAsia="宋体" w:cs="宋体"/>
                <w:i w:val="0"/>
                <w:color w:val="auto"/>
                <w:kern w:val="0"/>
                <w:sz w:val="20"/>
                <w:szCs w:val="20"/>
                <w:u w:val="none"/>
                <w:lang w:val="en-US" w:eastAsia="zh-CN" w:bidi="ar"/>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676DC8">
            <w:pPr>
              <w:jc w:val="center"/>
              <w:rPr>
                <w:rFonts w:hint="eastAsia" w:ascii="宋体" w:hAnsi="宋体" w:eastAsia="宋体" w:cs="宋体"/>
                <w:i w:val="0"/>
                <w:color w:val="auto"/>
                <w:kern w:val="0"/>
                <w:sz w:val="20"/>
                <w:szCs w:val="20"/>
                <w:u w:val="none"/>
                <w:lang w:val="en-US" w:eastAsia="zh-CN" w:bidi="ar"/>
              </w:rPr>
            </w:pP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C2345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0DAFF4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E131FA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A428D8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F29987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2DC64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7D560D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C7CAF9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CB5C6F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23057B">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27D33B3">
            <w:pPr>
              <w:jc w:val="center"/>
              <w:rPr>
                <w:rFonts w:hint="eastAsia" w:ascii="宋体" w:hAnsi="宋体" w:eastAsia="宋体" w:cs="宋体"/>
                <w:i w:val="0"/>
                <w:color w:val="auto"/>
                <w:kern w:val="0"/>
                <w:sz w:val="20"/>
                <w:szCs w:val="20"/>
                <w:u w:val="none"/>
                <w:lang w:val="en-US" w:eastAsia="zh-CN" w:bidi="ar"/>
              </w:rPr>
            </w:pPr>
          </w:p>
        </w:tc>
      </w:tr>
      <w:tr w14:paraId="367D5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35"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91D25E">
            <w:pPr>
              <w:jc w:val="center"/>
              <w:rPr>
                <w:rFonts w:hint="eastAsia" w:ascii="宋体" w:hAnsi="宋体" w:eastAsia="宋体" w:cs="宋体"/>
                <w:i w:val="0"/>
                <w:color w:val="auto"/>
                <w:sz w:val="20"/>
                <w:szCs w:val="20"/>
                <w:u w:val="none"/>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E316230">
            <w:pPr>
              <w:jc w:val="center"/>
              <w:rPr>
                <w:rFonts w:hint="eastAsia" w:ascii="宋体" w:hAnsi="宋体" w:eastAsia="宋体" w:cs="宋体"/>
                <w:i w:val="0"/>
                <w:color w:val="auto"/>
                <w:kern w:val="0"/>
                <w:sz w:val="20"/>
                <w:szCs w:val="20"/>
                <w:u w:val="none"/>
                <w:lang w:val="en-US" w:eastAsia="zh-CN" w:bidi="ar"/>
              </w:rPr>
            </w:pPr>
          </w:p>
        </w:tc>
        <w:tc>
          <w:tcPr>
            <w:tcW w:w="84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337EBF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4E654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1065C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2023年12月</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5B80E5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E566F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2022/12/31</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8F518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E1A9DF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DD919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F95264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2023/12/31</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85D12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738B03">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F832838">
            <w:pPr>
              <w:jc w:val="center"/>
              <w:rPr>
                <w:rFonts w:hint="eastAsia" w:ascii="宋体" w:hAnsi="宋体" w:eastAsia="宋体" w:cs="宋体"/>
                <w:i w:val="0"/>
                <w:color w:val="auto"/>
                <w:kern w:val="0"/>
                <w:sz w:val="20"/>
                <w:szCs w:val="20"/>
                <w:u w:val="none"/>
                <w:lang w:val="en-US" w:eastAsia="zh-CN" w:bidi="ar"/>
              </w:rPr>
            </w:pPr>
          </w:p>
        </w:tc>
      </w:tr>
      <w:tr w14:paraId="2BB48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6"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0AB570D">
            <w:pPr>
              <w:jc w:val="center"/>
              <w:rPr>
                <w:rFonts w:hint="eastAsia" w:ascii="宋体" w:hAnsi="宋体" w:eastAsia="宋体" w:cs="宋体"/>
                <w:i w:val="0"/>
                <w:color w:val="auto"/>
                <w:sz w:val="20"/>
                <w:szCs w:val="20"/>
                <w:u w:val="none"/>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FC4F432">
            <w:pPr>
              <w:jc w:val="center"/>
              <w:rPr>
                <w:rFonts w:hint="eastAsia" w:ascii="宋体" w:hAnsi="宋体" w:eastAsia="宋体" w:cs="宋体"/>
                <w:i w:val="0"/>
                <w:color w:val="auto"/>
                <w:kern w:val="0"/>
                <w:sz w:val="20"/>
                <w:szCs w:val="20"/>
                <w:u w:val="none"/>
                <w:lang w:val="en-US" w:eastAsia="zh-CN" w:bidi="ar"/>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74E6355">
            <w:pPr>
              <w:jc w:val="center"/>
              <w:rPr>
                <w:rFonts w:hint="eastAsia" w:ascii="宋体" w:hAnsi="宋体" w:eastAsia="宋体" w:cs="宋体"/>
                <w:i w:val="0"/>
                <w:color w:val="auto"/>
                <w:kern w:val="0"/>
                <w:sz w:val="20"/>
                <w:szCs w:val="20"/>
                <w:u w:val="none"/>
                <w:lang w:val="en-US" w:eastAsia="zh-CN" w:bidi="ar"/>
              </w:rPr>
            </w:pP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B9FFC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8E737A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EE2231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25B6E8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046852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660018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A96DF9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50D6CB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D3A6A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F3C5E34">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D0AE78">
            <w:pPr>
              <w:jc w:val="center"/>
              <w:rPr>
                <w:rFonts w:hint="eastAsia" w:ascii="宋体" w:hAnsi="宋体" w:eastAsia="宋体" w:cs="宋体"/>
                <w:i w:val="0"/>
                <w:color w:val="auto"/>
                <w:kern w:val="0"/>
                <w:sz w:val="20"/>
                <w:szCs w:val="20"/>
                <w:u w:val="none"/>
                <w:lang w:val="en-US" w:eastAsia="zh-CN" w:bidi="ar"/>
              </w:rPr>
            </w:pPr>
          </w:p>
        </w:tc>
      </w:tr>
      <w:tr w14:paraId="715BB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6389A2">
            <w:pPr>
              <w:jc w:val="center"/>
              <w:rPr>
                <w:rFonts w:hint="eastAsia" w:ascii="宋体" w:hAnsi="宋体" w:eastAsia="宋体" w:cs="宋体"/>
                <w:i w:val="0"/>
                <w:color w:val="auto"/>
                <w:sz w:val="20"/>
                <w:szCs w:val="20"/>
                <w:u w:val="none"/>
              </w:rPr>
            </w:pPr>
          </w:p>
        </w:tc>
        <w:tc>
          <w:tcPr>
            <w:tcW w:w="6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9CC06C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84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3E0DAB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F635D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公用经费生均标准</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B52F8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=2800元/生/年</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ACF16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预算支出</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8E173F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2800元/生/年</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460F9F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3B587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E1D278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B4200A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AE0DD2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6FD55D0">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0DCF43C">
            <w:pPr>
              <w:jc w:val="center"/>
              <w:rPr>
                <w:rFonts w:hint="eastAsia" w:ascii="宋体" w:hAnsi="宋体" w:eastAsia="宋体" w:cs="宋体"/>
                <w:i w:val="0"/>
                <w:color w:val="auto"/>
                <w:kern w:val="0"/>
                <w:sz w:val="20"/>
                <w:szCs w:val="20"/>
                <w:u w:val="none"/>
                <w:lang w:val="en-US" w:eastAsia="zh-CN" w:bidi="ar"/>
              </w:rPr>
            </w:pPr>
          </w:p>
        </w:tc>
      </w:tr>
      <w:tr w14:paraId="281A6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4"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E3FD901">
            <w:pPr>
              <w:jc w:val="center"/>
              <w:rPr>
                <w:rFonts w:hint="eastAsia" w:ascii="宋体" w:hAnsi="宋体" w:eastAsia="宋体" w:cs="宋体"/>
                <w:i w:val="0"/>
                <w:color w:val="auto"/>
                <w:sz w:val="20"/>
                <w:szCs w:val="20"/>
                <w:u w:val="none"/>
              </w:rPr>
            </w:pPr>
          </w:p>
        </w:tc>
        <w:tc>
          <w:tcPr>
            <w:tcW w:w="649"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FDB4A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84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3987A1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D621AF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79BF21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有效保障</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1336A3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F5C09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有效保障</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A0CC7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D07E15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116D1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说明资料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B55018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39ED1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54A74C6">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EC5966">
            <w:pPr>
              <w:jc w:val="center"/>
              <w:rPr>
                <w:rFonts w:hint="eastAsia" w:ascii="宋体" w:hAnsi="宋体" w:eastAsia="宋体" w:cs="宋体"/>
                <w:i w:val="0"/>
                <w:color w:val="auto"/>
                <w:kern w:val="0"/>
                <w:sz w:val="20"/>
                <w:szCs w:val="20"/>
                <w:u w:val="none"/>
                <w:lang w:val="en-US" w:eastAsia="zh-CN" w:bidi="ar"/>
              </w:rPr>
            </w:pPr>
          </w:p>
        </w:tc>
      </w:tr>
      <w:tr w14:paraId="1B084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64" w:hRule="atLeast"/>
        </w:trPr>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473EA6">
            <w:pPr>
              <w:jc w:val="center"/>
              <w:rPr>
                <w:rFonts w:hint="eastAsia" w:ascii="宋体" w:hAnsi="宋体" w:eastAsia="宋体" w:cs="宋体"/>
                <w:i w:val="0"/>
                <w:color w:val="auto"/>
                <w:sz w:val="20"/>
                <w:szCs w:val="20"/>
                <w:u w:val="none"/>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32F729">
            <w:pPr>
              <w:jc w:val="center"/>
              <w:rPr>
                <w:rFonts w:hint="eastAsia" w:ascii="宋体" w:hAnsi="宋体" w:eastAsia="宋体" w:cs="宋体"/>
                <w:i w:val="0"/>
                <w:color w:val="auto"/>
                <w:kern w:val="0"/>
                <w:sz w:val="20"/>
                <w:szCs w:val="20"/>
                <w:u w:val="none"/>
                <w:lang w:val="en-US" w:eastAsia="zh-CN" w:bidi="ar"/>
              </w:rPr>
            </w:pPr>
          </w:p>
        </w:tc>
        <w:tc>
          <w:tcPr>
            <w:tcW w:w="84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B647404">
            <w:pPr>
              <w:jc w:val="center"/>
              <w:rPr>
                <w:rFonts w:hint="eastAsia" w:ascii="宋体" w:hAnsi="宋体" w:eastAsia="宋体" w:cs="宋体"/>
                <w:i w:val="0"/>
                <w:color w:val="auto"/>
                <w:kern w:val="0"/>
                <w:sz w:val="20"/>
                <w:szCs w:val="20"/>
                <w:u w:val="none"/>
                <w:lang w:val="en-US" w:eastAsia="zh-CN" w:bidi="ar"/>
              </w:rPr>
            </w:pPr>
          </w:p>
        </w:tc>
        <w:tc>
          <w:tcPr>
            <w:tcW w:w="104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789955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1772A8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E203A6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F2061A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B3BCDE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21583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F93D7D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说明资料</w:t>
            </w: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79FF5C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3AF41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814E10">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5BAA60F">
            <w:pPr>
              <w:jc w:val="center"/>
              <w:rPr>
                <w:rFonts w:hint="eastAsia" w:ascii="宋体" w:hAnsi="宋体" w:eastAsia="宋体" w:cs="宋体"/>
                <w:i w:val="0"/>
                <w:color w:val="auto"/>
                <w:kern w:val="0"/>
                <w:sz w:val="20"/>
                <w:szCs w:val="20"/>
                <w:u w:val="none"/>
                <w:lang w:val="en-US" w:eastAsia="zh-CN" w:bidi="ar"/>
              </w:rPr>
            </w:pPr>
          </w:p>
        </w:tc>
      </w:tr>
      <w:tr w14:paraId="66F39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3190" w:type="dxa"/>
            <w:gridSpan w:val="4"/>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35294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DFD8CE3">
            <w:pPr>
              <w:jc w:val="center"/>
              <w:rPr>
                <w:rFonts w:hint="eastAsia" w:ascii="宋体" w:hAnsi="宋体" w:eastAsia="宋体" w:cs="宋体"/>
                <w:i w:val="0"/>
                <w:color w:val="auto"/>
                <w:kern w:val="0"/>
                <w:sz w:val="20"/>
                <w:szCs w:val="20"/>
                <w:u w:val="none"/>
                <w:lang w:val="en-US" w:eastAsia="zh-CN" w:bidi="ar"/>
              </w:rPr>
            </w:pPr>
          </w:p>
        </w:tc>
        <w:tc>
          <w:tcPr>
            <w:tcW w:w="85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93EFF35">
            <w:pPr>
              <w:jc w:val="center"/>
              <w:rPr>
                <w:rFonts w:hint="eastAsia" w:ascii="宋体" w:hAnsi="宋体" w:eastAsia="宋体" w:cs="宋体"/>
                <w:i w:val="0"/>
                <w:color w:val="auto"/>
                <w:kern w:val="0"/>
                <w:sz w:val="20"/>
                <w:szCs w:val="20"/>
                <w:u w:val="none"/>
                <w:lang w:val="en-US" w:eastAsia="zh-CN" w:bidi="ar"/>
              </w:rPr>
            </w:pP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BB3718F">
            <w:pPr>
              <w:jc w:val="center"/>
              <w:rPr>
                <w:rFonts w:hint="eastAsia" w:ascii="宋体" w:hAnsi="宋体" w:eastAsia="宋体" w:cs="宋体"/>
                <w:i w:val="0"/>
                <w:color w:val="auto"/>
                <w:kern w:val="0"/>
                <w:sz w:val="20"/>
                <w:szCs w:val="20"/>
                <w:u w:val="none"/>
                <w:lang w:val="en-US" w:eastAsia="zh-CN" w:bidi="ar"/>
              </w:rPr>
            </w:pPr>
          </w:p>
        </w:tc>
        <w:tc>
          <w:tcPr>
            <w:tcW w:w="80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2A795D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92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F322B6">
            <w:pPr>
              <w:jc w:val="center"/>
              <w:rPr>
                <w:rFonts w:hint="eastAsia" w:ascii="宋体" w:hAnsi="宋体" w:eastAsia="宋体" w:cs="宋体"/>
                <w:i w:val="0"/>
                <w:color w:val="auto"/>
                <w:kern w:val="0"/>
                <w:sz w:val="20"/>
                <w:szCs w:val="20"/>
                <w:u w:val="none"/>
                <w:lang w:val="en-US" w:eastAsia="zh-CN" w:bidi="ar"/>
              </w:rPr>
            </w:pP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1C81FE">
            <w:pPr>
              <w:jc w:val="center"/>
              <w:rPr>
                <w:rFonts w:hint="eastAsia" w:ascii="宋体" w:hAnsi="宋体" w:eastAsia="宋体" w:cs="宋体"/>
                <w:i w:val="0"/>
                <w:color w:val="auto"/>
                <w:kern w:val="0"/>
                <w:sz w:val="20"/>
                <w:szCs w:val="20"/>
                <w:u w:val="none"/>
                <w:lang w:val="en-US" w:eastAsia="zh-CN" w:bidi="ar"/>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FB4CBE4">
            <w:pPr>
              <w:jc w:val="center"/>
              <w:rPr>
                <w:rFonts w:hint="eastAsia" w:ascii="宋体" w:hAnsi="宋体" w:eastAsia="宋体" w:cs="宋体"/>
                <w:i w:val="0"/>
                <w:color w:val="auto"/>
                <w:kern w:val="0"/>
                <w:sz w:val="20"/>
                <w:szCs w:val="20"/>
                <w:u w:val="none"/>
                <w:lang w:val="en-US" w:eastAsia="zh-CN" w:bidi="ar"/>
              </w:rPr>
            </w:pPr>
          </w:p>
        </w:tc>
        <w:tc>
          <w:tcPr>
            <w:tcW w:w="82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D66BC53">
            <w:pPr>
              <w:jc w:val="center"/>
              <w:rPr>
                <w:rFonts w:hint="eastAsia" w:ascii="宋体" w:hAnsi="宋体" w:eastAsia="宋体" w:cs="宋体"/>
                <w:i w:val="0"/>
                <w:color w:val="auto"/>
                <w:kern w:val="0"/>
                <w:sz w:val="20"/>
                <w:szCs w:val="20"/>
                <w:u w:val="none"/>
                <w:lang w:val="en-US" w:eastAsia="zh-CN" w:bidi="ar"/>
              </w:rPr>
            </w:pPr>
          </w:p>
        </w:tc>
        <w:tc>
          <w:tcPr>
            <w:tcW w:w="130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C79860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96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08244AB">
            <w:pPr>
              <w:jc w:val="center"/>
              <w:rPr>
                <w:rFonts w:hint="eastAsia" w:ascii="宋体" w:hAnsi="宋体" w:eastAsia="宋体" w:cs="宋体"/>
                <w:i w:val="0"/>
                <w:color w:val="auto"/>
                <w:kern w:val="0"/>
                <w:sz w:val="20"/>
                <w:szCs w:val="20"/>
                <w:u w:val="none"/>
                <w:lang w:val="en-US" w:eastAsia="zh-CN" w:bidi="ar"/>
              </w:rPr>
            </w:pPr>
          </w:p>
        </w:tc>
      </w:tr>
    </w:tbl>
    <w:p w14:paraId="51C7C281">
      <w:pPr>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br w:type="page"/>
      </w:r>
    </w:p>
    <w:p w14:paraId="3719D70A">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p w14:paraId="2C885FC4">
      <w:pPr>
        <w:spacing w:line="240" w:lineRule="auto"/>
        <w:ind w:firstLine="0" w:firstLineChars="0"/>
        <w:rPr>
          <w:rFonts w:ascii="Times New Roman" w:hAnsi="Times New Roman" w:eastAsia="仿宋_GB2312" w:cs="Times New Roman"/>
          <w:color w:val="auto"/>
          <w:sz w:val="30"/>
          <w:szCs w:val="24"/>
        </w:rPr>
      </w:pPr>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14:paraId="75350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861" w:type="dxa"/>
            <w:shd w:val="clear" w:color="auto" w:fill="FFFFFF"/>
            <w:noWrap w:val="0"/>
            <w:vAlign w:val="center"/>
          </w:tcPr>
          <w:p w14:paraId="50D19FC7">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一级指标</w:t>
            </w:r>
          </w:p>
        </w:tc>
        <w:tc>
          <w:tcPr>
            <w:tcW w:w="727" w:type="dxa"/>
            <w:shd w:val="clear" w:color="auto" w:fill="FFFFFF"/>
            <w:noWrap w:val="0"/>
            <w:vAlign w:val="center"/>
          </w:tcPr>
          <w:p w14:paraId="7BF96ECD">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二级指标</w:t>
            </w:r>
          </w:p>
        </w:tc>
        <w:tc>
          <w:tcPr>
            <w:tcW w:w="820" w:type="dxa"/>
            <w:shd w:val="clear" w:color="auto" w:fill="FFFFFF"/>
            <w:noWrap w:val="0"/>
            <w:vAlign w:val="center"/>
          </w:tcPr>
          <w:p w14:paraId="7DDE16A7">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三级指标</w:t>
            </w:r>
          </w:p>
        </w:tc>
        <w:tc>
          <w:tcPr>
            <w:tcW w:w="2141" w:type="dxa"/>
            <w:shd w:val="clear" w:color="auto" w:fill="FFFFFF"/>
            <w:noWrap w:val="0"/>
            <w:vAlign w:val="center"/>
          </w:tcPr>
          <w:p w14:paraId="204AACA4">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指标解释</w:t>
            </w:r>
          </w:p>
        </w:tc>
        <w:tc>
          <w:tcPr>
            <w:tcW w:w="7821" w:type="dxa"/>
            <w:shd w:val="clear" w:color="auto" w:fill="FFFFFF"/>
            <w:noWrap w:val="0"/>
            <w:vAlign w:val="center"/>
          </w:tcPr>
          <w:p w14:paraId="79AE30C2">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指标说明</w:t>
            </w:r>
          </w:p>
        </w:tc>
        <w:tc>
          <w:tcPr>
            <w:tcW w:w="785" w:type="dxa"/>
            <w:shd w:val="clear" w:color="auto" w:fill="FFFFFF"/>
            <w:noWrap w:val="0"/>
            <w:vAlign w:val="center"/>
          </w:tcPr>
          <w:p w14:paraId="7CDBE4C4">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分值</w:t>
            </w:r>
          </w:p>
        </w:tc>
        <w:tc>
          <w:tcPr>
            <w:tcW w:w="769" w:type="dxa"/>
            <w:shd w:val="clear" w:color="auto" w:fill="FFFFFF"/>
            <w:noWrap w:val="0"/>
            <w:vAlign w:val="center"/>
          </w:tcPr>
          <w:p w14:paraId="4BA735CD">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得分</w:t>
            </w:r>
          </w:p>
        </w:tc>
      </w:tr>
      <w:tr w14:paraId="30032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noWrap w:val="0"/>
            <w:vAlign w:val="center"/>
          </w:tcPr>
          <w:p w14:paraId="3B2CB5B3">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p w14:paraId="17F34B80">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6739DDC0">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727" w:type="dxa"/>
            <w:vMerge w:val="restart"/>
            <w:shd w:val="clear" w:color="auto" w:fill="FFFFFF"/>
            <w:noWrap w:val="0"/>
            <w:vAlign w:val="center"/>
          </w:tcPr>
          <w:p w14:paraId="416CE6A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　</w:t>
            </w:r>
          </w:p>
        </w:tc>
        <w:tc>
          <w:tcPr>
            <w:tcW w:w="820" w:type="dxa"/>
            <w:shd w:val="clear" w:color="auto" w:fill="FFFFFF"/>
            <w:noWrap w:val="0"/>
            <w:vAlign w:val="center"/>
          </w:tcPr>
          <w:p w14:paraId="41574ACA">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立项依据</w:t>
            </w:r>
          </w:p>
          <w:p w14:paraId="004A376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充分性</w:t>
            </w:r>
          </w:p>
        </w:tc>
        <w:tc>
          <w:tcPr>
            <w:tcW w:w="2141" w:type="dxa"/>
            <w:shd w:val="clear" w:color="auto" w:fill="FFFFFF"/>
            <w:noWrap w:val="0"/>
            <w:vAlign w:val="center"/>
          </w:tcPr>
          <w:p w14:paraId="1F589C3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项目立项是否符合法律法规、相关政策、发展规划以及部门职责，用以反映和考核项目立项依据情况。</w:t>
            </w:r>
          </w:p>
        </w:tc>
        <w:tc>
          <w:tcPr>
            <w:tcW w:w="7821" w:type="dxa"/>
            <w:shd w:val="clear" w:color="auto" w:fill="FFFFFF"/>
            <w:noWrap w:val="0"/>
            <w:vAlign w:val="center"/>
          </w:tcPr>
          <w:p w14:paraId="58160242">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F7CC87F">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①项目立项是否符合国家法律法规、国民经济发展规划和相关政策；</w:t>
            </w:r>
          </w:p>
          <w:p w14:paraId="258545A8">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②项目立项是否符合行业发展规划和政策要求；</w:t>
            </w:r>
          </w:p>
          <w:p w14:paraId="33723392">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③项目立项是否与部门职责范围相符，属于部门履职所需；</w:t>
            </w:r>
          </w:p>
          <w:p w14:paraId="10769E77">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④项目是否属于公共财政支持范围，是否符合中央、地方事权支出责任划分原则；</w:t>
            </w:r>
          </w:p>
          <w:p w14:paraId="305739D4">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⑤项目是否与相关部门同类项目或部门内部相关项目重复。</w:t>
            </w:r>
          </w:p>
        </w:tc>
        <w:tc>
          <w:tcPr>
            <w:tcW w:w="785" w:type="dxa"/>
            <w:shd w:val="clear" w:color="auto" w:fill="FFFFFF"/>
            <w:noWrap w:val="0"/>
            <w:vAlign w:val="center"/>
          </w:tcPr>
          <w:p w14:paraId="417D34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14:paraId="205DD87F">
            <w:pPr>
              <w:widowControl/>
              <w:spacing w:line="0" w:lineRule="atLeast"/>
              <w:ind w:firstLine="0" w:firstLineChars="0"/>
              <w:jc w:val="left"/>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1.6</w:t>
            </w:r>
          </w:p>
        </w:tc>
      </w:tr>
      <w:tr w14:paraId="6AD5C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noWrap w:val="0"/>
            <w:vAlign w:val="center"/>
          </w:tcPr>
          <w:p w14:paraId="664160C7">
            <w:pPr>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FFFFFF"/>
            <w:noWrap w:val="0"/>
            <w:vAlign w:val="center"/>
          </w:tcPr>
          <w:p w14:paraId="05BCC2B7">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FFFFFF"/>
            <w:noWrap w:val="0"/>
            <w:vAlign w:val="center"/>
          </w:tcPr>
          <w:p w14:paraId="68C36611">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立项程序</w:t>
            </w:r>
          </w:p>
          <w:p w14:paraId="17703BA9">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规范性</w:t>
            </w:r>
          </w:p>
        </w:tc>
        <w:tc>
          <w:tcPr>
            <w:tcW w:w="2141" w:type="dxa"/>
            <w:shd w:val="clear" w:color="auto" w:fill="FFFFFF"/>
            <w:noWrap w:val="0"/>
            <w:vAlign w:val="center"/>
          </w:tcPr>
          <w:p w14:paraId="717CE9BE">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项目申请、设立过程是否符合相关要求，用以反映和考核项目立项的规范情况。</w:t>
            </w:r>
          </w:p>
        </w:tc>
        <w:tc>
          <w:tcPr>
            <w:tcW w:w="7821" w:type="dxa"/>
            <w:shd w:val="clear" w:color="auto" w:fill="FFFFFF"/>
            <w:noWrap w:val="0"/>
            <w:vAlign w:val="center"/>
          </w:tcPr>
          <w:p w14:paraId="5D615CC4">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52B6EEDB">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①项目是否按照规定的程序申请设立；</w:t>
            </w:r>
          </w:p>
          <w:p w14:paraId="4C532DF0">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②审批文件、材料是否符合相关要求；</w:t>
            </w:r>
          </w:p>
          <w:p w14:paraId="6686D8EC">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③事前是否已经过必要的可行性研究、专家论证、风险评估、绩效评估、集体决策。</w:t>
            </w:r>
          </w:p>
        </w:tc>
        <w:tc>
          <w:tcPr>
            <w:tcW w:w="785" w:type="dxa"/>
            <w:shd w:val="clear" w:color="auto" w:fill="FFFFFF"/>
            <w:noWrap w:val="0"/>
            <w:vAlign w:val="center"/>
          </w:tcPr>
          <w:p w14:paraId="2674B4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14:paraId="77F8D646">
            <w:pPr>
              <w:widowControl/>
              <w:spacing w:line="0" w:lineRule="atLeast"/>
              <w:ind w:firstLine="0" w:firstLineChars="0"/>
              <w:jc w:val="left"/>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2.2</w:t>
            </w:r>
          </w:p>
        </w:tc>
      </w:tr>
      <w:tr w14:paraId="421D6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noWrap w:val="0"/>
            <w:vAlign w:val="center"/>
          </w:tcPr>
          <w:p w14:paraId="6C24EB94">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FFFFFF"/>
            <w:noWrap w:val="0"/>
            <w:vAlign w:val="center"/>
          </w:tcPr>
          <w:p w14:paraId="42A49289">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绩效目标　</w:t>
            </w:r>
          </w:p>
        </w:tc>
        <w:tc>
          <w:tcPr>
            <w:tcW w:w="820" w:type="dxa"/>
            <w:shd w:val="clear" w:color="auto" w:fill="FFFFFF"/>
            <w:noWrap w:val="0"/>
            <w:vAlign w:val="center"/>
          </w:tcPr>
          <w:p w14:paraId="0B200BB6">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p w14:paraId="6CE555E7">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000000" w:fill="FFFFFF"/>
            <w:noWrap w:val="0"/>
            <w:vAlign w:val="center"/>
          </w:tcPr>
          <w:p w14:paraId="59AC9B34">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项目所设定的绩效目标是否依据充分，是否符合客观实际，用以反映和考核项目绩效目标与项目实施的相符情况。</w:t>
            </w:r>
          </w:p>
        </w:tc>
        <w:tc>
          <w:tcPr>
            <w:tcW w:w="7821" w:type="dxa"/>
            <w:shd w:val="clear" w:color="000000" w:fill="FFFFFF"/>
            <w:noWrap w:val="0"/>
            <w:vAlign w:val="center"/>
          </w:tcPr>
          <w:p w14:paraId="0CAEA8E7">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78BE804E">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（如未设定预算绩效目标，也可考核其他工作任务目标）</w:t>
            </w:r>
          </w:p>
          <w:p w14:paraId="78E41EDF">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①项目是否有绩效目标；</w:t>
            </w:r>
          </w:p>
          <w:p w14:paraId="72BDF614">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②项目绩效目标与实际工作内容是否具有相关性；</w:t>
            </w:r>
          </w:p>
          <w:p w14:paraId="4003B54F">
            <w:pPr>
              <w:widowControl/>
              <w:spacing w:line="0" w:lineRule="atLeast"/>
              <w:ind w:firstLine="0" w:firstLineChars="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③项目预期产出效益和效果是否符合正常的业绩水平；</w:t>
            </w:r>
          </w:p>
          <w:p w14:paraId="49FE94AD">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④是否与预算确定的项目投资额或资金量相匹配。</w:t>
            </w:r>
          </w:p>
        </w:tc>
        <w:tc>
          <w:tcPr>
            <w:tcW w:w="785" w:type="dxa"/>
            <w:shd w:val="clear" w:color="000000" w:fill="FFFFFF"/>
            <w:noWrap w:val="0"/>
            <w:vAlign w:val="center"/>
          </w:tcPr>
          <w:p w14:paraId="297D55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14:paraId="473CFD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14:paraId="4BFD7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noWrap w:val="0"/>
            <w:vAlign w:val="center"/>
          </w:tcPr>
          <w:p w14:paraId="5609804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tc>
        <w:tc>
          <w:tcPr>
            <w:tcW w:w="727" w:type="dxa"/>
            <w:shd w:val="clear" w:color="auto" w:fill="FFFFFF"/>
            <w:noWrap w:val="0"/>
            <w:vAlign w:val="center"/>
          </w:tcPr>
          <w:p w14:paraId="500E57B2">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tc>
        <w:tc>
          <w:tcPr>
            <w:tcW w:w="820" w:type="dxa"/>
            <w:shd w:val="clear" w:color="auto" w:fill="FFFFFF"/>
            <w:noWrap w:val="0"/>
            <w:vAlign w:val="center"/>
          </w:tcPr>
          <w:p w14:paraId="477CDFF6">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绩效指标</w:t>
            </w:r>
          </w:p>
          <w:p w14:paraId="11F16B2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明确性</w:t>
            </w:r>
          </w:p>
        </w:tc>
        <w:tc>
          <w:tcPr>
            <w:tcW w:w="2141" w:type="dxa"/>
            <w:shd w:val="clear" w:color="000000" w:fill="FFFFFF"/>
            <w:noWrap w:val="0"/>
            <w:vAlign w:val="center"/>
          </w:tcPr>
          <w:p w14:paraId="2DCD8B7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依据绩效目标设定的绩效指标是否清晰、细化、可衡量等，用以反映和考核项目绩效目标的明细化情况。</w:t>
            </w:r>
          </w:p>
        </w:tc>
        <w:tc>
          <w:tcPr>
            <w:tcW w:w="7821" w:type="dxa"/>
            <w:shd w:val="clear" w:color="000000" w:fill="FFFFFF"/>
            <w:noWrap w:val="0"/>
            <w:vAlign w:val="center"/>
          </w:tcPr>
          <w:p w14:paraId="70E97836">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9D7CBD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①是否将项目绩效目标细化分解为具体的绩效指标；</w:t>
            </w:r>
          </w:p>
          <w:p w14:paraId="0C63B3C7">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②是否通过清晰、可衡量的指标值予以体现；</w:t>
            </w:r>
          </w:p>
          <w:p w14:paraId="7D71D19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③是否与项目目标任务数或计划数相对应。</w:t>
            </w:r>
          </w:p>
          <w:p w14:paraId="008D9420">
            <w:pPr>
              <w:widowControl/>
              <w:spacing w:line="0" w:lineRule="atLeast"/>
              <w:ind w:firstLine="0" w:firstLineChars="0"/>
              <w:rPr>
                <w:rFonts w:hint="eastAsia" w:ascii="宋体" w:hAnsi="宋体" w:eastAsia="宋体" w:cs="宋体"/>
                <w:color w:val="auto"/>
                <w:kern w:val="0"/>
                <w:sz w:val="22"/>
                <w:szCs w:val="22"/>
                <w:lang w:eastAsia="zh-CN"/>
              </w:rPr>
            </w:pPr>
          </w:p>
        </w:tc>
        <w:tc>
          <w:tcPr>
            <w:tcW w:w="785" w:type="dxa"/>
            <w:shd w:val="clear" w:color="000000" w:fill="FFFFFF"/>
            <w:noWrap w:val="0"/>
            <w:vAlign w:val="center"/>
          </w:tcPr>
          <w:p w14:paraId="1E6ED8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14:paraId="49608A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14:paraId="720E7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noWrap w:val="0"/>
            <w:vAlign w:val="center"/>
          </w:tcPr>
          <w:p w14:paraId="75328301">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FFFFFF"/>
            <w:noWrap w:val="0"/>
            <w:vAlign w:val="center"/>
          </w:tcPr>
          <w:p w14:paraId="27F61644">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资金投入</w:t>
            </w:r>
          </w:p>
          <w:p w14:paraId="1455A600">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FFFFFF"/>
            <w:noWrap w:val="0"/>
            <w:vAlign w:val="center"/>
          </w:tcPr>
          <w:p w14:paraId="2E439427">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预算编制</w:t>
            </w:r>
          </w:p>
          <w:p w14:paraId="0D864368">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科学性</w:t>
            </w:r>
          </w:p>
        </w:tc>
        <w:tc>
          <w:tcPr>
            <w:tcW w:w="2141" w:type="dxa"/>
            <w:shd w:val="clear" w:color="auto" w:fill="FFFFFF"/>
            <w:noWrap w:val="0"/>
            <w:vAlign w:val="center"/>
          </w:tcPr>
          <w:p w14:paraId="61EB8D3F">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noWrap w:val="0"/>
            <w:vAlign w:val="center"/>
          </w:tcPr>
          <w:p w14:paraId="70F911F1">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24B6BDCB">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①预算编制是否经过科学论证；</w:t>
            </w:r>
          </w:p>
          <w:p w14:paraId="4B05E4D4">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②预算内容与项目内容是否匹配；</w:t>
            </w:r>
          </w:p>
          <w:p w14:paraId="4098808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③预算额度测算依据是否充分，是否按照标准编制；</w:t>
            </w:r>
          </w:p>
          <w:p w14:paraId="0BDCC95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④预算确定的项目投资额或资金量是否与工作任务相匹配。</w:t>
            </w:r>
          </w:p>
        </w:tc>
        <w:tc>
          <w:tcPr>
            <w:tcW w:w="785" w:type="dxa"/>
            <w:shd w:val="clear" w:color="auto" w:fill="FFFFFF"/>
            <w:noWrap w:val="0"/>
            <w:vAlign w:val="center"/>
          </w:tcPr>
          <w:p w14:paraId="083126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14:paraId="0F2E39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2</w:t>
            </w:r>
          </w:p>
        </w:tc>
      </w:tr>
      <w:tr w14:paraId="5DAFF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noWrap w:val="0"/>
            <w:vAlign w:val="center"/>
          </w:tcPr>
          <w:p w14:paraId="3BC102A1">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FFFFFF"/>
            <w:noWrap w:val="0"/>
            <w:vAlign w:val="center"/>
          </w:tcPr>
          <w:p w14:paraId="08F84042">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FFFFFF"/>
            <w:noWrap w:val="0"/>
            <w:vAlign w:val="center"/>
          </w:tcPr>
          <w:p w14:paraId="2E5914CC">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资金分配</w:t>
            </w:r>
          </w:p>
          <w:p w14:paraId="3B8435C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FFFFFF"/>
            <w:noWrap w:val="0"/>
            <w:vAlign w:val="center"/>
          </w:tcPr>
          <w:p w14:paraId="73EB0F72">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noWrap w:val="0"/>
            <w:vAlign w:val="center"/>
          </w:tcPr>
          <w:p w14:paraId="1F9E8FE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1A6BCCA1">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①预算资金分配依据是否充分；</w:t>
            </w:r>
          </w:p>
          <w:p w14:paraId="4F93D241">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②资金分配额度是否合理，与项目单位或地方实际是否相适应。</w:t>
            </w:r>
          </w:p>
        </w:tc>
        <w:tc>
          <w:tcPr>
            <w:tcW w:w="785" w:type="dxa"/>
            <w:shd w:val="clear" w:color="auto" w:fill="FFFFFF"/>
            <w:noWrap w:val="0"/>
            <w:vAlign w:val="center"/>
          </w:tcPr>
          <w:p w14:paraId="0CF862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14:paraId="31F5C5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3</w:t>
            </w:r>
          </w:p>
        </w:tc>
      </w:tr>
      <w:tr w14:paraId="3A633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noWrap w:val="0"/>
            <w:vAlign w:val="center"/>
          </w:tcPr>
          <w:p w14:paraId="09D5A23E">
            <w:pPr>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过程</w:t>
            </w:r>
          </w:p>
        </w:tc>
        <w:tc>
          <w:tcPr>
            <w:tcW w:w="727" w:type="dxa"/>
            <w:vMerge w:val="restart"/>
            <w:shd w:val="clear" w:color="auto" w:fill="FFFFFF"/>
            <w:noWrap w:val="0"/>
            <w:vAlign w:val="center"/>
          </w:tcPr>
          <w:p w14:paraId="1FE30D1F">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FFFFFF"/>
            <w:noWrap w:val="0"/>
            <w:vAlign w:val="center"/>
          </w:tcPr>
          <w:p w14:paraId="5A949CC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资金到位率</w:t>
            </w:r>
          </w:p>
        </w:tc>
        <w:tc>
          <w:tcPr>
            <w:tcW w:w="2141" w:type="dxa"/>
            <w:shd w:val="clear" w:color="000000" w:fill="FFFFFF"/>
            <w:noWrap w:val="0"/>
            <w:vAlign w:val="center"/>
          </w:tcPr>
          <w:p w14:paraId="3A04090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实际到位资金与预算资金的比率，用以反映和考核资金落实情况对项目实施的总体保障程度。</w:t>
            </w:r>
          </w:p>
        </w:tc>
        <w:tc>
          <w:tcPr>
            <w:tcW w:w="7821" w:type="dxa"/>
            <w:shd w:val="clear" w:color="000000" w:fill="FFFFFF"/>
            <w:noWrap w:val="0"/>
            <w:vAlign w:val="center"/>
          </w:tcPr>
          <w:p w14:paraId="4161C08C">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资金到位率=（实际到位资金/预算资金）×100%。</w:t>
            </w:r>
          </w:p>
          <w:p w14:paraId="08E60C2F">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实际到位资金：一定时期（本年度或项目期）内落实到具体项目的资金。</w:t>
            </w:r>
          </w:p>
          <w:p w14:paraId="586FE0B5">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预算资金：一定时期（本年度或项目期）内预算安排到具体项目的资金。</w:t>
            </w:r>
          </w:p>
        </w:tc>
        <w:tc>
          <w:tcPr>
            <w:tcW w:w="785" w:type="dxa"/>
            <w:shd w:val="clear" w:color="000000" w:fill="FFFFFF"/>
            <w:noWrap w:val="0"/>
            <w:vAlign w:val="center"/>
          </w:tcPr>
          <w:p w14:paraId="5CBBC2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14:paraId="1660E7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71019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noWrap w:val="0"/>
            <w:vAlign w:val="center"/>
          </w:tcPr>
          <w:p w14:paraId="1ED03452">
            <w:pPr>
              <w:spacing w:line="0" w:lineRule="atLeast"/>
              <w:ind w:firstLine="0" w:firstLineChars="0"/>
              <w:jc w:val="center"/>
              <w:rPr>
                <w:rFonts w:hint="eastAsia" w:ascii="宋体" w:hAnsi="宋体" w:eastAsia="宋体" w:cs="宋体"/>
                <w:color w:val="auto"/>
                <w:kern w:val="0"/>
                <w:sz w:val="22"/>
                <w:szCs w:val="22"/>
              </w:rPr>
            </w:pPr>
          </w:p>
        </w:tc>
        <w:tc>
          <w:tcPr>
            <w:tcW w:w="727" w:type="dxa"/>
            <w:vMerge w:val="continue"/>
            <w:shd w:val="clear" w:color="auto" w:fill="FFFFFF"/>
            <w:noWrap w:val="0"/>
            <w:vAlign w:val="center"/>
          </w:tcPr>
          <w:p w14:paraId="7AB65DFE">
            <w:pPr>
              <w:spacing w:line="0" w:lineRule="atLeast"/>
              <w:ind w:firstLine="0" w:firstLineChars="0"/>
              <w:jc w:val="center"/>
              <w:rPr>
                <w:rFonts w:hint="eastAsia" w:ascii="宋体" w:hAnsi="宋体" w:eastAsia="宋体" w:cs="宋体"/>
                <w:color w:val="auto"/>
                <w:kern w:val="0"/>
                <w:sz w:val="22"/>
                <w:szCs w:val="22"/>
              </w:rPr>
            </w:pPr>
          </w:p>
        </w:tc>
        <w:tc>
          <w:tcPr>
            <w:tcW w:w="820" w:type="dxa"/>
            <w:shd w:val="clear" w:color="auto" w:fill="FFFFFF"/>
            <w:noWrap w:val="0"/>
            <w:vAlign w:val="center"/>
          </w:tcPr>
          <w:p w14:paraId="5813E22C">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w:t>
            </w:r>
          </w:p>
        </w:tc>
        <w:tc>
          <w:tcPr>
            <w:tcW w:w="2141" w:type="dxa"/>
            <w:shd w:val="clear" w:color="auto" w:fill="FFFFFF"/>
            <w:noWrap w:val="0"/>
            <w:vAlign w:val="center"/>
          </w:tcPr>
          <w:p w14:paraId="1552C4A2">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项目预算资金是否按照计划执行，用以反映或考核项目预算执行情况。</w:t>
            </w:r>
          </w:p>
        </w:tc>
        <w:tc>
          <w:tcPr>
            <w:tcW w:w="7821" w:type="dxa"/>
            <w:shd w:val="clear" w:color="auto" w:fill="FFFFFF"/>
            <w:noWrap w:val="0"/>
            <w:vAlign w:val="center"/>
          </w:tcPr>
          <w:p w14:paraId="68E5BC3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预算执行率=（实际支出资金/实际到位资金）×100%。</w:t>
            </w:r>
          </w:p>
          <w:p w14:paraId="3C1C36D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实际支出资金：一定时期（本年度或项目期）内项目实际拨付的资金。</w:t>
            </w:r>
          </w:p>
        </w:tc>
        <w:tc>
          <w:tcPr>
            <w:tcW w:w="785" w:type="dxa"/>
            <w:shd w:val="clear" w:color="auto" w:fill="FFFFFF"/>
            <w:noWrap w:val="0"/>
            <w:vAlign w:val="center"/>
          </w:tcPr>
          <w:p w14:paraId="61004D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FFFFFF"/>
            <w:noWrap w:val="0"/>
            <w:vAlign w:val="center"/>
          </w:tcPr>
          <w:p w14:paraId="1F611D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1FBFF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14:paraId="4098253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4C10AD33">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FFFFFF"/>
            <w:noWrap w:val="0"/>
            <w:vAlign w:val="center"/>
          </w:tcPr>
          <w:p w14:paraId="38F27324">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FFFFFF"/>
            <w:noWrap w:val="0"/>
            <w:vAlign w:val="center"/>
          </w:tcPr>
          <w:p w14:paraId="622BDEA5">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14:paraId="18146BBA">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141" w:type="dxa"/>
            <w:shd w:val="clear" w:color="000000" w:fill="FFFFFF"/>
            <w:noWrap w:val="0"/>
            <w:vAlign w:val="center"/>
          </w:tcPr>
          <w:p w14:paraId="0529484B">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项目资金使用是否符合相关的财务管理制度规定，用以反映和考核项目资金的规范运行情况。</w:t>
            </w:r>
          </w:p>
        </w:tc>
        <w:tc>
          <w:tcPr>
            <w:tcW w:w="7821" w:type="dxa"/>
            <w:shd w:val="clear" w:color="000000" w:fill="FFFFFF"/>
            <w:noWrap w:val="0"/>
            <w:vAlign w:val="center"/>
          </w:tcPr>
          <w:p w14:paraId="1715AF07">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1C661506">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①是否符合国家财经法规和财务管理制度以及有关专项资金管理办法的规定；</w:t>
            </w:r>
          </w:p>
          <w:p w14:paraId="2993B41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②资金的拨付是否有完整的审批程序和手续；</w:t>
            </w:r>
          </w:p>
          <w:p w14:paraId="52DD22A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③是否符合项目预算批复或合同规定的用途；</w:t>
            </w:r>
          </w:p>
          <w:p w14:paraId="655CF3A1">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④是否存在截留、挤占、挪用、虚列支出等情况。</w:t>
            </w:r>
          </w:p>
        </w:tc>
        <w:tc>
          <w:tcPr>
            <w:tcW w:w="785" w:type="dxa"/>
            <w:shd w:val="clear" w:color="000000" w:fill="FFFFFF"/>
            <w:noWrap w:val="0"/>
            <w:vAlign w:val="center"/>
          </w:tcPr>
          <w:p w14:paraId="7EE90D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14:paraId="68183A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6DEAF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noWrap w:val="0"/>
            <w:vAlign w:val="center"/>
          </w:tcPr>
          <w:p w14:paraId="0BE66001">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FFFFFF"/>
            <w:noWrap w:val="0"/>
            <w:vAlign w:val="center"/>
          </w:tcPr>
          <w:p w14:paraId="01D3DB9A">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14:paraId="784D1E5D">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FFFFFF"/>
            <w:noWrap w:val="0"/>
            <w:vAlign w:val="center"/>
          </w:tcPr>
          <w:p w14:paraId="353C491D">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14:paraId="2B39404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141" w:type="dxa"/>
            <w:shd w:val="clear" w:color="000000" w:fill="FFFFFF"/>
            <w:noWrap w:val="0"/>
            <w:vAlign w:val="center"/>
          </w:tcPr>
          <w:p w14:paraId="2F79A09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项目实施单位的财务和业务管理制度是否健全，用以反映和考核财务和业务管理制度对项目顺利实施的保障情况。</w:t>
            </w:r>
          </w:p>
        </w:tc>
        <w:tc>
          <w:tcPr>
            <w:tcW w:w="7821" w:type="dxa"/>
            <w:shd w:val="clear" w:color="000000" w:fill="FFFFFF"/>
            <w:noWrap w:val="0"/>
            <w:vAlign w:val="center"/>
          </w:tcPr>
          <w:p w14:paraId="6A3A574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3A921198">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①是否已制定或具有相应的财务和业务管理制度；</w:t>
            </w:r>
          </w:p>
          <w:p w14:paraId="0D2B2F4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②财务和业务管理制度是否合法、合规、完整。</w:t>
            </w:r>
          </w:p>
        </w:tc>
        <w:tc>
          <w:tcPr>
            <w:tcW w:w="785" w:type="dxa"/>
            <w:shd w:val="clear" w:color="000000" w:fill="FFFFFF"/>
            <w:noWrap w:val="0"/>
            <w:vAlign w:val="center"/>
          </w:tcPr>
          <w:p w14:paraId="061BFB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14:paraId="503910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46DC1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noWrap w:val="0"/>
            <w:vAlign w:val="center"/>
          </w:tcPr>
          <w:p w14:paraId="0F1B5CB0">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FFFFFF"/>
            <w:noWrap w:val="0"/>
            <w:vAlign w:val="center"/>
          </w:tcPr>
          <w:p w14:paraId="4F1B7748">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FFFFFF"/>
            <w:noWrap w:val="0"/>
            <w:vAlign w:val="center"/>
          </w:tcPr>
          <w:p w14:paraId="257EFB63">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14:paraId="08A3BA6C">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141" w:type="dxa"/>
            <w:shd w:val="clear" w:color="000000" w:fill="FFFFFF"/>
            <w:noWrap w:val="0"/>
            <w:vAlign w:val="center"/>
          </w:tcPr>
          <w:p w14:paraId="244F719C">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项目实施是否符合相关管理规定，用以反映和考核相关管理制度的有效执行情况。</w:t>
            </w:r>
          </w:p>
        </w:tc>
        <w:tc>
          <w:tcPr>
            <w:tcW w:w="7821" w:type="dxa"/>
            <w:shd w:val="clear" w:color="000000" w:fill="FFFFFF"/>
            <w:noWrap w:val="0"/>
            <w:vAlign w:val="center"/>
          </w:tcPr>
          <w:p w14:paraId="7CF93824">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30088FF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①是否遵守相关法律法规和相关管理规定；</w:t>
            </w:r>
          </w:p>
          <w:p w14:paraId="4566599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②项目调整及支出调整手续是否完备；</w:t>
            </w:r>
          </w:p>
          <w:p w14:paraId="56081E3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③项目合同书、验收报告、技术鉴定等资料是否齐全并及时归档；</w:t>
            </w:r>
          </w:p>
          <w:p w14:paraId="6FC32277">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④项目实施的人员条件、场地设备、信息支撑等是否落实到位。</w:t>
            </w:r>
          </w:p>
        </w:tc>
        <w:tc>
          <w:tcPr>
            <w:tcW w:w="785" w:type="dxa"/>
            <w:shd w:val="clear" w:color="000000" w:fill="FFFFFF"/>
            <w:noWrap w:val="0"/>
            <w:vAlign w:val="center"/>
          </w:tcPr>
          <w:p w14:paraId="1B3E1B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14:paraId="3A2605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5E906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14:paraId="387AF22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FFFFFF"/>
            <w:noWrap w:val="0"/>
            <w:vAlign w:val="center"/>
          </w:tcPr>
          <w:p w14:paraId="39D42653">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p w14:paraId="289E35B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14:paraId="001607A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000000" w:fill="FFFFFF"/>
            <w:noWrap w:val="0"/>
            <w:vAlign w:val="center"/>
          </w:tcPr>
          <w:p w14:paraId="4D0AE88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000000" w:fill="FFFFFF"/>
            <w:noWrap w:val="0"/>
            <w:vAlign w:val="center"/>
          </w:tcPr>
          <w:p w14:paraId="1870EB4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693492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E2323E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14:paraId="57BF3F70">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c>
          <w:tcPr>
            <w:tcW w:w="769" w:type="dxa"/>
            <w:shd w:val="clear" w:color="000000" w:fill="FFFFFF"/>
            <w:noWrap w:val="0"/>
            <w:vAlign w:val="center"/>
          </w:tcPr>
          <w:p w14:paraId="2ED9A565">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14:paraId="4A56B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14:paraId="33B2885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FFFFFF"/>
            <w:noWrap w:val="0"/>
            <w:vAlign w:val="center"/>
          </w:tcPr>
          <w:p w14:paraId="11252C1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14:paraId="7A5963D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000000" w:fill="FFFFFF"/>
            <w:noWrap w:val="0"/>
            <w:vAlign w:val="center"/>
          </w:tcPr>
          <w:p w14:paraId="224FEC6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000000" w:fill="FFFFFF"/>
            <w:noWrap w:val="0"/>
            <w:vAlign w:val="center"/>
          </w:tcPr>
          <w:p w14:paraId="40AAAF3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177E52E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B9CD0D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14:paraId="1603937F">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000000" w:fill="FFFFFF"/>
            <w:noWrap w:val="0"/>
            <w:vAlign w:val="center"/>
          </w:tcPr>
          <w:p w14:paraId="6CB820AB">
            <w:pPr>
              <w:widowControl/>
              <w:spacing w:line="0" w:lineRule="atLeast"/>
              <w:ind w:firstLine="0" w:firstLineChars="0"/>
              <w:rPr>
                <w:rFonts w:hint="eastAsia" w:cs="宋体"/>
                <w:color w:val="auto"/>
                <w:kern w:val="0"/>
                <w:sz w:val="22"/>
                <w:szCs w:val="22"/>
                <w:lang w:val="en-US" w:eastAsia="zh-CN"/>
              </w:rPr>
            </w:pPr>
            <w:r>
              <w:rPr>
                <w:rFonts w:hint="eastAsia" w:cs="宋体"/>
                <w:color w:val="auto"/>
                <w:kern w:val="0"/>
                <w:sz w:val="22"/>
                <w:szCs w:val="22"/>
                <w:lang w:val="en-US" w:eastAsia="zh-CN"/>
              </w:rPr>
              <w:t>3</w:t>
            </w:r>
          </w:p>
        </w:tc>
      </w:tr>
      <w:tr w14:paraId="0CDFC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14:paraId="60AC6BA4">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FFFFFF"/>
            <w:noWrap w:val="0"/>
            <w:vAlign w:val="center"/>
          </w:tcPr>
          <w:p w14:paraId="1DD1ACB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14:paraId="34AFFCC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000000" w:fill="FFFFFF"/>
            <w:noWrap w:val="0"/>
            <w:vAlign w:val="center"/>
          </w:tcPr>
          <w:p w14:paraId="16895D9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000000" w:fill="FFFFFF"/>
            <w:noWrap w:val="0"/>
            <w:vAlign w:val="center"/>
          </w:tcPr>
          <w:p w14:paraId="6D12EEC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68122C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D45232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14:paraId="3B15D4DE">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000000" w:fill="FFFFFF"/>
            <w:noWrap w:val="0"/>
            <w:vAlign w:val="center"/>
          </w:tcPr>
          <w:p w14:paraId="17A59E92">
            <w:pPr>
              <w:widowControl/>
              <w:spacing w:line="0" w:lineRule="atLeast"/>
              <w:ind w:firstLine="0" w:firstLineChars="0"/>
              <w:rPr>
                <w:rFonts w:hint="eastAsia" w:cs="宋体"/>
                <w:color w:val="auto"/>
                <w:kern w:val="0"/>
                <w:sz w:val="22"/>
                <w:szCs w:val="22"/>
                <w:lang w:val="en-US" w:eastAsia="zh-CN"/>
              </w:rPr>
            </w:pPr>
            <w:r>
              <w:rPr>
                <w:rFonts w:hint="eastAsia" w:cs="宋体"/>
                <w:color w:val="auto"/>
                <w:kern w:val="0"/>
                <w:sz w:val="22"/>
                <w:szCs w:val="22"/>
                <w:lang w:val="en-US" w:eastAsia="zh-CN"/>
              </w:rPr>
              <w:t>3</w:t>
            </w:r>
          </w:p>
        </w:tc>
      </w:tr>
      <w:tr w14:paraId="2B5C7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noWrap w:val="0"/>
            <w:vAlign w:val="center"/>
          </w:tcPr>
          <w:p w14:paraId="598E252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FFFFFF"/>
            <w:noWrap w:val="0"/>
            <w:vAlign w:val="center"/>
          </w:tcPr>
          <w:p w14:paraId="6AA5CB94">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质量指标</w:t>
            </w:r>
          </w:p>
        </w:tc>
        <w:tc>
          <w:tcPr>
            <w:tcW w:w="820" w:type="dxa"/>
            <w:shd w:val="clear" w:color="auto" w:fill="FFFFFF"/>
            <w:noWrap w:val="0"/>
            <w:vAlign w:val="center"/>
          </w:tcPr>
          <w:p w14:paraId="2ED9F5D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设施设备质量达标率</w:t>
            </w:r>
          </w:p>
        </w:tc>
        <w:tc>
          <w:tcPr>
            <w:tcW w:w="2141" w:type="dxa"/>
            <w:shd w:val="clear" w:color="000000" w:fill="FFFFFF"/>
            <w:noWrap w:val="0"/>
            <w:vAlign w:val="center"/>
          </w:tcPr>
          <w:p w14:paraId="084F255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000000" w:fill="FFFFFF"/>
            <w:noWrap w:val="0"/>
            <w:vAlign w:val="center"/>
          </w:tcPr>
          <w:p w14:paraId="2B963F6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1E8836A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14:paraId="224080E2">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000000" w:fill="FFFFFF"/>
            <w:noWrap w:val="0"/>
            <w:vAlign w:val="center"/>
          </w:tcPr>
          <w:p w14:paraId="6CE18B64">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r>
      <w:tr w14:paraId="33C91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continue"/>
            <w:shd w:val="clear" w:color="auto" w:fill="FFFFFF"/>
            <w:noWrap w:val="0"/>
            <w:vAlign w:val="center"/>
          </w:tcPr>
          <w:p w14:paraId="7C1DC0E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FFFFFF"/>
            <w:noWrap w:val="0"/>
            <w:vAlign w:val="center"/>
          </w:tcPr>
          <w:p w14:paraId="2C2650C7">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14:paraId="7C2BFE6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完成年度教育教学活动工作达标率</w:t>
            </w:r>
          </w:p>
        </w:tc>
        <w:tc>
          <w:tcPr>
            <w:tcW w:w="2141" w:type="dxa"/>
            <w:shd w:val="clear" w:color="000000" w:fill="FFFFFF"/>
            <w:noWrap w:val="0"/>
            <w:vAlign w:val="center"/>
          </w:tcPr>
          <w:p w14:paraId="395FA9E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000000" w:fill="FFFFFF"/>
            <w:noWrap w:val="0"/>
            <w:vAlign w:val="center"/>
          </w:tcPr>
          <w:p w14:paraId="495E25E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BD82B2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14:paraId="61B1DF5A">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000000" w:fill="FFFFFF"/>
            <w:noWrap w:val="0"/>
            <w:vAlign w:val="center"/>
          </w:tcPr>
          <w:p w14:paraId="41FB800F">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r>
      <w:tr w14:paraId="73ADA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14:paraId="2CA7F65F">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FFFFFF"/>
            <w:noWrap w:val="0"/>
            <w:vAlign w:val="center"/>
          </w:tcPr>
          <w:p w14:paraId="12FB293B">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时效指标</w:t>
            </w:r>
          </w:p>
        </w:tc>
        <w:tc>
          <w:tcPr>
            <w:tcW w:w="820" w:type="dxa"/>
            <w:shd w:val="clear" w:color="auto" w:fill="FFFFFF"/>
            <w:noWrap w:val="0"/>
            <w:vAlign w:val="center"/>
          </w:tcPr>
          <w:p w14:paraId="2BF2848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000000" w:fill="FFFFFF"/>
            <w:noWrap w:val="0"/>
            <w:vAlign w:val="center"/>
          </w:tcPr>
          <w:p w14:paraId="3191400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000000" w:fill="FFFFFF"/>
            <w:noWrap w:val="0"/>
            <w:vAlign w:val="center"/>
          </w:tcPr>
          <w:p w14:paraId="7B39AD8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683713A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000000" w:fill="FFFFFF"/>
            <w:noWrap w:val="0"/>
            <w:vAlign w:val="center"/>
          </w:tcPr>
          <w:p w14:paraId="2C3AD068">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c>
          <w:tcPr>
            <w:tcW w:w="769" w:type="dxa"/>
            <w:shd w:val="clear" w:color="000000" w:fill="FFFFFF"/>
            <w:noWrap w:val="0"/>
            <w:vAlign w:val="center"/>
          </w:tcPr>
          <w:p w14:paraId="77DE7AA3">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14:paraId="17D5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14:paraId="6D0D981E">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14:paraId="4EDB66DD">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14:paraId="72060C2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000000" w:fill="FFFFFF"/>
            <w:noWrap w:val="0"/>
            <w:vAlign w:val="center"/>
          </w:tcPr>
          <w:p w14:paraId="2F5DCC4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000000" w:fill="FFFFFF"/>
            <w:noWrap w:val="0"/>
            <w:vAlign w:val="center"/>
          </w:tcPr>
          <w:p w14:paraId="416DD64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A926A3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000000" w:fill="FFFFFF"/>
            <w:noWrap w:val="0"/>
            <w:vAlign w:val="center"/>
          </w:tcPr>
          <w:p w14:paraId="384F1C21">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000000" w:fill="FFFFFF"/>
            <w:noWrap w:val="0"/>
            <w:vAlign w:val="center"/>
          </w:tcPr>
          <w:p w14:paraId="7DB694FE">
            <w:pPr>
              <w:widowControl/>
              <w:spacing w:line="0" w:lineRule="atLeast"/>
              <w:ind w:firstLine="0" w:firstLineChars="0"/>
              <w:rPr>
                <w:rFonts w:hint="default" w:cs="宋体"/>
                <w:color w:val="auto"/>
                <w:kern w:val="0"/>
                <w:sz w:val="22"/>
                <w:szCs w:val="22"/>
                <w:lang w:val="en-US" w:eastAsia="zh-CN"/>
              </w:rPr>
            </w:pPr>
            <w:r>
              <w:rPr>
                <w:rFonts w:hint="eastAsia" w:cs="宋体"/>
                <w:color w:val="auto"/>
                <w:kern w:val="0"/>
                <w:sz w:val="22"/>
                <w:szCs w:val="22"/>
                <w:lang w:val="en-US" w:eastAsia="zh-CN"/>
              </w:rPr>
              <w:t>3</w:t>
            </w:r>
          </w:p>
        </w:tc>
      </w:tr>
      <w:tr w14:paraId="147D6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noWrap w:val="0"/>
            <w:vAlign w:val="center"/>
          </w:tcPr>
          <w:p w14:paraId="1E3D99D5">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FFFFFF"/>
            <w:noWrap w:val="0"/>
            <w:vAlign w:val="center"/>
          </w:tcPr>
          <w:p w14:paraId="22ED5CA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经济成本指标</w:t>
            </w:r>
          </w:p>
        </w:tc>
        <w:tc>
          <w:tcPr>
            <w:tcW w:w="820" w:type="dxa"/>
            <w:shd w:val="clear" w:color="auto" w:fill="FFFFFF"/>
            <w:noWrap w:val="0"/>
            <w:vAlign w:val="center"/>
          </w:tcPr>
          <w:p w14:paraId="2BE1F04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公用经费生均标准</w:t>
            </w:r>
          </w:p>
        </w:tc>
        <w:tc>
          <w:tcPr>
            <w:tcW w:w="2141" w:type="dxa"/>
            <w:shd w:val="clear" w:color="000000" w:fill="FFFFFF"/>
            <w:noWrap w:val="0"/>
            <w:vAlign w:val="center"/>
          </w:tcPr>
          <w:p w14:paraId="73D6FE1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000000" w:fill="FFFFFF"/>
            <w:noWrap w:val="0"/>
            <w:vAlign w:val="center"/>
          </w:tcPr>
          <w:p w14:paraId="61663E54">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B1A4ED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B6F713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EA0EF5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14:paraId="4B08B4F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000000" w:fill="FFFFFF"/>
            <w:noWrap w:val="0"/>
            <w:vAlign w:val="center"/>
          </w:tcPr>
          <w:p w14:paraId="6AF140F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2DF4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14:paraId="7356E1A0">
            <w:pPr>
              <w:widowControl/>
              <w:spacing w:line="0" w:lineRule="atLeast"/>
              <w:ind w:firstLine="0" w:firstLineChars="0"/>
              <w:jc w:val="center"/>
              <w:rPr>
                <w:rFonts w:hint="eastAsia" w:ascii="宋体" w:hAnsi="宋体" w:eastAsia="宋体" w:cs="宋体"/>
                <w:color w:val="auto"/>
                <w:kern w:val="0"/>
                <w:sz w:val="22"/>
                <w:szCs w:val="22"/>
                <w:highlight w:val="yellow"/>
                <w:lang w:eastAsia="zh-CN"/>
              </w:rPr>
            </w:pPr>
            <w:r>
              <w:rPr>
                <w:rFonts w:hint="eastAsia" w:ascii="宋体" w:hAnsi="宋体" w:eastAsia="宋体" w:cs="宋体"/>
                <w:color w:val="auto"/>
                <w:kern w:val="0"/>
                <w:sz w:val="22"/>
                <w:szCs w:val="22"/>
                <w:highlight w:val="none"/>
                <w:lang w:eastAsia="zh-CN"/>
              </w:rPr>
              <w:t>效益</w:t>
            </w:r>
          </w:p>
        </w:tc>
        <w:tc>
          <w:tcPr>
            <w:tcW w:w="727" w:type="dxa"/>
            <w:vMerge w:val="restart"/>
            <w:shd w:val="clear" w:color="auto" w:fill="FFFFFF"/>
            <w:noWrap w:val="0"/>
            <w:vAlign w:val="center"/>
          </w:tcPr>
          <w:p w14:paraId="313F4C5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r>
              <w:rPr>
                <w:rFonts w:hint="eastAsia" w:ascii="宋体" w:hAnsi="宋体" w:eastAsia="宋体" w:cs="宋体"/>
                <w:color w:val="auto"/>
                <w:kern w:val="0"/>
                <w:sz w:val="22"/>
                <w:szCs w:val="22"/>
                <w:highlight w:val="none"/>
              </w:rPr>
              <w:t>　</w:t>
            </w:r>
          </w:p>
        </w:tc>
        <w:tc>
          <w:tcPr>
            <w:tcW w:w="820" w:type="dxa"/>
            <w:shd w:val="clear" w:color="auto" w:fill="FFFFFF"/>
            <w:noWrap w:val="0"/>
            <w:vAlign w:val="center"/>
          </w:tcPr>
          <w:p w14:paraId="7CF5B97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保障幼儿园各项工作平稳进行</w:t>
            </w:r>
          </w:p>
        </w:tc>
        <w:tc>
          <w:tcPr>
            <w:tcW w:w="2141" w:type="dxa"/>
            <w:shd w:val="clear" w:color="000000" w:fill="FFFFFF"/>
            <w:noWrap w:val="0"/>
            <w:vAlign w:val="center"/>
          </w:tcPr>
          <w:p w14:paraId="79FC5154">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000000" w:fill="FFFFFF"/>
            <w:noWrap w:val="0"/>
            <w:vAlign w:val="center"/>
          </w:tcPr>
          <w:p w14:paraId="112D3F9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000000" w:fill="FFFFFF"/>
            <w:noWrap w:val="0"/>
            <w:vAlign w:val="center"/>
          </w:tcPr>
          <w:p w14:paraId="2643CC85">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000000" w:fill="FFFFFF"/>
            <w:noWrap w:val="0"/>
            <w:vAlign w:val="center"/>
          </w:tcPr>
          <w:p w14:paraId="37114E82">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B094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FFFFFF"/>
            <w:noWrap w:val="0"/>
            <w:vAlign w:val="center"/>
          </w:tcPr>
          <w:p w14:paraId="49F045C0">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vMerge w:val="continue"/>
            <w:shd w:val="clear" w:color="auto" w:fill="FFFFFF"/>
            <w:noWrap w:val="0"/>
            <w:vAlign w:val="center"/>
          </w:tcPr>
          <w:p w14:paraId="6CB1202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FFFFFF"/>
            <w:noWrap w:val="0"/>
            <w:vAlign w:val="center"/>
          </w:tcPr>
          <w:p w14:paraId="50308DC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校园环境和条件进一步改善</w:t>
            </w:r>
          </w:p>
        </w:tc>
        <w:tc>
          <w:tcPr>
            <w:tcW w:w="2141" w:type="dxa"/>
            <w:shd w:val="clear" w:color="auto" w:fill="FFFFFF"/>
            <w:noWrap w:val="0"/>
            <w:vAlign w:val="center"/>
          </w:tcPr>
          <w:p w14:paraId="1E3A14E1">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FFFFFF"/>
            <w:noWrap w:val="0"/>
            <w:vAlign w:val="center"/>
          </w:tcPr>
          <w:p w14:paraId="59EA6DB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FFFFFF"/>
            <w:noWrap w:val="0"/>
            <w:vAlign w:val="center"/>
          </w:tcPr>
          <w:p w14:paraId="66BB04E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FFFFFF"/>
            <w:noWrap w:val="0"/>
            <w:vAlign w:val="center"/>
          </w:tcPr>
          <w:p w14:paraId="153838D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656AD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shd w:val="clear" w:color="auto" w:fill="FFFFFF"/>
            <w:noWrap w:val="0"/>
            <w:vAlign w:val="center"/>
          </w:tcPr>
          <w:p w14:paraId="41A5FF3D">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FFFFFF"/>
            <w:noWrap w:val="0"/>
            <w:vAlign w:val="center"/>
          </w:tcPr>
          <w:p w14:paraId="2AA8AB7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p>
        </w:tc>
        <w:tc>
          <w:tcPr>
            <w:tcW w:w="820" w:type="dxa"/>
            <w:shd w:val="clear" w:color="auto" w:fill="FFFFFF"/>
            <w:noWrap w:val="0"/>
            <w:vAlign w:val="center"/>
          </w:tcPr>
          <w:p w14:paraId="4FDB2388">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141" w:type="dxa"/>
            <w:shd w:val="clear" w:color="auto" w:fill="FFFFFF"/>
            <w:noWrap w:val="0"/>
            <w:vAlign w:val="center"/>
          </w:tcPr>
          <w:p w14:paraId="5B9015B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FFFFFF"/>
            <w:noWrap w:val="0"/>
            <w:vAlign w:val="center"/>
          </w:tcPr>
          <w:p w14:paraId="11742C4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FFFFFF"/>
            <w:noWrap w:val="0"/>
            <w:vAlign w:val="center"/>
          </w:tcPr>
          <w:p w14:paraId="7C90C7B0">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FFFFFF"/>
            <w:noWrap w:val="0"/>
            <w:vAlign w:val="center"/>
          </w:tcPr>
          <w:p w14:paraId="30F5A4E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64151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FFFFFF"/>
            <w:noWrap w:val="0"/>
            <w:vAlign w:val="center"/>
          </w:tcPr>
          <w:p w14:paraId="22C4A1BE">
            <w:pPr>
              <w:widowControl/>
              <w:spacing w:line="0" w:lineRule="atLeast"/>
              <w:ind w:firstLine="0" w:firstLineChars="0"/>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7821" w:type="dxa"/>
            <w:shd w:val="clear" w:color="000000" w:fill="FFFFFF"/>
            <w:noWrap w:val="0"/>
            <w:vAlign w:val="center"/>
          </w:tcPr>
          <w:p w14:paraId="711CB6D5">
            <w:pPr>
              <w:widowControl/>
              <w:spacing w:line="0" w:lineRule="atLeast"/>
              <w:ind w:firstLine="0" w:firstLineChars="0"/>
              <w:rPr>
                <w:rFonts w:hint="eastAsia" w:ascii="宋体" w:hAnsi="宋体" w:eastAsia="宋体" w:cs="宋体"/>
                <w:color w:val="auto"/>
                <w:kern w:val="0"/>
                <w:sz w:val="22"/>
                <w:szCs w:val="22"/>
              </w:rPr>
            </w:pPr>
          </w:p>
        </w:tc>
        <w:tc>
          <w:tcPr>
            <w:tcW w:w="785" w:type="dxa"/>
            <w:shd w:val="clear" w:color="000000" w:fill="FFFFFF"/>
            <w:noWrap w:val="0"/>
            <w:vAlign w:val="center"/>
          </w:tcPr>
          <w:p w14:paraId="13277E6F">
            <w:pPr>
              <w:widowControl/>
              <w:spacing w:line="0" w:lineRule="atLeast"/>
              <w:ind w:firstLine="0" w:firstLineChars="0"/>
              <w:jc w:val="center"/>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100</w:t>
            </w:r>
          </w:p>
        </w:tc>
        <w:tc>
          <w:tcPr>
            <w:tcW w:w="769" w:type="dxa"/>
            <w:shd w:val="clear" w:color="000000" w:fill="FFFFFF"/>
            <w:noWrap w:val="0"/>
            <w:vAlign w:val="center"/>
          </w:tcPr>
          <w:p w14:paraId="71AD0F33">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98.8</w:t>
            </w:r>
          </w:p>
        </w:tc>
      </w:tr>
    </w:tbl>
    <w:p w14:paraId="03B9E69E">
      <w:pPr>
        <w:rPr>
          <w:rFonts w:hint="default"/>
          <w:color w:val="auto"/>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45AC0">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39AE0D">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D39AE0D">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F078740D"/>
    <w:multiLevelType w:val="singleLevel"/>
    <w:tmpl w:val="F078740D"/>
    <w:lvl w:ilvl="0" w:tentative="0">
      <w:start w:val="4"/>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77A54546"/>
    <w:multiLevelType w:val="singleLevel"/>
    <w:tmpl w:val="77A54546"/>
    <w:lvl w:ilvl="0" w:tentative="0">
      <w:start w:val="3"/>
      <w:numFmt w:val="decimal"/>
      <w:suff w:val="nothing"/>
      <w:lvlText w:val="（%1）"/>
      <w:lvlJc w:val="left"/>
      <w:pPr>
        <w:ind w:left="-163"/>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1F33D5"/>
    <w:rsid w:val="01253350"/>
    <w:rsid w:val="01282E62"/>
    <w:rsid w:val="014029CF"/>
    <w:rsid w:val="01470C4C"/>
    <w:rsid w:val="01CD0018"/>
    <w:rsid w:val="01FA5C1D"/>
    <w:rsid w:val="01FA5FFA"/>
    <w:rsid w:val="02200440"/>
    <w:rsid w:val="02284B43"/>
    <w:rsid w:val="02B015E2"/>
    <w:rsid w:val="02DC08FA"/>
    <w:rsid w:val="033B569D"/>
    <w:rsid w:val="039C3BA0"/>
    <w:rsid w:val="03A845BB"/>
    <w:rsid w:val="03B45AD1"/>
    <w:rsid w:val="04D12EE4"/>
    <w:rsid w:val="04D63993"/>
    <w:rsid w:val="07890F4F"/>
    <w:rsid w:val="08892439"/>
    <w:rsid w:val="08EB30F3"/>
    <w:rsid w:val="09237408"/>
    <w:rsid w:val="09781BD6"/>
    <w:rsid w:val="09F359DF"/>
    <w:rsid w:val="0A575E65"/>
    <w:rsid w:val="0ACA0AB6"/>
    <w:rsid w:val="0BAE3629"/>
    <w:rsid w:val="0C032502"/>
    <w:rsid w:val="0C27698C"/>
    <w:rsid w:val="0CAC4AC1"/>
    <w:rsid w:val="0D4452F3"/>
    <w:rsid w:val="0F5E5042"/>
    <w:rsid w:val="0FE95707"/>
    <w:rsid w:val="10510571"/>
    <w:rsid w:val="10787A20"/>
    <w:rsid w:val="108672DE"/>
    <w:rsid w:val="10EC685A"/>
    <w:rsid w:val="11FA6155"/>
    <w:rsid w:val="127405E0"/>
    <w:rsid w:val="12CF0947"/>
    <w:rsid w:val="12F1313F"/>
    <w:rsid w:val="136C678E"/>
    <w:rsid w:val="13EB2FF5"/>
    <w:rsid w:val="15A46B04"/>
    <w:rsid w:val="165825BC"/>
    <w:rsid w:val="16BC5D73"/>
    <w:rsid w:val="176F36D7"/>
    <w:rsid w:val="17735468"/>
    <w:rsid w:val="1795226D"/>
    <w:rsid w:val="17C41B20"/>
    <w:rsid w:val="18456B1E"/>
    <w:rsid w:val="19E4020F"/>
    <w:rsid w:val="1B060561"/>
    <w:rsid w:val="1C1171C5"/>
    <w:rsid w:val="1D265138"/>
    <w:rsid w:val="1D6013C4"/>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4AB535B"/>
    <w:rsid w:val="24DB7947"/>
    <w:rsid w:val="25624B64"/>
    <w:rsid w:val="25AD5E5D"/>
    <w:rsid w:val="2732478D"/>
    <w:rsid w:val="27661469"/>
    <w:rsid w:val="27900EAD"/>
    <w:rsid w:val="279B538A"/>
    <w:rsid w:val="286F545C"/>
    <w:rsid w:val="29314FBC"/>
    <w:rsid w:val="2A8A3BFC"/>
    <w:rsid w:val="2C024B86"/>
    <w:rsid w:val="2C6A37A1"/>
    <w:rsid w:val="2C927671"/>
    <w:rsid w:val="2D7C5CD6"/>
    <w:rsid w:val="2E483E7E"/>
    <w:rsid w:val="2E690493"/>
    <w:rsid w:val="2E9854BD"/>
    <w:rsid w:val="2F0D407F"/>
    <w:rsid w:val="2F454B19"/>
    <w:rsid w:val="3068693B"/>
    <w:rsid w:val="310224D9"/>
    <w:rsid w:val="31B4621C"/>
    <w:rsid w:val="31E3230A"/>
    <w:rsid w:val="32883964"/>
    <w:rsid w:val="330957E0"/>
    <w:rsid w:val="33356F64"/>
    <w:rsid w:val="33944516"/>
    <w:rsid w:val="34B62907"/>
    <w:rsid w:val="36182570"/>
    <w:rsid w:val="36BD137C"/>
    <w:rsid w:val="37DB4E12"/>
    <w:rsid w:val="385D37E7"/>
    <w:rsid w:val="38782EDD"/>
    <w:rsid w:val="39596CFA"/>
    <w:rsid w:val="3B42664A"/>
    <w:rsid w:val="3D836A4E"/>
    <w:rsid w:val="3DBB0439"/>
    <w:rsid w:val="3E0F3EC6"/>
    <w:rsid w:val="3EA37E97"/>
    <w:rsid w:val="3FBE0BC5"/>
    <w:rsid w:val="4048103A"/>
    <w:rsid w:val="40736643"/>
    <w:rsid w:val="407B2B32"/>
    <w:rsid w:val="40A079A0"/>
    <w:rsid w:val="40D24A7A"/>
    <w:rsid w:val="42621029"/>
    <w:rsid w:val="435241E2"/>
    <w:rsid w:val="43975C51"/>
    <w:rsid w:val="439E3FA7"/>
    <w:rsid w:val="44B32266"/>
    <w:rsid w:val="44E36E7A"/>
    <w:rsid w:val="44FC64F4"/>
    <w:rsid w:val="454809AA"/>
    <w:rsid w:val="45BF2B78"/>
    <w:rsid w:val="467F4585"/>
    <w:rsid w:val="470628CB"/>
    <w:rsid w:val="47555BD4"/>
    <w:rsid w:val="47E61C65"/>
    <w:rsid w:val="47E96399"/>
    <w:rsid w:val="47ED41F6"/>
    <w:rsid w:val="48E12B50"/>
    <w:rsid w:val="499441BE"/>
    <w:rsid w:val="499A6C1C"/>
    <w:rsid w:val="4A2138F0"/>
    <w:rsid w:val="4A583887"/>
    <w:rsid w:val="4B9F6E02"/>
    <w:rsid w:val="4C89637B"/>
    <w:rsid w:val="4D6E7507"/>
    <w:rsid w:val="4E6E48A8"/>
    <w:rsid w:val="4EE86615"/>
    <w:rsid w:val="4EEC036B"/>
    <w:rsid w:val="501D2673"/>
    <w:rsid w:val="50C80BF1"/>
    <w:rsid w:val="511826D5"/>
    <w:rsid w:val="51852833"/>
    <w:rsid w:val="52F11AC8"/>
    <w:rsid w:val="534F49D9"/>
    <w:rsid w:val="53555F0F"/>
    <w:rsid w:val="535D23D5"/>
    <w:rsid w:val="53EC1565"/>
    <w:rsid w:val="56DF5BE2"/>
    <w:rsid w:val="56F4341A"/>
    <w:rsid w:val="575A7321"/>
    <w:rsid w:val="580C3AB9"/>
    <w:rsid w:val="583C7AE0"/>
    <w:rsid w:val="586C1E9A"/>
    <w:rsid w:val="586E0800"/>
    <w:rsid w:val="59216F96"/>
    <w:rsid w:val="598C4145"/>
    <w:rsid w:val="59957D1B"/>
    <w:rsid w:val="59D4294E"/>
    <w:rsid w:val="5B0264BF"/>
    <w:rsid w:val="5B634312"/>
    <w:rsid w:val="5B9D2CCD"/>
    <w:rsid w:val="5B9E71EA"/>
    <w:rsid w:val="5BF14F80"/>
    <w:rsid w:val="5E226FBC"/>
    <w:rsid w:val="5FE72BD2"/>
    <w:rsid w:val="60120613"/>
    <w:rsid w:val="618D5292"/>
    <w:rsid w:val="61AB5624"/>
    <w:rsid w:val="622E78FA"/>
    <w:rsid w:val="63343F70"/>
    <w:rsid w:val="63565F21"/>
    <w:rsid w:val="64296E1C"/>
    <w:rsid w:val="649E64A2"/>
    <w:rsid w:val="65B60FE5"/>
    <w:rsid w:val="65E5270A"/>
    <w:rsid w:val="663D3C54"/>
    <w:rsid w:val="66862C89"/>
    <w:rsid w:val="66BB486D"/>
    <w:rsid w:val="67394C7D"/>
    <w:rsid w:val="67A24A42"/>
    <w:rsid w:val="68126B38"/>
    <w:rsid w:val="68291A1A"/>
    <w:rsid w:val="68352BB8"/>
    <w:rsid w:val="68B20398"/>
    <w:rsid w:val="691B1594"/>
    <w:rsid w:val="693A016B"/>
    <w:rsid w:val="6A17429C"/>
    <w:rsid w:val="6A567EA3"/>
    <w:rsid w:val="6B4B4368"/>
    <w:rsid w:val="6B684D9C"/>
    <w:rsid w:val="6B79100E"/>
    <w:rsid w:val="6BE70FC0"/>
    <w:rsid w:val="6C844C00"/>
    <w:rsid w:val="6E10212C"/>
    <w:rsid w:val="6E43561A"/>
    <w:rsid w:val="6E557973"/>
    <w:rsid w:val="6E9568DB"/>
    <w:rsid w:val="6F0D6C22"/>
    <w:rsid w:val="6F3A4755"/>
    <w:rsid w:val="6F47657F"/>
    <w:rsid w:val="6FAF23D9"/>
    <w:rsid w:val="70635CF6"/>
    <w:rsid w:val="70670707"/>
    <w:rsid w:val="71E9781D"/>
    <w:rsid w:val="720E3691"/>
    <w:rsid w:val="724E244C"/>
    <w:rsid w:val="72DA6946"/>
    <w:rsid w:val="732764B3"/>
    <w:rsid w:val="74026044"/>
    <w:rsid w:val="74746410"/>
    <w:rsid w:val="75E5007C"/>
    <w:rsid w:val="775832A5"/>
    <w:rsid w:val="77813724"/>
    <w:rsid w:val="77861774"/>
    <w:rsid w:val="78E94700"/>
    <w:rsid w:val="78F31435"/>
    <w:rsid w:val="79300B45"/>
    <w:rsid w:val="794D3E18"/>
    <w:rsid w:val="79F3729A"/>
    <w:rsid w:val="7A880722"/>
    <w:rsid w:val="7A9D361A"/>
    <w:rsid w:val="7ACB0498"/>
    <w:rsid w:val="7AED0B4D"/>
    <w:rsid w:val="7C1E4487"/>
    <w:rsid w:val="7C215E02"/>
    <w:rsid w:val="7CF23764"/>
    <w:rsid w:val="7DB07458"/>
    <w:rsid w:val="7E797F74"/>
    <w:rsid w:val="7EB92C90"/>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table of authorities"/>
    <w:basedOn w:val="1"/>
    <w:next w:val="1"/>
    <w:qFormat/>
    <w:uiPriority w:val="99"/>
    <w:pPr>
      <w:ind w:firstLine="640" w:firstLineChars="200"/>
    </w:pPr>
  </w:style>
  <w:style w:type="paragraph" w:styleId="7">
    <w:name w:val="annotation text"/>
    <w:basedOn w:val="1"/>
    <w:qFormat/>
    <w:uiPriority w:val="0"/>
    <w:pPr>
      <w:jc w:val="left"/>
    </w:pPr>
  </w:style>
  <w:style w:type="paragraph" w:styleId="8">
    <w:name w:val="Body Text"/>
    <w:basedOn w:val="1"/>
    <w:next w:val="9"/>
    <w:qFormat/>
    <w:uiPriority w:val="0"/>
    <w:pPr>
      <w:spacing w:before="240" w:after="240" w:line="360" w:lineRule="auto"/>
      <w:jc w:val="center"/>
    </w:pPr>
    <w:rPr>
      <w:b/>
      <w:sz w:val="44"/>
    </w:rPr>
  </w:style>
  <w:style w:type="paragraph" w:styleId="9">
    <w:name w:val="Body Text 2"/>
    <w:basedOn w:val="1"/>
    <w:autoRedefine/>
    <w:qFormat/>
    <w:uiPriority w:val="0"/>
    <w:pPr>
      <w:spacing w:after="120" w:line="480" w:lineRule="auto"/>
    </w:pPr>
    <w:rPr>
      <w:rFonts w:ascii="Times New Roman" w:hAnsi="Times New Roman" w:eastAsia="宋体" w:cs="Times New Roman"/>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 w:type="character" w:customStyle="1" w:styleId="19">
    <w:name w:val="font31"/>
    <w:basedOn w:val="13"/>
    <w:autoRedefine/>
    <w:qFormat/>
    <w:uiPriority w:val="0"/>
    <w:rPr>
      <w:rFonts w:hint="default" w:ascii="Arial" w:hAnsi="Arial" w:cs="Arial"/>
      <w:color w:val="000000"/>
      <w:sz w:val="20"/>
      <w:szCs w:val="20"/>
      <w:u w:val="none"/>
    </w:rPr>
  </w:style>
  <w:style w:type="character" w:customStyle="1" w:styleId="20">
    <w:name w:val="font01"/>
    <w:basedOn w:val="13"/>
    <w:qFormat/>
    <w:uiPriority w:val="0"/>
    <w:rPr>
      <w:rFonts w:hint="eastAsia" w:ascii="宋体" w:hAnsi="宋体" w:eastAsia="宋体" w:cs="宋体"/>
      <w:color w:val="000000"/>
      <w:sz w:val="20"/>
      <w:szCs w:val="20"/>
      <w:u w:val="none"/>
    </w:rPr>
  </w:style>
  <w:style w:type="paragraph" w:styleId="21">
    <w:name w:val="List Paragraph"/>
    <w:basedOn w:val="1"/>
    <w:unhideWhenUsed/>
    <w:qFormat/>
    <w:uiPriority w:val="99"/>
    <w:pPr>
      <w:ind w:firstLine="420" w:firstLineChars="200"/>
    </w:pPr>
  </w:style>
  <w:style w:type="character" w:customStyle="1" w:styleId="22">
    <w:name w:val="font21"/>
    <w:basedOn w:val="13"/>
    <w:autoRedefine/>
    <w:qFormat/>
    <w:uiPriority w:val="0"/>
    <w:rPr>
      <w:rFonts w:hint="default" w:ascii="Arial" w:hAnsi="Arial" w:cs="Arial"/>
      <w:color w:val="000000"/>
      <w:sz w:val="20"/>
      <w:szCs w:val="20"/>
      <w:u w:val="none"/>
    </w:rPr>
  </w:style>
  <w:style w:type="character" w:customStyle="1" w:styleId="23">
    <w:name w:val="font61"/>
    <w:basedOn w:val="13"/>
    <w:autoRedefine/>
    <w:qFormat/>
    <w:uiPriority w:val="0"/>
    <w:rPr>
      <w:rFonts w:hint="eastAsia" w:ascii="宋体" w:hAnsi="宋体" w:eastAsia="宋体" w:cs="宋体"/>
      <w:color w:val="000000"/>
      <w:sz w:val="20"/>
      <w:szCs w:val="20"/>
      <w:u w:val="none"/>
    </w:rPr>
  </w:style>
  <w:style w:type="character" w:customStyle="1" w:styleId="24">
    <w:name w:val="font4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14563</Words>
  <Characters>15459</Characters>
  <Lines>0</Lines>
  <Paragraphs>0</Paragraphs>
  <TotalTime>6</TotalTime>
  <ScaleCrop>false</ScaleCrop>
  <LinksUpToDate>false</LinksUpToDate>
  <CharactersWithSpaces>15540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离人w</cp:lastModifiedBy>
  <dcterms:modified xsi:type="dcterms:W3CDTF">2024-11-27T04:12:30Z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1D17C581B7B649E79D2BCA767FA9A472_13</vt:lpwstr>
  </property>
</Properties>
</file>