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10022D">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5D117A45">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4EDA2AD8">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3F3E848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000000" w:themeColor="text1"/>
          <w:sz w:val="40"/>
          <w:szCs w:val="40"/>
          <w:highlight w:val="none"/>
          <w:shd w:val="clear" w:color="auto" w:fill="auto"/>
          <w:lang w:val="en-US" w:eastAsia="zh-CN"/>
          <w14:textFill>
            <w14:solidFill>
              <w14:schemeClr w14:val="tx1"/>
            </w14:solidFill>
          </w14:textFill>
        </w:rPr>
      </w:pPr>
      <w:bookmarkStart w:id="0" w:name="_Toc15679"/>
      <w:r>
        <w:rPr>
          <w:rFonts w:hint="eastAsia" w:ascii="宋体" w:hAnsi="宋体" w:eastAsia="宋体" w:cs="宋体"/>
          <w:b/>
          <w:bCs/>
          <w:color w:val="000000" w:themeColor="text1"/>
          <w:sz w:val="40"/>
          <w:szCs w:val="40"/>
          <w:highlight w:val="none"/>
          <w:shd w:val="clear" w:color="auto" w:fill="auto"/>
          <w:lang w:val="en-US" w:eastAsia="zh-CN"/>
          <w14:textFill>
            <w14:solidFill>
              <w14:schemeClr w14:val="tx1"/>
            </w14:solidFill>
          </w14:textFill>
        </w:rPr>
        <w:t>现代职业教育质量提升项目</w:t>
      </w:r>
    </w:p>
    <w:p w14:paraId="6F9B4D49">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pPr>
      <w:r>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t>支出绩效评价报告</w:t>
      </w:r>
      <w:bookmarkEnd w:id="0"/>
    </w:p>
    <w:p w14:paraId="6C88A88E">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002B99D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08FA34B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7CAFDF6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71AE59C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7E49744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30CCCB3E">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706587A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项目名称：现代职业教育质量提升项目资金</w:t>
      </w:r>
    </w:p>
    <w:p w14:paraId="1EC1EEB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实施单位：阜康市职业中等专业学校</w:t>
      </w:r>
    </w:p>
    <w:p w14:paraId="24C40A1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主管部门：阜康市教育局</w:t>
      </w:r>
    </w:p>
    <w:p w14:paraId="2F71602B">
      <w:pPr>
        <w:pStyle w:val="11"/>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p>
    <w:p w14:paraId="34376818">
      <w:pPr>
        <w:rPr>
          <w:rFonts w:hint="eastAsia"/>
          <w:highlight w:val="none"/>
          <w:lang w:val="en-US" w:eastAsia="zh-CN"/>
        </w:rPr>
      </w:pPr>
      <w:r>
        <w:rPr>
          <w:rFonts w:hint="eastAsia"/>
          <w:highlight w:val="none"/>
          <w:lang w:val="en-US" w:eastAsia="zh-CN"/>
        </w:rPr>
        <w:br w:type="page"/>
      </w:r>
    </w:p>
    <w:p w14:paraId="29481707">
      <w:pPr>
        <w:rPr>
          <w:rFonts w:hint="eastAsia"/>
          <w:highlight w:val="none"/>
          <w:lang w:val="en-US" w:eastAsia="zh-CN"/>
        </w:rPr>
      </w:pPr>
    </w:p>
    <w:sdt>
      <w:sdtPr>
        <w:rPr>
          <w:rFonts w:ascii="宋体" w:hAnsi="宋体" w:eastAsia="宋体" w:cs="宋体"/>
          <w:b/>
          <w:bCs/>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kern w:val="2"/>
          <w:sz w:val="28"/>
          <w:szCs w:val="28"/>
          <w:highlight w:val="none"/>
          <w:lang w:val="en-US" w:eastAsia="zh-CN" w:bidi="ar-SA"/>
        </w:rPr>
      </w:sdtEndPr>
      <w:sdtContent>
        <w:p w14:paraId="1747F478">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sz w:val="40"/>
              <w:szCs w:val="40"/>
              <w:highlight w:val="none"/>
            </w:rPr>
          </w:pPr>
          <w:r>
            <w:rPr>
              <w:rFonts w:ascii="宋体" w:hAnsi="宋体" w:eastAsia="宋体"/>
              <w:b/>
              <w:bCs/>
              <w:sz w:val="40"/>
              <w:szCs w:val="40"/>
              <w:highlight w:val="none"/>
            </w:rPr>
            <w:t>目录</w:t>
          </w:r>
        </w:p>
        <w:p w14:paraId="4D725DE6">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highlight w:val="none"/>
            </w:rPr>
          </w:pPr>
          <w:r>
            <w:rPr>
              <w:rFonts w:hint="eastAsia"/>
              <w:sz w:val="28"/>
              <w:szCs w:val="28"/>
              <w:highlight w:val="none"/>
              <w:lang w:val="en-US" w:eastAsia="zh-CN"/>
            </w:rPr>
            <w:fldChar w:fldCharType="begin"/>
          </w:r>
          <w:r>
            <w:rPr>
              <w:rFonts w:hint="eastAsia"/>
              <w:sz w:val="28"/>
              <w:szCs w:val="28"/>
              <w:highlight w:val="none"/>
              <w:lang w:val="en-US" w:eastAsia="zh-CN"/>
            </w:rPr>
            <w:instrText xml:space="preserve">TOC \o "1-3" \h \u </w:instrText>
          </w:r>
          <w:r>
            <w:rPr>
              <w:rFonts w:hint="eastAsia"/>
              <w:sz w:val="28"/>
              <w:szCs w:val="28"/>
              <w:highlight w:val="none"/>
              <w:lang w:val="en-US" w:eastAsia="zh-CN"/>
            </w:rPr>
            <w:fldChar w:fldCharType="separate"/>
          </w:r>
        </w:p>
        <w:p w14:paraId="6CC437C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highlight w:val="none"/>
            </w:rPr>
          </w:pPr>
          <w:r>
            <w:rPr>
              <w:rFonts w:hint="eastAsia"/>
              <w:b/>
              <w:bCs/>
              <w:sz w:val="28"/>
              <w:szCs w:val="28"/>
              <w:highlight w:val="none"/>
              <w:lang w:val="en-US" w:eastAsia="zh-CN"/>
            </w:rPr>
            <w:fldChar w:fldCharType="begin"/>
          </w:r>
          <w:r>
            <w:rPr>
              <w:rFonts w:hint="eastAsia"/>
              <w:b/>
              <w:bCs/>
              <w:sz w:val="28"/>
              <w:szCs w:val="28"/>
              <w:highlight w:val="none"/>
              <w:lang w:val="en-US" w:eastAsia="zh-CN"/>
            </w:rPr>
            <w:instrText xml:space="preserve"> HYPERLINK \l _Toc17540 </w:instrText>
          </w:r>
          <w:r>
            <w:rPr>
              <w:rFonts w:hint="eastAsia"/>
              <w:b/>
              <w:bCs/>
              <w:sz w:val="28"/>
              <w:szCs w:val="28"/>
              <w:highlight w:val="none"/>
              <w:lang w:val="en-US" w:eastAsia="zh-CN"/>
            </w:rPr>
            <w:fldChar w:fldCharType="separate"/>
          </w:r>
          <w:r>
            <w:rPr>
              <w:rFonts w:hint="eastAsia" w:ascii="宋体" w:hAnsi="宋体" w:eastAsia="宋体" w:cs="宋体"/>
              <w:b/>
              <w:bCs/>
              <w:sz w:val="28"/>
              <w:szCs w:val="28"/>
              <w:highlight w:val="none"/>
              <w:shd w:val="clear" w:color="auto" w:fill="auto"/>
            </w:rPr>
            <w:t>一、基本情况</w:t>
          </w:r>
          <w:r>
            <w:rPr>
              <w:b/>
              <w:bCs/>
              <w:sz w:val="28"/>
              <w:szCs w:val="28"/>
              <w:highlight w:val="none"/>
            </w:rPr>
            <w:tab/>
          </w:r>
          <w:r>
            <w:rPr>
              <w:b/>
              <w:bCs/>
              <w:sz w:val="28"/>
              <w:szCs w:val="28"/>
              <w:highlight w:val="none"/>
            </w:rPr>
            <w:fldChar w:fldCharType="begin"/>
          </w:r>
          <w:r>
            <w:rPr>
              <w:b/>
              <w:bCs/>
              <w:sz w:val="28"/>
              <w:szCs w:val="28"/>
              <w:highlight w:val="none"/>
            </w:rPr>
            <w:instrText xml:space="preserve"> PAGEREF _Toc17540 \h </w:instrText>
          </w:r>
          <w:r>
            <w:rPr>
              <w:b/>
              <w:bCs/>
              <w:sz w:val="28"/>
              <w:szCs w:val="28"/>
              <w:highlight w:val="none"/>
            </w:rPr>
            <w:fldChar w:fldCharType="separate"/>
          </w:r>
          <w:r>
            <w:rPr>
              <w:b/>
              <w:bCs/>
              <w:sz w:val="28"/>
              <w:szCs w:val="28"/>
              <w:highlight w:val="none"/>
            </w:rPr>
            <w:t>1</w:t>
          </w:r>
          <w:r>
            <w:rPr>
              <w:b/>
              <w:bCs/>
              <w:sz w:val="28"/>
              <w:szCs w:val="28"/>
              <w:highlight w:val="none"/>
            </w:rPr>
            <w:fldChar w:fldCharType="end"/>
          </w:r>
          <w:r>
            <w:rPr>
              <w:rFonts w:hint="eastAsia"/>
              <w:b/>
              <w:bCs/>
              <w:sz w:val="28"/>
              <w:szCs w:val="28"/>
              <w:highlight w:val="none"/>
              <w:lang w:val="en-US" w:eastAsia="zh-CN"/>
            </w:rPr>
            <w:fldChar w:fldCharType="end"/>
          </w:r>
        </w:p>
        <w:p w14:paraId="758F8A0D">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highlight w:val="none"/>
            </w:rPr>
          </w:pPr>
          <w:r>
            <w:rPr>
              <w:rFonts w:hint="eastAsia"/>
              <w:sz w:val="28"/>
              <w:szCs w:val="28"/>
              <w:highlight w:val="none"/>
              <w:lang w:val="en-US" w:eastAsia="zh-CN"/>
            </w:rPr>
            <w:fldChar w:fldCharType="begin"/>
          </w:r>
          <w:r>
            <w:rPr>
              <w:rFonts w:hint="eastAsia"/>
              <w:sz w:val="28"/>
              <w:szCs w:val="28"/>
              <w:highlight w:val="none"/>
              <w:lang w:val="en-US" w:eastAsia="zh-CN"/>
            </w:rPr>
            <w:instrText xml:space="preserve"> HYPERLINK \l _Toc18966 </w:instrText>
          </w:r>
          <w:r>
            <w:rPr>
              <w:rFonts w:hint="eastAsia"/>
              <w:sz w:val="28"/>
              <w:szCs w:val="28"/>
              <w:highlight w:val="none"/>
              <w:lang w:val="en-US" w:eastAsia="zh-CN"/>
            </w:rPr>
            <w:fldChar w:fldCharType="separate"/>
          </w:r>
          <w:r>
            <w:rPr>
              <w:rFonts w:hint="eastAsia" w:ascii="宋体" w:hAnsi="宋体" w:eastAsia="宋体" w:cs="宋体"/>
              <w:sz w:val="28"/>
              <w:szCs w:val="28"/>
              <w:highlight w:val="none"/>
              <w:shd w:val="clear" w:color="auto" w:fill="auto"/>
            </w:rPr>
            <w:t>（一）项目概况</w:t>
          </w:r>
          <w:r>
            <w:rPr>
              <w:sz w:val="28"/>
              <w:szCs w:val="28"/>
              <w:highlight w:val="none"/>
            </w:rPr>
            <w:tab/>
          </w:r>
          <w:r>
            <w:rPr>
              <w:sz w:val="28"/>
              <w:szCs w:val="28"/>
              <w:highlight w:val="none"/>
            </w:rPr>
            <w:fldChar w:fldCharType="begin"/>
          </w:r>
          <w:r>
            <w:rPr>
              <w:sz w:val="28"/>
              <w:szCs w:val="28"/>
              <w:highlight w:val="none"/>
            </w:rPr>
            <w:instrText xml:space="preserve"> PAGEREF _Toc18966 \h </w:instrText>
          </w:r>
          <w:r>
            <w:rPr>
              <w:sz w:val="28"/>
              <w:szCs w:val="28"/>
              <w:highlight w:val="none"/>
            </w:rPr>
            <w:fldChar w:fldCharType="separate"/>
          </w:r>
          <w:r>
            <w:rPr>
              <w:sz w:val="28"/>
              <w:szCs w:val="28"/>
              <w:highlight w:val="none"/>
            </w:rPr>
            <w:t>1</w:t>
          </w:r>
          <w:r>
            <w:rPr>
              <w:sz w:val="28"/>
              <w:szCs w:val="28"/>
              <w:highlight w:val="none"/>
            </w:rPr>
            <w:fldChar w:fldCharType="end"/>
          </w:r>
          <w:r>
            <w:rPr>
              <w:rFonts w:hint="eastAsia"/>
              <w:sz w:val="28"/>
              <w:szCs w:val="28"/>
              <w:highlight w:val="none"/>
              <w:lang w:val="en-US" w:eastAsia="zh-CN"/>
            </w:rPr>
            <w:fldChar w:fldCharType="end"/>
          </w:r>
        </w:p>
        <w:p w14:paraId="34EF9F3E">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highlight w:val="none"/>
            </w:rPr>
          </w:pPr>
          <w:r>
            <w:rPr>
              <w:rFonts w:hint="eastAsia"/>
              <w:sz w:val="28"/>
              <w:szCs w:val="28"/>
              <w:highlight w:val="none"/>
              <w:lang w:val="en-US" w:eastAsia="zh-CN"/>
            </w:rPr>
            <w:fldChar w:fldCharType="begin"/>
          </w:r>
          <w:r>
            <w:rPr>
              <w:rFonts w:hint="eastAsia"/>
              <w:sz w:val="28"/>
              <w:szCs w:val="28"/>
              <w:highlight w:val="none"/>
              <w:lang w:val="en-US" w:eastAsia="zh-CN"/>
            </w:rPr>
            <w:instrText xml:space="preserve"> HYPERLINK \l _Toc2879 </w:instrText>
          </w:r>
          <w:r>
            <w:rPr>
              <w:rFonts w:hint="eastAsia"/>
              <w:sz w:val="28"/>
              <w:szCs w:val="28"/>
              <w:highlight w:val="none"/>
              <w:lang w:val="en-US" w:eastAsia="zh-CN"/>
            </w:rPr>
            <w:fldChar w:fldCharType="separate"/>
          </w:r>
          <w:r>
            <w:rPr>
              <w:rFonts w:hint="eastAsia" w:ascii="宋体" w:hAnsi="宋体" w:eastAsia="宋体" w:cs="宋体"/>
              <w:sz w:val="28"/>
              <w:szCs w:val="28"/>
              <w:highlight w:val="none"/>
              <w:shd w:val="clear" w:fill="auto"/>
            </w:rPr>
            <w:t>（二）</w:t>
          </w:r>
          <w:r>
            <w:rPr>
              <w:rFonts w:hint="eastAsia" w:ascii="宋体" w:hAnsi="宋体" w:eastAsia="宋体" w:cs="宋体"/>
              <w:sz w:val="28"/>
              <w:szCs w:val="28"/>
              <w:highlight w:val="none"/>
              <w:shd w:val="clear" w:color="auto" w:fill="auto"/>
            </w:rPr>
            <w:t>项目绩效目标</w:t>
          </w:r>
          <w:r>
            <w:rPr>
              <w:sz w:val="28"/>
              <w:szCs w:val="28"/>
              <w:highlight w:val="none"/>
            </w:rPr>
            <w:tab/>
          </w:r>
          <w:r>
            <w:rPr>
              <w:sz w:val="28"/>
              <w:szCs w:val="28"/>
              <w:highlight w:val="none"/>
            </w:rPr>
            <w:fldChar w:fldCharType="begin"/>
          </w:r>
          <w:r>
            <w:rPr>
              <w:sz w:val="28"/>
              <w:szCs w:val="28"/>
              <w:highlight w:val="none"/>
            </w:rPr>
            <w:instrText xml:space="preserve"> PAGEREF _Toc2879 \h </w:instrText>
          </w:r>
          <w:r>
            <w:rPr>
              <w:sz w:val="28"/>
              <w:szCs w:val="28"/>
              <w:highlight w:val="none"/>
            </w:rPr>
            <w:fldChar w:fldCharType="separate"/>
          </w:r>
          <w:r>
            <w:rPr>
              <w:sz w:val="28"/>
              <w:szCs w:val="28"/>
              <w:highlight w:val="none"/>
            </w:rPr>
            <w:t>2</w:t>
          </w:r>
          <w:r>
            <w:rPr>
              <w:sz w:val="28"/>
              <w:szCs w:val="28"/>
              <w:highlight w:val="none"/>
            </w:rPr>
            <w:fldChar w:fldCharType="end"/>
          </w:r>
          <w:r>
            <w:rPr>
              <w:rFonts w:hint="eastAsia"/>
              <w:sz w:val="28"/>
              <w:szCs w:val="28"/>
              <w:highlight w:val="none"/>
              <w:lang w:val="en-US" w:eastAsia="zh-CN"/>
            </w:rPr>
            <w:fldChar w:fldCharType="end"/>
          </w:r>
        </w:p>
        <w:p w14:paraId="50F4868B">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highlight w:val="none"/>
            </w:rPr>
          </w:pPr>
          <w:r>
            <w:rPr>
              <w:rFonts w:hint="eastAsia"/>
              <w:b/>
              <w:bCs/>
              <w:sz w:val="28"/>
              <w:szCs w:val="28"/>
              <w:highlight w:val="none"/>
              <w:lang w:val="en-US" w:eastAsia="zh-CN"/>
            </w:rPr>
            <w:fldChar w:fldCharType="begin"/>
          </w:r>
          <w:r>
            <w:rPr>
              <w:rFonts w:hint="eastAsia"/>
              <w:b/>
              <w:bCs/>
              <w:sz w:val="28"/>
              <w:szCs w:val="28"/>
              <w:highlight w:val="none"/>
              <w:lang w:val="en-US" w:eastAsia="zh-CN"/>
            </w:rPr>
            <w:instrText xml:space="preserve"> HYPERLINK \l _Toc2549 </w:instrText>
          </w:r>
          <w:r>
            <w:rPr>
              <w:rFonts w:hint="eastAsia"/>
              <w:b/>
              <w:bCs/>
              <w:sz w:val="28"/>
              <w:szCs w:val="28"/>
              <w:highlight w:val="none"/>
              <w:lang w:val="en-US" w:eastAsia="zh-CN"/>
            </w:rPr>
            <w:fldChar w:fldCharType="separate"/>
          </w:r>
          <w:r>
            <w:rPr>
              <w:rFonts w:hint="eastAsia" w:ascii="宋体" w:hAnsi="宋体" w:eastAsia="宋体" w:cs="宋体"/>
              <w:b/>
              <w:bCs/>
              <w:sz w:val="28"/>
              <w:szCs w:val="28"/>
              <w:highlight w:val="none"/>
              <w:shd w:val="clear" w:color="auto" w:fill="auto"/>
            </w:rPr>
            <w:t>二、绩效评价工作开展情况</w:t>
          </w:r>
          <w:r>
            <w:rPr>
              <w:b/>
              <w:bCs/>
              <w:sz w:val="28"/>
              <w:szCs w:val="28"/>
              <w:highlight w:val="none"/>
            </w:rPr>
            <w:tab/>
          </w:r>
          <w:r>
            <w:rPr>
              <w:b/>
              <w:bCs/>
              <w:sz w:val="28"/>
              <w:szCs w:val="28"/>
              <w:highlight w:val="none"/>
            </w:rPr>
            <w:fldChar w:fldCharType="begin"/>
          </w:r>
          <w:r>
            <w:rPr>
              <w:b/>
              <w:bCs/>
              <w:sz w:val="28"/>
              <w:szCs w:val="28"/>
              <w:highlight w:val="none"/>
            </w:rPr>
            <w:instrText xml:space="preserve"> PAGEREF _Toc2549 \h </w:instrText>
          </w:r>
          <w:r>
            <w:rPr>
              <w:b/>
              <w:bCs/>
              <w:sz w:val="28"/>
              <w:szCs w:val="28"/>
              <w:highlight w:val="none"/>
            </w:rPr>
            <w:fldChar w:fldCharType="separate"/>
          </w:r>
          <w:r>
            <w:rPr>
              <w:b/>
              <w:bCs/>
              <w:sz w:val="28"/>
              <w:szCs w:val="28"/>
              <w:highlight w:val="none"/>
            </w:rPr>
            <w:t>4</w:t>
          </w:r>
          <w:r>
            <w:rPr>
              <w:b/>
              <w:bCs/>
              <w:sz w:val="28"/>
              <w:szCs w:val="28"/>
              <w:highlight w:val="none"/>
            </w:rPr>
            <w:fldChar w:fldCharType="end"/>
          </w:r>
          <w:r>
            <w:rPr>
              <w:rFonts w:hint="eastAsia"/>
              <w:b/>
              <w:bCs/>
              <w:sz w:val="28"/>
              <w:szCs w:val="28"/>
              <w:highlight w:val="none"/>
              <w:lang w:val="en-US" w:eastAsia="zh-CN"/>
            </w:rPr>
            <w:fldChar w:fldCharType="end"/>
          </w:r>
        </w:p>
        <w:p w14:paraId="31C79A85">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highlight w:val="none"/>
            </w:rPr>
          </w:pPr>
          <w:r>
            <w:rPr>
              <w:rFonts w:hint="eastAsia"/>
              <w:sz w:val="28"/>
              <w:szCs w:val="28"/>
              <w:highlight w:val="none"/>
              <w:lang w:val="en-US" w:eastAsia="zh-CN"/>
            </w:rPr>
            <w:fldChar w:fldCharType="begin"/>
          </w:r>
          <w:r>
            <w:rPr>
              <w:rFonts w:hint="eastAsia"/>
              <w:sz w:val="28"/>
              <w:szCs w:val="28"/>
              <w:highlight w:val="none"/>
              <w:lang w:val="en-US" w:eastAsia="zh-CN"/>
            </w:rPr>
            <w:instrText xml:space="preserve"> HYPERLINK \l _Toc21778 </w:instrText>
          </w:r>
          <w:r>
            <w:rPr>
              <w:rFonts w:hint="eastAsia"/>
              <w:sz w:val="28"/>
              <w:szCs w:val="28"/>
              <w:highlight w:val="none"/>
              <w:lang w:val="en-US" w:eastAsia="zh-CN"/>
            </w:rPr>
            <w:fldChar w:fldCharType="separate"/>
          </w:r>
          <w:r>
            <w:rPr>
              <w:rFonts w:hint="eastAsia" w:ascii="宋体" w:hAnsi="宋体" w:eastAsia="宋体" w:cs="宋体"/>
              <w:sz w:val="28"/>
              <w:szCs w:val="28"/>
              <w:highlight w:val="none"/>
              <w:shd w:val="clear" w:fill="auto"/>
              <w:lang w:eastAsia="zh-CN"/>
            </w:rPr>
            <w:t>（一）</w:t>
          </w:r>
          <w:r>
            <w:rPr>
              <w:rFonts w:hint="eastAsia" w:ascii="宋体" w:hAnsi="宋体" w:eastAsia="宋体" w:cs="宋体"/>
              <w:sz w:val="28"/>
              <w:szCs w:val="28"/>
              <w:highlight w:val="none"/>
              <w:shd w:val="clear" w:color="auto" w:fill="auto"/>
              <w:lang w:eastAsia="zh-CN"/>
            </w:rPr>
            <w:t>绩效评价的目的、对象和范围</w:t>
          </w:r>
          <w:r>
            <w:rPr>
              <w:sz w:val="28"/>
              <w:szCs w:val="28"/>
              <w:highlight w:val="none"/>
            </w:rPr>
            <w:tab/>
          </w:r>
          <w:r>
            <w:rPr>
              <w:sz w:val="28"/>
              <w:szCs w:val="28"/>
              <w:highlight w:val="none"/>
            </w:rPr>
            <w:fldChar w:fldCharType="begin"/>
          </w:r>
          <w:r>
            <w:rPr>
              <w:sz w:val="28"/>
              <w:szCs w:val="28"/>
              <w:highlight w:val="none"/>
            </w:rPr>
            <w:instrText xml:space="preserve"> PAGEREF _Toc21778 \h </w:instrText>
          </w:r>
          <w:r>
            <w:rPr>
              <w:sz w:val="28"/>
              <w:szCs w:val="28"/>
              <w:highlight w:val="none"/>
            </w:rPr>
            <w:fldChar w:fldCharType="separate"/>
          </w:r>
          <w:r>
            <w:rPr>
              <w:sz w:val="28"/>
              <w:szCs w:val="28"/>
              <w:highlight w:val="none"/>
            </w:rPr>
            <w:t>4</w:t>
          </w:r>
          <w:r>
            <w:rPr>
              <w:sz w:val="28"/>
              <w:szCs w:val="28"/>
              <w:highlight w:val="none"/>
            </w:rPr>
            <w:fldChar w:fldCharType="end"/>
          </w:r>
          <w:r>
            <w:rPr>
              <w:rFonts w:hint="eastAsia"/>
              <w:sz w:val="28"/>
              <w:szCs w:val="28"/>
              <w:highlight w:val="none"/>
              <w:lang w:val="en-US" w:eastAsia="zh-CN"/>
            </w:rPr>
            <w:fldChar w:fldCharType="end"/>
          </w:r>
        </w:p>
        <w:p w14:paraId="20B67197">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highlight w:val="none"/>
            </w:rPr>
          </w:pPr>
          <w:r>
            <w:rPr>
              <w:rFonts w:hint="eastAsia"/>
              <w:sz w:val="28"/>
              <w:szCs w:val="28"/>
              <w:highlight w:val="none"/>
              <w:lang w:val="en-US" w:eastAsia="zh-CN"/>
            </w:rPr>
            <w:fldChar w:fldCharType="begin"/>
          </w:r>
          <w:r>
            <w:rPr>
              <w:rFonts w:hint="eastAsia"/>
              <w:sz w:val="28"/>
              <w:szCs w:val="28"/>
              <w:highlight w:val="none"/>
              <w:lang w:val="en-US" w:eastAsia="zh-CN"/>
            </w:rPr>
            <w:instrText xml:space="preserve"> HYPERLINK \l _Toc15902 </w:instrText>
          </w:r>
          <w:r>
            <w:rPr>
              <w:rFonts w:hint="eastAsia"/>
              <w:sz w:val="28"/>
              <w:szCs w:val="28"/>
              <w:highlight w:val="none"/>
              <w:lang w:val="en-US" w:eastAsia="zh-CN"/>
            </w:rPr>
            <w:fldChar w:fldCharType="separate"/>
          </w:r>
          <w:r>
            <w:rPr>
              <w:rFonts w:hint="eastAsia" w:ascii="宋体" w:hAnsi="宋体" w:eastAsia="宋体" w:cs="宋体"/>
              <w:sz w:val="28"/>
              <w:szCs w:val="28"/>
              <w:highlight w:val="none"/>
              <w:shd w:val="clear" w:fill="auto"/>
              <w:lang w:val="en-US" w:eastAsia="zh-CN"/>
            </w:rPr>
            <w:t>（二）</w:t>
          </w:r>
          <w:r>
            <w:rPr>
              <w:rFonts w:hint="eastAsia" w:ascii="宋体" w:hAnsi="宋体" w:eastAsia="宋体" w:cs="宋体"/>
              <w:sz w:val="28"/>
              <w:szCs w:val="28"/>
              <w:highlight w:val="none"/>
              <w:shd w:val="clear" w:color="auto" w:fill="auto"/>
              <w:lang w:val="en-US" w:eastAsia="zh-CN"/>
            </w:rPr>
            <w:t>绩效评价原则、评价指标体系（附表说明）、评价方法、评价标准</w:t>
          </w:r>
          <w:r>
            <w:rPr>
              <w:sz w:val="28"/>
              <w:szCs w:val="28"/>
              <w:highlight w:val="none"/>
            </w:rPr>
            <w:tab/>
          </w:r>
          <w:r>
            <w:rPr>
              <w:sz w:val="28"/>
              <w:szCs w:val="28"/>
              <w:highlight w:val="none"/>
            </w:rPr>
            <w:fldChar w:fldCharType="begin"/>
          </w:r>
          <w:r>
            <w:rPr>
              <w:sz w:val="28"/>
              <w:szCs w:val="28"/>
              <w:highlight w:val="none"/>
            </w:rPr>
            <w:instrText xml:space="preserve"> PAGEREF _Toc15902 \h </w:instrText>
          </w:r>
          <w:r>
            <w:rPr>
              <w:sz w:val="28"/>
              <w:szCs w:val="28"/>
              <w:highlight w:val="none"/>
            </w:rPr>
            <w:fldChar w:fldCharType="separate"/>
          </w:r>
          <w:r>
            <w:rPr>
              <w:sz w:val="28"/>
              <w:szCs w:val="28"/>
              <w:highlight w:val="none"/>
            </w:rPr>
            <w:t>5</w:t>
          </w:r>
          <w:r>
            <w:rPr>
              <w:sz w:val="28"/>
              <w:szCs w:val="28"/>
              <w:highlight w:val="none"/>
            </w:rPr>
            <w:fldChar w:fldCharType="end"/>
          </w:r>
          <w:r>
            <w:rPr>
              <w:rFonts w:hint="eastAsia"/>
              <w:sz w:val="28"/>
              <w:szCs w:val="28"/>
              <w:highlight w:val="none"/>
              <w:lang w:val="en-US" w:eastAsia="zh-CN"/>
            </w:rPr>
            <w:fldChar w:fldCharType="end"/>
          </w:r>
        </w:p>
        <w:p w14:paraId="34A3DC50">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sz w:val="28"/>
              <w:szCs w:val="28"/>
              <w:highlight w:val="none"/>
            </w:rPr>
          </w:pPr>
          <w:r>
            <w:rPr>
              <w:rFonts w:hint="eastAsia"/>
              <w:sz w:val="28"/>
              <w:szCs w:val="28"/>
              <w:highlight w:val="none"/>
              <w:lang w:val="en-US" w:eastAsia="zh-CN"/>
            </w:rPr>
            <w:fldChar w:fldCharType="begin"/>
          </w:r>
          <w:r>
            <w:rPr>
              <w:rFonts w:hint="eastAsia"/>
              <w:sz w:val="28"/>
              <w:szCs w:val="28"/>
              <w:highlight w:val="none"/>
              <w:lang w:val="en-US" w:eastAsia="zh-CN"/>
            </w:rPr>
            <w:instrText xml:space="preserve"> HYPERLINK \l _Toc1070 </w:instrText>
          </w:r>
          <w:r>
            <w:rPr>
              <w:rFonts w:hint="eastAsia"/>
              <w:sz w:val="28"/>
              <w:szCs w:val="28"/>
              <w:highlight w:val="none"/>
              <w:lang w:val="en-US" w:eastAsia="zh-CN"/>
            </w:rPr>
            <w:fldChar w:fldCharType="separate"/>
          </w:r>
          <w:r>
            <w:rPr>
              <w:rFonts w:hint="eastAsia" w:ascii="宋体" w:hAnsi="宋体" w:eastAsia="宋体" w:cs="宋体"/>
              <w:sz w:val="28"/>
              <w:szCs w:val="28"/>
              <w:highlight w:val="none"/>
              <w:shd w:val="clear" w:color="auto" w:fill="auto"/>
              <w:lang w:val="en-US" w:eastAsia="zh-CN"/>
            </w:rPr>
            <w:t>（三）绩效评价工作过程</w:t>
          </w:r>
          <w:r>
            <w:rPr>
              <w:sz w:val="28"/>
              <w:szCs w:val="28"/>
              <w:highlight w:val="none"/>
            </w:rPr>
            <w:tab/>
          </w:r>
          <w:r>
            <w:rPr>
              <w:sz w:val="28"/>
              <w:szCs w:val="28"/>
              <w:highlight w:val="none"/>
            </w:rPr>
            <w:fldChar w:fldCharType="begin"/>
          </w:r>
          <w:r>
            <w:rPr>
              <w:sz w:val="28"/>
              <w:szCs w:val="28"/>
              <w:highlight w:val="none"/>
            </w:rPr>
            <w:instrText xml:space="preserve"> PAGEREF _Toc1070 \h </w:instrText>
          </w:r>
          <w:r>
            <w:rPr>
              <w:sz w:val="28"/>
              <w:szCs w:val="28"/>
              <w:highlight w:val="none"/>
            </w:rPr>
            <w:fldChar w:fldCharType="separate"/>
          </w:r>
          <w:r>
            <w:rPr>
              <w:sz w:val="28"/>
              <w:szCs w:val="28"/>
              <w:highlight w:val="none"/>
            </w:rPr>
            <w:t>9</w:t>
          </w:r>
          <w:r>
            <w:rPr>
              <w:sz w:val="28"/>
              <w:szCs w:val="28"/>
              <w:highlight w:val="none"/>
            </w:rPr>
            <w:fldChar w:fldCharType="end"/>
          </w:r>
          <w:r>
            <w:rPr>
              <w:rFonts w:hint="eastAsia"/>
              <w:sz w:val="28"/>
              <w:szCs w:val="28"/>
              <w:highlight w:val="none"/>
              <w:lang w:val="en-US" w:eastAsia="zh-CN"/>
            </w:rPr>
            <w:fldChar w:fldCharType="end"/>
          </w:r>
        </w:p>
        <w:p w14:paraId="70894B35">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highlight w:val="none"/>
            </w:rPr>
          </w:pPr>
          <w:r>
            <w:rPr>
              <w:rFonts w:hint="eastAsia"/>
              <w:b/>
              <w:bCs/>
              <w:sz w:val="28"/>
              <w:szCs w:val="28"/>
              <w:highlight w:val="none"/>
              <w:lang w:val="en-US" w:eastAsia="zh-CN"/>
            </w:rPr>
            <w:fldChar w:fldCharType="begin"/>
          </w:r>
          <w:r>
            <w:rPr>
              <w:rFonts w:hint="eastAsia"/>
              <w:b/>
              <w:bCs/>
              <w:sz w:val="28"/>
              <w:szCs w:val="28"/>
              <w:highlight w:val="none"/>
              <w:lang w:val="en-US" w:eastAsia="zh-CN"/>
            </w:rPr>
            <w:instrText xml:space="preserve"> HYPERLINK \l _Toc1100 </w:instrText>
          </w:r>
          <w:r>
            <w:rPr>
              <w:rFonts w:hint="eastAsia"/>
              <w:b/>
              <w:bCs/>
              <w:sz w:val="28"/>
              <w:szCs w:val="28"/>
              <w:highlight w:val="none"/>
              <w:lang w:val="en-US" w:eastAsia="zh-CN"/>
            </w:rPr>
            <w:fldChar w:fldCharType="separate"/>
          </w:r>
          <w:r>
            <w:rPr>
              <w:rFonts w:hint="eastAsia" w:ascii="宋体" w:hAnsi="宋体" w:eastAsia="宋体" w:cs="宋体"/>
              <w:b/>
              <w:bCs/>
              <w:sz w:val="28"/>
              <w:szCs w:val="28"/>
              <w:highlight w:val="none"/>
              <w:shd w:val="clear" w:color="auto" w:fill="auto"/>
              <w:lang w:val="en-US" w:eastAsia="zh-CN"/>
            </w:rPr>
            <w:t>三、</w:t>
          </w:r>
          <w:r>
            <w:rPr>
              <w:rFonts w:hint="eastAsia" w:ascii="宋体" w:hAnsi="宋体" w:eastAsia="宋体" w:cs="宋体"/>
              <w:b/>
              <w:bCs/>
              <w:sz w:val="28"/>
              <w:szCs w:val="28"/>
              <w:highlight w:val="none"/>
              <w:shd w:val="clear" w:color="auto" w:fill="auto"/>
            </w:rPr>
            <w:t>综合评价情况及评价结论</w:t>
          </w:r>
          <w:r>
            <w:rPr>
              <w:b/>
              <w:bCs/>
              <w:sz w:val="28"/>
              <w:szCs w:val="28"/>
              <w:highlight w:val="none"/>
            </w:rPr>
            <w:tab/>
          </w:r>
          <w:r>
            <w:rPr>
              <w:b/>
              <w:bCs/>
              <w:sz w:val="28"/>
              <w:szCs w:val="28"/>
              <w:highlight w:val="none"/>
            </w:rPr>
            <w:fldChar w:fldCharType="begin"/>
          </w:r>
          <w:r>
            <w:rPr>
              <w:b/>
              <w:bCs/>
              <w:sz w:val="28"/>
              <w:szCs w:val="28"/>
              <w:highlight w:val="none"/>
            </w:rPr>
            <w:instrText xml:space="preserve"> PAGEREF _Toc1100 \h </w:instrText>
          </w:r>
          <w:r>
            <w:rPr>
              <w:b/>
              <w:bCs/>
              <w:sz w:val="28"/>
              <w:szCs w:val="28"/>
              <w:highlight w:val="none"/>
            </w:rPr>
            <w:fldChar w:fldCharType="separate"/>
          </w:r>
          <w:r>
            <w:rPr>
              <w:b/>
              <w:bCs/>
              <w:sz w:val="28"/>
              <w:szCs w:val="28"/>
              <w:highlight w:val="none"/>
            </w:rPr>
            <w:t>11</w:t>
          </w:r>
          <w:r>
            <w:rPr>
              <w:b/>
              <w:bCs/>
              <w:sz w:val="28"/>
              <w:szCs w:val="28"/>
              <w:highlight w:val="none"/>
            </w:rPr>
            <w:fldChar w:fldCharType="end"/>
          </w:r>
          <w:r>
            <w:rPr>
              <w:rFonts w:hint="eastAsia"/>
              <w:b/>
              <w:bCs/>
              <w:sz w:val="28"/>
              <w:szCs w:val="28"/>
              <w:highlight w:val="none"/>
              <w:lang w:val="en-US" w:eastAsia="zh-CN"/>
            </w:rPr>
            <w:fldChar w:fldCharType="end"/>
          </w:r>
        </w:p>
        <w:p w14:paraId="5D81441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highlight w:val="none"/>
            </w:rPr>
          </w:pPr>
          <w:r>
            <w:rPr>
              <w:rFonts w:hint="eastAsia"/>
              <w:b/>
              <w:bCs/>
              <w:sz w:val="28"/>
              <w:szCs w:val="28"/>
              <w:highlight w:val="none"/>
              <w:lang w:val="en-US" w:eastAsia="zh-CN"/>
            </w:rPr>
            <w:fldChar w:fldCharType="begin"/>
          </w:r>
          <w:r>
            <w:rPr>
              <w:rFonts w:hint="eastAsia"/>
              <w:b/>
              <w:bCs/>
              <w:sz w:val="28"/>
              <w:szCs w:val="28"/>
              <w:highlight w:val="none"/>
              <w:lang w:val="en-US" w:eastAsia="zh-CN"/>
            </w:rPr>
            <w:instrText xml:space="preserve"> HYPERLINK \l _Toc9421 </w:instrText>
          </w:r>
          <w:r>
            <w:rPr>
              <w:rFonts w:hint="eastAsia"/>
              <w:b/>
              <w:bCs/>
              <w:sz w:val="28"/>
              <w:szCs w:val="28"/>
              <w:highlight w:val="none"/>
              <w:lang w:val="en-US" w:eastAsia="zh-CN"/>
            </w:rPr>
            <w:fldChar w:fldCharType="separate"/>
          </w:r>
          <w:r>
            <w:rPr>
              <w:rFonts w:hint="eastAsia" w:ascii="宋体" w:hAnsi="宋体" w:eastAsia="宋体" w:cs="宋体"/>
              <w:b/>
              <w:bCs/>
              <w:sz w:val="28"/>
              <w:szCs w:val="28"/>
              <w:highlight w:val="none"/>
              <w:shd w:val="clear" w:color="auto" w:fill="auto"/>
              <w:lang w:val="en-US" w:eastAsia="zh-CN"/>
            </w:rPr>
            <w:t>四、绩效评价指标分析</w:t>
          </w:r>
          <w:r>
            <w:rPr>
              <w:b/>
              <w:bCs/>
              <w:sz w:val="28"/>
              <w:szCs w:val="28"/>
              <w:highlight w:val="none"/>
            </w:rPr>
            <w:tab/>
          </w:r>
          <w:r>
            <w:rPr>
              <w:b/>
              <w:bCs/>
              <w:sz w:val="28"/>
              <w:szCs w:val="28"/>
              <w:highlight w:val="none"/>
            </w:rPr>
            <w:fldChar w:fldCharType="begin"/>
          </w:r>
          <w:r>
            <w:rPr>
              <w:b/>
              <w:bCs/>
              <w:sz w:val="28"/>
              <w:szCs w:val="28"/>
              <w:highlight w:val="none"/>
            </w:rPr>
            <w:instrText xml:space="preserve"> PAGEREF _Toc9421 \h </w:instrText>
          </w:r>
          <w:r>
            <w:rPr>
              <w:b/>
              <w:bCs/>
              <w:sz w:val="28"/>
              <w:szCs w:val="28"/>
              <w:highlight w:val="none"/>
            </w:rPr>
            <w:fldChar w:fldCharType="separate"/>
          </w:r>
          <w:r>
            <w:rPr>
              <w:b/>
              <w:bCs/>
              <w:sz w:val="28"/>
              <w:szCs w:val="28"/>
              <w:highlight w:val="none"/>
            </w:rPr>
            <w:t>11</w:t>
          </w:r>
          <w:r>
            <w:rPr>
              <w:b/>
              <w:bCs/>
              <w:sz w:val="28"/>
              <w:szCs w:val="28"/>
              <w:highlight w:val="none"/>
            </w:rPr>
            <w:fldChar w:fldCharType="end"/>
          </w:r>
          <w:r>
            <w:rPr>
              <w:rFonts w:hint="eastAsia"/>
              <w:b/>
              <w:bCs/>
              <w:sz w:val="28"/>
              <w:szCs w:val="28"/>
              <w:highlight w:val="none"/>
              <w:lang w:val="en-US" w:eastAsia="zh-CN"/>
            </w:rPr>
            <w:fldChar w:fldCharType="end"/>
          </w:r>
        </w:p>
        <w:p w14:paraId="552B7F61">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highlight w:val="none"/>
            </w:rPr>
          </w:pPr>
          <w:r>
            <w:rPr>
              <w:rFonts w:hint="eastAsia"/>
              <w:sz w:val="28"/>
              <w:szCs w:val="28"/>
              <w:highlight w:val="none"/>
              <w:lang w:val="en-US" w:eastAsia="zh-CN"/>
            </w:rPr>
            <w:fldChar w:fldCharType="begin"/>
          </w:r>
          <w:r>
            <w:rPr>
              <w:rFonts w:hint="eastAsia"/>
              <w:sz w:val="28"/>
              <w:szCs w:val="28"/>
              <w:highlight w:val="none"/>
              <w:lang w:val="en-US" w:eastAsia="zh-CN"/>
            </w:rPr>
            <w:instrText xml:space="preserve"> HYPERLINK \l _Toc15355 </w:instrText>
          </w:r>
          <w:r>
            <w:rPr>
              <w:rFonts w:hint="eastAsia"/>
              <w:sz w:val="28"/>
              <w:szCs w:val="28"/>
              <w:highlight w:val="none"/>
              <w:lang w:val="en-US" w:eastAsia="zh-CN"/>
            </w:rPr>
            <w:fldChar w:fldCharType="separate"/>
          </w:r>
          <w:r>
            <w:rPr>
              <w:rFonts w:hint="eastAsia" w:ascii="宋体" w:hAnsi="宋体" w:eastAsia="宋体" w:cs="宋体"/>
              <w:sz w:val="28"/>
              <w:szCs w:val="28"/>
              <w:highlight w:val="none"/>
              <w:shd w:val="clear" w:color="auto" w:fill="auto"/>
            </w:rPr>
            <w:t>（一）项目决策情况</w:t>
          </w:r>
          <w:r>
            <w:rPr>
              <w:sz w:val="28"/>
              <w:szCs w:val="28"/>
              <w:highlight w:val="none"/>
            </w:rPr>
            <w:tab/>
          </w:r>
          <w:r>
            <w:rPr>
              <w:sz w:val="28"/>
              <w:szCs w:val="28"/>
              <w:highlight w:val="none"/>
            </w:rPr>
            <w:fldChar w:fldCharType="begin"/>
          </w:r>
          <w:r>
            <w:rPr>
              <w:sz w:val="28"/>
              <w:szCs w:val="28"/>
              <w:highlight w:val="none"/>
            </w:rPr>
            <w:instrText xml:space="preserve"> PAGEREF _Toc15355 \h </w:instrText>
          </w:r>
          <w:r>
            <w:rPr>
              <w:sz w:val="28"/>
              <w:szCs w:val="28"/>
              <w:highlight w:val="none"/>
            </w:rPr>
            <w:fldChar w:fldCharType="separate"/>
          </w:r>
          <w:r>
            <w:rPr>
              <w:sz w:val="28"/>
              <w:szCs w:val="28"/>
              <w:highlight w:val="none"/>
            </w:rPr>
            <w:t>11</w:t>
          </w:r>
          <w:r>
            <w:rPr>
              <w:sz w:val="28"/>
              <w:szCs w:val="28"/>
              <w:highlight w:val="none"/>
            </w:rPr>
            <w:fldChar w:fldCharType="end"/>
          </w:r>
          <w:r>
            <w:rPr>
              <w:rFonts w:hint="eastAsia"/>
              <w:sz w:val="28"/>
              <w:szCs w:val="28"/>
              <w:highlight w:val="none"/>
              <w:lang w:val="en-US" w:eastAsia="zh-CN"/>
            </w:rPr>
            <w:fldChar w:fldCharType="end"/>
          </w:r>
        </w:p>
        <w:p w14:paraId="08483A22">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highlight w:val="none"/>
            </w:rPr>
          </w:pPr>
          <w:r>
            <w:rPr>
              <w:rFonts w:hint="eastAsia"/>
              <w:sz w:val="28"/>
              <w:szCs w:val="28"/>
              <w:highlight w:val="none"/>
              <w:lang w:val="en-US" w:eastAsia="zh-CN"/>
            </w:rPr>
            <w:fldChar w:fldCharType="begin"/>
          </w:r>
          <w:r>
            <w:rPr>
              <w:rFonts w:hint="eastAsia"/>
              <w:sz w:val="28"/>
              <w:szCs w:val="28"/>
              <w:highlight w:val="none"/>
              <w:lang w:val="en-US" w:eastAsia="zh-CN"/>
            </w:rPr>
            <w:instrText xml:space="preserve"> HYPERLINK \l _Toc11361 </w:instrText>
          </w:r>
          <w:r>
            <w:rPr>
              <w:rFonts w:hint="eastAsia"/>
              <w:sz w:val="28"/>
              <w:szCs w:val="28"/>
              <w:highlight w:val="none"/>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二</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项目过程情况</w:t>
          </w:r>
          <w:r>
            <w:rPr>
              <w:sz w:val="28"/>
              <w:szCs w:val="28"/>
              <w:highlight w:val="none"/>
            </w:rPr>
            <w:tab/>
          </w:r>
          <w:r>
            <w:rPr>
              <w:sz w:val="28"/>
              <w:szCs w:val="28"/>
              <w:highlight w:val="none"/>
            </w:rPr>
            <w:fldChar w:fldCharType="begin"/>
          </w:r>
          <w:r>
            <w:rPr>
              <w:sz w:val="28"/>
              <w:szCs w:val="28"/>
              <w:highlight w:val="none"/>
            </w:rPr>
            <w:instrText xml:space="preserve"> PAGEREF _Toc11361 \h </w:instrText>
          </w:r>
          <w:r>
            <w:rPr>
              <w:sz w:val="28"/>
              <w:szCs w:val="28"/>
              <w:highlight w:val="none"/>
            </w:rPr>
            <w:fldChar w:fldCharType="separate"/>
          </w:r>
          <w:r>
            <w:rPr>
              <w:sz w:val="28"/>
              <w:szCs w:val="28"/>
              <w:highlight w:val="none"/>
            </w:rPr>
            <w:t>13</w:t>
          </w:r>
          <w:r>
            <w:rPr>
              <w:sz w:val="28"/>
              <w:szCs w:val="28"/>
              <w:highlight w:val="none"/>
            </w:rPr>
            <w:fldChar w:fldCharType="end"/>
          </w:r>
          <w:r>
            <w:rPr>
              <w:rFonts w:hint="eastAsia"/>
              <w:sz w:val="28"/>
              <w:szCs w:val="28"/>
              <w:highlight w:val="none"/>
              <w:lang w:val="en-US" w:eastAsia="zh-CN"/>
            </w:rPr>
            <w:fldChar w:fldCharType="end"/>
          </w:r>
        </w:p>
        <w:p w14:paraId="78459ADA">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highlight w:val="none"/>
            </w:rPr>
          </w:pPr>
          <w:r>
            <w:rPr>
              <w:rFonts w:hint="eastAsia"/>
              <w:sz w:val="28"/>
              <w:szCs w:val="28"/>
              <w:highlight w:val="none"/>
              <w:lang w:val="en-US" w:eastAsia="zh-CN"/>
            </w:rPr>
            <w:fldChar w:fldCharType="begin"/>
          </w:r>
          <w:r>
            <w:rPr>
              <w:rFonts w:hint="eastAsia"/>
              <w:sz w:val="28"/>
              <w:szCs w:val="28"/>
              <w:highlight w:val="none"/>
              <w:lang w:val="en-US" w:eastAsia="zh-CN"/>
            </w:rPr>
            <w:instrText xml:space="preserve"> HYPERLINK \l _Toc16268 </w:instrText>
          </w:r>
          <w:r>
            <w:rPr>
              <w:rFonts w:hint="eastAsia"/>
              <w:sz w:val="28"/>
              <w:szCs w:val="28"/>
              <w:highlight w:val="none"/>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三</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项目产出情况</w:t>
          </w:r>
          <w:r>
            <w:rPr>
              <w:sz w:val="28"/>
              <w:szCs w:val="28"/>
              <w:highlight w:val="none"/>
            </w:rPr>
            <w:tab/>
          </w:r>
          <w:r>
            <w:rPr>
              <w:sz w:val="28"/>
              <w:szCs w:val="28"/>
              <w:highlight w:val="none"/>
            </w:rPr>
            <w:fldChar w:fldCharType="begin"/>
          </w:r>
          <w:r>
            <w:rPr>
              <w:sz w:val="28"/>
              <w:szCs w:val="28"/>
              <w:highlight w:val="none"/>
            </w:rPr>
            <w:instrText xml:space="preserve"> PAGEREF _Toc16268 \h </w:instrText>
          </w:r>
          <w:r>
            <w:rPr>
              <w:sz w:val="28"/>
              <w:szCs w:val="28"/>
              <w:highlight w:val="none"/>
            </w:rPr>
            <w:fldChar w:fldCharType="separate"/>
          </w:r>
          <w:r>
            <w:rPr>
              <w:sz w:val="28"/>
              <w:szCs w:val="28"/>
              <w:highlight w:val="none"/>
            </w:rPr>
            <w:t>15</w:t>
          </w:r>
          <w:r>
            <w:rPr>
              <w:sz w:val="28"/>
              <w:szCs w:val="28"/>
              <w:highlight w:val="none"/>
            </w:rPr>
            <w:fldChar w:fldCharType="end"/>
          </w:r>
          <w:r>
            <w:rPr>
              <w:rFonts w:hint="eastAsia"/>
              <w:sz w:val="28"/>
              <w:szCs w:val="28"/>
              <w:highlight w:val="none"/>
              <w:lang w:val="en-US" w:eastAsia="zh-CN"/>
            </w:rPr>
            <w:fldChar w:fldCharType="end"/>
          </w:r>
        </w:p>
        <w:p w14:paraId="58651E5B">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highlight w:val="none"/>
            </w:rPr>
          </w:pPr>
          <w:r>
            <w:rPr>
              <w:rFonts w:hint="eastAsia"/>
              <w:sz w:val="28"/>
              <w:szCs w:val="28"/>
              <w:highlight w:val="none"/>
              <w:lang w:val="en-US" w:eastAsia="zh-CN"/>
            </w:rPr>
            <w:fldChar w:fldCharType="begin"/>
          </w:r>
          <w:r>
            <w:rPr>
              <w:rFonts w:hint="eastAsia"/>
              <w:sz w:val="28"/>
              <w:szCs w:val="28"/>
              <w:highlight w:val="none"/>
              <w:lang w:val="en-US" w:eastAsia="zh-CN"/>
            </w:rPr>
            <w:instrText xml:space="preserve"> HYPERLINK \l _Toc18446 </w:instrText>
          </w:r>
          <w:r>
            <w:rPr>
              <w:rFonts w:hint="eastAsia"/>
              <w:sz w:val="28"/>
              <w:szCs w:val="28"/>
              <w:highlight w:val="none"/>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四</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项目效益情况</w:t>
          </w:r>
          <w:r>
            <w:rPr>
              <w:sz w:val="28"/>
              <w:szCs w:val="28"/>
              <w:highlight w:val="none"/>
            </w:rPr>
            <w:tab/>
          </w:r>
          <w:r>
            <w:rPr>
              <w:sz w:val="28"/>
              <w:szCs w:val="28"/>
              <w:highlight w:val="none"/>
            </w:rPr>
            <w:fldChar w:fldCharType="begin"/>
          </w:r>
          <w:r>
            <w:rPr>
              <w:sz w:val="28"/>
              <w:szCs w:val="28"/>
              <w:highlight w:val="none"/>
            </w:rPr>
            <w:instrText xml:space="preserve"> PAGEREF _Toc18446 \h </w:instrText>
          </w:r>
          <w:r>
            <w:rPr>
              <w:sz w:val="28"/>
              <w:szCs w:val="28"/>
              <w:highlight w:val="none"/>
            </w:rPr>
            <w:fldChar w:fldCharType="separate"/>
          </w:r>
          <w:r>
            <w:rPr>
              <w:sz w:val="28"/>
              <w:szCs w:val="28"/>
              <w:highlight w:val="none"/>
            </w:rPr>
            <w:t>17</w:t>
          </w:r>
          <w:r>
            <w:rPr>
              <w:sz w:val="28"/>
              <w:szCs w:val="28"/>
              <w:highlight w:val="none"/>
            </w:rPr>
            <w:fldChar w:fldCharType="end"/>
          </w:r>
          <w:r>
            <w:rPr>
              <w:rFonts w:hint="eastAsia"/>
              <w:sz w:val="28"/>
              <w:szCs w:val="28"/>
              <w:highlight w:val="none"/>
              <w:lang w:val="en-US" w:eastAsia="zh-CN"/>
            </w:rPr>
            <w:fldChar w:fldCharType="end"/>
          </w:r>
        </w:p>
        <w:p w14:paraId="2AFD79B1">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highlight w:val="none"/>
            </w:rPr>
          </w:pPr>
          <w:r>
            <w:rPr>
              <w:rFonts w:hint="eastAsia"/>
              <w:b/>
              <w:bCs/>
              <w:sz w:val="28"/>
              <w:szCs w:val="28"/>
              <w:highlight w:val="none"/>
              <w:lang w:val="en-US" w:eastAsia="zh-CN"/>
            </w:rPr>
            <w:fldChar w:fldCharType="begin"/>
          </w:r>
          <w:r>
            <w:rPr>
              <w:rFonts w:hint="eastAsia"/>
              <w:b/>
              <w:bCs/>
              <w:sz w:val="28"/>
              <w:szCs w:val="28"/>
              <w:highlight w:val="none"/>
              <w:lang w:val="en-US" w:eastAsia="zh-CN"/>
            </w:rPr>
            <w:instrText xml:space="preserve"> HYPERLINK \l _Toc19962 </w:instrText>
          </w:r>
          <w:r>
            <w:rPr>
              <w:rFonts w:hint="eastAsia"/>
              <w:b/>
              <w:bCs/>
              <w:sz w:val="28"/>
              <w:szCs w:val="28"/>
              <w:highlight w:val="none"/>
              <w:lang w:val="en-US" w:eastAsia="zh-CN"/>
            </w:rPr>
            <w:fldChar w:fldCharType="separate"/>
          </w:r>
          <w:r>
            <w:rPr>
              <w:rFonts w:hint="eastAsia" w:ascii="宋体" w:hAnsi="宋体" w:eastAsia="宋体" w:cs="宋体"/>
              <w:b/>
              <w:bCs/>
              <w:sz w:val="28"/>
              <w:szCs w:val="28"/>
              <w:highlight w:val="none"/>
              <w:shd w:val="clear" w:color="auto" w:fill="auto"/>
              <w:lang w:val="en-US" w:eastAsia="zh-CN"/>
            </w:rPr>
            <w:t>五、预算执行进度与指标偏差</w:t>
          </w:r>
          <w:r>
            <w:rPr>
              <w:b/>
              <w:bCs/>
              <w:sz w:val="28"/>
              <w:szCs w:val="28"/>
              <w:highlight w:val="none"/>
            </w:rPr>
            <w:tab/>
          </w:r>
          <w:r>
            <w:rPr>
              <w:b/>
              <w:bCs/>
              <w:sz w:val="28"/>
              <w:szCs w:val="28"/>
              <w:highlight w:val="none"/>
            </w:rPr>
            <w:fldChar w:fldCharType="begin"/>
          </w:r>
          <w:r>
            <w:rPr>
              <w:b/>
              <w:bCs/>
              <w:sz w:val="28"/>
              <w:szCs w:val="28"/>
              <w:highlight w:val="none"/>
            </w:rPr>
            <w:instrText xml:space="preserve"> PAGEREF _Toc19962 \h </w:instrText>
          </w:r>
          <w:r>
            <w:rPr>
              <w:b/>
              <w:bCs/>
              <w:sz w:val="28"/>
              <w:szCs w:val="28"/>
              <w:highlight w:val="none"/>
            </w:rPr>
            <w:fldChar w:fldCharType="separate"/>
          </w:r>
          <w:r>
            <w:rPr>
              <w:b/>
              <w:bCs/>
              <w:sz w:val="28"/>
              <w:szCs w:val="28"/>
              <w:highlight w:val="none"/>
            </w:rPr>
            <w:t>18</w:t>
          </w:r>
          <w:r>
            <w:rPr>
              <w:b/>
              <w:bCs/>
              <w:sz w:val="28"/>
              <w:szCs w:val="28"/>
              <w:highlight w:val="none"/>
            </w:rPr>
            <w:fldChar w:fldCharType="end"/>
          </w:r>
          <w:r>
            <w:rPr>
              <w:rFonts w:hint="eastAsia"/>
              <w:b/>
              <w:bCs/>
              <w:sz w:val="28"/>
              <w:szCs w:val="28"/>
              <w:highlight w:val="none"/>
              <w:lang w:val="en-US" w:eastAsia="zh-CN"/>
            </w:rPr>
            <w:fldChar w:fldCharType="end"/>
          </w:r>
        </w:p>
        <w:p w14:paraId="140093B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highlight w:val="none"/>
            </w:rPr>
          </w:pPr>
          <w:r>
            <w:rPr>
              <w:rFonts w:hint="eastAsia"/>
              <w:b/>
              <w:bCs/>
              <w:sz w:val="28"/>
              <w:szCs w:val="28"/>
              <w:highlight w:val="none"/>
              <w:lang w:val="en-US" w:eastAsia="zh-CN"/>
            </w:rPr>
            <w:fldChar w:fldCharType="begin"/>
          </w:r>
          <w:r>
            <w:rPr>
              <w:rFonts w:hint="eastAsia"/>
              <w:b/>
              <w:bCs/>
              <w:sz w:val="28"/>
              <w:szCs w:val="28"/>
              <w:highlight w:val="none"/>
              <w:lang w:val="en-US" w:eastAsia="zh-CN"/>
            </w:rPr>
            <w:instrText xml:space="preserve"> HYPERLINK \l _Toc29934 </w:instrText>
          </w:r>
          <w:r>
            <w:rPr>
              <w:rFonts w:hint="eastAsia"/>
              <w:b/>
              <w:bCs/>
              <w:sz w:val="28"/>
              <w:szCs w:val="28"/>
              <w:highlight w:val="none"/>
              <w:lang w:val="en-US" w:eastAsia="zh-CN"/>
            </w:rPr>
            <w:fldChar w:fldCharType="separate"/>
          </w:r>
          <w:r>
            <w:rPr>
              <w:rFonts w:hint="eastAsia" w:ascii="宋体" w:hAnsi="宋体" w:eastAsia="宋体" w:cs="宋体"/>
              <w:b/>
              <w:bCs/>
              <w:sz w:val="28"/>
              <w:szCs w:val="28"/>
              <w:highlight w:val="none"/>
              <w:shd w:val="clear" w:color="auto" w:fill="auto"/>
              <w:lang w:val="en-US" w:eastAsia="zh-CN"/>
            </w:rPr>
            <w:t>六、主要经验及做法、存在的问题及原因分析</w:t>
          </w:r>
          <w:r>
            <w:rPr>
              <w:b/>
              <w:bCs/>
              <w:sz w:val="28"/>
              <w:szCs w:val="28"/>
              <w:highlight w:val="none"/>
            </w:rPr>
            <w:tab/>
          </w:r>
          <w:r>
            <w:rPr>
              <w:b/>
              <w:bCs/>
              <w:sz w:val="28"/>
              <w:szCs w:val="28"/>
              <w:highlight w:val="none"/>
            </w:rPr>
            <w:fldChar w:fldCharType="begin"/>
          </w:r>
          <w:r>
            <w:rPr>
              <w:b/>
              <w:bCs/>
              <w:sz w:val="28"/>
              <w:szCs w:val="28"/>
              <w:highlight w:val="none"/>
            </w:rPr>
            <w:instrText xml:space="preserve"> PAGEREF _Toc29934 \h </w:instrText>
          </w:r>
          <w:r>
            <w:rPr>
              <w:b/>
              <w:bCs/>
              <w:sz w:val="28"/>
              <w:szCs w:val="28"/>
              <w:highlight w:val="none"/>
            </w:rPr>
            <w:fldChar w:fldCharType="separate"/>
          </w:r>
          <w:r>
            <w:rPr>
              <w:b/>
              <w:bCs/>
              <w:sz w:val="28"/>
              <w:szCs w:val="28"/>
              <w:highlight w:val="none"/>
            </w:rPr>
            <w:t>18</w:t>
          </w:r>
          <w:r>
            <w:rPr>
              <w:b/>
              <w:bCs/>
              <w:sz w:val="28"/>
              <w:szCs w:val="28"/>
              <w:highlight w:val="none"/>
            </w:rPr>
            <w:fldChar w:fldCharType="end"/>
          </w:r>
          <w:r>
            <w:rPr>
              <w:rFonts w:hint="eastAsia"/>
              <w:b/>
              <w:bCs/>
              <w:sz w:val="28"/>
              <w:szCs w:val="28"/>
              <w:highlight w:val="none"/>
              <w:lang w:val="en-US" w:eastAsia="zh-CN"/>
            </w:rPr>
            <w:fldChar w:fldCharType="end"/>
          </w:r>
        </w:p>
        <w:p w14:paraId="7D4EF465">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highlight w:val="none"/>
            </w:rPr>
          </w:pPr>
          <w:r>
            <w:rPr>
              <w:rFonts w:hint="eastAsia"/>
              <w:sz w:val="28"/>
              <w:szCs w:val="28"/>
              <w:highlight w:val="none"/>
              <w:lang w:val="en-US" w:eastAsia="zh-CN"/>
            </w:rPr>
            <w:fldChar w:fldCharType="begin"/>
          </w:r>
          <w:r>
            <w:rPr>
              <w:rFonts w:hint="eastAsia"/>
              <w:sz w:val="28"/>
              <w:szCs w:val="28"/>
              <w:highlight w:val="none"/>
              <w:lang w:val="en-US" w:eastAsia="zh-CN"/>
            </w:rPr>
            <w:instrText xml:space="preserve"> HYPERLINK \l _Toc13160 </w:instrText>
          </w:r>
          <w:r>
            <w:rPr>
              <w:rFonts w:hint="eastAsia"/>
              <w:sz w:val="28"/>
              <w:szCs w:val="28"/>
              <w:highlight w:val="none"/>
              <w:lang w:val="en-US" w:eastAsia="zh-CN"/>
            </w:rPr>
            <w:fldChar w:fldCharType="separate"/>
          </w:r>
          <w:r>
            <w:rPr>
              <w:rFonts w:hint="eastAsia"/>
              <w:bCs/>
              <w:sz w:val="28"/>
              <w:szCs w:val="28"/>
              <w:highlight w:val="none"/>
              <w:lang w:eastAsia="zh-CN"/>
            </w:rPr>
            <w:t>（</w:t>
          </w:r>
          <w:r>
            <w:rPr>
              <w:rFonts w:hint="eastAsia"/>
              <w:bCs/>
              <w:sz w:val="28"/>
              <w:szCs w:val="28"/>
              <w:highlight w:val="none"/>
              <w:lang w:val="en-US" w:eastAsia="zh-CN"/>
            </w:rPr>
            <w:t>一</w:t>
          </w:r>
          <w:r>
            <w:rPr>
              <w:rFonts w:hint="eastAsia"/>
              <w:bCs/>
              <w:sz w:val="28"/>
              <w:szCs w:val="28"/>
              <w:highlight w:val="none"/>
              <w:lang w:eastAsia="zh-CN"/>
            </w:rPr>
            <w:t>）</w:t>
          </w:r>
          <w:r>
            <w:rPr>
              <w:rFonts w:hint="eastAsia"/>
              <w:bCs/>
              <w:sz w:val="28"/>
              <w:szCs w:val="28"/>
              <w:highlight w:val="none"/>
            </w:rPr>
            <w:t>主要经验及做法</w:t>
          </w:r>
          <w:r>
            <w:rPr>
              <w:sz w:val="28"/>
              <w:szCs w:val="28"/>
              <w:highlight w:val="none"/>
            </w:rPr>
            <w:tab/>
          </w:r>
          <w:r>
            <w:rPr>
              <w:sz w:val="28"/>
              <w:szCs w:val="28"/>
              <w:highlight w:val="none"/>
            </w:rPr>
            <w:fldChar w:fldCharType="begin"/>
          </w:r>
          <w:r>
            <w:rPr>
              <w:sz w:val="28"/>
              <w:szCs w:val="28"/>
              <w:highlight w:val="none"/>
            </w:rPr>
            <w:instrText xml:space="preserve"> PAGEREF _Toc13160 \h </w:instrText>
          </w:r>
          <w:r>
            <w:rPr>
              <w:sz w:val="28"/>
              <w:szCs w:val="28"/>
              <w:highlight w:val="none"/>
            </w:rPr>
            <w:fldChar w:fldCharType="separate"/>
          </w:r>
          <w:r>
            <w:rPr>
              <w:sz w:val="28"/>
              <w:szCs w:val="28"/>
              <w:highlight w:val="none"/>
            </w:rPr>
            <w:t>18</w:t>
          </w:r>
          <w:r>
            <w:rPr>
              <w:sz w:val="28"/>
              <w:szCs w:val="28"/>
              <w:highlight w:val="none"/>
            </w:rPr>
            <w:fldChar w:fldCharType="end"/>
          </w:r>
          <w:r>
            <w:rPr>
              <w:rFonts w:hint="eastAsia"/>
              <w:sz w:val="28"/>
              <w:szCs w:val="28"/>
              <w:highlight w:val="none"/>
              <w:lang w:val="en-US" w:eastAsia="zh-CN"/>
            </w:rPr>
            <w:fldChar w:fldCharType="end"/>
          </w:r>
        </w:p>
        <w:p w14:paraId="58E0F77A">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highlight w:val="none"/>
            </w:rPr>
          </w:pPr>
          <w:r>
            <w:rPr>
              <w:rFonts w:hint="eastAsia"/>
              <w:sz w:val="28"/>
              <w:szCs w:val="28"/>
              <w:highlight w:val="none"/>
              <w:lang w:val="en-US" w:eastAsia="zh-CN"/>
            </w:rPr>
            <w:fldChar w:fldCharType="begin"/>
          </w:r>
          <w:r>
            <w:rPr>
              <w:rFonts w:hint="eastAsia"/>
              <w:sz w:val="28"/>
              <w:szCs w:val="28"/>
              <w:highlight w:val="none"/>
              <w:lang w:val="en-US" w:eastAsia="zh-CN"/>
            </w:rPr>
            <w:instrText xml:space="preserve"> HYPERLINK \l _Toc9582 </w:instrText>
          </w:r>
          <w:r>
            <w:rPr>
              <w:rFonts w:hint="eastAsia"/>
              <w:sz w:val="28"/>
              <w:szCs w:val="28"/>
              <w:highlight w:val="none"/>
              <w:lang w:val="en-US" w:eastAsia="zh-CN"/>
            </w:rPr>
            <w:fldChar w:fldCharType="separate"/>
          </w:r>
          <w:r>
            <w:rPr>
              <w:rFonts w:hint="eastAsia"/>
              <w:bCs/>
              <w:sz w:val="28"/>
              <w:szCs w:val="28"/>
              <w:highlight w:val="none"/>
              <w:lang w:eastAsia="zh-CN"/>
            </w:rPr>
            <w:t>（</w:t>
          </w:r>
          <w:r>
            <w:rPr>
              <w:rFonts w:hint="eastAsia"/>
              <w:bCs/>
              <w:sz w:val="28"/>
              <w:szCs w:val="28"/>
              <w:highlight w:val="none"/>
              <w:lang w:val="en-US" w:eastAsia="zh-CN"/>
            </w:rPr>
            <w:t>二</w:t>
          </w:r>
          <w:r>
            <w:rPr>
              <w:rFonts w:hint="eastAsia"/>
              <w:bCs/>
              <w:sz w:val="28"/>
              <w:szCs w:val="28"/>
              <w:highlight w:val="none"/>
              <w:lang w:eastAsia="zh-CN"/>
            </w:rPr>
            <w:t>）</w:t>
          </w:r>
          <w:r>
            <w:rPr>
              <w:rFonts w:hint="eastAsia"/>
              <w:bCs/>
              <w:sz w:val="28"/>
              <w:szCs w:val="28"/>
              <w:highlight w:val="none"/>
            </w:rPr>
            <w:t>存在的问题及原因分析</w:t>
          </w:r>
          <w:r>
            <w:rPr>
              <w:sz w:val="28"/>
              <w:szCs w:val="28"/>
              <w:highlight w:val="none"/>
            </w:rPr>
            <w:tab/>
          </w:r>
          <w:r>
            <w:rPr>
              <w:sz w:val="28"/>
              <w:szCs w:val="28"/>
              <w:highlight w:val="none"/>
            </w:rPr>
            <w:fldChar w:fldCharType="begin"/>
          </w:r>
          <w:r>
            <w:rPr>
              <w:sz w:val="28"/>
              <w:szCs w:val="28"/>
              <w:highlight w:val="none"/>
            </w:rPr>
            <w:instrText xml:space="preserve"> PAGEREF _Toc9582 \h </w:instrText>
          </w:r>
          <w:r>
            <w:rPr>
              <w:sz w:val="28"/>
              <w:szCs w:val="28"/>
              <w:highlight w:val="none"/>
            </w:rPr>
            <w:fldChar w:fldCharType="separate"/>
          </w:r>
          <w:r>
            <w:rPr>
              <w:sz w:val="28"/>
              <w:szCs w:val="28"/>
              <w:highlight w:val="none"/>
            </w:rPr>
            <w:t>19</w:t>
          </w:r>
          <w:r>
            <w:rPr>
              <w:sz w:val="28"/>
              <w:szCs w:val="28"/>
              <w:highlight w:val="none"/>
            </w:rPr>
            <w:fldChar w:fldCharType="end"/>
          </w:r>
          <w:r>
            <w:rPr>
              <w:rFonts w:hint="eastAsia"/>
              <w:sz w:val="28"/>
              <w:szCs w:val="28"/>
              <w:highlight w:val="none"/>
              <w:lang w:val="en-US" w:eastAsia="zh-CN"/>
            </w:rPr>
            <w:fldChar w:fldCharType="end"/>
          </w:r>
        </w:p>
        <w:p w14:paraId="6D95150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highlight w:val="none"/>
            </w:rPr>
          </w:pPr>
          <w:r>
            <w:rPr>
              <w:rFonts w:hint="eastAsia"/>
              <w:b/>
              <w:bCs/>
              <w:sz w:val="28"/>
              <w:szCs w:val="28"/>
              <w:highlight w:val="none"/>
              <w:lang w:val="en-US" w:eastAsia="zh-CN"/>
            </w:rPr>
            <w:fldChar w:fldCharType="begin"/>
          </w:r>
          <w:r>
            <w:rPr>
              <w:rFonts w:hint="eastAsia"/>
              <w:b/>
              <w:bCs/>
              <w:sz w:val="28"/>
              <w:szCs w:val="28"/>
              <w:highlight w:val="none"/>
              <w:lang w:val="en-US" w:eastAsia="zh-CN"/>
            </w:rPr>
            <w:instrText xml:space="preserve"> HYPERLINK \l _Toc5230 </w:instrText>
          </w:r>
          <w:r>
            <w:rPr>
              <w:rFonts w:hint="eastAsia"/>
              <w:b/>
              <w:bCs/>
              <w:sz w:val="28"/>
              <w:szCs w:val="28"/>
              <w:highlight w:val="none"/>
              <w:lang w:val="en-US" w:eastAsia="zh-CN"/>
            </w:rPr>
            <w:fldChar w:fldCharType="separate"/>
          </w:r>
          <w:r>
            <w:rPr>
              <w:rFonts w:hint="eastAsia" w:ascii="宋体" w:hAnsi="宋体" w:eastAsia="宋体" w:cs="宋体"/>
              <w:b/>
              <w:bCs/>
              <w:sz w:val="28"/>
              <w:szCs w:val="28"/>
              <w:highlight w:val="none"/>
              <w:shd w:val="clear" w:color="auto" w:fill="auto"/>
              <w:lang w:val="en-US" w:eastAsia="zh-CN"/>
            </w:rPr>
            <w:t>七、有关建议</w:t>
          </w:r>
          <w:r>
            <w:rPr>
              <w:b/>
              <w:bCs/>
              <w:sz w:val="28"/>
              <w:szCs w:val="28"/>
              <w:highlight w:val="none"/>
            </w:rPr>
            <w:tab/>
          </w:r>
          <w:r>
            <w:rPr>
              <w:b/>
              <w:bCs/>
              <w:sz w:val="28"/>
              <w:szCs w:val="28"/>
              <w:highlight w:val="none"/>
            </w:rPr>
            <w:fldChar w:fldCharType="begin"/>
          </w:r>
          <w:r>
            <w:rPr>
              <w:b/>
              <w:bCs/>
              <w:sz w:val="28"/>
              <w:szCs w:val="28"/>
              <w:highlight w:val="none"/>
            </w:rPr>
            <w:instrText xml:space="preserve"> PAGEREF _Toc5230 \h </w:instrText>
          </w:r>
          <w:r>
            <w:rPr>
              <w:b/>
              <w:bCs/>
              <w:sz w:val="28"/>
              <w:szCs w:val="28"/>
              <w:highlight w:val="none"/>
            </w:rPr>
            <w:fldChar w:fldCharType="separate"/>
          </w:r>
          <w:r>
            <w:rPr>
              <w:b/>
              <w:bCs/>
              <w:sz w:val="28"/>
              <w:szCs w:val="28"/>
              <w:highlight w:val="none"/>
            </w:rPr>
            <w:t>19</w:t>
          </w:r>
          <w:r>
            <w:rPr>
              <w:b/>
              <w:bCs/>
              <w:sz w:val="28"/>
              <w:szCs w:val="28"/>
              <w:highlight w:val="none"/>
            </w:rPr>
            <w:fldChar w:fldCharType="end"/>
          </w:r>
          <w:r>
            <w:rPr>
              <w:rFonts w:hint="eastAsia"/>
              <w:b/>
              <w:bCs/>
              <w:sz w:val="28"/>
              <w:szCs w:val="28"/>
              <w:highlight w:val="none"/>
              <w:lang w:val="en-US" w:eastAsia="zh-CN"/>
            </w:rPr>
            <w:fldChar w:fldCharType="end"/>
          </w:r>
        </w:p>
        <w:p w14:paraId="5416C41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highlight w:val="none"/>
            </w:rPr>
          </w:pPr>
          <w:r>
            <w:rPr>
              <w:rFonts w:hint="eastAsia"/>
              <w:b/>
              <w:bCs/>
              <w:sz w:val="28"/>
              <w:szCs w:val="28"/>
              <w:highlight w:val="none"/>
              <w:lang w:val="en-US" w:eastAsia="zh-CN"/>
            </w:rPr>
            <w:fldChar w:fldCharType="begin"/>
          </w:r>
          <w:r>
            <w:rPr>
              <w:rFonts w:hint="eastAsia"/>
              <w:b/>
              <w:bCs/>
              <w:sz w:val="28"/>
              <w:szCs w:val="28"/>
              <w:highlight w:val="none"/>
              <w:lang w:val="en-US" w:eastAsia="zh-CN"/>
            </w:rPr>
            <w:instrText xml:space="preserve"> HYPERLINK \l _Toc15618 </w:instrText>
          </w:r>
          <w:r>
            <w:rPr>
              <w:rFonts w:hint="eastAsia"/>
              <w:b/>
              <w:bCs/>
              <w:sz w:val="28"/>
              <w:szCs w:val="28"/>
              <w:highlight w:val="none"/>
              <w:lang w:val="en-US" w:eastAsia="zh-CN"/>
            </w:rPr>
            <w:fldChar w:fldCharType="separate"/>
          </w:r>
          <w:r>
            <w:rPr>
              <w:rFonts w:hint="eastAsia" w:ascii="宋体" w:hAnsi="宋体" w:eastAsia="宋体" w:cs="宋体"/>
              <w:b/>
              <w:bCs/>
              <w:sz w:val="28"/>
              <w:szCs w:val="28"/>
              <w:highlight w:val="none"/>
              <w:shd w:val="clear" w:color="auto" w:fill="auto"/>
              <w:lang w:val="en-US" w:eastAsia="zh-CN"/>
            </w:rPr>
            <w:t>八、其他需要说明的问题</w:t>
          </w:r>
          <w:r>
            <w:rPr>
              <w:b/>
              <w:bCs/>
              <w:sz w:val="28"/>
              <w:szCs w:val="28"/>
              <w:highlight w:val="none"/>
            </w:rPr>
            <w:tab/>
          </w:r>
          <w:r>
            <w:rPr>
              <w:b/>
              <w:bCs/>
              <w:sz w:val="28"/>
              <w:szCs w:val="28"/>
              <w:highlight w:val="none"/>
            </w:rPr>
            <w:fldChar w:fldCharType="begin"/>
          </w:r>
          <w:r>
            <w:rPr>
              <w:b/>
              <w:bCs/>
              <w:sz w:val="28"/>
              <w:szCs w:val="28"/>
              <w:highlight w:val="none"/>
            </w:rPr>
            <w:instrText xml:space="preserve"> PAGEREF _Toc15618 \h </w:instrText>
          </w:r>
          <w:r>
            <w:rPr>
              <w:b/>
              <w:bCs/>
              <w:sz w:val="28"/>
              <w:szCs w:val="28"/>
              <w:highlight w:val="none"/>
            </w:rPr>
            <w:fldChar w:fldCharType="separate"/>
          </w:r>
          <w:r>
            <w:rPr>
              <w:b/>
              <w:bCs/>
              <w:sz w:val="28"/>
              <w:szCs w:val="28"/>
              <w:highlight w:val="none"/>
            </w:rPr>
            <w:t>19</w:t>
          </w:r>
          <w:r>
            <w:rPr>
              <w:b/>
              <w:bCs/>
              <w:sz w:val="28"/>
              <w:szCs w:val="28"/>
              <w:highlight w:val="none"/>
            </w:rPr>
            <w:fldChar w:fldCharType="end"/>
          </w:r>
          <w:r>
            <w:rPr>
              <w:rFonts w:hint="eastAsia"/>
              <w:b/>
              <w:bCs/>
              <w:sz w:val="28"/>
              <w:szCs w:val="28"/>
              <w:highlight w:val="none"/>
              <w:lang w:val="en-US" w:eastAsia="zh-CN"/>
            </w:rPr>
            <w:fldChar w:fldCharType="end"/>
          </w:r>
        </w:p>
        <w:p w14:paraId="6D498BD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highlight w:val="none"/>
            </w:rPr>
          </w:pPr>
        </w:p>
        <w:p w14:paraId="4645F681">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highlight w:val="none"/>
              <w:lang w:val="en-US" w:eastAsia="zh-CN"/>
            </w:rPr>
            <w:sectPr>
              <w:pgSz w:w="11906" w:h="16838"/>
              <w:pgMar w:top="1928" w:right="1531" w:bottom="1701" w:left="1531" w:header="737" w:footer="851" w:gutter="0"/>
              <w:cols w:space="720" w:num="1"/>
              <w:docGrid w:type="lines" w:linePitch="408" w:charSpace="0"/>
            </w:sectPr>
          </w:pPr>
          <w:r>
            <w:rPr>
              <w:rFonts w:hint="eastAsia"/>
              <w:sz w:val="28"/>
              <w:szCs w:val="28"/>
              <w:highlight w:val="none"/>
              <w:lang w:val="en-US" w:eastAsia="zh-CN"/>
            </w:rPr>
            <w:fldChar w:fldCharType="end"/>
          </w:r>
        </w:p>
      </w:sdtContent>
    </w:sdt>
    <w:p w14:paraId="28FBE3F4">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cs="宋体"/>
          <w:b/>
          <w:bCs/>
          <w:color w:val="000000" w:themeColor="text1"/>
          <w:sz w:val="36"/>
          <w:szCs w:val="36"/>
          <w:highlight w:val="none"/>
          <w:shd w:val="clear" w:color="auto" w:fill="auto"/>
          <w:lang w:val="en-US" w:eastAsia="zh-CN"/>
          <w14:textFill>
            <w14:solidFill>
              <w14:schemeClr w14:val="tx1"/>
            </w14:solidFill>
          </w14:textFill>
        </w:rPr>
      </w:pPr>
      <w:bookmarkStart w:id="1" w:name="_Toc1194"/>
      <w:r>
        <w:rPr>
          <w:rFonts w:hint="eastAsia" w:ascii="宋体" w:hAnsi="宋体" w:eastAsia="宋体" w:cs="宋体"/>
          <w:b/>
          <w:bCs/>
          <w:color w:val="000000" w:themeColor="text1"/>
          <w:sz w:val="36"/>
          <w:szCs w:val="36"/>
          <w:highlight w:val="none"/>
          <w:shd w:val="clear" w:color="auto" w:fill="auto"/>
          <w:lang w:val="en-US" w:eastAsia="zh-CN"/>
          <w14:textFill>
            <w14:solidFill>
              <w14:schemeClr w14:val="tx1"/>
            </w14:solidFill>
          </w14:textFill>
        </w:rPr>
        <w:t>现代职业教育质量提升项目</w:t>
      </w:r>
      <w:r>
        <w:rPr>
          <w:rFonts w:hint="eastAsia" w:cs="宋体"/>
          <w:b/>
          <w:bCs/>
          <w:color w:val="000000" w:themeColor="text1"/>
          <w:sz w:val="36"/>
          <w:szCs w:val="36"/>
          <w:highlight w:val="none"/>
          <w:shd w:val="clear" w:color="auto" w:fill="auto"/>
          <w:lang w:val="en-US" w:eastAsia="zh-CN"/>
          <w14:textFill>
            <w14:solidFill>
              <w14:schemeClr w14:val="tx1"/>
            </w14:solidFill>
          </w14:textFill>
        </w:rPr>
        <w:t>资金</w:t>
      </w:r>
    </w:p>
    <w:p w14:paraId="364ADC17">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000000" w:themeColor="text1"/>
          <w:highlight w:val="none"/>
          <w:shd w:val="clear" w:color="auto" w:fill="auto"/>
          <w14:textFill>
            <w14:solidFill>
              <w14:schemeClr w14:val="tx1"/>
            </w14:solidFill>
          </w14:textFill>
        </w:rPr>
      </w:pPr>
      <w:r>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t>支出绩效评价报告</w:t>
      </w:r>
      <w:bookmarkEnd w:id="1"/>
    </w:p>
    <w:p w14:paraId="3193ECED">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2" w:name="_Toc17540"/>
      <w:r>
        <w:rPr>
          <w:rFonts w:hint="eastAsia" w:ascii="宋体" w:hAnsi="宋体" w:eastAsia="宋体" w:cs="宋体"/>
          <w:b/>
          <w:bCs/>
          <w:color w:val="000000" w:themeColor="text1"/>
          <w:highlight w:val="none"/>
          <w:shd w:val="clear" w:color="auto" w:fill="auto"/>
          <w14:textFill>
            <w14:solidFill>
              <w14:schemeClr w14:val="tx1"/>
            </w14:solidFill>
          </w14:textFill>
        </w:rPr>
        <w:t>一、基本情况</w:t>
      </w:r>
      <w:bookmarkEnd w:id="2"/>
    </w:p>
    <w:p w14:paraId="20721C35">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3" w:name="_Toc18966"/>
      <w:r>
        <w:rPr>
          <w:rFonts w:hint="eastAsia" w:ascii="宋体" w:hAnsi="宋体" w:eastAsia="宋体" w:cs="宋体"/>
          <w:color w:val="000000" w:themeColor="text1"/>
          <w:highlight w:val="none"/>
          <w:shd w:val="clear" w:color="auto" w:fill="auto"/>
          <w14:textFill>
            <w14:solidFill>
              <w14:schemeClr w14:val="tx1"/>
            </w14:solidFill>
          </w14:textFill>
        </w:rPr>
        <w:t>（一）项目概况</w:t>
      </w:r>
      <w:bookmarkEnd w:id="3"/>
    </w:p>
    <w:p w14:paraId="78D6269C">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4" w:name="_Toc5043"/>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1.项目背景</w:t>
      </w:r>
      <w:bookmarkEnd w:id="4"/>
    </w:p>
    <w:p w14:paraId="6B915FA2">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阜康市职业中等专业学校长期致力于建设国家、自治区、昌吉州等各类服务专业发展的高技能人才实训基地。2016年以来，我校依托现代职业教育质量提升计划项目、援疆项目等对我校基础能力建设设备进行了完善和提升，但机械专业作为学校的主干专业却始终没有机加工实训厂房，学校也没有智能黑板、录播教室、教务管理系统等先进的教学辅助设施。已有基础设施设备陈旧、授课方式单一、过于传统、偏于落后。教室的各项硬性条件不适宜部分专业实训设备的教学所需。因此，改善办学条件、解决教学设施落后带来的局限性迫在眉睫。</w:t>
      </w:r>
      <w:bookmarkStart w:id="5" w:name="_Toc27343"/>
    </w:p>
    <w:p w14:paraId="33E32251">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2.主要内容及实施情况</w:t>
      </w:r>
      <w:bookmarkEnd w:id="5"/>
      <w:bookmarkStart w:id="6" w:name="_Toc16592"/>
    </w:p>
    <w:p w14:paraId="6F0AAAA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6"/>
      <w:r>
        <w:rPr>
          <w:rFonts w:hint="eastAsia" w:ascii="宋体" w:hAnsi="宋体" w:eastAsia="宋体" w:cs="宋体"/>
          <w:b w:val="0"/>
          <w:bCs w:val="0"/>
          <w:color w:val="auto"/>
          <w:kern w:val="2"/>
          <w:sz w:val="28"/>
          <w:szCs w:val="28"/>
          <w:highlight w:val="none"/>
          <w:shd w:val="clear" w:color="auto" w:fill="auto"/>
          <w:lang w:val="en-US" w:eastAsia="zh-CN" w:bidi="ar-SA"/>
        </w:rPr>
        <w:t>因新建实训楼未完工等原因，2019 年现代职业教育质量提升实训工房建设项目和2020年职业教育建设项目（改善办学条件）未在当年内完工，此部分资金为其尾款。其中2019 年现代职业教育质量提升实训工房建设项目建设内容：新建实训工房一栋，建筑面积为1819.58㎡,框架结构，地上2层，建筑高度12.01m。2020年职业教育建设项目（改善办学条件）建设内容：建设录播教室1间、多媒体教学设备纳米黑板一体机50套、中职教务管理系统1套。</w:t>
      </w:r>
    </w:p>
    <w:p w14:paraId="5A678ED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2019</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12</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昌州财教[2019]6号文、昌州财教[2019]108号文</w:t>
      </w:r>
      <w:r>
        <w:rPr>
          <w:rFonts w:hint="eastAsia" w:ascii="宋体" w:hAnsi="宋体" w:eastAsia="宋体" w:cs="宋体"/>
          <w:color w:val="auto"/>
          <w:highlight w:val="none"/>
          <w:shd w:val="clear" w:color="auto" w:fill="auto"/>
          <w:lang w:val="en-US" w:eastAsia="zh-CN"/>
        </w:rPr>
        <w:t>件批复，经</w:t>
      </w:r>
      <w:r>
        <w:rPr>
          <w:rFonts w:hint="eastAsia" w:cs="宋体"/>
          <w:color w:val="auto"/>
          <w:highlight w:val="none"/>
          <w:shd w:val="clear" w:color="auto" w:fill="auto"/>
          <w:lang w:val="en-US" w:eastAsia="zh-CN"/>
        </w:rPr>
        <w:t>校党总支</w:t>
      </w:r>
      <w:r>
        <w:rPr>
          <w:rFonts w:hint="eastAsia" w:ascii="宋体" w:hAnsi="宋体" w:eastAsia="宋体" w:cs="宋体"/>
          <w:color w:val="auto"/>
          <w:highlight w:val="none"/>
          <w:shd w:val="clear" w:color="auto" w:fill="auto"/>
          <w:lang w:val="en-US" w:eastAsia="zh-CN"/>
        </w:rPr>
        <w:t>会议</w:t>
      </w:r>
      <w:r>
        <w:rPr>
          <w:rFonts w:hint="eastAsia" w:cs="宋体"/>
          <w:color w:val="auto"/>
          <w:highlight w:val="none"/>
          <w:shd w:val="clear" w:color="auto" w:fill="auto"/>
          <w:lang w:val="en-US" w:eastAsia="zh-CN"/>
        </w:rPr>
        <w:t>研究确定实施</w:t>
      </w:r>
      <w:r>
        <w:rPr>
          <w:rFonts w:hint="eastAsia" w:ascii="宋体" w:hAnsi="宋体" w:eastAsia="宋体" w:cs="宋体"/>
          <w:color w:val="auto"/>
          <w:highlight w:val="none"/>
          <w:shd w:val="clear" w:color="auto" w:fill="auto"/>
          <w:lang w:val="en-US" w:eastAsia="zh-CN"/>
        </w:rPr>
        <w:t>，确定了项目领导小组，明确了责任分工：组长为</w:t>
      </w:r>
      <w:r>
        <w:rPr>
          <w:rFonts w:hint="eastAsia" w:cs="宋体"/>
          <w:color w:val="auto"/>
          <w:highlight w:val="none"/>
          <w:shd w:val="clear" w:color="auto" w:fill="auto"/>
          <w:lang w:val="en-US" w:eastAsia="zh-CN"/>
        </w:rPr>
        <w:t>赵天成</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钟振红</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项目负责人为张永春,</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徐军</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马心颖、王海涛、何新萍。</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张永春</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马心颖</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何新萍</w:t>
      </w:r>
      <w:r>
        <w:rPr>
          <w:rFonts w:hint="eastAsia" w:ascii="宋体" w:hAnsi="宋体" w:eastAsia="宋体" w:cs="宋体"/>
          <w:color w:val="auto"/>
          <w:highlight w:val="none"/>
          <w:shd w:val="clear" w:color="auto" w:fill="auto"/>
          <w:lang w:val="en-US" w:eastAsia="zh-CN"/>
        </w:rPr>
        <w:t>负责资</w:t>
      </w:r>
      <w:r>
        <w:rPr>
          <w:rFonts w:hint="eastAsia" w:cs="宋体"/>
          <w:color w:val="auto"/>
          <w:highlight w:val="none"/>
          <w:shd w:val="clear" w:color="auto" w:fill="auto"/>
          <w:lang w:val="en-US" w:eastAsia="zh-CN"/>
        </w:rPr>
        <w:t>金拨付工作。</w:t>
      </w:r>
      <w:bookmarkStart w:id="7" w:name="_Toc1858"/>
      <w:r>
        <w:rPr>
          <w:rFonts w:hint="eastAsia" w:cs="宋体"/>
          <w:color w:val="auto"/>
          <w:highlight w:val="none"/>
          <w:shd w:val="clear" w:color="auto" w:fill="auto"/>
          <w:lang w:val="en-US" w:eastAsia="zh-CN"/>
        </w:rPr>
        <w:t>项目现在已完成并投入使用。</w:t>
      </w:r>
    </w:p>
    <w:p w14:paraId="7A5FFDC4">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3.资金投入和使用情况</w:t>
      </w:r>
      <w:bookmarkEnd w:id="7"/>
    </w:p>
    <w:p w14:paraId="65DF2EB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项目资金安排落实、总投入等情况分析</w:t>
      </w:r>
    </w:p>
    <w:p w14:paraId="5B9557C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0" w:firstLineChars="200"/>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现代职业教育质量提升项目资金预算安排总额为182.23万元，其中财政资金0万元，其他资金182.23万元，2023年实际收到预算资金182.23万元，预算资金到位率为100%。</w:t>
      </w:r>
    </w:p>
    <w:p w14:paraId="18A2259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44" w:firstLineChars="200"/>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bCs/>
          <w:color w:val="000000" w:themeColor="text1"/>
          <w:spacing w:val="-4"/>
          <w:highlight w:val="none"/>
          <w:shd w:val="clear" w:color="auto" w:fill="auto"/>
          <w:lang w:eastAsia="zh-CN"/>
          <w14:textFill>
            <w14:solidFill>
              <w14:schemeClr w14:val="tx1"/>
            </w14:solidFill>
          </w14:textFill>
        </w:rPr>
        <w:t>（</w:t>
      </w:r>
      <w:r>
        <w:rPr>
          <w:rFonts w:hint="eastAsia" w:ascii="宋体" w:hAnsi="宋体" w:eastAsia="宋体" w:cs="宋体"/>
          <w:color w:val="auto"/>
          <w:highlight w:val="none"/>
          <w:shd w:val="clear" w:color="auto" w:fill="auto"/>
          <w:lang w:val="en-US" w:eastAsia="zh-CN"/>
        </w:rPr>
        <w:t>2）项目资金实际使用情况分析</w:t>
      </w:r>
    </w:p>
    <w:p w14:paraId="244C536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0" w:firstLineChars="200"/>
        <w:textAlignment w:val="auto"/>
        <w:outlineLvl w:val="9"/>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截至2023年12月31日，现代职业教育质量提升项目资金项目实际支付资金182.23万元，预算执行率100%。结转结余资金0万元，已上缴国库。项目资金主要用于学校实训室建设和教学设备购置等方面。</w:t>
      </w:r>
    </w:p>
    <w:p w14:paraId="063F35AB">
      <w:pPr>
        <w:pStyle w:val="3"/>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8" w:name="_Toc2879"/>
      <w:r>
        <w:rPr>
          <w:rFonts w:hint="eastAsia" w:ascii="宋体" w:hAnsi="宋体" w:eastAsia="宋体" w:cs="宋体"/>
          <w:color w:val="000000" w:themeColor="text1"/>
          <w:highlight w:val="none"/>
          <w:shd w:val="clear" w:color="auto" w:fill="auto"/>
          <w14:textFill>
            <w14:solidFill>
              <w14:schemeClr w14:val="tx1"/>
            </w14:solidFill>
          </w14:textFill>
        </w:rPr>
        <w:t>项目绩效目标</w:t>
      </w:r>
      <w:bookmarkEnd w:id="8"/>
    </w:p>
    <w:p w14:paraId="44EEB243">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9" w:name="_Toc10047"/>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1.总体目标</w:t>
      </w:r>
      <w:bookmarkEnd w:id="9"/>
    </w:p>
    <w:p w14:paraId="0D1BF50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现代职业教育质量提升项目绩效总体目标为：实施中等职业教育，促进职业教育发展。阜康市职业中等专业学校现代职业教育质量提升项目，完成实训基地建设面积1819.58平方米、实训基地建设、实训室设备质量合格率达100%，项目资金执行率100%。项目支出182.23万元，学生满意度达95%以上。</w:t>
      </w:r>
    </w:p>
    <w:p w14:paraId="799C9E00">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10" w:name="_Toc4487"/>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2.阶段性目标</w:t>
      </w:r>
      <w:bookmarkEnd w:id="10"/>
    </w:p>
    <w:p w14:paraId="22D52E8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000000" w:themeColor="text1"/>
          <w:highlight w:val="none"/>
          <w:shd w:val="clear" w:color="auto" w:fill="auto"/>
          <w:lang w:eastAsia="zh-CN"/>
          <w14:textFill>
            <w14:solidFill>
              <w14:schemeClr w14:val="tx1"/>
            </w14:solidFill>
          </w14:textFill>
        </w:rPr>
      </w:pP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根据《预算法</w:t>
      </w:r>
      <w:r>
        <w:rPr>
          <w:rFonts w:hint="eastAsia"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号）、《自治区党委自治区人民政府关于全面实施预算绩效管理的实施意见》（新党发〔2018〕30号）、</w:t>
      </w:r>
      <w:r>
        <w:rPr>
          <w:rFonts w:hint="eastAsia" w:ascii="宋体" w:hAnsi="宋体" w:eastAsia="宋体" w:cs="宋体"/>
          <w:color w:val="000000" w:themeColor="text1"/>
          <w:highlight w:val="none"/>
          <w:shd w:val="clear" w:color="auto" w:fill="auto"/>
          <w14:textFill>
            <w14:solidFill>
              <w14:schemeClr w14:val="tx1"/>
            </w14:solidFill>
          </w14:textFill>
        </w:rPr>
        <w:t>《自治区财政支出绩效评价管理暂行办法》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新财预〔2018〕189号</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等文件</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的规定，结合项目实施单位的规章制度以及财务相关资料，评价小组对项目绩效目标进行了进一步的完善，完善</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后</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绩效目标如下：</w:t>
      </w:r>
    </w:p>
    <w:p w14:paraId="22F429D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项目产出</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目标</w:t>
      </w:r>
    </w:p>
    <w:p w14:paraId="6C59871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①数量指标</w:t>
      </w:r>
    </w:p>
    <w:p w14:paraId="2EE924A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实训基地建设面积</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指标，预期目标值为≥1819.58平方米；</w:t>
      </w:r>
    </w:p>
    <w:p w14:paraId="3C3459F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实训基地建设数量（所）</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指标，预期目标值为≥1所；</w:t>
      </w:r>
    </w:p>
    <w:p w14:paraId="600A00E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②质量指标</w:t>
      </w:r>
    </w:p>
    <w:p w14:paraId="088A57A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实训室设备质量合格率</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指标，预期目标值为100%；</w:t>
      </w:r>
    </w:p>
    <w:p w14:paraId="38B38D8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实训基地验收合格率率</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指标，预期目标值为100%；</w:t>
      </w:r>
    </w:p>
    <w:p w14:paraId="5C7E9EF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③时效指标</w:t>
      </w:r>
    </w:p>
    <w:p w14:paraId="0E6072E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按期完成率</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指标，预期目标值为100%；</w:t>
      </w:r>
    </w:p>
    <w:p w14:paraId="24EC7A7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（2）成本指标</w:t>
      </w:r>
    </w:p>
    <w:p w14:paraId="48021A2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实训基地建支出（万）</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指标，预期目标值为≤174.83万元；</w:t>
      </w:r>
    </w:p>
    <w:p w14:paraId="108F180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设备采购支出（万）</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指标，预期目标值为≤7.4万元；</w:t>
      </w:r>
    </w:p>
    <w:p w14:paraId="7113148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14:textFill>
            <w14:solidFill>
              <w14:schemeClr w14:val="tx1"/>
            </w14:solidFill>
          </w14:textFill>
        </w:rPr>
        <w:t>）项目效益</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目标</w:t>
      </w:r>
    </w:p>
    <w:p w14:paraId="2C46129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①社会效益指标</w:t>
      </w:r>
    </w:p>
    <w:p w14:paraId="5E31CE0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改善办学条件</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指标，预期目标值为改善；</w:t>
      </w:r>
    </w:p>
    <w:p w14:paraId="4566F01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②满意度指标</w:t>
      </w:r>
    </w:p>
    <w:p w14:paraId="48CB3BB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学生满意度</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指标，预期目标值为≥95%。</w:t>
      </w:r>
    </w:p>
    <w:p w14:paraId="1E768EB1">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11" w:name="_Toc2549"/>
      <w:r>
        <w:rPr>
          <w:rFonts w:hint="eastAsia" w:ascii="宋体" w:hAnsi="宋体" w:eastAsia="宋体" w:cs="宋体"/>
          <w:b/>
          <w:bCs/>
          <w:color w:val="000000" w:themeColor="text1"/>
          <w:highlight w:val="none"/>
          <w:shd w:val="clear" w:color="auto" w:fill="auto"/>
          <w14:textFill>
            <w14:solidFill>
              <w14:schemeClr w14:val="tx1"/>
            </w14:solidFill>
          </w14:textFill>
        </w:rPr>
        <w:t>二、绩效评价工作开展情况</w:t>
      </w:r>
      <w:bookmarkEnd w:id="11"/>
    </w:p>
    <w:p w14:paraId="245F808B">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pPr>
      <w:bookmarkStart w:id="12" w:name="_Toc480473081"/>
      <w:bookmarkStart w:id="13" w:name="_Toc5462343"/>
      <w:bookmarkStart w:id="14" w:name="_Toc22169_WPSOffice_Level2"/>
      <w:bookmarkStart w:id="15" w:name="_Toc5258"/>
      <w:bookmarkStart w:id="16" w:name="_Toc21664"/>
      <w:bookmarkStart w:id="17" w:name="_Toc26632"/>
      <w:bookmarkStart w:id="18" w:name="_Toc12868"/>
      <w:bookmarkStart w:id="19" w:name="_Toc22922"/>
      <w:bookmarkStart w:id="20" w:name="_Toc21778"/>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、对象和范围</w:t>
      </w:r>
      <w:bookmarkEnd w:id="20"/>
    </w:p>
    <w:p w14:paraId="4FEEEF04">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1" w:name="_Toc1573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21"/>
    </w:p>
    <w:p w14:paraId="4404F7E7">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为全面了解</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该</w:t>
      </w:r>
      <w:r>
        <w:rPr>
          <w:rFonts w:hint="eastAsia" w:ascii="宋体" w:hAnsi="宋体" w:eastAsia="宋体" w:cs="宋体"/>
          <w:color w:val="000000" w:themeColor="text1"/>
          <w:highlight w:val="none"/>
          <w:shd w:val="clear" w:color="auto" w:fill="auto"/>
          <w:lang w:eastAsia="zh-CN"/>
          <w14:textFill>
            <w14:solidFill>
              <w14:schemeClr w14:val="tx1"/>
            </w14:solidFill>
          </w14:textFill>
        </w:rPr>
        <w:t>项目预算编制合理性、资金使用合规性、项目管理的规范性、</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绩效</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目标的实现情况、服务对象的满意度等，通过本次</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部门</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绩效评价来总结经验和教训，促进项目成果转化和应用，为今后类似项目的长效管理，提供可行性参考建议。</w:t>
      </w:r>
    </w:p>
    <w:p w14:paraId="0E33490C">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2" w:name="_Toc30609"/>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2.绩效评价的对象和范围</w:t>
      </w:r>
      <w:bookmarkEnd w:id="22"/>
    </w:p>
    <w:p w14:paraId="36862FD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此次我单位根据</w:t>
      </w:r>
      <w:r>
        <w:rPr>
          <w:rFonts w:hint="eastAsia" w:ascii="宋体" w:hAnsi="宋体" w:eastAsia="宋体" w:cs="宋体"/>
          <w:color w:val="000000" w:themeColor="text1"/>
          <w:highlight w:val="none"/>
          <w:shd w:val="clear" w:color="auto" w:fill="auto"/>
          <w14:textFill>
            <w14:solidFill>
              <w14:schemeClr w14:val="tx1"/>
            </w14:solidFill>
          </w14:textFill>
        </w:rPr>
        <w:t>《财政支出绩效评价管理暂行办法》（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财预〔2020〕10号</w:t>
      </w:r>
      <w:r>
        <w:rPr>
          <w:rFonts w:hint="eastAsia" w:ascii="宋体" w:hAnsi="宋体" w:eastAsia="宋体" w:cs="宋体"/>
          <w:color w:val="000000" w:themeColor="text1"/>
          <w:highlight w:val="none"/>
          <w:shd w:val="clear" w:color="auto" w:fill="auto"/>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文件要求对</w:t>
      </w:r>
      <w:r>
        <w:rPr>
          <w:rFonts w:hint="eastAsia"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023年度我单位实施的现代职业教育质量提升项目项目开展部门绩效评价。</w:t>
      </w:r>
    </w:p>
    <w:p w14:paraId="78C7414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本次绩效评价主要围绕项目决策、项目管理、项目产出、项目效益四个维度，对该专项资金的预算编制、项目实施、监督管理、资金支出使用、绩效目标的实现情况以及受益对象的满意度等开展综合评价。</w:t>
      </w:r>
    </w:p>
    <w:p w14:paraId="2AEBFD2F">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pPr>
      <w:bookmarkStart w:id="23" w:name="_Toc15902"/>
      <w:r>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t>绩效评价原则、评价指标体系（附表说明）、评价方法、评价标准</w:t>
      </w:r>
      <w:bookmarkEnd w:id="23"/>
    </w:p>
    <w:p w14:paraId="3A8B5AB7">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24" w:name="_Toc2450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绩效评价原则</w:t>
      </w:r>
      <w:bookmarkEnd w:id="24"/>
    </w:p>
    <w:p w14:paraId="7B12315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依据</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号）</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本次绩效评价秉承科学规范、公正公开、分级分类、绩效相关等原则，按照从投入、过程到产出效果和影响的绩效逻辑路径，结合</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现代职业教育质量提升项目</w:t>
      </w:r>
      <w:r>
        <w:rPr>
          <w:rFonts w:hint="eastAsia" w:ascii="宋体" w:hAnsi="宋体" w:eastAsia="宋体" w:cs="宋体"/>
          <w:color w:val="000000" w:themeColor="text1"/>
          <w:highlight w:val="none"/>
          <w:shd w:val="clear" w:color="auto" w:fill="auto"/>
          <w:lang w:eastAsia="zh-CN"/>
          <w14:textFill>
            <w14:solidFill>
              <w14:schemeClr w14:val="tx1"/>
            </w14:solidFill>
          </w14:textFill>
        </w:rPr>
        <w:t>项目实际开展情况，运用定量和定性分析相结合的方法，总结经验做法，反思项目实施和管理中的问题，以切实提升财政资金管理的科学化、规范化和精细化水平。</w:t>
      </w:r>
    </w:p>
    <w:p w14:paraId="0A6D999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根据以上原则，绩效评价应遵循如下要求：</w:t>
      </w:r>
    </w:p>
    <w:p w14:paraId="3F6CCE1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1</w:t>
      </w:r>
      <w:r>
        <w:rPr>
          <w:rFonts w:hint="eastAsia"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科学公正。绩效评价应当运用科学合理的方法，按照规范的程序，对项目绩效进行客观、公正的反映。</w:t>
      </w:r>
    </w:p>
    <w:p w14:paraId="4E011EB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）统筹兼顾。单位自评、部门评价和财政评价应职责明确，各有侧重，相互衔接。单位自评应由项目单位自主实施，即“谁支出、谁自评”。</w:t>
      </w:r>
    </w:p>
    <w:p w14:paraId="049530F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）激励约束。绩效评价结果应与预算安排、政策调整、改进管理实质性挂钩，体现奖优罚劣和激励相容导向，有效要安排、低效要压减、无效要问责。</w:t>
      </w:r>
    </w:p>
    <w:p w14:paraId="59AA4D6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4</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）公开透明。绩效评价结果应依法依规公开，并自觉接受社会监督。</w:t>
      </w:r>
    </w:p>
    <w:p w14:paraId="11ABC81A">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25" w:name="_Toc428278230"/>
      <w:bookmarkStart w:id="26" w:name="_Toc26131"/>
      <w:bookmarkStart w:id="27" w:name="_Toc1913"/>
      <w:bookmarkStart w:id="28" w:name="_Toc419984722"/>
      <w:bookmarkStart w:id="29" w:name="_Toc2439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绩效评价指标体系及绩效评价</w:t>
      </w:r>
      <w:bookmarkEnd w:id="25"/>
      <w:bookmarkEnd w:id="26"/>
      <w:bookmarkEnd w:id="27"/>
      <w:bookmarkEnd w:id="28"/>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标准</w:t>
      </w:r>
      <w:bookmarkEnd w:id="29"/>
    </w:p>
    <w:p w14:paraId="3012119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我单位</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根据项目的</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实施</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资料研读及前期调研，结合项目的实际开展情况，最终形成了项目绩效评价指标体系</w:t>
      </w:r>
      <w:r>
        <w:rPr>
          <w:rFonts w:hint="eastAsia" w:ascii="宋体" w:hAnsi="宋体" w:eastAsia="宋体" w:cs="宋体"/>
          <w:color w:val="000000" w:themeColor="text1"/>
          <w:highlight w:val="none"/>
          <w:shd w:val="clear" w:color="auto" w:fill="auto"/>
          <w:lang w:val="zh-TW"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指标体系结构如下</w:t>
      </w:r>
      <w:r>
        <w:rPr>
          <w:rFonts w:hint="eastAsia" w:cs="宋体"/>
          <w:b/>
          <w:bCs/>
          <w:color w:val="000000" w:themeColor="text1"/>
          <w:highlight w:val="none"/>
          <w:shd w:val="clear" w:color="auto" w:fill="auto"/>
          <w:lang w:val="en-US" w:eastAsia="zh-CN"/>
          <w14:textFill>
            <w14:solidFill>
              <w14:schemeClr w14:val="tx1"/>
            </w14:solidFill>
          </w14:textFill>
        </w:rPr>
        <w:t>（详见上传的附件）</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14:paraId="332B09FB">
      <w:pPr>
        <w:jc w:val="center"/>
        <w:rPr>
          <w:rFonts w:hint="default"/>
          <w:b/>
          <w:bCs/>
          <w:sz w:val="28"/>
          <w:szCs w:val="28"/>
          <w:highlight w:val="none"/>
          <w:lang w:val="en-US" w:eastAsia="zh-CN"/>
        </w:rPr>
      </w:pPr>
      <w:r>
        <w:rPr>
          <w:rFonts w:hint="eastAsia"/>
          <w:b/>
          <w:bCs/>
          <w:sz w:val="28"/>
          <w:szCs w:val="28"/>
          <w:highlight w:val="none"/>
          <w:lang w:val="zh-TW" w:eastAsia="zh-TW"/>
        </w:rPr>
        <w:t>项目绩效评价指标体系</w:t>
      </w:r>
    </w:p>
    <w:tbl>
      <w:tblPr>
        <w:tblStyle w:val="12"/>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66B86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6F7298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一级指标</w:t>
            </w:r>
          </w:p>
        </w:tc>
        <w:tc>
          <w:tcPr>
            <w:tcW w:w="1196" w:type="dxa"/>
            <w:shd w:val="clear" w:color="auto" w:fill="auto"/>
            <w:vAlign w:val="center"/>
          </w:tcPr>
          <w:p w14:paraId="296945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二级指标</w:t>
            </w:r>
          </w:p>
        </w:tc>
        <w:tc>
          <w:tcPr>
            <w:tcW w:w="1050" w:type="dxa"/>
            <w:shd w:val="clear" w:color="auto" w:fill="auto"/>
            <w:vAlign w:val="center"/>
          </w:tcPr>
          <w:p w14:paraId="7D949B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三级指标</w:t>
            </w:r>
          </w:p>
        </w:tc>
        <w:tc>
          <w:tcPr>
            <w:tcW w:w="1996" w:type="dxa"/>
            <w:shd w:val="clear" w:color="auto" w:fill="auto"/>
            <w:vAlign w:val="center"/>
          </w:tcPr>
          <w:p w14:paraId="7B8688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指标解释</w:t>
            </w:r>
          </w:p>
        </w:tc>
        <w:tc>
          <w:tcPr>
            <w:tcW w:w="3793" w:type="dxa"/>
            <w:shd w:val="clear" w:color="auto" w:fill="auto"/>
            <w:vAlign w:val="center"/>
          </w:tcPr>
          <w:p w14:paraId="1101E8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指标说明</w:t>
            </w:r>
          </w:p>
        </w:tc>
      </w:tr>
      <w:tr w14:paraId="13A52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2D4ECC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决策</w:t>
            </w:r>
          </w:p>
        </w:tc>
        <w:tc>
          <w:tcPr>
            <w:tcW w:w="1196" w:type="dxa"/>
            <w:vMerge w:val="restart"/>
            <w:shd w:val="clear" w:color="auto" w:fill="auto"/>
            <w:vAlign w:val="center"/>
          </w:tcPr>
          <w:p w14:paraId="14E08E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w:t>
            </w:r>
          </w:p>
        </w:tc>
        <w:tc>
          <w:tcPr>
            <w:tcW w:w="1050" w:type="dxa"/>
            <w:shd w:val="clear" w:color="auto" w:fill="auto"/>
            <w:vAlign w:val="center"/>
          </w:tcPr>
          <w:p w14:paraId="0E7DB4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立项依据</w:t>
            </w:r>
          </w:p>
          <w:p w14:paraId="066EC9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充分性</w:t>
            </w:r>
          </w:p>
        </w:tc>
        <w:tc>
          <w:tcPr>
            <w:tcW w:w="1996" w:type="dxa"/>
            <w:shd w:val="clear" w:color="auto" w:fill="auto"/>
            <w:vAlign w:val="center"/>
          </w:tcPr>
          <w:p w14:paraId="6A603E6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项目立项是否符合法律法规、相关政策、发展规划以及部门职责，用以反映和考核项目立项依据情况。</w:t>
            </w:r>
          </w:p>
        </w:tc>
        <w:tc>
          <w:tcPr>
            <w:tcW w:w="3793" w:type="dxa"/>
            <w:shd w:val="clear" w:color="auto" w:fill="auto"/>
            <w:vAlign w:val="center"/>
          </w:tcPr>
          <w:p w14:paraId="4F3D7D7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2A21FA0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①项目立项是否符合国家法律法规、国民经济发展规划和相关政策；</w:t>
            </w:r>
          </w:p>
          <w:p w14:paraId="76871D8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②项目立项是否符合行业发展规划和政策要求；</w:t>
            </w:r>
          </w:p>
          <w:p w14:paraId="71990B8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③项目立项是否与部门职责范围相符，属于部门履职所需；</w:t>
            </w:r>
          </w:p>
          <w:p w14:paraId="1DADEAC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④项目是否属于公共财政支持范围，是否符合中央、地方事权支出责任划分原则；</w:t>
            </w:r>
          </w:p>
          <w:p w14:paraId="0EDABA5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⑤项目是否与相关部门同类项目或部门内部相关项目重复。</w:t>
            </w:r>
          </w:p>
        </w:tc>
      </w:tr>
      <w:tr w14:paraId="33926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1075B48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3E39D0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5D21B2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立项程序</w:t>
            </w:r>
          </w:p>
          <w:p w14:paraId="43D7B5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规范性</w:t>
            </w:r>
          </w:p>
        </w:tc>
        <w:tc>
          <w:tcPr>
            <w:tcW w:w="1996" w:type="dxa"/>
            <w:shd w:val="clear" w:color="auto" w:fill="auto"/>
            <w:vAlign w:val="center"/>
          </w:tcPr>
          <w:p w14:paraId="77C0789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项目申请、设立过程是否符合相关要求，用以反映和考核项目立项的规范情况。</w:t>
            </w:r>
          </w:p>
        </w:tc>
        <w:tc>
          <w:tcPr>
            <w:tcW w:w="3793" w:type="dxa"/>
            <w:shd w:val="clear" w:color="auto" w:fill="auto"/>
            <w:vAlign w:val="center"/>
          </w:tcPr>
          <w:p w14:paraId="1803246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5534CCD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①项目是否按照规定的程序申请设立；</w:t>
            </w:r>
          </w:p>
          <w:p w14:paraId="1E9E5B4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②审批文件、材料是否符合相关要求；</w:t>
            </w:r>
          </w:p>
          <w:p w14:paraId="3C6C1E9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③事前是否已经过必要的可行性研究、专家论证、风险评估、绩效评估、集体决策。</w:t>
            </w:r>
          </w:p>
        </w:tc>
      </w:tr>
      <w:tr w14:paraId="7B8AA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51D7F0E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6F9C2A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tc>
        <w:tc>
          <w:tcPr>
            <w:tcW w:w="1050" w:type="dxa"/>
            <w:shd w:val="clear" w:color="auto" w:fill="auto"/>
            <w:vAlign w:val="center"/>
          </w:tcPr>
          <w:p w14:paraId="3DBA2B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p w14:paraId="5D72E6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14:paraId="5A2E95A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项目所设定的绩效目标是否依据充分，是否符合客观实际，用以反映和考核项目绩效目标与项目实施的相符情况。</w:t>
            </w:r>
          </w:p>
        </w:tc>
        <w:tc>
          <w:tcPr>
            <w:tcW w:w="3793" w:type="dxa"/>
            <w:shd w:val="clear" w:color="auto" w:fill="auto"/>
            <w:vAlign w:val="center"/>
          </w:tcPr>
          <w:p w14:paraId="5ABEC3D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7F9D016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（如未设定预算绩效目标，也可考核其他工作任务目标）</w:t>
            </w:r>
          </w:p>
          <w:p w14:paraId="618EB71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①项目是否有绩效目标；</w:t>
            </w:r>
          </w:p>
          <w:p w14:paraId="7D5EF6F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②项目绩效目标与实际工作内容是否具有相关性；</w:t>
            </w:r>
          </w:p>
          <w:p w14:paraId="24FA7EE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③项目预期产出效益和效果是否符合正常的业绩水平；</w:t>
            </w:r>
          </w:p>
          <w:p w14:paraId="38CB8FD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④是否与预算确定的项目投资额或资金量相匹配。</w:t>
            </w:r>
          </w:p>
        </w:tc>
      </w:tr>
      <w:tr w14:paraId="4C308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4BF350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3A0FB4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211FE2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绩效指标</w:t>
            </w:r>
          </w:p>
          <w:p w14:paraId="1CEEE7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明确性</w:t>
            </w:r>
          </w:p>
        </w:tc>
        <w:tc>
          <w:tcPr>
            <w:tcW w:w="1996" w:type="dxa"/>
            <w:shd w:val="clear" w:color="auto" w:fill="auto"/>
            <w:vAlign w:val="center"/>
          </w:tcPr>
          <w:p w14:paraId="2EAC18B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依据绩效目标设定的绩效指标是否清晰、细化、可衡量等，用以反映和考核项目绩效目标的明细化情况。</w:t>
            </w:r>
          </w:p>
        </w:tc>
        <w:tc>
          <w:tcPr>
            <w:tcW w:w="3793" w:type="dxa"/>
            <w:shd w:val="clear" w:color="auto" w:fill="auto"/>
            <w:vAlign w:val="center"/>
          </w:tcPr>
          <w:p w14:paraId="25DA98F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1C27305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①是否将项目绩效目标细化分解为具体的绩效指标；</w:t>
            </w:r>
          </w:p>
          <w:p w14:paraId="7EE6DE4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②是否通过清晰、可衡量的指标值予以体现；</w:t>
            </w:r>
          </w:p>
          <w:p w14:paraId="45DDD7B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③是否与项目目标任务数或计划数相对应。</w:t>
            </w:r>
          </w:p>
        </w:tc>
      </w:tr>
      <w:tr w14:paraId="247B9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7D48F73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49512E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资金投入</w:t>
            </w:r>
          </w:p>
        </w:tc>
        <w:tc>
          <w:tcPr>
            <w:tcW w:w="1050" w:type="dxa"/>
            <w:shd w:val="clear" w:color="auto" w:fill="auto"/>
            <w:vAlign w:val="center"/>
          </w:tcPr>
          <w:p w14:paraId="0692C6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预算编制</w:t>
            </w:r>
          </w:p>
          <w:p w14:paraId="53C075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科学性</w:t>
            </w:r>
          </w:p>
        </w:tc>
        <w:tc>
          <w:tcPr>
            <w:tcW w:w="1996" w:type="dxa"/>
            <w:shd w:val="clear" w:color="auto" w:fill="auto"/>
            <w:vAlign w:val="center"/>
          </w:tcPr>
          <w:p w14:paraId="6DBE24C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03536A0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179C32F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①预算编制是否经过科学论证；</w:t>
            </w:r>
          </w:p>
          <w:p w14:paraId="30F4D47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②预算内容与项目内容是否匹配；</w:t>
            </w:r>
          </w:p>
          <w:p w14:paraId="637FA7B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③预算额度测算依据是否充分，是否按照标准编制；</w:t>
            </w:r>
          </w:p>
          <w:p w14:paraId="7C1DBA1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④预算确定的项目投资额或资金量是否与工作任务相匹配。</w:t>
            </w:r>
          </w:p>
        </w:tc>
      </w:tr>
      <w:tr w14:paraId="503BF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76D525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7023A0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746795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资金分配</w:t>
            </w:r>
          </w:p>
          <w:p w14:paraId="2F72A1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14:paraId="279E791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3FE13DE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28679F6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①预算资金分配依据是否充分；</w:t>
            </w:r>
          </w:p>
          <w:p w14:paraId="4858A51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②资金分配额度是否合理，与项目单位或地方实际是否相适应。</w:t>
            </w:r>
          </w:p>
        </w:tc>
      </w:tr>
      <w:tr w14:paraId="48B6D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646D81DF">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过程</w:t>
            </w:r>
          </w:p>
        </w:tc>
        <w:tc>
          <w:tcPr>
            <w:tcW w:w="1196" w:type="dxa"/>
            <w:vMerge w:val="restart"/>
            <w:shd w:val="clear" w:color="auto" w:fill="auto"/>
            <w:vAlign w:val="center"/>
          </w:tcPr>
          <w:p w14:paraId="16A465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资金管理</w:t>
            </w:r>
          </w:p>
        </w:tc>
        <w:tc>
          <w:tcPr>
            <w:tcW w:w="1050" w:type="dxa"/>
            <w:shd w:val="clear" w:color="auto" w:fill="auto"/>
            <w:vAlign w:val="center"/>
          </w:tcPr>
          <w:p w14:paraId="0E9D35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w:t>
            </w:r>
          </w:p>
        </w:tc>
        <w:tc>
          <w:tcPr>
            <w:tcW w:w="1996" w:type="dxa"/>
            <w:shd w:val="clear" w:color="auto" w:fill="auto"/>
            <w:vAlign w:val="center"/>
          </w:tcPr>
          <w:p w14:paraId="605784E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实际到位资金与预算资金的比率，用以反映和考核资金落实情况对项目实施的总体保障程度。</w:t>
            </w:r>
          </w:p>
        </w:tc>
        <w:tc>
          <w:tcPr>
            <w:tcW w:w="3793" w:type="dxa"/>
            <w:shd w:val="clear" w:color="auto" w:fill="auto"/>
            <w:vAlign w:val="center"/>
          </w:tcPr>
          <w:p w14:paraId="38008E7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资金到位率=（实际到位资金/预算资金）×100%。</w:t>
            </w:r>
          </w:p>
          <w:p w14:paraId="37CCE27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实际到位资金：一定时期（本年度或项目期）内落实到具体项目的资金。</w:t>
            </w:r>
          </w:p>
          <w:p w14:paraId="07A6D8C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预算资金：一定时期（本年度或项目期）内预算安排到具体项目的资金。</w:t>
            </w:r>
          </w:p>
        </w:tc>
      </w:tr>
      <w:tr w14:paraId="38DA0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110567C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47F8216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6AA91A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w:t>
            </w:r>
          </w:p>
        </w:tc>
        <w:tc>
          <w:tcPr>
            <w:tcW w:w="1996" w:type="dxa"/>
            <w:shd w:val="clear" w:color="auto" w:fill="auto"/>
            <w:vAlign w:val="center"/>
          </w:tcPr>
          <w:p w14:paraId="61A3508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项目预算资金是否按照计划执行，用以反映或考核项目预算执行情况。</w:t>
            </w:r>
          </w:p>
        </w:tc>
        <w:tc>
          <w:tcPr>
            <w:tcW w:w="3793" w:type="dxa"/>
            <w:shd w:val="clear" w:color="auto" w:fill="auto"/>
            <w:vAlign w:val="center"/>
          </w:tcPr>
          <w:p w14:paraId="5F801AC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预算执行率=（实际支出资金/实际到位资金）×100%。</w:t>
            </w:r>
          </w:p>
          <w:p w14:paraId="0CC60E1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实际支出资金：一定时期（本年度或项目期）内项目实际拨付的资金。</w:t>
            </w:r>
          </w:p>
        </w:tc>
      </w:tr>
      <w:tr w14:paraId="5014B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0D3D02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1CA19D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1A4647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资金使用</w:t>
            </w:r>
          </w:p>
          <w:p w14:paraId="6FDFC7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合规性</w:t>
            </w:r>
          </w:p>
        </w:tc>
        <w:tc>
          <w:tcPr>
            <w:tcW w:w="1996" w:type="dxa"/>
            <w:shd w:val="clear" w:color="auto" w:fill="auto"/>
            <w:vAlign w:val="center"/>
          </w:tcPr>
          <w:p w14:paraId="2124AC4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项目资金使用是否符合相关的财务管理制度规定，用以反映和考核项目资金的规范运行情况。</w:t>
            </w:r>
          </w:p>
        </w:tc>
        <w:tc>
          <w:tcPr>
            <w:tcW w:w="3793" w:type="dxa"/>
            <w:shd w:val="clear" w:color="auto" w:fill="auto"/>
            <w:vAlign w:val="center"/>
          </w:tcPr>
          <w:p w14:paraId="7582ABD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2FC76EF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①是否符合国家财经法规和财务管理制度以及有关专项资金管理办法的规定；</w:t>
            </w:r>
          </w:p>
          <w:p w14:paraId="4B0D129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②资金的拨付是否有完整的审批程序和手续；</w:t>
            </w:r>
          </w:p>
          <w:p w14:paraId="3C327D2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③是否符合项目预算批复或合同规定的用途；</w:t>
            </w:r>
          </w:p>
          <w:p w14:paraId="58896FB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④是否存在截留、挤占、挪用、虚列支出等情况。</w:t>
            </w:r>
          </w:p>
        </w:tc>
      </w:tr>
      <w:tr w14:paraId="4B33A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6A64754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676AC4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组织实施</w:t>
            </w:r>
          </w:p>
        </w:tc>
        <w:tc>
          <w:tcPr>
            <w:tcW w:w="1050" w:type="dxa"/>
            <w:shd w:val="clear" w:color="auto" w:fill="auto"/>
            <w:vAlign w:val="center"/>
          </w:tcPr>
          <w:p w14:paraId="3B51B4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管理制度</w:t>
            </w:r>
          </w:p>
          <w:p w14:paraId="77773D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健全性</w:t>
            </w:r>
          </w:p>
        </w:tc>
        <w:tc>
          <w:tcPr>
            <w:tcW w:w="1996" w:type="dxa"/>
            <w:shd w:val="clear" w:color="auto" w:fill="auto"/>
            <w:vAlign w:val="center"/>
          </w:tcPr>
          <w:p w14:paraId="72EA6AB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项目实施单位的财务和业务管理制度是否健全，用以反映和考核财务和业务管理制度对项目顺利实施的保障情况。</w:t>
            </w:r>
          </w:p>
        </w:tc>
        <w:tc>
          <w:tcPr>
            <w:tcW w:w="3793" w:type="dxa"/>
            <w:shd w:val="clear" w:color="auto" w:fill="auto"/>
            <w:vAlign w:val="center"/>
          </w:tcPr>
          <w:p w14:paraId="6C71BD6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2A37C53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①是否已制定或具有相应的财务和业务管理制度；</w:t>
            </w:r>
          </w:p>
          <w:p w14:paraId="4EB5F30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②财务和业务管理制度是否合法、合规、完整。</w:t>
            </w:r>
          </w:p>
        </w:tc>
      </w:tr>
      <w:tr w14:paraId="317F5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7DF528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1E99EB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34E5CF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制度执行</w:t>
            </w:r>
          </w:p>
          <w:p w14:paraId="067ECE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有效性</w:t>
            </w:r>
          </w:p>
        </w:tc>
        <w:tc>
          <w:tcPr>
            <w:tcW w:w="1996" w:type="dxa"/>
            <w:shd w:val="clear" w:color="auto" w:fill="auto"/>
            <w:vAlign w:val="center"/>
          </w:tcPr>
          <w:p w14:paraId="2C66F80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项目实施是否符合相关管理规定，用以反映和考核相关管理制度的有效执行情况。</w:t>
            </w:r>
          </w:p>
        </w:tc>
        <w:tc>
          <w:tcPr>
            <w:tcW w:w="3793" w:type="dxa"/>
            <w:shd w:val="clear" w:color="auto" w:fill="auto"/>
            <w:vAlign w:val="center"/>
          </w:tcPr>
          <w:p w14:paraId="0CF86D1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0EAE012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①是否遵守相关法律法规和相关管理规定；</w:t>
            </w:r>
          </w:p>
          <w:p w14:paraId="71EB6BA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②项目调整及支出调整手续是否完备；</w:t>
            </w:r>
          </w:p>
          <w:p w14:paraId="424ACB4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③项目合同书、验收报告、技术鉴定等资料是否齐全并及时归档；</w:t>
            </w:r>
          </w:p>
          <w:p w14:paraId="0BF15AA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④项目实施的人员条件、场地设备、信息支撑等是否落实到位。</w:t>
            </w:r>
          </w:p>
        </w:tc>
      </w:tr>
      <w:tr w14:paraId="469F5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12B316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w:t>
            </w:r>
          </w:p>
        </w:tc>
        <w:tc>
          <w:tcPr>
            <w:tcW w:w="1196" w:type="dxa"/>
            <w:shd w:val="clear" w:color="auto" w:fill="auto"/>
            <w:vAlign w:val="center"/>
          </w:tcPr>
          <w:p w14:paraId="2E606B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产出数量</w:t>
            </w:r>
          </w:p>
        </w:tc>
        <w:tc>
          <w:tcPr>
            <w:tcW w:w="1050" w:type="dxa"/>
            <w:shd w:val="clear" w:color="auto" w:fill="auto"/>
            <w:vAlign w:val="center"/>
          </w:tcPr>
          <w:p w14:paraId="08F68B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w:t>
            </w:r>
          </w:p>
        </w:tc>
        <w:tc>
          <w:tcPr>
            <w:tcW w:w="1996" w:type="dxa"/>
            <w:shd w:val="clear" w:color="auto" w:fill="auto"/>
            <w:vAlign w:val="center"/>
          </w:tcPr>
          <w:p w14:paraId="3E8C02C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项目实施的实际产出数与计划产出数的比率，用以反映和考核项目产出数量目标的实现程度。</w:t>
            </w:r>
          </w:p>
        </w:tc>
        <w:tc>
          <w:tcPr>
            <w:tcW w:w="3793" w:type="dxa"/>
            <w:shd w:val="clear" w:color="auto" w:fill="auto"/>
            <w:vAlign w:val="center"/>
          </w:tcPr>
          <w:p w14:paraId="07EA83F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实际完成率=（实际产出数/计划产出数）×100%。</w:t>
            </w:r>
          </w:p>
          <w:p w14:paraId="7DD66BA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实际产出数：一定时期（本年度或项目期）内项目实际产出的产品或提供的服务数量。</w:t>
            </w:r>
          </w:p>
          <w:p w14:paraId="7C34041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计划产出数：项目绩效目标确定的在一定时期（本年度或项目期）内计划产出的产品或提供的服务数量。</w:t>
            </w:r>
          </w:p>
        </w:tc>
      </w:tr>
      <w:tr w14:paraId="08119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460A79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722D01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产出质量</w:t>
            </w:r>
          </w:p>
        </w:tc>
        <w:tc>
          <w:tcPr>
            <w:tcW w:w="1050" w:type="dxa"/>
            <w:shd w:val="clear" w:color="auto" w:fill="auto"/>
            <w:vAlign w:val="center"/>
          </w:tcPr>
          <w:p w14:paraId="739A3D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w:t>
            </w:r>
          </w:p>
        </w:tc>
        <w:tc>
          <w:tcPr>
            <w:tcW w:w="1996" w:type="dxa"/>
            <w:shd w:val="clear" w:color="auto" w:fill="auto"/>
            <w:vAlign w:val="center"/>
          </w:tcPr>
          <w:p w14:paraId="3DAABB3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项目完成的质量达标产出数与实际产出数的比率，用以反映和考核项目产出质量目标的实现程度。</w:t>
            </w:r>
          </w:p>
        </w:tc>
        <w:tc>
          <w:tcPr>
            <w:tcW w:w="3793" w:type="dxa"/>
            <w:shd w:val="clear" w:color="auto" w:fill="auto"/>
            <w:vAlign w:val="center"/>
          </w:tcPr>
          <w:p w14:paraId="07AD4CE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质量达标率=（质量达标产出数/实际产出数）×100%。</w:t>
            </w:r>
          </w:p>
          <w:p w14:paraId="648B9B0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779C4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5EF7870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7A2B6B7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产出时效</w:t>
            </w:r>
          </w:p>
        </w:tc>
        <w:tc>
          <w:tcPr>
            <w:tcW w:w="1050" w:type="dxa"/>
            <w:shd w:val="clear" w:color="auto" w:fill="auto"/>
            <w:vAlign w:val="center"/>
          </w:tcPr>
          <w:p w14:paraId="438C2F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完成及时性</w:t>
            </w:r>
          </w:p>
        </w:tc>
        <w:tc>
          <w:tcPr>
            <w:tcW w:w="1996" w:type="dxa"/>
            <w:shd w:val="clear" w:color="auto" w:fill="auto"/>
            <w:vAlign w:val="center"/>
          </w:tcPr>
          <w:p w14:paraId="53D1660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项目实际完成时间与计划完成时间的比较，用以反映和考核项目产出时效目标的实现程度。</w:t>
            </w:r>
          </w:p>
        </w:tc>
        <w:tc>
          <w:tcPr>
            <w:tcW w:w="3793" w:type="dxa"/>
            <w:shd w:val="clear" w:color="auto" w:fill="auto"/>
            <w:vAlign w:val="center"/>
          </w:tcPr>
          <w:p w14:paraId="1E90082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实际完成时间：项目实施单位完成该项目实际所耗用的时间。</w:t>
            </w:r>
          </w:p>
          <w:p w14:paraId="3BDC2CD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计划完成时间：按照项目实施计划或相关规定完成该项目所需的时间。</w:t>
            </w:r>
          </w:p>
        </w:tc>
      </w:tr>
      <w:tr w14:paraId="193DD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72057A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2B2335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产出成本</w:t>
            </w:r>
          </w:p>
        </w:tc>
        <w:tc>
          <w:tcPr>
            <w:tcW w:w="1050" w:type="dxa"/>
            <w:shd w:val="clear" w:color="auto" w:fill="auto"/>
            <w:vAlign w:val="center"/>
          </w:tcPr>
          <w:p w14:paraId="0F644E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w:t>
            </w:r>
          </w:p>
        </w:tc>
        <w:tc>
          <w:tcPr>
            <w:tcW w:w="1996" w:type="dxa"/>
            <w:shd w:val="clear" w:color="auto" w:fill="auto"/>
            <w:vAlign w:val="center"/>
          </w:tcPr>
          <w:p w14:paraId="766AF72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完成项目计划工作目标的实际节约成本与计划成本的比率，用以反映和考核项目的成本节约程度。</w:t>
            </w:r>
          </w:p>
        </w:tc>
        <w:tc>
          <w:tcPr>
            <w:tcW w:w="3793" w:type="dxa"/>
            <w:shd w:val="clear" w:color="auto" w:fill="auto"/>
            <w:vAlign w:val="center"/>
          </w:tcPr>
          <w:p w14:paraId="0899847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成本节约率=[（计划成本-实际成本）/计划成本]×100%。</w:t>
            </w:r>
          </w:p>
          <w:p w14:paraId="150BD26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实际成本：项目实施单位如期、保质、保量完成既定工作目标实际所耗费的支出。</w:t>
            </w:r>
          </w:p>
          <w:p w14:paraId="39D03B1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计划成本：项目实施单位为完成工作目标计划安排的支出，一般以项目预算为参考。</w:t>
            </w:r>
          </w:p>
        </w:tc>
      </w:tr>
      <w:tr w14:paraId="01472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4AF054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效益</w:t>
            </w:r>
          </w:p>
        </w:tc>
        <w:tc>
          <w:tcPr>
            <w:tcW w:w="1196" w:type="dxa"/>
            <w:vMerge w:val="restart"/>
            <w:shd w:val="clear" w:color="auto" w:fill="auto"/>
            <w:vAlign w:val="center"/>
          </w:tcPr>
          <w:p w14:paraId="3918AE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项目效益</w:t>
            </w:r>
          </w:p>
        </w:tc>
        <w:tc>
          <w:tcPr>
            <w:tcW w:w="1050" w:type="dxa"/>
            <w:shd w:val="clear" w:color="auto" w:fill="auto"/>
            <w:vAlign w:val="center"/>
          </w:tcPr>
          <w:p w14:paraId="608242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实施效益</w:t>
            </w:r>
          </w:p>
        </w:tc>
        <w:tc>
          <w:tcPr>
            <w:tcW w:w="1996" w:type="dxa"/>
            <w:shd w:val="clear" w:color="auto" w:fill="auto"/>
            <w:vAlign w:val="center"/>
          </w:tcPr>
          <w:p w14:paraId="3FB232B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项目实施所产生的效益。</w:t>
            </w:r>
          </w:p>
        </w:tc>
        <w:tc>
          <w:tcPr>
            <w:tcW w:w="3793" w:type="dxa"/>
            <w:shd w:val="clear" w:color="auto" w:fill="auto"/>
            <w:vAlign w:val="center"/>
          </w:tcPr>
          <w:p w14:paraId="3004134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项目实施所产生的社会效益、经济效益、生态效益、可持续影响等。可根据项目实际情况有选择地设置和细化。</w:t>
            </w:r>
          </w:p>
        </w:tc>
      </w:tr>
      <w:tr w14:paraId="494F5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2D7BC2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2CCE52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33FDE0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满意度</w:t>
            </w:r>
          </w:p>
        </w:tc>
        <w:tc>
          <w:tcPr>
            <w:tcW w:w="1996" w:type="dxa"/>
            <w:shd w:val="clear" w:color="auto" w:fill="auto"/>
            <w:vAlign w:val="center"/>
          </w:tcPr>
          <w:p w14:paraId="1F46F28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社会公众或服务对象对项目实施效果的满意程度。</w:t>
            </w:r>
          </w:p>
        </w:tc>
        <w:tc>
          <w:tcPr>
            <w:tcW w:w="3793" w:type="dxa"/>
            <w:shd w:val="clear" w:color="auto" w:fill="auto"/>
            <w:vAlign w:val="center"/>
          </w:tcPr>
          <w:p w14:paraId="129269C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社会公众或服务对象是指因该项目实施而受到影响的部门（单位）、群体或个人。一般采取社会调查的方式。</w:t>
            </w:r>
          </w:p>
        </w:tc>
      </w:tr>
    </w:tbl>
    <w:p w14:paraId="75C453B5">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0" w:name="_Toc994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14:textFill>
            <w14:solidFill>
              <w14:schemeClr w14:val="tx1"/>
            </w14:solidFill>
          </w14:textFill>
        </w:rPr>
        <w:t>评价</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方法</w:t>
      </w:r>
      <w:bookmarkEnd w:id="30"/>
    </w:p>
    <w:p w14:paraId="7CCD263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14:textFill>
            <w14:solidFill>
              <w14:schemeClr w14:val="tx1"/>
            </w14:solidFill>
          </w14:textFill>
        </w:rPr>
        <w:t>本次绩效评价采用的方法</w:t>
      </w:r>
      <w:r>
        <w:rPr>
          <w:rFonts w:hint="eastAsia" w:cs="宋体"/>
          <w:color w:val="000000" w:themeColor="text1"/>
          <w:highlight w:val="none"/>
          <w:shd w:val="clear" w:color="auto" w:fill="auto"/>
          <w:lang w:val="en-US" w:eastAsia="zh-CN"/>
          <w14:textFill>
            <w14:solidFill>
              <w14:schemeClr w14:val="tx1"/>
            </w14:solidFill>
          </w14:textFill>
        </w:rPr>
        <w:t>为</w:t>
      </w:r>
      <w:r>
        <w:rPr>
          <w:rFonts w:hint="eastAsia" w:ascii="宋体" w:hAnsi="宋体" w:eastAsia="宋体" w:cs="宋体"/>
          <w:color w:val="000000" w:themeColor="text1"/>
          <w:highlight w:val="none"/>
          <w:shd w:val="clear" w:color="auto" w:fill="auto"/>
          <w14:textFill>
            <w14:solidFill>
              <w14:schemeClr w14:val="tx1"/>
            </w14:solidFill>
          </w14:textFill>
        </w:rPr>
        <w:t>比较法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、因素分析法、公众评判法</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对项目绩效目标</w:t>
      </w:r>
      <w:r>
        <w:rPr>
          <w:rFonts w:hint="eastAsia" w:cs="宋体"/>
          <w:color w:val="000000" w:themeColor="text1"/>
          <w:highlight w:val="none"/>
          <w:shd w:val="clear" w:color="auto" w:fill="auto"/>
          <w:lang w:val="en-US" w:eastAsia="zh-CN"/>
          <w14:textFill>
            <w14:solidFill>
              <w14:schemeClr w14:val="tx1"/>
            </w14:solidFill>
          </w14:textFill>
        </w:rPr>
        <w:t>预</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期目标值与实施情况进行比较，以及采取公众问卷及抽样调查等方式进行评判的方法对现代职业教育质量提升项目项目进行评价。</w:t>
      </w:r>
    </w:p>
    <w:p w14:paraId="15744661">
      <w:pPr>
        <w:pStyle w:val="4"/>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1" w:name="_Toc2539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4.评价标准</w:t>
      </w:r>
      <w:bookmarkEnd w:id="31"/>
    </w:p>
    <w:p w14:paraId="6B11A74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（1）计划标准。指以预先制定的目标、计划、预算、定额等作为评价标准。</w:t>
      </w:r>
    </w:p>
    <w:p w14:paraId="1372BF2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（2）行业标准。指参照国家公布的行业指标数据制定的评价标准。</w:t>
      </w:r>
    </w:p>
    <w:p w14:paraId="7D97319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（3）历史标准。指参照历史数据制定的评价标准，为体现绩效改进的原则，在可实现的条件下应当确定相对较高的评价标准。</w:t>
      </w:r>
    </w:p>
    <w:p w14:paraId="21F085CA">
      <w:pP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（4）财政部门和预算部门确认或认可的其他标准。</w:t>
      </w:r>
    </w:p>
    <w:p w14:paraId="0A35B455">
      <w:pPr>
        <w:pStyle w:val="4"/>
        <w:outlineLvl w:val="1"/>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2" w:name="_Toc1070"/>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（三）绩效评价工作过程</w:t>
      </w:r>
      <w:bookmarkEnd w:id="32"/>
    </w:p>
    <w:p w14:paraId="14DEB7EE">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3" w:name="_Toc1286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1.前期准备</w:t>
      </w:r>
      <w:bookmarkEnd w:id="33"/>
    </w:p>
    <w:p w14:paraId="44667D3E">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（1）成立绩效评价项目小组</w:t>
      </w:r>
    </w:p>
    <w:p w14:paraId="622A04B6">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为确保该项目绩效评价的顺利实施，评价机构组建了绩效评价项目小组。项目小组负责建立联络制度、明确评价责任人、制定评价方案、实施具体评价等工作。</w:t>
      </w:r>
    </w:p>
    <w:p w14:paraId="6AC0FC35">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4" w:name="_Toc3157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（2）开展前期调研</w:t>
      </w:r>
      <w:bookmarkEnd w:id="34"/>
    </w:p>
    <w:p w14:paraId="4FD9FB90">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5" w:name="_Toc21240"/>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据此次绩效评价受委托内容，对拟评价的项目实施前期调研。通过调研对现代职业教育质量提升项目项目实施内容、目标信息、预算信息以及其他的一些项目基本信息，有了初步了解，为制定绩效评价工作方案做好准备。</w:t>
      </w:r>
      <w:bookmarkEnd w:id="35"/>
    </w:p>
    <w:p w14:paraId="648CA12B">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6" w:name="_Toc2797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（3）制订绩效评价工作方案</w:t>
      </w:r>
      <w:bookmarkEnd w:id="36"/>
    </w:p>
    <w:p w14:paraId="07116BF7">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7" w:name="_Toc196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绩效评价项目小组根据有关规定和评价对象的特点以及前期调研收集的一些信息，拟定详细的绩效评价工作方案</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bookmarkEnd w:id="37"/>
    </w:p>
    <w:p w14:paraId="2E9D431F">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8" w:name="_Toc1135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2.具体实施</w:t>
      </w:r>
      <w:bookmarkEnd w:id="38"/>
    </w:p>
    <w:p w14:paraId="51F35FEC">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9" w:name="_Toc141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（1）收集基础资料</w:t>
      </w:r>
      <w:bookmarkEnd w:id="39"/>
    </w:p>
    <w:p w14:paraId="6B1CAEF7">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0" w:name="_Toc28524"/>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根据评价工作的需要和要求，在前期调研的基础上，通过多种渠道全面收集项目基础信息资料，主要包括：</w:t>
      </w:r>
      <w:bookmarkEnd w:id="40"/>
    </w:p>
    <w:p w14:paraId="3D480AE1">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1" w:name="_Toc32216"/>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①被评价单位基本概况，如单位职能、事业发展规划、预决算情况、项目立项依据等；</w:t>
      </w:r>
      <w:bookmarkEnd w:id="41"/>
    </w:p>
    <w:p w14:paraId="510C9166">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2" w:name="_Toc1050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②绩效目标及其设立依据和调整情况；</w:t>
      </w:r>
      <w:bookmarkEnd w:id="42"/>
    </w:p>
    <w:p w14:paraId="04FE654E">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3" w:name="_Toc2836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③管理措施及组织实施情况；</w:t>
      </w:r>
      <w:bookmarkEnd w:id="43"/>
    </w:p>
    <w:p w14:paraId="64E337B3">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4" w:name="_Toc1009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④被评价单位总结分析的绩效目标完成情况及绩效报告；</w:t>
      </w:r>
      <w:bookmarkEnd w:id="44"/>
    </w:p>
    <w:p w14:paraId="5CAB6AB2">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5" w:name="_Toc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⑤与绩效评价相关的计划标准、行业标准、历史标准等；</w:t>
      </w:r>
      <w:bookmarkEnd w:id="45"/>
    </w:p>
    <w:p w14:paraId="79B67EDA">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6" w:name="_Toc20059"/>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⑥</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其他必要的相关资料等。</w:t>
      </w:r>
      <w:bookmarkEnd w:id="46"/>
    </w:p>
    <w:p w14:paraId="22FE43E6">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7" w:name="_Toc319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（2）整理、研读基础资料</w:t>
      </w:r>
      <w:bookmarkEnd w:id="47"/>
    </w:p>
    <w:p w14:paraId="1C8E1F3F">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8" w:name="_Toc16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7941C0F3">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9" w:name="_Toc3051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分析评价和撰写报告</w:t>
      </w:r>
      <w:bookmarkEnd w:id="49"/>
    </w:p>
    <w:p w14:paraId="0B5ADCD1">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0" w:name="_Toc15974"/>
      <w:r>
        <w:rPr>
          <w:rFonts w:hint="eastAsia"/>
          <w:b w:val="0"/>
          <w:bCs w:val="0"/>
          <w:sz w:val="28"/>
          <w:szCs w:val="28"/>
          <w:highlight w:val="none"/>
        </w:rPr>
        <w:t>（</w:t>
      </w:r>
      <w:r>
        <w:rPr>
          <w:rFonts w:hint="eastAsia" w:ascii="宋体" w:hAnsi="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1</w:t>
      </w: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）综合分析评价</w:t>
      </w:r>
      <w:bookmarkEnd w:id="50"/>
    </w:p>
    <w:p w14:paraId="33670F96">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1" w:name="_Toc4352"/>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①根据所收集的基础资料，结合现场核查的有关情况，整理出绩效评价所需的项目材料和基础数据。</w:t>
      </w:r>
      <w:bookmarkEnd w:id="51"/>
    </w:p>
    <w:p w14:paraId="5483839C">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000000" w:themeColor="text1"/>
          <w:kern w:val="2"/>
          <w:sz w:val="28"/>
          <w:szCs w:val="24"/>
          <w:highlight w:val="none"/>
          <w:shd w:val="clear" w:color="auto" w:fill="auto"/>
          <w:lang w:val="en-US" w:eastAsia="zh-CN" w:bidi="ar-SA"/>
          <w14:textFill>
            <w14:solidFill>
              <w14:schemeClr w14:val="tx1"/>
            </w14:solidFill>
          </w14:textFill>
        </w:rPr>
      </w:pPr>
      <w:bookmarkStart w:id="52" w:name="_Toc26231"/>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②将初步评价结论、调整</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事项、专家咨询意见和有关说明等</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提交单位内部讨论</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并征求意见。之后，对所征求的意见及时地进行收集和整理。</w:t>
      </w:r>
      <w:bookmarkEnd w:id="52"/>
    </w:p>
    <w:p w14:paraId="2C859CD6">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3" w:name="_Toc277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）撰写报告</w:t>
      </w:r>
      <w:bookmarkEnd w:id="53"/>
    </w:p>
    <w:p w14:paraId="66585EDB">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4" w:name="_Toc1557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最终</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形成评价结果。</w:t>
      </w:r>
      <w:bookmarkEnd w:id="54"/>
    </w:p>
    <w:p w14:paraId="3B9B239B">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55" w:name="_Toc1100"/>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b/>
          <w:bCs/>
          <w:color w:val="000000" w:themeColor="text1"/>
          <w:highlight w:val="none"/>
          <w:shd w:val="clear" w:color="auto" w:fill="auto"/>
          <w14:textFill>
            <w14:solidFill>
              <w14:schemeClr w14:val="tx1"/>
            </w14:solidFill>
          </w14:textFill>
        </w:rPr>
        <w:t>综合评价情况及评价结论</w:t>
      </w:r>
      <w:bookmarkEnd w:id="55"/>
    </w:p>
    <w:p w14:paraId="6BBE1AC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此次绩效评价</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通过组论证的评价指标体系及评分标准，采用的方法比较法</w:t>
      </w:r>
      <w:r>
        <w:rPr>
          <w:rFonts w:hint="eastAsia" w:ascii="宋体" w:hAnsi="宋体" w:eastAsia="宋体" w:cs="宋体"/>
          <w:color w:val="000000" w:themeColor="text1"/>
          <w:highlight w:val="none"/>
          <w:shd w:val="clear" w:color="auto" w:fill="auto"/>
          <w:lang w:val="zh-TW" w:eastAsia="zh-CN"/>
          <w14:textFill>
            <w14:solidFill>
              <w14:schemeClr w14:val="tx1"/>
            </w14:solidFill>
          </w14:textFill>
        </w:rPr>
        <w:t>、因素分析法、公众评判</w:t>
      </w:r>
      <w:r>
        <w:rPr>
          <w:rFonts w:hint="eastAsia" w:ascii="宋体" w:hAnsi="宋体" w:eastAsia="宋体" w:cs="宋体"/>
          <w:color w:val="auto"/>
          <w:highlight w:val="none"/>
          <w:shd w:val="clear" w:color="auto" w:fill="auto"/>
          <w:lang w:val="zh-TW" w:eastAsia="zh-CN"/>
        </w:rPr>
        <w:t>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现代职业教育质量提升项目</w:t>
      </w:r>
      <w:r>
        <w:rPr>
          <w:rFonts w:hint="eastAsia" w:ascii="宋体" w:hAnsi="宋体" w:eastAsia="宋体" w:cs="宋体"/>
          <w:color w:val="auto"/>
          <w:highlight w:val="none"/>
          <w:shd w:val="clear" w:color="auto" w:fill="auto"/>
          <w:lang w:val="zh-TW"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99.5</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color w:val="auto"/>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2"/>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699CCA92">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602C65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ascii="宋体" w:hAnsi="宋体" w:eastAsia="宋体" w:cs="宋体"/>
                <w:b/>
                <w:color w:val="auto"/>
                <w:kern w:val="2"/>
                <w:sz w:val="28"/>
                <w:szCs w:val="28"/>
                <w:highlight w:val="none"/>
                <w:shd w:val="clear" w:color="auto" w:fill="auto"/>
                <w:lang w:val="en-US" w:eastAsia="zh-CN"/>
              </w:rPr>
              <w:t>现代职业教育质量提升项目项目得分表</w:t>
            </w:r>
          </w:p>
        </w:tc>
      </w:tr>
      <w:tr w14:paraId="3382C2BD">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F4C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62C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EDC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530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DBF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5AD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3E7810EB">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C63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5B8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168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3F9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D49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1CA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5D52EF49">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844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756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19.5</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3FE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68E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2B4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A79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99.5</w:t>
            </w:r>
          </w:p>
        </w:tc>
      </w:tr>
      <w:tr w14:paraId="12AC3DC8">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15D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4A3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97.5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DFC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500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431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8CA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14:paraId="71AA3A91">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169CACCB">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000000" w:themeColor="text1"/>
          <w:highlight w:val="none"/>
          <w:shd w:val="clear" w:color="auto" w:fill="auto"/>
          <w14:textFill>
            <w14:solidFill>
              <w14:schemeClr w14:val="tx1"/>
            </w14:solidFill>
          </w14:textFill>
        </w:rPr>
        <w:t>（一）项目</w:t>
      </w:r>
      <w:r>
        <w:rPr>
          <w:rFonts w:hint="eastAsia" w:ascii="宋体" w:hAnsi="宋体" w:eastAsia="宋体" w:cs="宋体"/>
          <w:color w:val="auto"/>
          <w:highlight w:val="none"/>
          <w:shd w:val="clear" w:color="auto" w:fill="auto"/>
        </w:rPr>
        <w:t>决策情况</w:t>
      </w:r>
      <w:bookmarkEnd w:id="57"/>
    </w:p>
    <w:p w14:paraId="30B5D994">
      <w:pPr>
        <w:keepNext w:val="0"/>
        <w:keepLines w:val="0"/>
        <w:pageBreakBefore w:val="0"/>
        <w:widowControl/>
        <w:kinsoku/>
        <w:wordWrap/>
        <w:overflowPunct/>
        <w:topLinePunct w:val="0"/>
        <w:autoSpaceDE/>
        <w:autoSpaceDN/>
        <w:bidi w:val="0"/>
        <w:adjustRightInd/>
        <w:snapToGrid w:val="0"/>
        <w:spacing w:line="560" w:lineRule="exact"/>
        <w:ind w:firstLine="560" w:firstLineChars="200"/>
        <w:jc w:val="left"/>
        <w:textAlignment w:val="auto"/>
        <w:rPr>
          <w:rFonts w:hint="eastAsia" w:cs="宋体"/>
          <w:b/>
          <w:bCs/>
          <w:color w:val="FF0000"/>
          <w:kern w:val="0"/>
          <w:sz w:val="28"/>
          <w:szCs w:val="28"/>
          <w:highlight w:val="none"/>
          <w:shd w:val="clear" w:color="auto" w:fill="auto"/>
          <w:lang w:val="zh-TW"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19.5</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032EBA66">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4-1</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项目决策指标及分值</w:t>
      </w:r>
    </w:p>
    <w:tbl>
      <w:tblPr>
        <w:tblStyle w:val="12"/>
        <w:tblW w:w="84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0B14C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499" w:hRule="atLeast"/>
          <w:tblHeader/>
          <w:jc w:val="center"/>
        </w:trPr>
        <w:tc>
          <w:tcPr>
            <w:tcW w:w="1077" w:type="dxa"/>
            <w:shd w:val="clear" w:color="auto" w:fill="auto"/>
            <w:tcMar>
              <w:top w:w="12" w:type="dxa"/>
              <w:left w:w="12" w:type="dxa"/>
              <w:right w:w="12" w:type="dxa"/>
            </w:tcMar>
            <w:vAlign w:val="center"/>
          </w:tcPr>
          <w:p w14:paraId="5261B5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60" w:type="dxa"/>
            <w:shd w:val="clear" w:color="auto" w:fill="auto"/>
            <w:tcMar>
              <w:top w:w="12" w:type="dxa"/>
              <w:left w:w="12" w:type="dxa"/>
              <w:right w:w="12" w:type="dxa"/>
            </w:tcMar>
            <w:vAlign w:val="center"/>
          </w:tcPr>
          <w:p w14:paraId="549CA4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shd w:val="clear" w:color="auto" w:fill="auto"/>
            <w:tcMar>
              <w:top w:w="12" w:type="dxa"/>
              <w:left w:w="12" w:type="dxa"/>
              <w:right w:w="12" w:type="dxa"/>
            </w:tcMar>
            <w:vAlign w:val="center"/>
          </w:tcPr>
          <w:p w14:paraId="668F2F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794" w:type="dxa"/>
            <w:shd w:val="clear" w:color="auto" w:fill="auto"/>
            <w:tcMar>
              <w:top w:w="12" w:type="dxa"/>
              <w:left w:w="12" w:type="dxa"/>
              <w:right w:w="12" w:type="dxa"/>
            </w:tcMar>
            <w:vAlign w:val="center"/>
          </w:tcPr>
          <w:p w14:paraId="303E60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71" w:type="dxa"/>
            <w:gridSpan w:val="2"/>
            <w:shd w:val="clear" w:color="auto" w:fill="auto"/>
            <w:tcMar>
              <w:top w:w="12" w:type="dxa"/>
              <w:left w:w="12" w:type="dxa"/>
              <w:right w:w="12" w:type="dxa"/>
            </w:tcMar>
            <w:vAlign w:val="center"/>
          </w:tcPr>
          <w:p w14:paraId="2CF2A2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17" w:type="dxa"/>
            <w:gridSpan w:val="2"/>
            <w:shd w:val="clear" w:color="auto" w:fill="auto"/>
            <w:tcMar>
              <w:top w:w="12" w:type="dxa"/>
              <w:left w:w="12" w:type="dxa"/>
              <w:right w:w="12" w:type="dxa"/>
            </w:tcMar>
            <w:vAlign w:val="center"/>
          </w:tcPr>
          <w:p w14:paraId="4CB94D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77" w:type="dxa"/>
            <w:gridSpan w:val="2"/>
            <w:shd w:val="clear" w:color="auto" w:fill="auto"/>
            <w:tcMar>
              <w:top w:w="12" w:type="dxa"/>
              <w:left w:w="12" w:type="dxa"/>
              <w:right w:w="12" w:type="dxa"/>
            </w:tcMar>
            <w:vAlign w:val="center"/>
          </w:tcPr>
          <w:p w14:paraId="5C8F96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4DE80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restart"/>
            <w:shd w:val="clear" w:color="auto" w:fill="auto"/>
            <w:tcMar>
              <w:top w:w="12" w:type="dxa"/>
              <w:left w:w="12" w:type="dxa"/>
              <w:right w:w="12" w:type="dxa"/>
            </w:tcMar>
            <w:vAlign w:val="center"/>
          </w:tcPr>
          <w:p w14:paraId="68E901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项目决策</w:t>
            </w:r>
          </w:p>
        </w:tc>
        <w:tc>
          <w:tcPr>
            <w:tcW w:w="960" w:type="dxa"/>
            <w:vMerge w:val="restart"/>
            <w:shd w:val="clear" w:color="auto" w:fill="auto"/>
            <w:tcMar>
              <w:top w:w="12" w:type="dxa"/>
              <w:left w:w="12" w:type="dxa"/>
              <w:right w:w="12" w:type="dxa"/>
            </w:tcMar>
            <w:vAlign w:val="center"/>
          </w:tcPr>
          <w:p w14:paraId="1E14BA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shd w:val="clear" w:color="auto" w:fill="auto"/>
            <w:tcMar>
              <w:top w:w="12" w:type="dxa"/>
              <w:left w:w="12" w:type="dxa"/>
              <w:right w:w="12" w:type="dxa"/>
            </w:tcMar>
            <w:vAlign w:val="center"/>
          </w:tcPr>
          <w:p w14:paraId="443404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项目立项</w:t>
            </w:r>
          </w:p>
        </w:tc>
        <w:tc>
          <w:tcPr>
            <w:tcW w:w="794" w:type="dxa"/>
            <w:vMerge w:val="restart"/>
            <w:shd w:val="clear" w:color="auto" w:fill="auto"/>
            <w:tcMar>
              <w:top w:w="12" w:type="dxa"/>
              <w:left w:w="12" w:type="dxa"/>
              <w:right w:w="12" w:type="dxa"/>
            </w:tcMar>
            <w:vAlign w:val="center"/>
          </w:tcPr>
          <w:p w14:paraId="03C0E5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shd w:val="clear" w:color="auto" w:fill="auto"/>
            <w:tcMar>
              <w:top w:w="12" w:type="dxa"/>
              <w:left w:w="12" w:type="dxa"/>
              <w:right w:w="12" w:type="dxa"/>
            </w:tcMar>
            <w:vAlign w:val="center"/>
          </w:tcPr>
          <w:p w14:paraId="529A24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立项依据充分性</w:t>
            </w:r>
          </w:p>
        </w:tc>
        <w:tc>
          <w:tcPr>
            <w:tcW w:w="1417" w:type="dxa"/>
            <w:gridSpan w:val="2"/>
            <w:shd w:val="clear" w:color="auto" w:fill="auto"/>
            <w:tcMar>
              <w:top w:w="12" w:type="dxa"/>
              <w:left w:w="12" w:type="dxa"/>
              <w:right w:w="12" w:type="dxa"/>
            </w:tcMar>
            <w:vAlign w:val="center"/>
          </w:tcPr>
          <w:p w14:paraId="35DDCB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shd w:val="clear" w:color="auto" w:fill="auto"/>
            <w:tcMar>
              <w:top w:w="12" w:type="dxa"/>
              <w:left w:w="12" w:type="dxa"/>
              <w:right w:w="12" w:type="dxa"/>
            </w:tcMar>
            <w:vAlign w:val="center"/>
          </w:tcPr>
          <w:p w14:paraId="09A8C1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485EB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615BBA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6A1AD5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shd w:val="clear" w:color="auto" w:fill="auto"/>
            <w:tcMar>
              <w:top w:w="12" w:type="dxa"/>
              <w:left w:w="12" w:type="dxa"/>
              <w:right w:w="12" w:type="dxa"/>
            </w:tcMar>
            <w:vAlign w:val="center"/>
          </w:tcPr>
          <w:p w14:paraId="151F99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shd w:val="clear" w:color="auto" w:fill="auto"/>
            <w:tcMar>
              <w:top w:w="12" w:type="dxa"/>
              <w:left w:w="12" w:type="dxa"/>
              <w:right w:w="12" w:type="dxa"/>
            </w:tcMar>
            <w:vAlign w:val="center"/>
          </w:tcPr>
          <w:p w14:paraId="7DF896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shd w:val="clear" w:color="auto" w:fill="auto"/>
            <w:tcMar>
              <w:top w:w="12" w:type="dxa"/>
              <w:left w:w="12" w:type="dxa"/>
              <w:right w:w="12" w:type="dxa"/>
            </w:tcMar>
            <w:vAlign w:val="center"/>
          </w:tcPr>
          <w:p w14:paraId="5D0DA8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立项程序规范性</w:t>
            </w:r>
          </w:p>
        </w:tc>
        <w:tc>
          <w:tcPr>
            <w:tcW w:w="1417" w:type="dxa"/>
            <w:gridSpan w:val="2"/>
            <w:shd w:val="clear" w:color="auto" w:fill="auto"/>
            <w:tcMar>
              <w:top w:w="12" w:type="dxa"/>
              <w:left w:w="12" w:type="dxa"/>
              <w:right w:w="12" w:type="dxa"/>
            </w:tcMar>
            <w:vAlign w:val="center"/>
          </w:tcPr>
          <w:p w14:paraId="4C872B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shd w:val="clear" w:color="auto" w:fill="auto"/>
            <w:tcMar>
              <w:top w:w="12" w:type="dxa"/>
              <w:left w:w="12" w:type="dxa"/>
              <w:right w:w="12" w:type="dxa"/>
            </w:tcMar>
            <w:vAlign w:val="center"/>
          </w:tcPr>
          <w:p w14:paraId="6C15F5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r>
      <w:tr w14:paraId="1C439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60F6D6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5B5250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shd w:val="clear" w:color="auto" w:fill="auto"/>
            <w:tcMar>
              <w:top w:w="12" w:type="dxa"/>
              <w:left w:w="12" w:type="dxa"/>
              <w:right w:w="12" w:type="dxa"/>
            </w:tcMar>
            <w:vAlign w:val="center"/>
          </w:tcPr>
          <w:p w14:paraId="580771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w:t>
            </w:r>
          </w:p>
        </w:tc>
        <w:tc>
          <w:tcPr>
            <w:tcW w:w="794" w:type="dxa"/>
            <w:vMerge w:val="restart"/>
            <w:shd w:val="clear" w:color="auto" w:fill="auto"/>
            <w:tcMar>
              <w:top w:w="12" w:type="dxa"/>
              <w:left w:w="12" w:type="dxa"/>
              <w:right w:w="12" w:type="dxa"/>
            </w:tcMar>
            <w:vAlign w:val="center"/>
          </w:tcPr>
          <w:p w14:paraId="626A3C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w:t>
            </w:r>
          </w:p>
        </w:tc>
        <w:tc>
          <w:tcPr>
            <w:tcW w:w="1871" w:type="dxa"/>
            <w:gridSpan w:val="2"/>
            <w:shd w:val="clear" w:color="auto" w:fill="auto"/>
            <w:tcMar>
              <w:top w:w="12" w:type="dxa"/>
              <w:left w:w="12" w:type="dxa"/>
              <w:right w:w="12" w:type="dxa"/>
            </w:tcMar>
            <w:vAlign w:val="center"/>
          </w:tcPr>
          <w:p w14:paraId="18ED14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绩效目标合理性</w:t>
            </w:r>
          </w:p>
        </w:tc>
        <w:tc>
          <w:tcPr>
            <w:tcW w:w="1417" w:type="dxa"/>
            <w:gridSpan w:val="2"/>
            <w:shd w:val="clear" w:color="auto" w:fill="auto"/>
            <w:tcMar>
              <w:top w:w="12" w:type="dxa"/>
              <w:left w:w="12" w:type="dxa"/>
              <w:right w:w="12" w:type="dxa"/>
            </w:tcMar>
            <w:vAlign w:val="center"/>
          </w:tcPr>
          <w:p w14:paraId="398E2C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shd w:val="clear" w:color="auto" w:fill="auto"/>
            <w:tcMar>
              <w:top w:w="12" w:type="dxa"/>
              <w:left w:w="12" w:type="dxa"/>
              <w:right w:w="12" w:type="dxa"/>
            </w:tcMar>
            <w:vAlign w:val="center"/>
          </w:tcPr>
          <w:p w14:paraId="1CBCB3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B37D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4AE75F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6D8288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shd w:val="clear" w:color="auto" w:fill="auto"/>
            <w:tcMar>
              <w:top w:w="12" w:type="dxa"/>
              <w:left w:w="12" w:type="dxa"/>
              <w:right w:w="12" w:type="dxa"/>
            </w:tcMar>
            <w:vAlign w:val="center"/>
          </w:tcPr>
          <w:p w14:paraId="5E2AE7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shd w:val="clear" w:color="auto" w:fill="auto"/>
            <w:tcMar>
              <w:top w:w="12" w:type="dxa"/>
              <w:left w:w="12" w:type="dxa"/>
              <w:right w:w="12" w:type="dxa"/>
            </w:tcMar>
            <w:vAlign w:val="center"/>
          </w:tcPr>
          <w:p w14:paraId="7E3351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shd w:val="clear" w:color="auto" w:fill="auto"/>
            <w:tcMar>
              <w:top w:w="12" w:type="dxa"/>
              <w:left w:w="12" w:type="dxa"/>
              <w:right w:w="12" w:type="dxa"/>
            </w:tcMar>
            <w:vAlign w:val="center"/>
          </w:tcPr>
          <w:p w14:paraId="18176B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绩效指标明确性</w:t>
            </w:r>
          </w:p>
        </w:tc>
        <w:tc>
          <w:tcPr>
            <w:tcW w:w="1417" w:type="dxa"/>
            <w:gridSpan w:val="2"/>
            <w:shd w:val="clear" w:color="auto" w:fill="auto"/>
            <w:tcMar>
              <w:top w:w="12" w:type="dxa"/>
              <w:left w:w="12" w:type="dxa"/>
              <w:right w:w="12" w:type="dxa"/>
            </w:tcMar>
            <w:vAlign w:val="center"/>
          </w:tcPr>
          <w:p w14:paraId="0CC5F9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shd w:val="clear" w:color="auto" w:fill="auto"/>
            <w:tcMar>
              <w:top w:w="12" w:type="dxa"/>
              <w:left w:w="12" w:type="dxa"/>
              <w:right w:w="12" w:type="dxa"/>
            </w:tcMar>
            <w:vAlign w:val="center"/>
          </w:tcPr>
          <w:p w14:paraId="454B9B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688C4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750B70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68C44D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shd w:val="clear" w:color="auto" w:fill="auto"/>
            <w:tcMar>
              <w:top w:w="12" w:type="dxa"/>
              <w:left w:w="12" w:type="dxa"/>
              <w:right w:w="12" w:type="dxa"/>
            </w:tcMar>
            <w:vAlign w:val="center"/>
          </w:tcPr>
          <w:p w14:paraId="60F6A1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资金投入</w:t>
            </w:r>
          </w:p>
        </w:tc>
        <w:tc>
          <w:tcPr>
            <w:tcW w:w="794" w:type="dxa"/>
            <w:vMerge w:val="restart"/>
            <w:shd w:val="clear" w:color="auto" w:fill="auto"/>
            <w:tcMar>
              <w:top w:w="12" w:type="dxa"/>
              <w:left w:w="12" w:type="dxa"/>
              <w:right w:w="12" w:type="dxa"/>
            </w:tcMar>
            <w:vAlign w:val="center"/>
          </w:tcPr>
          <w:p w14:paraId="6D2936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shd w:val="clear" w:color="auto" w:fill="auto"/>
            <w:tcMar>
              <w:top w:w="12" w:type="dxa"/>
              <w:left w:w="12" w:type="dxa"/>
              <w:right w:w="12" w:type="dxa"/>
            </w:tcMar>
            <w:vAlign w:val="center"/>
          </w:tcPr>
          <w:p w14:paraId="0CB081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预算编制科学性</w:t>
            </w:r>
          </w:p>
        </w:tc>
        <w:tc>
          <w:tcPr>
            <w:tcW w:w="1417" w:type="dxa"/>
            <w:gridSpan w:val="2"/>
            <w:shd w:val="clear" w:color="auto" w:fill="auto"/>
            <w:tcMar>
              <w:top w:w="12" w:type="dxa"/>
              <w:left w:w="12" w:type="dxa"/>
              <w:right w:w="12" w:type="dxa"/>
            </w:tcMar>
            <w:vAlign w:val="center"/>
          </w:tcPr>
          <w:p w14:paraId="72F93E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shd w:val="clear" w:color="auto" w:fill="auto"/>
            <w:tcMar>
              <w:top w:w="12" w:type="dxa"/>
              <w:left w:w="12" w:type="dxa"/>
              <w:right w:w="12" w:type="dxa"/>
            </w:tcMar>
            <w:vAlign w:val="center"/>
          </w:tcPr>
          <w:p w14:paraId="28B869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59209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484C56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0AE9F2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shd w:val="clear" w:color="auto" w:fill="auto"/>
            <w:tcMar>
              <w:top w:w="12" w:type="dxa"/>
              <w:left w:w="12" w:type="dxa"/>
              <w:right w:w="12" w:type="dxa"/>
            </w:tcMar>
            <w:vAlign w:val="center"/>
          </w:tcPr>
          <w:p w14:paraId="610100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shd w:val="clear" w:color="auto" w:fill="auto"/>
            <w:tcMar>
              <w:top w:w="12" w:type="dxa"/>
              <w:left w:w="12" w:type="dxa"/>
              <w:right w:w="12" w:type="dxa"/>
            </w:tcMar>
            <w:vAlign w:val="center"/>
          </w:tcPr>
          <w:p w14:paraId="131D15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shd w:val="clear" w:color="auto" w:fill="auto"/>
            <w:tcMar>
              <w:top w:w="12" w:type="dxa"/>
              <w:left w:w="12" w:type="dxa"/>
              <w:right w:w="12" w:type="dxa"/>
            </w:tcMar>
            <w:vAlign w:val="center"/>
          </w:tcPr>
          <w:p w14:paraId="28061F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资金分配合理性</w:t>
            </w:r>
          </w:p>
        </w:tc>
        <w:tc>
          <w:tcPr>
            <w:tcW w:w="1417" w:type="dxa"/>
            <w:gridSpan w:val="2"/>
            <w:shd w:val="clear" w:color="auto" w:fill="auto"/>
            <w:tcMar>
              <w:top w:w="12" w:type="dxa"/>
              <w:left w:w="12" w:type="dxa"/>
              <w:right w:w="12" w:type="dxa"/>
            </w:tcMar>
            <w:vAlign w:val="center"/>
          </w:tcPr>
          <w:p w14:paraId="4FB8F8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shd w:val="clear" w:color="auto" w:fill="auto"/>
            <w:tcMar>
              <w:top w:w="12" w:type="dxa"/>
              <w:left w:w="12" w:type="dxa"/>
              <w:right w:w="12" w:type="dxa"/>
            </w:tcMar>
            <w:vAlign w:val="center"/>
          </w:tcPr>
          <w:p w14:paraId="5D99AF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7AB55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4" w:hRule="atLeast"/>
          <w:tblHeader/>
          <w:jc w:val="center"/>
        </w:trPr>
        <w:tc>
          <w:tcPr>
            <w:tcW w:w="3285" w:type="dxa"/>
            <w:gridSpan w:val="3"/>
            <w:shd w:val="clear" w:color="auto" w:fill="auto"/>
            <w:tcMar>
              <w:top w:w="12" w:type="dxa"/>
              <w:left w:w="12" w:type="dxa"/>
              <w:right w:w="12" w:type="dxa"/>
            </w:tcMar>
            <w:vAlign w:val="center"/>
          </w:tcPr>
          <w:p w14:paraId="52D272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797" w:type="dxa"/>
            <w:gridSpan w:val="2"/>
            <w:shd w:val="clear" w:color="auto" w:fill="auto"/>
            <w:tcMar>
              <w:top w:w="12" w:type="dxa"/>
              <w:left w:w="12" w:type="dxa"/>
              <w:right w:w="12" w:type="dxa"/>
            </w:tcMar>
            <w:vAlign w:val="center"/>
          </w:tcPr>
          <w:p w14:paraId="43B63A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71" w:type="dxa"/>
            <w:gridSpan w:val="2"/>
            <w:shd w:val="clear" w:color="auto" w:fill="auto"/>
            <w:tcMar>
              <w:top w:w="12" w:type="dxa"/>
              <w:left w:w="12" w:type="dxa"/>
              <w:right w:w="12" w:type="dxa"/>
            </w:tcMar>
            <w:vAlign w:val="center"/>
          </w:tcPr>
          <w:p w14:paraId="09D1D6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417" w:type="dxa"/>
            <w:gridSpan w:val="2"/>
            <w:shd w:val="clear" w:color="auto" w:fill="auto"/>
            <w:tcMar>
              <w:top w:w="12" w:type="dxa"/>
              <w:left w:w="12" w:type="dxa"/>
              <w:right w:w="12" w:type="dxa"/>
            </w:tcMar>
            <w:vAlign w:val="center"/>
          </w:tcPr>
          <w:p w14:paraId="78D061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c>
          <w:tcPr>
            <w:tcW w:w="1077" w:type="dxa"/>
            <w:gridSpan w:val="2"/>
            <w:shd w:val="clear" w:color="auto" w:fill="auto"/>
            <w:tcMar>
              <w:top w:w="12" w:type="dxa"/>
              <w:left w:w="12" w:type="dxa"/>
              <w:right w:w="12" w:type="dxa"/>
            </w:tcMar>
            <w:vAlign w:val="center"/>
          </w:tcPr>
          <w:p w14:paraId="262795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19.5</w:t>
            </w:r>
          </w:p>
        </w:tc>
      </w:tr>
    </w:tbl>
    <w:p w14:paraId="75939A16">
      <w:pPr>
        <w:bidi w:val="0"/>
        <w:outlineLvl w:val="2"/>
        <w:rPr>
          <w:rFonts w:hint="default"/>
          <w:b/>
          <w:bCs/>
          <w:highlight w:val="none"/>
          <w:lang w:val="en-US" w:eastAsia="zh-CN"/>
        </w:rPr>
      </w:pPr>
      <w:bookmarkStart w:id="58" w:name="_Toc13522"/>
      <w:r>
        <w:rPr>
          <w:rFonts w:hint="eastAsia"/>
          <w:b/>
          <w:bCs/>
          <w:highlight w:val="none"/>
          <w:lang w:val="en-US" w:eastAsia="zh-CN"/>
        </w:rPr>
        <w:t>1.立项依据充分性</w:t>
      </w:r>
      <w:bookmarkEnd w:id="58"/>
    </w:p>
    <w:p w14:paraId="7B5AF108">
      <w:pPr>
        <w:bidi w:val="0"/>
        <w:rPr>
          <w:rFonts w:hint="eastAsia"/>
          <w:highlight w:val="none"/>
          <w:lang w:eastAsia="zh-CN"/>
        </w:rPr>
      </w:pPr>
      <w:r>
        <w:rPr>
          <w:rFonts w:hint="eastAsia"/>
          <w:highlight w:val="none"/>
          <w:lang w:eastAsia="zh-CN"/>
        </w:rPr>
        <w:t>①项目立项符合</w:t>
      </w:r>
      <w:r>
        <w:rPr>
          <w:rFonts w:ascii="宋体" w:hAnsi="宋体" w:eastAsia="宋体" w:cs="宋体"/>
          <w:sz w:val="24"/>
          <w:szCs w:val="24"/>
          <w:highlight w:val="none"/>
        </w:rPr>
        <w:t>《关于推动现代职业教育高质量发展的意见》《关于深化现代职业教育体系建设改革的意见》</w:t>
      </w:r>
      <w:r>
        <w:rPr>
          <w:rFonts w:hint="eastAsia"/>
          <w:highlight w:val="none"/>
          <w:lang w:eastAsia="zh-CN"/>
        </w:rPr>
        <w:t>；</w:t>
      </w:r>
    </w:p>
    <w:p w14:paraId="10DC6044">
      <w:pPr>
        <w:bidi w:val="0"/>
        <w:rPr>
          <w:rFonts w:hint="eastAsia"/>
          <w:highlight w:val="none"/>
          <w:lang w:eastAsia="zh-CN"/>
        </w:rPr>
      </w:pPr>
      <w:r>
        <w:rPr>
          <w:rFonts w:hint="eastAsia"/>
          <w:highlight w:val="none"/>
          <w:lang w:eastAsia="zh-CN"/>
        </w:rPr>
        <w:t>②项目立项符合</w:t>
      </w:r>
      <w:r>
        <w:rPr>
          <w:rFonts w:hint="eastAsia"/>
          <w:highlight w:val="none"/>
          <w:lang w:val="en-US" w:eastAsia="zh-CN"/>
        </w:rPr>
        <w:t>现代职业教育质量提升计划建设要求</w:t>
      </w:r>
      <w:r>
        <w:rPr>
          <w:rFonts w:hint="eastAsia"/>
          <w:highlight w:val="none"/>
          <w:lang w:eastAsia="zh-CN"/>
        </w:rPr>
        <w:t>；</w:t>
      </w:r>
    </w:p>
    <w:p w14:paraId="71F9C6BF">
      <w:pPr>
        <w:bidi w:val="0"/>
        <w:rPr>
          <w:rFonts w:hint="eastAsia"/>
          <w:highlight w:val="none"/>
          <w:lang w:eastAsia="zh-CN"/>
        </w:rPr>
      </w:pPr>
      <w:r>
        <w:rPr>
          <w:rFonts w:hint="eastAsia"/>
          <w:highlight w:val="none"/>
          <w:lang w:eastAsia="zh-CN"/>
        </w:rPr>
        <w:t>③项目立项与实施</w:t>
      </w:r>
      <w:r>
        <w:rPr>
          <w:rFonts w:hint="eastAsia"/>
          <w:highlight w:val="none"/>
          <w:lang w:val="en-US" w:eastAsia="zh-CN"/>
        </w:rPr>
        <w:t>中等职业</w:t>
      </w:r>
      <w:r>
        <w:rPr>
          <w:rFonts w:hint="eastAsia"/>
          <w:highlight w:val="none"/>
          <w:lang w:eastAsia="zh-CN"/>
        </w:rPr>
        <w:t>教育，促进</w:t>
      </w:r>
      <w:r>
        <w:rPr>
          <w:rFonts w:hint="eastAsia"/>
          <w:highlight w:val="none"/>
          <w:lang w:val="en-US" w:eastAsia="zh-CN"/>
        </w:rPr>
        <w:t>职业教育高质量</w:t>
      </w:r>
      <w:r>
        <w:rPr>
          <w:rFonts w:hint="eastAsia"/>
          <w:highlight w:val="none"/>
          <w:lang w:eastAsia="zh-CN"/>
        </w:rPr>
        <w:t>发展，</w:t>
      </w:r>
      <w:r>
        <w:rPr>
          <w:rFonts w:hint="eastAsia"/>
          <w:highlight w:val="none"/>
          <w:lang w:val="en-US" w:eastAsia="zh-CN"/>
        </w:rPr>
        <w:t>1+x等级证书</w:t>
      </w:r>
      <w:r>
        <w:rPr>
          <w:rFonts w:hint="eastAsia"/>
          <w:highlight w:val="none"/>
          <w:lang w:eastAsia="zh-CN"/>
        </w:rPr>
        <w:t>教育；宣彻执行党和国家的教育方针、教育政策、教育法律法规，贯彻执行上级教育行政部门的各项规章制度的相符，属于部门履职所需；</w:t>
      </w:r>
    </w:p>
    <w:p w14:paraId="7FFAF96F">
      <w:pPr>
        <w:bidi w:val="0"/>
        <w:rPr>
          <w:rFonts w:hint="eastAsia"/>
          <w:highlight w:val="none"/>
          <w:lang w:eastAsia="zh-CN"/>
        </w:rPr>
      </w:pPr>
      <w:r>
        <w:rPr>
          <w:rFonts w:hint="eastAsia"/>
          <w:highlight w:val="none"/>
          <w:lang w:eastAsia="zh-CN"/>
        </w:rPr>
        <w:t>④项目属于公共财政支持范围，符合中央、地方事权支出责任划分原则；</w:t>
      </w:r>
    </w:p>
    <w:p w14:paraId="1748B5B2">
      <w:pPr>
        <w:bidi w:val="0"/>
        <w:rPr>
          <w:rFonts w:hint="eastAsia"/>
          <w:highlight w:val="none"/>
          <w:lang w:eastAsia="zh-CN"/>
        </w:rPr>
      </w:pPr>
      <w:r>
        <w:rPr>
          <w:rFonts w:hint="eastAsia"/>
          <w:highlight w:val="none"/>
          <w:lang w:eastAsia="zh-CN"/>
        </w:rPr>
        <w:t>⑤项目与相关部门同类项目或部门内部相关项目</w:t>
      </w:r>
      <w:r>
        <w:rPr>
          <w:rFonts w:hint="eastAsia"/>
          <w:highlight w:val="none"/>
          <w:lang w:val="en-US" w:eastAsia="zh-CN"/>
        </w:rPr>
        <w:t>不</w:t>
      </w:r>
      <w:r>
        <w:rPr>
          <w:rFonts w:hint="eastAsia"/>
          <w:highlight w:val="none"/>
          <w:lang w:eastAsia="zh-CN"/>
        </w:rPr>
        <w:t>重复。</w:t>
      </w:r>
    </w:p>
    <w:p w14:paraId="44B67067">
      <w:pPr>
        <w:bidi w:val="0"/>
        <w:rPr>
          <w:rFonts w:hint="default"/>
          <w:highlight w:val="none"/>
          <w:lang w:val="en-US" w:eastAsia="zh-CN"/>
        </w:rPr>
      </w:pPr>
      <w:r>
        <w:rPr>
          <w:rFonts w:hint="eastAsia"/>
          <w:b/>
          <w:bCs/>
          <w:highlight w:val="none"/>
          <w:lang w:val="en-US" w:eastAsia="zh-CN"/>
        </w:rPr>
        <w:t>综上，该项指标满分2分，得分2分。</w:t>
      </w:r>
    </w:p>
    <w:p w14:paraId="1DA4D011">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44B098A9">
      <w:pPr>
        <w:bidi w:val="0"/>
        <w:rPr>
          <w:rFonts w:hint="eastAsia"/>
          <w:highlight w:val="none"/>
          <w:lang w:eastAsia="zh-CN"/>
        </w:rPr>
      </w:pPr>
      <w:r>
        <w:rPr>
          <w:rFonts w:hint="eastAsia"/>
          <w:highlight w:val="none"/>
          <w:lang w:eastAsia="zh-CN"/>
        </w:rPr>
        <w:t>①项目按照规定的程序申请设立；</w:t>
      </w:r>
    </w:p>
    <w:p w14:paraId="1E8E1D62">
      <w:pPr>
        <w:bidi w:val="0"/>
        <w:rPr>
          <w:rFonts w:hint="eastAsia"/>
          <w:highlight w:val="none"/>
          <w:lang w:eastAsia="zh-CN"/>
        </w:rPr>
      </w:pPr>
      <w:r>
        <w:rPr>
          <w:rFonts w:hint="eastAsia"/>
          <w:highlight w:val="none"/>
          <w:lang w:eastAsia="zh-CN"/>
        </w:rPr>
        <w:t>②审批文件、材料符合相关要求；</w:t>
      </w:r>
    </w:p>
    <w:p w14:paraId="416D6B27">
      <w:pPr>
        <w:bidi w:val="0"/>
        <w:rPr>
          <w:rFonts w:hint="eastAsia"/>
          <w:highlight w:val="none"/>
          <w:lang w:eastAsia="zh-CN"/>
        </w:rPr>
      </w:pPr>
      <w:r>
        <w:rPr>
          <w:rFonts w:hint="eastAsia"/>
          <w:highlight w:val="none"/>
          <w:lang w:eastAsia="zh-CN"/>
        </w:rPr>
        <w:t>③事前经过必要的可行性研究、专家论证、集体决策。</w:t>
      </w:r>
      <w:r>
        <w:rPr>
          <w:rFonts w:hint="eastAsia"/>
          <w:highlight w:val="none"/>
          <w:lang w:val="en-US" w:eastAsia="zh-CN"/>
        </w:rPr>
        <w:t>无风险评估和绩效评估，扣0.5分</w:t>
      </w:r>
      <w:r>
        <w:rPr>
          <w:rFonts w:hint="eastAsia"/>
          <w:highlight w:val="none"/>
          <w:lang w:eastAsia="zh-CN"/>
        </w:rPr>
        <w:t>。</w:t>
      </w:r>
    </w:p>
    <w:p w14:paraId="635A273F">
      <w:pPr>
        <w:bidi w:val="0"/>
        <w:rPr>
          <w:rFonts w:hint="eastAsia"/>
          <w:highlight w:val="none"/>
          <w:lang w:eastAsia="zh-CN"/>
        </w:rPr>
      </w:pPr>
      <w:r>
        <w:rPr>
          <w:rFonts w:hint="eastAsia"/>
          <w:b/>
          <w:bCs/>
          <w:highlight w:val="none"/>
          <w:lang w:val="en-US" w:eastAsia="zh-CN"/>
        </w:rPr>
        <w:t>综上，该项指标满</w:t>
      </w:r>
      <w:r>
        <w:rPr>
          <w:rFonts w:hint="eastAsia" w:ascii="宋体" w:hAnsi="宋体" w:eastAsia="宋体" w:cs="宋体"/>
          <w:b/>
          <w:bCs/>
          <w:highlight w:val="none"/>
          <w:lang w:val="en-US" w:eastAsia="zh-CN"/>
        </w:rPr>
        <w:t>分3分，得分2.5分。</w:t>
      </w:r>
    </w:p>
    <w:p w14:paraId="60D4CD22">
      <w:pPr>
        <w:bidi w:val="0"/>
        <w:outlineLvl w:val="2"/>
        <w:rPr>
          <w:rFonts w:hint="default"/>
          <w:b/>
          <w:bCs/>
          <w:highlight w:val="none"/>
          <w:lang w:val="en-US" w:eastAsia="zh-CN"/>
        </w:rPr>
      </w:pPr>
      <w:bookmarkStart w:id="60" w:name="_Toc15382"/>
      <w:r>
        <w:rPr>
          <w:rFonts w:hint="eastAsia"/>
          <w:b/>
          <w:bCs/>
          <w:highlight w:val="none"/>
          <w:lang w:val="en-US" w:eastAsia="zh-CN"/>
        </w:rPr>
        <w:t>3.绩效目标合理性</w:t>
      </w:r>
      <w:bookmarkEnd w:id="60"/>
    </w:p>
    <w:p w14:paraId="4666FBB0">
      <w:pPr>
        <w:bidi w:val="0"/>
        <w:rPr>
          <w:rFonts w:hint="eastAsia"/>
          <w:highlight w:val="none"/>
          <w:lang w:eastAsia="zh-CN"/>
        </w:rPr>
      </w:pPr>
      <w:r>
        <w:rPr>
          <w:rFonts w:hint="eastAsia"/>
          <w:highlight w:val="none"/>
          <w:lang w:eastAsia="zh-CN"/>
        </w:rPr>
        <w:t>①项目有绩效目标；</w:t>
      </w:r>
    </w:p>
    <w:p w14:paraId="0567E73E">
      <w:pPr>
        <w:bidi w:val="0"/>
        <w:rPr>
          <w:rFonts w:hint="eastAsia"/>
          <w:highlight w:val="none"/>
          <w:lang w:eastAsia="zh-CN"/>
        </w:rPr>
      </w:pPr>
      <w:r>
        <w:rPr>
          <w:rFonts w:hint="eastAsia"/>
          <w:highlight w:val="none"/>
          <w:lang w:eastAsia="zh-CN"/>
        </w:rPr>
        <w:t>②项目绩效目标与实际工作内容具有相关性；</w:t>
      </w:r>
    </w:p>
    <w:p w14:paraId="516D298B">
      <w:pPr>
        <w:bidi w:val="0"/>
        <w:rPr>
          <w:rFonts w:hint="eastAsia"/>
          <w:highlight w:val="none"/>
          <w:lang w:eastAsia="zh-CN"/>
        </w:rPr>
      </w:pPr>
      <w:r>
        <w:rPr>
          <w:rFonts w:hint="eastAsia"/>
          <w:highlight w:val="none"/>
          <w:lang w:eastAsia="zh-CN"/>
        </w:rPr>
        <w:t>③项目预期产出效益和效果符合正常的业绩水平；</w:t>
      </w:r>
    </w:p>
    <w:p w14:paraId="2B37F8F7">
      <w:pPr>
        <w:bidi w:val="0"/>
        <w:rPr>
          <w:rFonts w:hint="eastAsia"/>
          <w:highlight w:val="none"/>
          <w:lang w:eastAsia="zh-CN"/>
        </w:rPr>
      </w:pPr>
      <w:r>
        <w:rPr>
          <w:rFonts w:hint="eastAsia"/>
          <w:highlight w:val="none"/>
          <w:lang w:eastAsia="zh-CN"/>
        </w:rPr>
        <w:t>④与预算确定的项目投资额或资金量相匹配。</w:t>
      </w:r>
    </w:p>
    <w:p w14:paraId="53837AD9">
      <w:pPr>
        <w:bidi w:val="0"/>
        <w:rPr>
          <w:rFonts w:hint="eastAsia" w:ascii="宋体" w:hAnsi="宋体" w:eastAsia="宋体" w:cs="宋体"/>
          <w:b/>
          <w:bCs/>
          <w:highlight w:val="none"/>
          <w:lang w:val="en-US" w:eastAsia="zh-CN"/>
        </w:rPr>
      </w:pPr>
      <w:r>
        <w:rPr>
          <w:rFonts w:hint="eastAsia"/>
          <w:b/>
          <w:bCs/>
          <w:highlight w:val="none"/>
          <w:lang w:val="en-US" w:eastAsia="zh-CN"/>
        </w:rPr>
        <w:t>综上，该项指标</w:t>
      </w:r>
      <w:r>
        <w:rPr>
          <w:rFonts w:hint="eastAsia" w:ascii="宋体" w:hAnsi="宋体" w:eastAsia="宋体" w:cs="宋体"/>
          <w:b/>
          <w:bCs/>
          <w:highlight w:val="none"/>
          <w:lang w:val="en-US" w:eastAsia="zh-CN"/>
        </w:rPr>
        <w:t>满分5分，得分5分。</w:t>
      </w:r>
    </w:p>
    <w:p w14:paraId="214215D0">
      <w:pPr>
        <w:bidi w:val="0"/>
        <w:outlineLvl w:val="2"/>
        <w:rPr>
          <w:rFonts w:hint="default"/>
          <w:b/>
          <w:bCs/>
          <w:highlight w:val="none"/>
          <w:lang w:val="en-US" w:eastAsia="zh-CN"/>
        </w:rPr>
      </w:pPr>
      <w:bookmarkStart w:id="61" w:name="_Toc10650"/>
      <w:r>
        <w:rPr>
          <w:rFonts w:hint="eastAsia"/>
          <w:b/>
          <w:bCs/>
          <w:highlight w:val="none"/>
          <w:lang w:val="en-US" w:eastAsia="zh-CN"/>
        </w:rPr>
        <w:t>4.绩效指标明确性</w:t>
      </w:r>
      <w:bookmarkEnd w:id="61"/>
    </w:p>
    <w:p w14:paraId="1917D8CB">
      <w:pPr>
        <w:bidi w:val="0"/>
        <w:rPr>
          <w:rFonts w:hint="eastAsia"/>
          <w:highlight w:val="none"/>
          <w:lang w:eastAsia="zh-CN"/>
        </w:rPr>
      </w:pPr>
      <w:r>
        <w:rPr>
          <w:rFonts w:hint="eastAsia"/>
          <w:highlight w:val="none"/>
          <w:lang w:eastAsia="zh-CN"/>
        </w:rPr>
        <w:t>①将项目绩效目标细化分解为具体的绩效指标，</w:t>
      </w:r>
      <w:r>
        <w:rPr>
          <w:rFonts w:hint="eastAsia"/>
          <w:highlight w:val="none"/>
          <w:lang w:val="en-US" w:eastAsia="zh-CN"/>
        </w:rPr>
        <w:t>二级指标7个、三级指标9个</w:t>
      </w:r>
      <w:r>
        <w:rPr>
          <w:rFonts w:hint="eastAsia"/>
          <w:highlight w:val="none"/>
          <w:lang w:eastAsia="zh-CN"/>
        </w:rPr>
        <w:t>；</w:t>
      </w:r>
    </w:p>
    <w:p w14:paraId="45893671">
      <w:pPr>
        <w:bidi w:val="0"/>
        <w:rPr>
          <w:rFonts w:hint="eastAsia"/>
          <w:highlight w:val="none"/>
          <w:lang w:eastAsia="zh-CN"/>
        </w:rPr>
      </w:pPr>
      <w:r>
        <w:rPr>
          <w:rFonts w:hint="eastAsia"/>
          <w:highlight w:val="none"/>
          <w:lang w:eastAsia="zh-CN"/>
        </w:rPr>
        <w:t>②通过清晰、可衡量的指标值予以体现，</w:t>
      </w:r>
      <w:r>
        <w:rPr>
          <w:rFonts w:hint="eastAsia"/>
          <w:highlight w:val="none"/>
          <w:lang w:val="en-US" w:eastAsia="zh-CN"/>
        </w:rPr>
        <w:t>量化指标率88.89%</w:t>
      </w:r>
      <w:r>
        <w:rPr>
          <w:rFonts w:hint="eastAsia"/>
          <w:highlight w:val="none"/>
          <w:lang w:eastAsia="zh-CN"/>
        </w:rPr>
        <w:t>；</w:t>
      </w:r>
    </w:p>
    <w:p w14:paraId="70457712">
      <w:pPr>
        <w:bidi w:val="0"/>
        <w:rPr>
          <w:rFonts w:hint="eastAsia"/>
          <w:highlight w:val="none"/>
          <w:lang w:eastAsia="zh-CN"/>
        </w:rPr>
      </w:pPr>
      <w:r>
        <w:rPr>
          <w:rFonts w:hint="eastAsia"/>
          <w:highlight w:val="none"/>
          <w:lang w:eastAsia="zh-CN"/>
        </w:rPr>
        <w:t>③与项目目标任务数或计划数相对应。</w:t>
      </w:r>
    </w:p>
    <w:p w14:paraId="7769EF27">
      <w:pPr>
        <w:bidi w:val="0"/>
        <w:rPr>
          <w:rFonts w:hint="eastAsia" w:ascii="宋体" w:hAnsi="宋体" w:eastAsia="宋体" w:cs="宋体"/>
          <w:b/>
          <w:bCs/>
          <w:highlight w:val="none"/>
          <w:lang w:val="en-US" w:eastAsia="zh-CN"/>
        </w:rPr>
      </w:pPr>
      <w:r>
        <w:rPr>
          <w:rFonts w:hint="eastAsia"/>
          <w:b/>
          <w:bCs/>
          <w:highlight w:val="none"/>
          <w:lang w:val="en-US" w:eastAsia="zh-CN"/>
        </w:rPr>
        <w:t>综上，该项指标满</w:t>
      </w:r>
      <w:r>
        <w:rPr>
          <w:rFonts w:hint="eastAsia" w:ascii="宋体" w:hAnsi="宋体" w:eastAsia="宋体" w:cs="宋体"/>
          <w:b/>
          <w:bCs/>
          <w:highlight w:val="none"/>
          <w:lang w:val="en-US" w:eastAsia="zh-CN"/>
        </w:rPr>
        <w:t>分5分，得分5分。</w:t>
      </w:r>
    </w:p>
    <w:p w14:paraId="2AEE46D2">
      <w:pPr>
        <w:bidi w:val="0"/>
        <w:outlineLvl w:val="2"/>
        <w:rPr>
          <w:rFonts w:hint="default"/>
          <w:b/>
          <w:bCs/>
          <w:highlight w:val="none"/>
          <w:lang w:val="en-US" w:eastAsia="zh-CN"/>
        </w:rPr>
      </w:pPr>
      <w:bookmarkStart w:id="62" w:name="_Toc19401"/>
      <w:r>
        <w:rPr>
          <w:rFonts w:hint="eastAsia"/>
          <w:b/>
          <w:bCs/>
          <w:highlight w:val="none"/>
          <w:lang w:val="en-US" w:eastAsia="zh-CN"/>
        </w:rPr>
        <w:t>5.预算编制科学性</w:t>
      </w:r>
      <w:bookmarkEnd w:id="62"/>
    </w:p>
    <w:p w14:paraId="6D23AB4D">
      <w:pPr>
        <w:bidi w:val="0"/>
        <w:rPr>
          <w:rFonts w:hint="eastAsia"/>
          <w:highlight w:val="none"/>
          <w:lang w:eastAsia="zh-CN"/>
        </w:rPr>
      </w:pPr>
      <w:r>
        <w:rPr>
          <w:rFonts w:hint="eastAsia"/>
          <w:highlight w:val="none"/>
          <w:lang w:eastAsia="zh-CN"/>
        </w:rPr>
        <w:t>①预算编制经过科学论证；</w:t>
      </w:r>
    </w:p>
    <w:p w14:paraId="0172FE9A">
      <w:pPr>
        <w:bidi w:val="0"/>
        <w:rPr>
          <w:rFonts w:hint="eastAsia"/>
          <w:highlight w:val="none"/>
          <w:lang w:eastAsia="zh-CN"/>
        </w:rPr>
      </w:pPr>
      <w:r>
        <w:rPr>
          <w:rFonts w:hint="eastAsia"/>
          <w:highlight w:val="none"/>
          <w:lang w:eastAsia="zh-CN"/>
        </w:rPr>
        <w:t>②预算内容与项目内容匹配；</w:t>
      </w:r>
    </w:p>
    <w:p w14:paraId="030FFA30">
      <w:pPr>
        <w:bidi w:val="0"/>
        <w:rPr>
          <w:rFonts w:hint="eastAsia"/>
          <w:highlight w:val="none"/>
          <w:lang w:eastAsia="zh-CN"/>
        </w:rPr>
      </w:pPr>
      <w:r>
        <w:rPr>
          <w:rFonts w:hint="eastAsia"/>
          <w:highlight w:val="none"/>
          <w:lang w:eastAsia="zh-CN"/>
        </w:rPr>
        <w:t>③预算额度测算依据充分，按照标准编制；</w:t>
      </w:r>
    </w:p>
    <w:p w14:paraId="1BB078EB">
      <w:pPr>
        <w:bidi w:val="0"/>
        <w:rPr>
          <w:rFonts w:hint="eastAsia"/>
          <w:highlight w:val="none"/>
          <w:lang w:eastAsia="zh-CN"/>
        </w:rPr>
      </w:pPr>
      <w:r>
        <w:rPr>
          <w:rFonts w:hint="eastAsia"/>
          <w:highlight w:val="none"/>
          <w:lang w:eastAsia="zh-CN"/>
        </w:rPr>
        <w:t>④预算确定的项目投资额或资金量与工作任务相匹配。</w:t>
      </w:r>
    </w:p>
    <w:p w14:paraId="2504AED7">
      <w:pPr>
        <w:bidi w:val="0"/>
        <w:rPr>
          <w:rFonts w:hint="eastAsia"/>
          <w:highlight w:val="none"/>
          <w:lang w:eastAsia="zh-CN"/>
        </w:rPr>
      </w:pPr>
      <w:r>
        <w:rPr>
          <w:rFonts w:hint="eastAsia"/>
          <w:b/>
          <w:bCs/>
          <w:highlight w:val="none"/>
          <w:lang w:val="en-US" w:eastAsia="zh-CN"/>
        </w:rPr>
        <w:t>综上，该项指标满</w:t>
      </w:r>
      <w:r>
        <w:rPr>
          <w:rFonts w:hint="eastAsia" w:ascii="宋体" w:hAnsi="宋体" w:eastAsia="宋体" w:cs="宋体"/>
          <w:b/>
          <w:bCs/>
          <w:highlight w:val="none"/>
          <w:lang w:val="en-US" w:eastAsia="zh-CN"/>
        </w:rPr>
        <w:t>分2分，得分2分。</w:t>
      </w:r>
    </w:p>
    <w:p w14:paraId="39F0E2C9">
      <w:pPr>
        <w:bidi w:val="0"/>
        <w:outlineLvl w:val="2"/>
        <w:rPr>
          <w:rFonts w:hint="default"/>
          <w:b/>
          <w:bCs/>
          <w:highlight w:val="none"/>
          <w:lang w:val="en-US" w:eastAsia="zh-CN"/>
        </w:rPr>
      </w:pPr>
      <w:bookmarkStart w:id="63" w:name="_Toc697"/>
      <w:r>
        <w:rPr>
          <w:rFonts w:hint="eastAsia"/>
          <w:b/>
          <w:bCs/>
          <w:highlight w:val="none"/>
          <w:lang w:val="en-US" w:eastAsia="zh-CN"/>
        </w:rPr>
        <w:t>6.资金分配合理性</w:t>
      </w:r>
      <w:bookmarkEnd w:id="63"/>
    </w:p>
    <w:p w14:paraId="50FBB6F5">
      <w:pPr>
        <w:bidi w:val="0"/>
        <w:rPr>
          <w:rFonts w:hint="eastAsia"/>
          <w:highlight w:val="none"/>
          <w:lang w:eastAsia="zh-CN"/>
        </w:rPr>
      </w:pPr>
      <w:r>
        <w:rPr>
          <w:rFonts w:hint="eastAsia"/>
          <w:highlight w:val="none"/>
          <w:lang w:eastAsia="zh-CN"/>
        </w:rPr>
        <w:t>①预算资金分配依据充分；</w:t>
      </w:r>
    </w:p>
    <w:p w14:paraId="383CAEEA">
      <w:pPr>
        <w:bidi w:val="0"/>
        <w:rPr>
          <w:rFonts w:hint="eastAsia"/>
          <w:highlight w:val="none"/>
          <w:lang w:eastAsia="zh-CN"/>
        </w:rPr>
      </w:pPr>
      <w:r>
        <w:rPr>
          <w:rFonts w:hint="eastAsia"/>
          <w:highlight w:val="none"/>
          <w:lang w:eastAsia="zh-CN"/>
        </w:rPr>
        <w:t>②资金分配额度合理，与项目单位或地方实际相适应。</w:t>
      </w:r>
    </w:p>
    <w:p w14:paraId="487A5C95">
      <w:pPr>
        <w:bidi w:val="0"/>
        <w:rPr>
          <w:rFonts w:hint="eastAsia" w:ascii="宋体" w:hAnsi="宋体" w:eastAsia="宋体" w:cs="宋体"/>
          <w:b/>
          <w:bCs/>
          <w:highlight w:val="none"/>
          <w:lang w:val="en-US" w:eastAsia="zh-CN"/>
        </w:rPr>
      </w:pPr>
      <w:r>
        <w:rPr>
          <w:rFonts w:hint="eastAsia"/>
          <w:b/>
          <w:bCs/>
          <w:highlight w:val="none"/>
          <w:lang w:val="en-US" w:eastAsia="zh-CN"/>
        </w:rPr>
        <w:t>综上，该项指标</w:t>
      </w:r>
      <w:r>
        <w:rPr>
          <w:rFonts w:hint="eastAsia" w:ascii="宋体" w:hAnsi="宋体" w:eastAsia="宋体" w:cs="宋体"/>
          <w:b/>
          <w:bCs/>
          <w:highlight w:val="none"/>
          <w:lang w:val="en-US" w:eastAsia="zh-CN"/>
        </w:rPr>
        <w:t>满分3分，得分3分。</w:t>
      </w:r>
    </w:p>
    <w:p w14:paraId="0F8B3C31">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64" w:name="_Toc11361"/>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二</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项目过程情况</w:t>
      </w:r>
      <w:bookmarkEnd w:id="64"/>
    </w:p>
    <w:p w14:paraId="1294DB3C">
      <w:pPr>
        <w:bidi w:val="0"/>
        <w:ind w:left="0" w:leftChars="0" w:firstLine="560" w:firstLineChars="200"/>
        <w:rPr>
          <w:rFonts w:hint="eastAsia"/>
          <w:highlight w:val="none"/>
          <w:lang w:val="zh-TW" w:eastAsia="zh-TW"/>
        </w:rPr>
      </w:pPr>
      <w:r>
        <w:rPr>
          <w:rFonts w:hint="eastAsia" w:ascii="宋体" w:hAnsi="宋体" w:eastAsia="宋体" w:cs="宋体"/>
          <w:color w:val="auto"/>
          <w:highlight w:val="none"/>
          <w:shd w:val="clear" w:color="auto" w:fill="auto"/>
          <w:lang w:val="zh-TW" w:eastAsia="zh-TW"/>
        </w:rPr>
        <w:t>项目</w:t>
      </w:r>
      <w:r>
        <w:rPr>
          <w:rFonts w:hint="eastAsia" w:ascii="宋体" w:hAnsi="宋体" w:eastAsia="宋体" w:cs="宋体"/>
          <w:color w:val="auto"/>
          <w:highlight w:val="none"/>
          <w:shd w:val="clear" w:color="auto" w:fill="auto"/>
          <w:lang w:val="en-US" w:eastAsia="zh-CN"/>
        </w:rPr>
        <w:t>过程</w:t>
      </w:r>
      <w:r>
        <w:rPr>
          <w:rFonts w:hint="eastAsia" w:ascii="宋体" w:hAnsi="宋体" w:eastAsia="宋体" w:cs="宋体"/>
          <w:color w:val="auto"/>
          <w:highlight w:val="none"/>
          <w:shd w:val="clear" w:color="auto" w:fill="auto"/>
          <w:lang w:val="zh-TW" w:eastAsia="zh-CN"/>
        </w:rPr>
        <w:t>管理</w:t>
      </w:r>
      <w:r>
        <w:rPr>
          <w:rFonts w:hint="eastAsia" w:ascii="宋体" w:hAnsi="宋体" w:eastAsia="宋体" w:cs="宋体"/>
          <w:color w:val="auto"/>
          <w:highlight w:val="none"/>
          <w:shd w:val="clear" w:color="auto" w:fill="auto"/>
          <w:lang w:val="zh-TW" w:eastAsia="zh-TW"/>
        </w:rPr>
        <w:t>类指标由</w:t>
      </w:r>
      <w:r>
        <w:rPr>
          <w:rFonts w:hint="eastAsia" w:ascii="宋体" w:hAnsi="宋体" w:eastAsia="宋体" w:cs="宋体"/>
          <w:color w:val="auto"/>
          <w:highlight w:val="none"/>
          <w:shd w:val="clear" w:color="auto" w:fill="auto"/>
          <w:lang w:val="zh-TW" w:eastAsia="zh-CN"/>
        </w:rPr>
        <w:t>2</w:t>
      </w:r>
      <w:r>
        <w:rPr>
          <w:rFonts w:hint="eastAsia" w:ascii="宋体" w:hAnsi="宋体" w:eastAsia="宋体" w:cs="宋体"/>
          <w:color w:val="auto"/>
          <w:highlight w:val="none"/>
          <w:shd w:val="clear" w:color="auto" w:fill="auto"/>
          <w:lang w:val="zh-TW" w:eastAsia="zh-TW"/>
        </w:rPr>
        <w:t>个</w:t>
      </w:r>
      <w:r>
        <w:rPr>
          <w:rFonts w:hint="eastAsia" w:ascii="宋体" w:hAnsi="宋体" w:eastAsia="宋体" w:cs="宋体"/>
          <w:color w:val="auto"/>
          <w:highlight w:val="none"/>
          <w:shd w:val="clear" w:color="auto" w:fill="auto"/>
          <w:lang w:val="zh-TW" w:eastAsia="zh-CN"/>
        </w:rPr>
        <w:t>二</w:t>
      </w:r>
      <w:r>
        <w:rPr>
          <w:rFonts w:hint="eastAsia" w:ascii="宋体" w:hAnsi="宋体" w:eastAsia="宋体" w:cs="宋体"/>
          <w:color w:val="auto"/>
          <w:highlight w:val="none"/>
          <w:shd w:val="clear" w:color="auto" w:fill="auto"/>
          <w:lang w:val="zh-TW" w:eastAsia="zh-TW"/>
        </w:rPr>
        <w:t>级指标和</w:t>
      </w:r>
      <w:r>
        <w:rPr>
          <w:rFonts w:hint="eastAsia" w:ascii="宋体" w:hAnsi="宋体" w:eastAsia="宋体" w:cs="宋体"/>
          <w:color w:val="auto"/>
          <w:highlight w:val="none"/>
          <w:shd w:val="clear" w:color="auto" w:fill="auto"/>
          <w:lang w:val="en-US" w:eastAsia="zh-CN"/>
        </w:rPr>
        <w:t>5</w:t>
      </w:r>
      <w:r>
        <w:rPr>
          <w:rFonts w:hint="eastAsia" w:ascii="宋体" w:hAnsi="宋体" w:eastAsia="宋体" w:cs="宋体"/>
          <w:color w:val="auto"/>
          <w:highlight w:val="none"/>
          <w:shd w:val="clear" w:color="auto" w:fill="auto"/>
          <w:lang w:val="zh-TW" w:eastAsia="zh-TW"/>
        </w:rPr>
        <w:t>个</w:t>
      </w:r>
      <w:r>
        <w:rPr>
          <w:rFonts w:hint="eastAsia" w:ascii="宋体" w:hAnsi="宋体" w:eastAsia="宋体" w:cs="宋体"/>
          <w:color w:val="auto"/>
          <w:highlight w:val="none"/>
          <w:shd w:val="clear" w:color="auto" w:fill="auto"/>
          <w:lang w:val="zh-TW" w:eastAsia="zh-CN"/>
        </w:rPr>
        <w:t>三</w:t>
      </w:r>
      <w:r>
        <w:rPr>
          <w:rFonts w:hint="eastAsia" w:ascii="宋体" w:hAnsi="宋体" w:eastAsia="宋体" w:cs="宋体"/>
          <w:color w:val="auto"/>
          <w:highlight w:val="none"/>
          <w:shd w:val="clear" w:color="auto" w:fill="auto"/>
          <w:lang w:val="zh-TW" w:eastAsia="zh-TW"/>
        </w:rPr>
        <w:t>级指标构成，权重分</w:t>
      </w:r>
      <w:r>
        <w:rPr>
          <w:rFonts w:hint="eastAsia" w:ascii="宋体" w:hAnsi="宋体" w:eastAsia="宋体"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zh-TW" w:eastAsia="zh-TW"/>
        </w:rPr>
        <w:t>分，实际得分</w:t>
      </w:r>
      <w:r>
        <w:rPr>
          <w:rFonts w:hint="eastAsia" w:ascii="宋体" w:hAnsi="宋体" w:eastAsia="宋体"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zh-TW" w:eastAsia="zh-TW"/>
        </w:rPr>
        <w:t>分</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各指标业绩值和绩效分值如表</w:t>
      </w:r>
      <w:r>
        <w:rPr>
          <w:rFonts w:hint="eastAsia" w:ascii="宋体" w:hAnsi="宋体" w:eastAsia="宋体" w:cs="宋体"/>
          <w:color w:val="auto"/>
          <w:highlight w:val="none"/>
          <w:shd w:val="clear" w:color="auto" w:fill="auto"/>
          <w:lang w:val="en-US" w:eastAsia="zh-CN"/>
        </w:rPr>
        <w:t>4-2</w:t>
      </w:r>
      <w:r>
        <w:rPr>
          <w:rFonts w:hint="eastAsia" w:ascii="宋体" w:hAnsi="宋体" w:eastAsia="宋体" w:cs="宋体"/>
          <w:color w:val="auto"/>
          <w:highlight w:val="none"/>
          <w:shd w:val="clear" w:color="auto" w:fill="auto"/>
          <w:lang w:val="zh-TW" w:eastAsia="zh-TW"/>
        </w:rPr>
        <w:t>所示</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p w14:paraId="34CC88EB">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4-2</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w:t>
      </w:r>
      <w:r>
        <w:rPr>
          <w:rFonts w:hint="eastAsia" w:ascii="宋体" w:hAnsi="宋体" w:eastAsia="宋体" w:cs="宋体"/>
          <w:b/>
          <w:bCs/>
          <w:color w:val="000000" w:themeColor="text1"/>
          <w:kern w:val="0"/>
          <w:sz w:val="28"/>
          <w:szCs w:val="28"/>
          <w:highlight w:val="none"/>
          <w:shd w:val="clear" w:color="auto" w:fill="auto"/>
          <w:lang w:val="zh-TW" w:eastAsia="zh-CN"/>
          <w14:textFill>
            <w14:solidFill>
              <w14:schemeClr w14:val="tx1"/>
            </w14:solidFill>
          </w14:textFill>
        </w:rPr>
        <w:t>管理</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2"/>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4449C4A6">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9AA7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37EF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F463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FCE2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1C22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003F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B0BF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1DCB7C40">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E983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7E98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0DC3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1F77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E386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4657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C03B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3737C5C5">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3CAB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4C45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E9D3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2176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4A48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6390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874D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38CF904A">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71D2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88A2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8AD0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25EC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028F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3753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AEEF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21915DBC">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7548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08EF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7098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7AEF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8B54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0A9F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C10B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70D3815A">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6B64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4493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0B30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181C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D064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803B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74AB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5253F36C">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4AF4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D411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A605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9111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068A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31BEED77">
      <w:pPr>
        <w:bidi w:val="0"/>
        <w:outlineLvl w:val="2"/>
        <w:rPr>
          <w:rFonts w:hint="default"/>
          <w:b/>
          <w:bCs/>
          <w:color w:val="FF0000"/>
          <w:highlight w:val="none"/>
          <w:lang w:val="en-US" w:eastAsia="zh-CN"/>
        </w:rPr>
      </w:pPr>
      <w:bookmarkStart w:id="65" w:name="_Toc3886"/>
      <w:r>
        <w:rPr>
          <w:rFonts w:hint="eastAsia"/>
          <w:b/>
          <w:bCs/>
          <w:highlight w:val="none"/>
          <w:lang w:val="en-US" w:eastAsia="zh-CN"/>
        </w:rPr>
        <w:t>1.资金到位率</w:t>
      </w:r>
      <w:bookmarkEnd w:id="65"/>
    </w:p>
    <w:p w14:paraId="577CB49A">
      <w:pPr>
        <w:bidi w:val="0"/>
        <w:rPr>
          <w:rFonts w:hint="default"/>
          <w:highlight w:val="none"/>
          <w:lang w:val="en-US" w:eastAsia="zh-CN"/>
        </w:rPr>
      </w:pPr>
      <w:r>
        <w:rPr>
          <w:rFonts w:hint="eastAsia"/>
          <w:highlight w:val="none"/>
          <w:lang w:eastAsia="zh-CN"/>
        </w:rPr>
        <w:t>资金到位率=（182.23</w:t>
      </w:r>
      <w:r>
        <w:rPr>
          <w:rFonts w:hint="eastAsia"/>
          <w:highlight w:val="none"/>
          <w:lang w:val="en-US" w:eastAsia="zh-CN"/>
        </w:rPr>
        <w:t>万元</w:t>
      </w:r>
      <w:r>
        <w:rPr>
          <w:rFonts w:hint="eastAsia"/>
          <w:highlight w:val="none"/>
          <w:lang w:eastAsia="zh-CN"/>
        </w:rPr>
        <w:t>/182.23</w:t>
      </w:r>
      <w:r>
        <w:rPr>
          <w:rFonts w:hint="eastAsia"/>
          <w:highlight w:val="none"/>
          <w:lang w:val="en-US" w:eastAsia="zh-CN"/>
        </w:rPr>
        <w:t>万元</w:t>
      </w:r>
      <w:r>
        <w:rPr>
          <w:rFonts w:hint="eastAsia"/>
          <w:highlight w:val="none"/>
          <w:lang w:eastAsia="zh-CN"/>
        </w:rPr>
        <w:t>）×100%。</w:t>
      </w:r>
      <w:r>
        <w:rPr>
          <w:rFonts w:hint="eastAsia"/>
          <w:highlight w:val="none"/>
          <w:lang w:val="en-US" w:eastAsia="zh-CN"/>
        </w:rPr>
        <w:t>=</w:t>
      </w:r>
      <w:r>
        <w:rPr>
          <w:rFonts w:hint="eastAsia"/>
          <w:highlight w:val="none"/>
          <w:lang w:eastAsia="zh-CN"/>
        </w:rPr>
        <w:t>100%</w:t>
      </w:r>
    </w:p>
    <w:p w14:paraId="4DD93D50">
      <w:pPr>
        <w:bidi w:val="0"/>
        <w:rPr>
          <w:rFonts w:hint="eastAsia"/>
          <w:highlight w:val="none"/>
          <w:lang w:eastAsia="zh-CN"/>
        </w:rPr>
      </w:pPr>
      <w:r>
        <w:rPr>
          <w:rFonts w:hint="eastAsia"/>
          <w:b/>
          <w:bCs/>
          <w:highlight w:val="none"/>
          <w:lang w:val="en-US" w:eastAsia="zh-CN"/>
        </w:rPr>
        <w:t>综上，该项指标</w:t>
      </w:r>
      <w:r>
        <w:rPr>
          <w:rFonts w:hint="eastAsia" w:ascii="宋体" w:hAnsi="宋体" w:eastAsia="宋体" w:cs="宋体"/>
          <w:b/>
          <w:bCs/>
          <w:highlight w:val="none"/>
          <w:lang w:val="en-US" w:eastAsia="zh-CN"/>
        </w:rPr>
        <w:t>满分4分，得分4分。</w:t>
      </w:r>
    </w:p>
    <w:p w14:paraId="4180FB54">
      <w:pPr>
        <w:bidi w:val="0"/>
        <w:outlineLvl w:val="2"/>
        <w:rPr>
          <w:rFonts w:hint="default"/>
          <w:b/>
          <w:bCs/>
          <w:highlight w:val="none"/>
          <w:lang w:val="en-US" w:eastAsia="zh-CN"/>
        </w:rPr>
      </w:pPr>
      <w:bookmarkStart w:id="66" w:name="_Toc9705"/>
      <w:r>
        <w:rPr>
          <w:rFonts w:hint="eastAsia"/>
          <w:b/>
          <w:bCs/>
          <w:highlight w:val="none"/>
          <w:lang w:val="en-US" w:eastAsia="zh-CN"/>
        </w:rPr>
        <w:t>2.预算执行率</w:t>
      </w:r>
      <w:bookmarkEnd w:id="66"/>
    </w:p>
    <w:p w14:paraId="3439DF07">
      <w:pPr>
        <w:bidi w:val="0"/>
        <w:rPr>
          <w:rFonts w:hint="default" w:ascii="宋体" w:hAnsi="宋体" w:eastAsia="宋体" w:cs="宋体"/>
          <w:highlight w:val="none"/>
          <w:lang w:val="en-US" w:eastAsia="zh-CN"/>
        </w:rPr>
      </w:pPr>
      <w:r>
        <w:rPr>
          <w:rFonts w:hint="eastAsia"/>
          <w:highlight w:val="none"/>
          <w:lang w:eastAsia="zh-CN"/>
        </w:rPr>
        <w:t>预算执行</w:t>
      </w:r>
      <w:r>
        <w:rPr>
          <w:rFonts w:hint="eastAsia" w:ascii="宋体" w:hAnsi="宋体" w:eastAsia="宋体" w:cs="宋体"/>
          <w:highlight w:val="none"/>
          <w:lang w:eastAsia="zh-CN"/>
        </w:rPr>
        <w:t>率=（182.23</w:t>
      </w:r>
      <w:r>
        <w:rPr>
          <w:rFonts w:hint="eastAsia"/>
          <w:highlight w:val="none"/>
          <w:lang w:val="en-US" w:eastAsia="zh-CN"/>
        </w:rPr>
        <w:t>万元</w:t>
      </w:r>
      <w:r>
        <w:rPr>
          <w:rFonts w:hint="eastAsia" w:ascii="宋体" w:hAnsi="宋体" w:eastAsia="宋体" w:cs="宋体"/>
          <w:highlight w:val="none"/>
          <w:lang w:eastAsia="zh-CN"/>
        </w:rPr>
        <w:t>/182.23</w:t>
      </w:r>
      <w:r>
        <w:rPr>
          <w:rFonts w:hint="eastAsia"/>
          <w:highlight w:val="none"/>
          <w:lang w:val="en-US" w:eastAsia="zh-CN"/>
        </w:rPr>
        <w:t>万元</w:t>
      </w:r>
      <w:r>
        <w:rPr>
          <w:rFonts w:hint="eastAsia" w:ascii="宋体" w:hAnsi="宋体" w:eastAsia="宋体" w:cs="宋体"/>
          <w:highlight w:val="none"/>
          <w:lang w:eastAsia="zh-CN"/>
        </w:rPr>
        <w:t>）×100%。</w:t>
      </w:r>
      <w:r>
        <w:rPr>
          <w:rFonts w:hint="eastAsia" w:ascii="宋体" w:hAnsi="宋体" w:eastAsia="宋体" w:cs="宋体"/>
          <w:highlight w:val="none"/>
          <w:lang w:val="en-US" w:eastAsia="zh-CN"/>
        </w:rPr>
        <w:t>=</w:t>
      </w:r>
      <w:r>
        <w:rPr>
          <w:rFonts w:hint="eastAsia"/>
          <w:highlight w:val="none"/>
          <w:lang w:eastAsia="zh-CN"/>
        </w:rPr>
        <w:t>100%</w:t>
      </w:r>
    </w:p>
    <w:p w14:paraId="399F248B">
      <w:pPr>
        <w:bidi w:val="0"/>
        <w:rPr>
          <w:rFonts w:hint="eastAsia"/>
          <w:highlight w:val="none"/>
          <w:lang w:eastAsia="zh-CN"/>
        </w:rPr>
      </w:pPr>
      <w:r>
        <w:rPr>
          <w:rFonts w:hint="eastAsia"/>
          <w:b/>
          <w:bCs/>
          <w:highlight w:val="none"/>
          <w:lang w:val="en-US" w:eastAsia="zh-CN"/>
        </w:rPr>
        <w:t>综上，该项指标</w:t>
      </w:r>
      <w:r>
        <w:rPr>
          <w:rFonts w:hint="eastAsia" w:ascii="宋体" w:hAnsi="宋体" w:eastAsia="宋体" w:cs="宋体"/>
          <w:b/>
          <w:bCs/>
          <w:highlight w:val="none"/>
          <w:lang w:val="en-US" w:eastAsia="zh-CN"/>
        </w:rPr>
        <w:t>满分4分，得分4分。</w:t>
      </w:r>
    </w:p>
    <w:p w14:paraId="35E4CA66">
      <w:pPr>
        <w:bidi w:val="0"/>
        <w:outlineLvl w:val="2"/>
        <w:rPr>
          <w:rFonts w:hint="default"/>
          <w:b/>
          <w:bCs/>
          <w:highlight w:val="none"/>
          <w:lang w:val="en-US" w:eastAsia="zh-CN"/>
        </w:rPr>
      </w:pPr>
      <w:bookmarkStart w:id="67" w:name="_Toc18691"/>
      <w:r>
        <w:rPr>
          <w:rFonts w:hint="eastAsia"/>
          <w:b/>
          <w:bCs/>
          <w:highlight w:val="none"/>
          <w:lang w:val="en-US" w:eastAsia="zh-CN"/>
        </w:rPr>
        <w:t>3.资金使用合规性</w:t>
      </w:r>
      <w:bookmarkEnd w:id="67"/>
    </w:p>
    <w:p w14:paraId="09846F71">
      <w:pPr>
        <w:bidi w:val="0"/>
        <w:rPr>
          <w:rFonts w:hint="eastAsia"/>
          <w:highlight w:val="none"/>
          <w:lang w:eastAsia="zh-CN"/>
        </w:rPr>
      </w:pPr>
      <w:r>
        <w:rPr>
          <w:rFonts w:hint="eastAsia"/>
          <w:highlight w:val="none"/>
          <w:lang w:eastAsia="zh-CN"/>
        </w:rPr>
        <w:t>①符合国家《</w:t>
      </w:r>
      <w:r>
        <w:rPr>
          <w:rFonts w:hint="eastAsia"/>
          <w:highlight w:val="none"/>
          <w:lang w:val="en-US" w:eastAsia="zh-CN"/>
        </w:rPr>
        <w:t>阜康市职业中等专业学校财务管理制度</w:t>
      </w:r>
      <w:r>
        <w:rPr>
          <w:rFonts w:hint="eastAsia"/>
          <w:highlight w:val="none"/>
          <w:lang w:eastAsia="zh-CN"/>
        </w:rPr>
        <w:t>》及有关专项资金管理办法的规定；</w:t>
      </w:r>
    </w:p>
    <w:p w14:paraId="2744982A">
      <w:pPr>
        <w:bidi w:val="0"/>
        <w:rPr>
          <w:rFonts w:hint="eastAsia"/>
          <w:highlight w:val="none"/>
          <w:lang w:eastAsia="zh-CN"/>
        </w:rPr>
      </w:pPr>
      <w:r>
        <w:rPr>
          <w:rFonts w:hint="eastAsia"/>
          <w:highlight w:val="none"/>
          <w:lang w:eastAsia="zh-CN"/>
        </w:rPr>
        <w:t>②资金的拨付有完整的审批程序和手续；</w:t>
      </w:r>
    </w:p>
    <w:p w14:paraId="72B4DB96">
      <w:pPr>
        <w:bidi w:val="0"/>
        <w:rPr>
          <w:rFonts w:hint="eastAsia"/>
          <w:highlight w:val="none"/>
          <w:lang w:eastAsia="zh-CN"/>
        </w:rPr>
      </w:pPr>
      <w:r>
        <w:rPr>
          <w:rFonts w:hint="eastAsia"/>
          <w:highlight w:val="none"/>
          <w:lang w:eastAsia="zh-CN"/>
        </w:rPr>
        <w:t>③符合项目预算批复或合同规定的用途；</w:t>
      </w:r>
    </w:p>
    <w:p w14:paraId="02748BAA">
      <w:pPr>
        <w:bidi w:val="0"/>
        <w:rPr>
          <w:rFonts w:hint="eastAsia"/>
          <w:highlight w:val="none"/>
          <w:lang w:eastAsia="zh-CN"/>
        </w:rPr>
      </w:pPr>
      <w:r>
        <w:rPr>
          <w:rFonts w:hint="eastAsia"/>
          <w:highlight w:val="none"/>
          <w:lang w:eastAsia="zh-CN"/>
        </w:rPr>
        <w:t>④</w:t>
      </w:r>
      <w:r>
        <w:rPr>
          <w:rFonts w:hint="eastAsia"/>
          <w:highlight w:val="none"/>
          <w:lang w:val="en-US" w:eastAsia="zh-CN"/>
        </w:rPr>
        <w:t>不</w:t>
      </w:r>
      <w:r>
        <w:rPr>
          <w:rFonts w:hint="eastAsia"/>
          <w:highlight w:val="none"/>
          <w:lang w:eastAsia="zh-CN"/>
        </w:rPr>
        <w:t>存在截留、挤占、挪用、虚列支出等情况。</w:t>
      </w:r>
    </w:p>
    <w:p w14:paraId="47070231">
      <w:pPr>
        <w:bidi w:val="0"/>
        <w:rPr>
          <w:rFonts w:hint="eastAsia" w:ascii="宋体" w:hAnsi="宋体" w:eastAsia="宋体" w:cs="宋体"/>
          <w:b/>
          <w:bCs/>
          <w:highlight w:val="none"/>
          <w:lang w:val="en-US" w:eastAsia="zh-CN"/>
        </w:rPr>
      </w:pPr>
      <w:r>
        <w:rPr>
          <w:rFonts w:hint="eastAsia"/>
          <w:b/>
          <w:bCs/>
          <w:highlight w:val="none"/>
          <w:lang w:val="en-US" w:eastAsia="zh-CN"/>
        </w:rPr>
        <w:t>综上，该项指标满</w:t>
      </w:r>
      <w:r>
        <w:rPr>
          <w:rFonts w:hint="eastAsia" w:ascii="宋体" w:hAnsi="宋体" w:eastAsia="宋体" w:cs="宋体"/>
          <w:b/>
          <w:bCs/>
          <w:highlight w:val="none"/>
          <w:lang w:val="en-US" w:eastAsia="zh-CN"/>
        </w:rPr>
        <w:t>分4分，得分4分。</w:t>
      </w:r>
    </w:p>
    <w:p w14:paraId="16AB8BA4">
      <w:pPr>
        <w:bidi w:val="0"/>
        <w:rPr>
          <w:rFonts w:hint="default"/>
          <w:b/>
          <w:bCs/>
          <w:highlight w:val="none"/>
          <w:lang w:val="en-US" w:eastAsia="zh-CN"/>
        </w:rPr>
      </w:pPr>
      <w:r>
        <w:rPr>
          <w:rFonts w:hint="eastAsia"/>
          <w:b/>
          <w:bCs/>
          <w:highlight w:val="none"/>
          <w:lang w:val="en-US" w:eastAsia="zh-CN"/>
        </w:rPr>
        <w:t>4.管理制度健全性</w:t>
      </w:r>
    </w:p>
    <w:p w14:paraId="129DD017">
      <w:pPr>
        <w:bidi w:val="0"/>
        <w:rPr>
          <w:rFonts w:hint="eastAsia"/>
          <w:highlight w:val="none"/>
          <w:lang w:eastAsia="zh-CN"/>
        </w:rPr>
      </w:pPr>
      <w:r>
        <w:rPr>
          <w:rFonts w:hint="eastAsia"/>
          <w:highlight w:val="none"/>
          <w:lang w:eastAsia="zh-CN"/>
        </w:rPr>
        <w:t>①已制定或具有相应的《</w:t>
      </w:r>
      <w:r>
        <w:rPr>
          <w:rFonts w:hint="eastAsia"/>
          <w:highlight w:val="none"/>
          <w:lang w:val="en-US" w:eastAsia="zh-CN"/>
        </w:rPr>
        <w:t>阜康市职业中等专业学校财</w:t>
      </w:r>
      <w:r>
        <w:rPr>
          <w:rFonts w:hint="eastAsia" w:ascii="宋体" w:hAnsi="宋体" w:eastAsia="宋体" w:cs="宋体"/>
          <w:highlight w:val="none"/>
          <w:lang w:val="en-US" w:eastAsia="zh-CN"/>
        </w:rPr>
        <w:t>务管理制度》《</w:t>
      </w:r>
      <w:r>
        <w:rPr>
          <w:rFonts w:hint="eastAsia"/>
          <w:highlight w:val="none"/>
          <w:lang w:val="en-US" w:eastAsia="zh-CN"/>
        </w:rPr>
        <w:t>阜康市职业中等专业学校资产管理办法》《阜康市职业中等专业学校收支管理办法》《阜康市职业中等专业学校出纳管理办法》</w:t>
      </w:r>
      <w:r>
        <w:rPr>
          <w:rFonts w:hint="eastAsia"/>
          <w:highlight w:val="none"/>
          <w:lang w:eastAsia="zh-CN"/>
        </w:rPr>
        <w:t>；</w:t>
      </w:r>
    </w:p>
    <w:p w14:paraId="5D994FB0">
      <w:pPr>
        <w:bidi w:val="0"/>
        <w:rPr>
          <w:rFonts w:hint="eastAsia"/>
          <w:highlight w:val="none"/>
          <w:lang w:eastAsia="zh-CN"/>
        </w:rPr>
      </w:pPr>
      <w:r>
        <w:rPr>
          <w:rFonts w:hint="eastAsia"/>
          <w:highlight w:val="none"/>
          <w:lang w:eastAsia="zh-CN"/>
        </w:rPr>
        <w:t>②财务和业务管理制度合法、合规、完整。</w:t>
      </w:r>
    </w:p>
    <w:p w14:paraId="159B7E31">
      <w:pPr>
        <w:bidi w:val="0"/>
        <w:rPr>
          <w:rFonts w:hint="eastAsia"/>
          <w:highlight w:val="none"/>
          <w:lang w:eastAsia="zh-CN"/>
        </w:rPr>
      </w:pPr>
      <w:r>
        <w:rPr>
          <w:rFonts w:hint="eastAsia"/>
          <w:b/>
          <w:bCs/>
          <w:highlight w:val="none"/>
          <w:lang w:val="en-US" w:eastAsia="zh-CN"/>
        </w:rPr>
        <w:t>综上，该项指标</w:t>
      </w:r>
      <w:r>
        <w:rPr>
          <w:rFonts w:hint="eastAsia" w:ascii="宋体" w:hAnsi="宋体" w:eastAsia="宋体" w:cs="宋体"/>
          <w:b/>
          <w:bCs/>
          <w:highlight w:val="none"/>
          <w:lang w:val="en-US" w:eastAsia="zh-CN"/>
        </w:rPr>
        <w:t>满分4分，得分4分。</w:t>
      </w:r>
    </w:p>
    <w:p w14:paraId="701763AB">
      <w:pPr>
        <w:bidi w:val="0"/>
        <w:ind w:left="1403" w:leftChars="200" w:hanging="843" w:hangingChars="300"/>
        <w:outlineLvl w:val="2"/>
        <w:rPr>
          <w:rFonts w:hint="eastAsia"/>
          <w:b/>
          <w:bCs/>
          <w:highlight w:val="none"/>
          <w:lang w:val="en-US" w:eastAsia="zh-CN"/>
        </w:rPr>
      </w:pPr>
      <w:bookmarkStart w:id="68" w:name="_Toc31684"/>
      <w:r>
        <w:rPr>
          <w:rFonts w:hint="eastAsia"/>
          <w:b/>
          <w:bCs/>
          <w:highlight w:val="none"/>
          <w:lang w:val="en-US" w:eastAsia="zh-CN"/>
        </w:rPr>
        <w:t>5.制度执行有效性</w:t>
      </w:r>
      <w:bookmarkEnd w:id="68"/>
    </w:p>
    <w:p w14:paraId="36156D3C">
      <w:pPr>
        <w:bidi w:val="0"/>
        <w:rPr>
          <w:rFonts w:hint="eastAsia" w:ascii="宋体" w:hAnsi="宋体" w:eastAsia="宋体" w:cs="宋体"/>
          <w:highlight w:val="none"/>
          <w:lang w:val="en-US" w:eastAsia="zh-CN"/>
        </w:rPr>
      </w:pPr>
      <w:r>
        <w:rPr>
          <w:rFonts w:hint="eastAsia" w:ascii="宋体" w:hAnsi="宋体" w:eastAsia="宋体" w:cs="宋体"/>
          <w:highlight w:val="none"/>
          <w:lang w:val="en-US" w:eastAsia="zh-CN"/>
        </w:rPr>
        <w:t>①项目实施遵守《中华人民共和国建筑法》、《建筑给排水设计标准》GB50015-2019、《室外给水设计标准》GB50013-2018、</w:t>
      </w:r>
      <w:r>
        <w:rPr>
          <w:rFonts w:hint="default" w:ascii="宋体" w:hAnsi="宋体" w:eastAsia="宋体" w:cs="宋体"/>
          <w:highlight w:val="none"/>
          <w:lang w:val="en-US" w:eastAsia="zh-CN"/>
        </w:rPr>
        <w:t>《室外排水设计标准》GB50014-2021</w:t>
      </w:r>
      <w:r>
        <w:rPr>
          <w:rFonts w:hint="eastAsia" w:ascii="宋体" w:hAnsi="宋体" w:eastAsia="宋体" w:cs="宋体"/>
          <w:highlight w:val="none"/>
          <w:lang w:val="en-US" w:eastAsia="zh-CN"/>
        </w:rPr>
        <w:t>、</w:t>
      </w:r>
      <w:r>
        <w:rPr>
          <w:rFonts w:hint="default" w:ascii="宋体" w:hAnsi="宋体" w:eastAsia="宋体" w:cs="宋体"/>
          <w:highlight w:val="none"/>
          <w:lang w:val="en-US" w:eastAsia="zh-CN"/>
        </w:rPr>
        <w:t>《消防给水及消火栓系统技术规范》 (GB 50974-2014)</w:t>
      </w:r>
      <w:r>
        <w:rPr>
          <w:rFonts w:hint="eastAsia" w:ascii="宋体" w:hAnsi="宋体" w:eastAsia="宋体" w:cs="宋体"/>
          <w:highlight w:val="none"/>
          <w:lang w:val="en-US" w:eastAsia="zh-CN"/>
        </w:rPr>
        <w:t>、</w:t>
      </w:r>
      <w:r>
        <w:rPr>
          <w:rFonts w:hint="default" w:ascii="宋体" w:hAnsi="宋体" w:eastAsia="宋体" w:cs="宋体"/>
          <w:highlight w:val="none"/>
          <w:lang w:val="en-US" w:eastAsia="zh-CN"/>
        </w:rPr>
        <w:t>《污水综合排放标准》GB8978-1996</w:t>
      </w:r>
      <w:r>
        <w:rPr>
          <w:rFonts w:hint="eastAsia" w:ascii="宋体" w:hAnsi="宋体" w:eastAsia="宋体" w:cs="宋体"/>
          <w:highlight w:val="none"/>
          <w:lang w:val="en-US" w:eastAsia="zh-CN"/>
        </w:rPr>
        <w:t>等相关国家标准；</w:t>
      </w:r>
    </w:p>
    <w:p w14:paraId="06DDD26D">
      <w:pPr>
        <w:bidi w:val="0"/>
        <w:rPr>
          <w:rFonts w:hint="eastAsia"/>
          <w:highlight w:val="none"/>
          <w:lang w:eastAsia="zh-CN"/>
        </w:rPr>
      </w:pPr>
      <w:r>
        <w:rPr>
          <w:rFonts w:hint="eastAsia"/>
          <w:highlight w:val="none"/>
          <w:lang w:eastAsia="zh-CN"/>
        </w:rPr>
        <w:t>②项目</w:t>
      </w:r>
      <w:r>
        <w:rPr>
          <w:rFonts w:hint="eastAsia"/>
          <w:highlight w:val="none"/>
          <w:lang w:val="en-US" w:eastAsia="zh-CN"/>
        </w:rPr>
        <w:t>资金无</w:t>
      </w:r>
      <w:r>
        <w:rPr>
          <w:rFonts w:hint="eastAsia"/>
          <w:highlight w:val="none"/>
          <w:lang w:eastAsia="zh-CN"/>
        </w:rPr>
        <w:t>调整支出手续完备；</w:t>
      </w:r>
    </w:p>
    <w:p w14:paraId="2A6F8396">
      <w:pPr>
        <w:bidi w:val="0"/>
        <w:rPr>
          <w:rFonts w:hint="eastAsia"/>
          <w:highlight w:val="none"/>
          <w:lang w:eastAsia="zh-CN"/>
        </w:rPr>
      </w:pPr>
      <w:r>
        <w:rPr>
          <w:rFonts w:hint="eastAsia"/>
          <w:highlight w:val="none"/>
          <w:lang w:eastAsia="zh-CN"/>
        </w:rPr>
        <w:t>③项目</w:t>
      </w:r>
      <w:r>
        <w:rPr>
          <w:rFonts w:hint="eastAsia"/>
          <w:highlight w:val="none"/>
          <w:lang w:val="en-US" w:eastAsia="zh-CN"/>
        </w:rPr>
        <w:t>申报书、招投标文件、审图合格证、施工许可证、</w:t>
      </w:r>
      <w:r>
        <w:rPr>
          <w:rFonts w:hint="eastAsia"/>
          <w:highlight w:val="none"/>
          <w:lang w:eastAsia="zh-CN"/>
        </w:rPr>
        <w:t>合同书、</w:t>
      </w:r>
      <w:r>
        <w:rPr>
          <w:rFonts w:hint="eastAsia"/>
          <w:color w:val="auto"/>
          <w:highlight w:val="none"/>
          <w:lang w:eastAsia="zh-CN"/>
        </w:rPr>
        <w:t>验收报告、</w:t>
      </w:r>
      <w:r>
        <w:rPr>
          <w:rFonts w:hint="eastAsia"/>
          <w:color w:val="auto"/>
          <w:highlight w:val="none"/>
          <w:lang w:val="en-US" w:eastAsia="zh-CN"/>
        </w:rPr>
        <w:t>审计结算报告、资金支付手续</w:t>
      </w:r>
      <w:r>
        <w:rPr>
          <w:rFonts w:hint="eastAsia"/>
          <w:color w:val="auto"/>
          <w:highlight w:val="none"/>
          <w:lang w:eastAsia="zh-CN"/>
        </w:rPr>
        <w:t>等资</w:t>
      </w:r>
      <w:r>
        <w:rPr>
          <w:rFonts w:hint="eastAsia"/>
          <w:highlight w:val="none"/>
          <w:lang w:eastAsia="zh-CN"/>
        </w:rPr>
        <w:t>料齐全并及时归档；</w:t>
      </w:r>
    </w:p>
    <w:p w14:paraId="64FA740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highlight w:val="none"/>
          <w:lang w:eastAsia="zh-CN"/>
        </w:rPr>
        <w:t>④项目实施</w:t>
      </w:r>
      <w:r>
        <w:rPr>
          <w:rFonts w:hint="eastAsia" w:cs="宋体"/>
          <w:color w:val="auto"/>
          <w:highlight w:val="none"/>
          <w:shd w:val="clear" w:color="auto" w:fill="auto"/>
          <w:lang w:val="en-US" w:eastAsia="zh-CN"/>
        </w:rPr>
        <w:t>昌州财教[2019]6号文、昌州财教[2019]108号文</w:t>
      </w:r>
      <w:r>
        <w:rPr>
          <w:rFonts w:hint="eastAsia" w:ascii="宋体" w:hAnsi="宋体" w:eastAsia="宋体" w:cs="宋体"/>
          <w:color w:val="auto"/>
          <w:highlight w:val="none"/>
          <w:shd w:val="clear" w:color="auto" w:fill="auto"/>
          <w:lang w:val="en-US" w:eastAsia="zh-CN"/>
        </w:rPr>
        <w:t>件批复，经</w:t>
      </w:r>
      <w:r>
        <w:rPr>
          <w:rFonts w:hint="eastAsia" w:cs="宋体"/>
          <w:color w:val="auto"/>
          <w:highlight w:val="none"/>
          <w:shd w:val="clear" w:color="auto" w:fill="auto"/>
          <w:lang w:val="en-US" w:eastAsia="zh-CN"/>
        </w:rPr>
        <w:t>校党总支</w:t>
      </w:r>
      <w:r>
        <w:rPr>
          <w:rFonts w:hint="eastAsia" w:ascii="宋体" w:hAnsi="宋体" w:eastAsia="宋体" w:cs="宋体"/>
          <w:color w:val="auto"/>
          <w:highlight w:val="none"/>
          <w:shd w:val="clear" w:color="auto" w:fill="auto"/>
          <w:lang w:val="en-US" w:eastAsia="zh-CN"/>
        </w:rPr>
        <w:t>会议</w:t>
      </w:r>
      <w:r>
        <w:rPr>
          <w:rFonts w:hint="eastAsia" w:cs="宋体"/>
          <w:color w:val="auto"/>
          <w:highlight w:val="none"/>
          <w:shd w:val="clear" w:color="auto" w:fill="auto"/>
          <w:lang w:val="en-US" w:eastAsia="zh-CN"/>
        </w:rPr>
        <w:t>研究确定实施</w:t>
      </w:r>
      <w:r>
        <w:rPr>
          <w:rFonts w:hint="eastAsia" w:ascii="宋体" w:hAnsi="宋体" w:eastAsia="宋体" w:cs="宋体"/>
          <w:color w:val="auto"/>
          <w:highlight w:val="none"/>
          <w:shd w:val="clear" w:color="auto" w:fill="auto"/>
          <w:lang w:val="en-US" w:eastAsia="zh-CN"/>
        </w:rPr>
        <w:t>，确定了项目领导小组，明确了责任分工：项目实施场地经阜康市自然资源局审批办理红线图、建设工程规划许可证，用地手续完备</w:t>
      </w:r>
      <w:r>
        <w:rPr>
          <w:rFonts w:hint="eastAsia" w:cs="宋体"/>
          <w:color w:val="auto"/>
          <w:highlight w:val="none"/>
          <w:shd w:val="clear" w:color="auto" w:fill="auto"/>
          <w:lang w:val="en-US" w:eastAsia="zh-CN"/>
        </w:rPr>
        <w:t>。</w:t>
      </w:r>
    </w:p>
    <w:p w14:paraId="44A6F847">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2D9A6F4">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4BC2AF48">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7</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1ADEF865">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4-3项目产出</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2"/>
        <w:tblW w:w="8197" w:type="dxa"/>
        <w:tblInd w:w="0" w:type="dxa"/>
        <w:shd w:val="clear" w:color="auto" w:fill="auto"/>
        <w:tblLayout w:type="fixed"/>
        <w:tblCellMar>
          <w:top w:w="0" w:type="dxa"/>
          <w:left w:w="0" w:type="dxa"/>
          <w:bottom w:w="0" w:type="dxa"/>
          <w:right w:w="0" w:type="dxa"/>
        </w:tblCellMar>
      </w:tblPr>
      <w:tblGrid>
        <w:gridCol w:w="634"/>
        <w:gridCol w:w="928"/>
        <w:gridCol w:w="2413"/>
        <w:gridCol w:w="1668"/>
        <w:gridCol w:w="558"/>
        <w:gridCol w:w="1365"/>
        <w:gridCol w:w="631"/>
      </w:tblGrid>
      <w:tr w14:paraId="3BADEA41">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438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227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24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ABA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D0E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923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527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C76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指标得分</w:t>
            </w:r>
          </w:p>
        </w:tc>
      </w:tr>
      <w:tr w14:paraId="253E1DC8">
        <w:tblPrEx>
          <w:shd w:val="clear" w:color="auto" w:fill="auto"/>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6EABDE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128ABA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数量指标</w:t>
            </w:r>
          </w:p>
        </w:tc>
        <w:tc>
          <w:tcPr>
            <w:tcW w:w="24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03B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实训基地建设面积</w:t>
            </w:r>
          </w:p>
        </w:tc>
        <w:tc>
          <w:tcPr>
            <w:tcW w:w="1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C15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≥1819.58平方米</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048D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391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1819.58平方米</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98D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5</w:t>
            </w:r>
          </w:p>
        </w:tc>
      </w:tr>
      <w:tr w14:paraId="196EA852">
        <w:tblPrEx>
          <w:shd w:val="clear" w:color="auto" w:fill="auto"/>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466E52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E83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24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828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实训基地建设数量（所）</w:t>
            </w:r>
          </w:p>
        </w:tc>
        <w:tc>
          <w:tcPr>
            <w:tcW w:w="1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0C3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≥1所</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FE29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7F8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1所</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AAE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5</w:t>
            </w:r>
          </w:p>
        </w:tc>
      </w:tr>
      <w:tr w14:paraId="1AF1D214">
        <w:tblPrEx>
          <w:shd w:val="clear" w:color="auto" w:fill="auto"/>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896B0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08BA9F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质量指标</w:t>
            </w:r>
          </w:p>
        </w:tc>
        <w:tc>
          <w:tcPr>
            <w:tcW w:w="24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034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实训室设备质量合格率</w:t>
            </w:r>
          </w:p>
        </w:tc>
        <w:tc>
          <w:tcPr>
            <w:tcW w:w="1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30F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44B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F71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99F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5</w:t>
            </w:r>
          </w:p>
        </w:tc>
      </w:tr>
      <w:tr w14:paraId="75CFEE99">
        <w:tblPrEx>
          <w:shd w:val="clear" w:color="auto" w:fill="auto"/>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0ED17D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7CF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24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D32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实训基地验收合格率</w:t>
            </w:r>
          </w:p>
        </w:tc>
        <w:tc>
          <w:tcPr>
            <w:tcW w:w="1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5B3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025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D66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723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5</w:t>
            </w:r>
          </w:p>
        </w:tc>
      </w:tr>
      <w:tr w14:paraId="5E1465F1">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AA18D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50B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时效指标</w:t>
            </w:r>
          </w:p>
        </w:tc>
        <w:tc>
          <w:tcPr>
            <w:tcW w:w="24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736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按期完成率</w:t>
            </w:r>
          </w:p>
        </w:tc>
        <w:tc>
          <w:tcPr>
            <w:tcW w:w="1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3B4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2EA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D90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739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r>
      <w:tr w14:paraId="66F85F65">
        <w:tblPrEx>
          <w:shd w:val="clear" w:color="auto" w:fill="auto"/>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432CB4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398120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成本指标</w:t>
            </w:r>
          </w:p>
        </w:tc>
        <w:tc>
          <w:tcPr>
            <w:tcW w:w="24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F6C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实训基地建支出（万）</w:t>
            </w:r>
          </w:p>
        </w:tc>
        <w:tc>
          <w:tcPr>
            <w:tcW w:w="1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6EB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≤174.83万元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DC4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882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174.83万元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C14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2.5</w:t>
            </w:r>
          </w:p>
        </w:tc>
      </w:tr>
      <w:tr w14:paraId="0935DF8F">
        <w:tblPrEx>
          <w:shd w:val="clear" w:color="auto" w:fill="auto"/>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4A242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5534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24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6D7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设备采购支出（万）</w:t>
            </w:r>
          </w:p>
        </w:tc>
        <w:tc>
          <w:tcPr>
            <w:tcW w:w="16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6BC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≤7.4万元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618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41F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7.4万元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5DA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2.5</w:t>
            </w:r>
          </w:p>
        </w:tc>
      </w:tr>
      <w:tr w14:paraId="501CE4B0">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8E2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426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76D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7BE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30</w:t>
            </w:r>
          </w:p>
        </w:tc>
      </w:tr>
    </w:tbl>
    <w:p w14:paraId="6D984ED3">
      <w:pPr>
        <w:bidi w:val="0"/>
        <w:outlineLvl w:val="2"/>
        <w:rPr>
          <w:rFonts w:hint="eastAsia"/>
          <w:b/>
          <w:bCs/>
          <w:highlight w:val="none"/>
          <w:lang w:val="en-US" w:eastAsia="zh-CN"/>
        </w:rPr>
      </w:pPr>
      <w:bookmarkStart w:id="70" w:name="_Toc11067"/>
      <w:r>
        <w:rPr>
          <w:rFonts w:hint="eastAsia"/>
          <w:b/>
          <w:bCs/>
          <w:highlight w:val="none"/>
          <w:lang w:val="en-US" w:eastAsia="zh-CN"/>
        </w:rPr>
        <w:t>1.项目完成数量</w:t>
      </w:r>
      <w:bookmarkEnd w:id="70"/>
    </w:p>
    <w:p w14:paraId="1E41FB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“实训基地建设面积”指标，预期目标值为1819.58平方米；实际完成为1819.58平方米。实际完成率=（1819.58/1819.58）×100%=100%。</w:t>
      </w:r>
    </w:p>
    <w:p w14:paraId="7189B50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“实训基地建设数量（所）”指标，预期目标值为1所；实际完成为1实际完成为1819.58平方米。实际完成率=（1所/1所）×100%=100%。</w:t>
      </w:r>
    </w:p>
    <w:p w14:paraId="21C9ADDD">
      <w:pPr>
        <w:bidi w:val="0"/>
        <w:rPr>
          <w:rFonts w:hint="eastAsia"/>
          <w:color w:val="auto"/>
          <w:highlight w:val="none"/>
          <w:lang w:eastAsia="zh-CN"/>
        </w:rPr>
      </w:pPr>
      <w:r>
        <w:rPr>
          <w:rFonts w:hint="eastAsia"/>
          <w:b/>
          <w:bCs/>
          <w:color w:val="auto"/>
          <w:highlight w:val="none"/>
          <w:lang w:val="en-US" w:eastAsia="zh-CN"/>
        </w:rPr>
        <w:t>综上，该项指标满分10分，得分10分。</w:t>
      </w:r>
    </w:p>
    <w:p w14:paraId="215A23AB">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4AD64BD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“实训室设备质量合格率”指标，预期目标值为100%；实际完成为100%。</w:t>
      </w:r>
    </w:p>
    <w:p w14:paraId="24E0F5B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“实训基地验收合格率率”指标，预期目标值为100%；实际完成为100%。</w:t>
      </w:r>
    </w:p>
    <w:p w14:paraId="25046E9B">
      <w:pPr>
        <w:bidi w:val="0"/>
        <w:rPr>
          <w:rFonts w:hint="eastAsia"/>
          <w:color w:val="auto"/>
          <w:highlight w:val="none"/>
          <w:lang w:eastAsia="zh-CN"/>
        </w:rPr>
      </w:pPr>
      <w:r>
        <w:rPr>
          <w:rFonts w:hint="eastAsia"/>
          <w:b/>
          <w:bCs/>
          <w:color w:val="auto"/>
          <w:highlight w:val="none"/>
          <w:lang w:val="en-US" w:eastAsia="zh-CN"/>
        </w:rPr>
        <w:t>综上，该项指标满分10分，得分10分。</w:t>
      </w:r>
    </w:p>
    <w:p w14:paraId="4AB8CE1B">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4287395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ascii="宋体" w:hAnsi="宋体" w:eastAsia="宋体" w:cs="宋体"/>
          <w:color w:val="auto"/>
          <w:highlight w:val="none"/>
          <w:shd w:val="clear" w:color="auto" w:fill="auto"/>
          <w:lang w:val="en-US" w:eastAsia="zh-CN"/>
        </w:rPr>
        <w:t>“按期完成率”指标，预期目标值为100%，实际完成为100%。</w:t>
      </w:r>
    </w:p>
    <w:p w14:paraId="44497B6F">
      <w:pPr>
        <w:bidi w:val="0"/>
        <w:rPr>
          <w:rFonts w:hint="eastAsia" w:ascii="宋体" w:hAnsi="宋体" w:eastAsia="宋体" w:cs="宋体"/>
          <w:color w:val="auto"/>
          <w:highlight w:val="none"/>
          <w:shd w:val="clear" w:color="auto" w:fill="auto"/>
          <w:lang w:val="en-US" w:eastAsia="zh-CN"/>
        </w:rPr>
      </w:pPr>
      <w:r>
        <w:rPr>
          <w:rFonts w:hint="eastAsia"/>
          <w:b/>
          <w:bCs/>
          <w:color w:val="auto"/>
          <w:highlight w:val="none"/>
          <w:lang w:val="en-US" w:eastAsia="zh-CN"/>
        </w:rPr>
        <w:t>综上，该项指标满分5分，得分5分</w:t>
      </w:r>
      <w:r>
        <w:rPr>
          <w:rFonts w:hint="eastAsia" w:ascii="宋体" w:hAnsi="宋体" w:eastAsia="宋体" w:cs="宋体"/>
          <w:color w:val="auto"/>
          <w:highlight w:val="none"/>
          <w:shd w:val="clear" w:color="auto" w:fill="auto"/>
          <w:lang w:val="en-US" w:eastAsia="zh-CN"/>
        </w:rPr>
        <w:t>。</w:t>
      </w:r>
    </w:p>
    <w:p w14:paraId="01AF270F">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44DF6F1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“实训基地建支出（万）”指标，预期目标值为≤174.83万元，实际完成为174.83万元。实际完成率=（174.83</w:t>
      </w:r>
      <w:r>
        <w:rPr>
          <w:rFonts w:hint="eastAsia" w:cs="宋体"/>
          <w:color w:val="auto"/>
          <w:highlight w:val="none"/>
          <w:shd w:val="clear" w:color="auto" w:fill="auto"/>
          <w:lang w:val="en-US" w:eastAsia="zh-CN"/>
        </w:rPr>
        <w:t>万元</w:t>
      </w:r>
      <w:r>
        <w:rPr>
          <w:rFonts w:hint="eastAsia" w:ascii="宋体" w:hAnsi="宋体" w:eastAsia="宋体" w:cs="宋体"/>
          <w:color w:val="auto"/>
          <w:highlight w:val="none"/>
          <w:shd w:val="clear" w:color="auto" w:fill="auto"/>
          <w:lang w:val="en-US" w:eastAsia="zh-CN"/>
        </w:rPr>
        <w:t>/174.83</w:t>
      </w:r>
      <w:r>
        <w:rPr>
          <w:rFonts w:hint="eastAsia" w:cs="宋体"/>
          <w:color w:val="auto"/>
          <w:highlight w:val="none"/>
          <w:shd w:val="clear" w:color="auto" w:fill="auto"/>
          <w:lang w:val="en-US" w:eastAsia="zh-CN"/>
        </w:rPr>
        <w:t>万元</w:t>
      </w:r>
      <w:r>
        <w:rPr>
          <w:rFonts w:hint="eastAsia" w:ascii="宋体" w:hAnsi="宋体" w:eastAsia="宋体" w:cs="宋体"/>
          <w:color w:val="auto"/>
          <w:highlight w:val="none"/>
          <w:shd w:val="clear" w:color="auto" w:fill="auto"/>
          <w:lang w:val="en-US" w:eastAsia="zh-CN"/>
        </w:rPr>
        <w:t>）×100%=100%。</w:t>
      </w:r>
    </w:p>
    <w:p w14:paraId="4BCDDFF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“设备采购支出（万）”指标，预期目标值为≤7.4万元，实际完成为7.4万元。实际完成率=（7.4</w:t>
      </w:r>
      <w:r>
        <w:rPr>
          <w:rFonts w:hint="eastAsia" w:cs="宋体"/>
          <w:color w:val="auto"/>
          <w:highlight w:val="none"/>
          <w:shd w:val="clear" w:color="auto" w:fill="auto"/>
          <w:lang w:val="en-US" w:eastAsia="zh-CN"/>
        </w:rPr>
        <w:t>万元</w:t>
      </w:r>
      <w:r>
        <w:rPr>
          <w:rFonts w:hint="eastAsia" w:ascii="宋体" w:hAnsi="宋体" w:eastAsia="宋体" w:cs="宋体"/>
          <w:color w:val="auto"/>
          <w:highlight w:val="none"/>
          <w:shd w:val="clear" w:color="auto" w:fill="auto"/>
          <w:lang w:val="en-US" w:eastAsia="zh-CN"/>
        </w:rPr>
        <w:t>/7.4</w:t>
      </w:r>
      <w:r>
        <w:rPr>
          <w:rFonts w:hint="eastAsia" w:cs="宋体"/>
          <w:color w:val="auto"/>
          <w:highlight w:val="none"/>
          <w:shd w:val="clear" w:color="auto" w:fill="auto"/>
          <w:lang w:val="en-US" w:eastAsia="zh-CN"/>
        </w:rPr>
        <w:t>万元</w:t>
      </w:r>
      <w:r>
        <w:rPr>
          <w:rFonts w:hint="eastAsia" w:ascii="宋体" w:hAnsi="宋体" w:eastAsia="宋体" w:cs="宋体"/>
          <w:color w:val="auto"/>
          <w:highlight w:val="none"/>
          <w:shd w:val="clear" w:color="auto" w:fill="auto"/>
          <w:lang w:val="en-US" w:eastAsia="zh-CN"/>
        </w:rPr>
        <w:t>）×100%=100%。</w:t>
      </w:r>
    </w:p>
    <w:p w14:paraId="0D658D99">
      <w:pPr>
        <w:bidi w:val="0"/>
        <w:rPr>
          <w:rFonts w:hint="eastAsia"/>
          <w:b/>
          <w:bCs/>
          <w:color w:val="auto"/>
          <w:highlight w:val="none"/>
          <w:lang w:val="en-US" w:eastAsia="zh-CN"/>
        </w:rPr>
      </w:pPr>
      <w:r>
        <w:rPr>
          <w:rFonts w:hint="eastAsia"/>
          <w:b/>
          <w:bCs/>
          <w:color w:val="auto"/>
          <w:highlight w:val="none"/>
          <w:lang w:val="en-US" w:eastAsia="zh-CN"/>
        </w:rPr>
        <w:t>综上，该项指标满分5分，得分5分。</w:t>
      </w:r>
    </w:p>
    <w:p w14:paraId="779B2CD8">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06D62B6C">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highlight w:val="none"/>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23A2C662">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71DA2276">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0589EF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5B302D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46CBE2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182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E4B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341594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279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547ECC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1E5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7AF2E5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66A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6EE6DB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5CE3C636">
        <w:tblPrEx>
          <w:shd w:val="clear" w:color="auto" w:fill="auto"/>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14:paraId="73201A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5AAA4C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0579A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改善办学条件</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826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改善</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B30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2E4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6BE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15</w:t>
            </w:r>
          </w:p>
        </w:tc>
      </w:tr>
      <w:tr w14:paraId="059523EC">
        <w:tblPrEx>
          <w:shd w:val="clear" w:color="auto" w:fill="auto"/>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A07B6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670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FE1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A29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990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D99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098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15</w:t>
            </w:r>
          </w:p>
        </w:tc>
      </w:tr>
      <w:tr w14:paraId="08EF3789">
        <w:tblPrEx>
          <w:shd w:val="clear" w:color="auto" w:fill="auto"/>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42C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754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562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059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4877C5DA">
      <w:pPr>
        <w:bidi w:val="0"/>
        <w:outlineLvl w:val="2"/>
        <w:rPr>
          <w:rFonts w:hint="eastAsia"/>
          <w:b/>
          <w:bCs/>
          <w:color w:val="auto"/>
          <w:highlight w:val="none"/>
          <w:lang w:val="en-US" w:eastAsia="zh-CN"/>
        </w:rPr>
      </w:pPr>
      <w:bookmarkStart w:id="75" w:name="_Toc27006"/>
      <w:r>
        <w:rPr>
          <w:rFonts w:hint="eastAsia"/>
          <w:b/>
          <w:bCs/>
          <w:color w:val="auto"/>
          <w:highlight w:val="none"/>
          <w:lang w:val="en-US" w:eastAsia="zh-CN"/>
        </w:rPr>
        <w:t>1.社会效益指标</w:t>
      </w:r>
      <w:bookmarkEnd w:id="75"/>
    </w:p>
    <w:p w14:paraId="695B9D6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val="0"/>
          <w:bCs w:val="0"/>
          <w:color w:val="auto"/>
          <w:highlight w:val="none"/>
          <w:lang w:val="en-US" w:eastAsia="zh-CN"/>
        </w:rPr>
      </w:pPr>
      <w:r>
        <w:rPr>
          <w:rFonts w:hint="eastAsia" w:ascii="宋体" w:hAnsi="宋体" w:eastAsia="宋体" w:cs="宋体"/>
          <w:color w:val="auto"/>
          <w:highlight w:val="none"/>
          <w:shd w:val="clear" w:color="auto" w:fill="auto"/>
          <w:lang w:val="en-US" w:eastAsia="zh-CN"/>
        </w:rPr>
        <w:t>改善办学条件”指标，预期目标值为改善，实际产生效益有效改善。</w:t>
      </w:r>
    </w:p>
    <w:p w14:paraId="088C3029">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b w:val="0"/>
          <w:bCs w:val="0"/>
          <w:color w:val="auto"/>
          <w:highlight w:val="none"/>
          <w:lang w:val="en-US" w:eastAsia="zh-CN"/>
        </w:rPr>
      </w:pPr>
      <w:r>
        <w:rPr>
          <w:rFonts w:hint="eastAsia"/>
          <w:b w:val="0"/>
          <w:bCs w:val="0"/>
          <w:color w:val="auto"/>
          <w:highlight w:val="none"/>
          <w:lang w:val="en-US" w:eastAsia="zh-CN"/>
        </w:rPr>
        <w:t>通过项目的实施，</w:t>
      </w:r>
      <w:r>
        <w:rPr>
          <w:rFonts w:hint="eastAsia" w:cs="宋体"/>
          <w:color w:val="auto"/>
          <w:highlight w:val="none"/>
          <w:shd w:val="clear" w:color="auto" w:fill="auto"/>
          <w:lang w:val="en-US" w:eastAsia="zh-CN"/>
        </w:rPr>
        <w:t>实训工房建设为学校机加工实训中心，提高了机械设备及机电一体化专业实训条件，对学生取证培训、大赛训练、1+x证书授课都有促进作用。改善办学条件项目的建设，通过更换纳米黑板、建设录播教室和引进教务管理系统，从课程资源建设、课堂教学效果、教务管理上全方面改善我校的办学条件，增强学校办学实力，提高教育教学质量，为师生培养创造良好的教学环境。</w:t>
      </w:r>
    </w:p>
    <w:p w14:paraId="0239E428">
      <w:pPr>
        <w:bidi w:val="0"/>
        <w:rPr>
          <w:rFonts w:hint="eastAsia"/>
          <w:color w:val="auto"/>
          <w:highlight w:val="none"/>
          <w:lang w:val="en-US" w:eastAsia="zh-CN"/>
        </w:rPr>
      </w:pPr>
      <w:r>
        <w:rPr>
          <w:rFonts w:hint="eastAsia"/>
          <w:b/>
          <w:bCs/>
          <w:color w:val="auto"/>
          <w:highlight w:val="none"/>
          <w:lang w:val="en-US" w:eastAsia="zh-CN"/>
        </w:rPr>
        <w:t>综上，该项指标满分15分，得分15分。</w:t>
      </w:r>
    </w:p>
    <w:p w14:paraId="37E10146">
      <w:pPr>
        <w:bidi w:val="0"/>
        <w:outlineLvl w:val="2"/>
        <w:rPr>
          <w:rFonts w:hint="eastAsia"/>
          <w:b/>
          <w:bCs/>
          <w:color w:val="auto"/>
          <w:highlight w:val="none"/>
          <w:lang w:val="en-US" w:eastAsia="zh-CN"/>
        </w:rPr>
      </w:pPr>
      <w:bookmarkStart w:id="76" w:name="_Toc3271"/>
      <w:r>
        <w:rPr>
          <w:rFonts w:hint="eastAsia"/>
          <w:b/>
          <w:bCs/>
          <w:color w:val="auto"/>
          <w:highlight w:val="none"/>
          <w:lang w:val="en-US" w:eastAsia="zh-CN"/>
        </w:rPr>
        <w:t>2.满意度指标</w:t>
      </w:r>
      <w:bookmarkEnd w:id="76"/>
    </w:p>
    <w:p w14:paraId="2274B4CC">
      <w:pPr>
        <w:bidi w:val="0"/>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highlight w:val="none"/>
          <w:lang w:val="en-US" w:eastAsia="zh-CN"/>
        </w:rPr>
        <w:t>“学生满意度”指标，预期目标值为≥95%，实际完成为95%。</w:t>
      </w:r>
    </w:p>
    <w:p w14:paraId="77790CC4">
      <w:pPr>
        <w:bidi w:val="0"/>
        <w:rPr>
          <w:rFonts w:hint="eastAsia"/>
          <w:b/>
          <w:bCs/>
          <w:color w:val="auto"/>
          <w:highlight w:val="none"/>
          <w:lang w:val="en-US" w:eastAsia="zh-CN"/>
        </w:rPr>
      </w:pPr>
      <w:r>
        <w:rPr>
          <w:rFonts w:hint="eastAsia"/>
          <w:b/>
          <w:bCs/>
          <w:color w:val="auto"/>
          <w:highlight w:val="none"/>
          <w:lang w:val="en-US" w:eastAsia="zh-CN"/>
        </w:rPr>
        <w:t>综上，该项指标满分15分，得分15分。</w:t>
      </w:r>
    </w:p>
    <w:p w14:paraId="552B79A1">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7" w:name="_Toc19962"/>
      <w:r>
        <w:rPr>
          <w:rFonts w:hint="eastAsia" w:ascii="宋体" w:hAnsi="宋体" w:eastAsia="宋体" w:cs="宋体"/>
          <w:b/>
          <w:bCs/>
          <w:color w:val="auto"/>
          <w:highlight w:val="none"/>
          <w:shd w:val="clear" w:color="auto" w:fill="auto"/>
          <w:lang w:val="en-US" w:eastAsia="zh-CN"/>
        </w:rPr>
        <w:t>五、预算执行进度与指标偏差</w:t>
      </w:r>
      <w:bookmarkEnd w:id="77"/>
    </w:p>
    <w:p w14:paraId="034F06E0">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b w:val="0"/>
          <w:bCs w:val="0"/>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w:t>
      </w:r>
      <w:r>
        <w:rPr>
          <w:rFonts w:hint="eastAsia" w:cs="仿宋_GB2312"/>
          <w:b w:val="0"/>
          <w:bCs w:val="0"/>
          <w:color w:val="auto"/>
          <w:sz w:val="28"/>
          <w:szCs w:val="28"/>
          <w:highlight w:val="none"/>
          <w:lang w:eastAsia="zh-CN"/>
        </w:rPr>
        <w:t>预算资金总额为</w:t>
      </w:r>
      <w:r>
        <w:rPr>
          <w:rFonts w:hint="eastAsia"/>
          <w:b w:val="0"/>
          <w:bCs w:val="0"/>
          <w:color w:val="auto"/>
          <w:highlight w:val="none"/>
          <w:lang w:eastAsia="zh-CN"/>
        </w:rPr>
        <w:t>182.23</w:t>
      </w:r>
      <w:r>
        <w:rPr>
          <w:rFonts w:hint="eastAsia" w:cs="仿宋_GB2312"/>
          <w:b w:val="0"/>
          <w:bCs w:val="0"/>
          <w:color w:val="auto"/>
          <w:sz w:val="28"/>
          <w:szCs w:val="28"/>
          <w:highlight w:val="none"/>
          <w:lang w:val="en-US" w:eastAsia="zh-CN"/>
        </w:rPr>
        <w:t>万元，全年执行数为</w:t>
      </w:r>
      <w:r>
        <w:rPr>
          <w:rFonts w:hint="eastAsia"/>
          <w:b w:val="0"/>
          <w:bCs w:val="0"/>
          <w:color w:val="auto"/>
          <w:highlight w:val="none"/>
          <w:lang w:eastAsia="zh-CN"/>
        </w:rPr>
        <w:t>182.23</w:t>
      </w:r>
      <w:r>
        <w:rPr>
          <w:rFonts w:hint="eastAsia" w:cs="仿宋_GB2312"/>
          <w:b w:val="0"/>
          <w:bCs w:val="0"/>
          <w:color w:val="auto"/>
          <w:sz w:val="28"/>
          <w:szCs w:val="28"/>
          <w:highlight w:val="none"/>
          <w:lang w:val="en-US" w:eastAsia="zh-CN"/>
        </w:rPr>
        <w:t>万元，预算执行率为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en-US" w:eastAsia="zh-CN"/>
        </w:rPr>
        <w:t>%，</w:t>
      </w:r>
      <w:r>
        <w:rPr>
          <w:rFonts w:hint="eastAsia" w:cs="仿宋_GB2312"/>
          <w:b w:val="0"/>
          <w:bCs w:val="0"/>
          <w:color w:val="auto"/>
          <w:sz w:val="28"/>
          <w:szCs w:val="28"/>
          <w:highlight w:val="none"/>
          <w:lang w:eastAsia="zh-CN"/>
        </w:rPr>
        <w:t>总体完成率为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zh-TW" w:eastAsia="zh-TW"/>
        </w:rPr>
        <w:t>%。</w:t>
      </w:r>
      <w:r>
        <w:rPr>
          <w:rFonts w:hint="eastAsia" w:cs="仿宋_GB2312"/>
          <w:b w:val="0"/>
          <w:bCs w:val="0"/>
          <w:color w:val="auto"/>
          <w:sz w:val="28"/>
          <w:szCs w:val="28"/>
          <w:highlight w:val="none"/>
          <w:lang w:val="en-US" w:eastAsia="zh-CN"/>
        </w:rPr>
        <w:t>预算执行率与总体完成率之间的偏差为</w:t>
      </w:r>
      <w:r>
        <w:rPr>
          <w:rFonts w:hint="eastAsia"/>
          <w:b w:val="0"/>
          <w:bCs w:val="0"/>
          <w:color w:val="auto"/>
          <w:highlight w:val="none"/>
          <w:lang w:val="en-US" w:eastAsia="zh-CN"/>
        </w:rPr>
        <w:t>0</w:t>
      </w:r>
      <w:r>
        <w:rPr>
          <w:rFonts w:hint="eastAsia" w:cs="仿宋_GB2312"/>
          <w:b w:val="0"/>
          <w:bCs w:val="0"/>
          <w:color w:val="auto"/>
          <w:sz w:val="28"/>
          <w:szCs w:val="28"/>
          <w:highlight w:val="none"/>
          <w:lang w:val="en-US" w:eastAsia="zh-CN"/>
        </w:rPr>
        <w:t>%，无</w:t>
      </w:r>
      <w:r>
        <w:rPr>
          <w:rFonts w:hint="eastAsia"/>
          <w:b w:val="0"/>
          <w:bCs w:val="0"/>
          <w:color w:val="auto"/>
          <w:highlight w:val="none"/>
        </w:rPr>
        <w:t>偏差</w:t>
      </w:r>
      <w:r>
        <w:rPr>
          <w:rFonts w:hint="eastAsia" w:ascii="仿宋_GB2312" w:hAnsi="仿宋_GB2312" w:cs="仿宋_GB2312"/>
          <w:b w:val="0"/>
          <w:bCs w:val="0"/>
          <w:color w:val="auto"/>
          <w:sz w:val="28"/>
          <w:szCs w:val="28"/>
          <w:highlight w:val="none"/>
        </w:rPr>
        <w:t>。</w:t>
      </w:r>
    </w:p>
    <w:p w14:paraId="61741FA8">
      <w:pPr>
        <w:pStyle w:val="5"/>
        <w:numPr>
          <w:ilvl w:val="0"/>
          <w:numId w:val="0"/>
        </w:numPr>
        <w:ind w:firstLine="560" w:firstLineChars="200"/>
        <w:rPr>
          <w:rFonts w:hint="default" w:ascii="宋体" w:hAnsi="宋体" w:eastAsia="宋体" w:cs="仿宋_GB2312"/>
          <w:b w:val="0"/>
          <w:bCs w:val="0"/>
          <w:color w:val="auto"/>
          <w:kern w:val="2"/>
          <w:sz w:val="28"/>
          <w:szCs w:val="28"/>
          <w:highlight w:val="none"/>
          <w:lang w:val="en-US" w:eastAsia="zh-CN" w:bidi="ar-SA"/>
        </w:rPr>
      </w:pPr>
      <w:r>
        <w:rPr>
          <w:rFonts w:hint="eastAsia" w:ascii="宋体" w:hAnsi="宋体" w:eastAsia="宋体" w:cs="仿宋_GB2312"/>
          <w:b w:val="0"/>
          <w:bCs w:val="0"/>
          <w:color w:val="auto"/>
          <w:kern w:val="2"/>
          <w:sz w:val="28"/>
          <w:szCs w:val="28"/>
          <w:highlight w:val="none"/>
          <w:lang w:val="en-US" w:eastAsia="zh-CN" w:bidi="ar-SA"/>
        </w:rPr>
        <w:t>该项目预算资金总额为</w:t>
      </w:r>
      <w:r>
        <w:rPr>
          <w:rFonts w:hint="eastAsia"/>
          <w:b w:val="0"/>
          <w:bCs w:val="0"/>
          <w:color w:val="auto"/>
          <w:highlight w:val="none"/>
          <w:lang w:eastAsia="zh-CN"/>
        </w:rPr>
        <w:t>182.23</w:t>
      </w:r>
      <w:r>
        <w:rPr>
          <w:rFonts w:hint="eastAsia" w:ascii="宋体" w:hAnsi="宋体" w:eastAsia="宋体" w:cs="仿宋_GB2312"/>
          <w:b w:val="0"/>
          <w:bCs w:val="0"/>
          <w:color w:val="auto"/>
          <w:kern w:val="2"/>
          <w:sz w:val="28"/>
          <w:szCs w:val="28"/>
          <w:highlight w:val="none"/>
          <w:lang w:val="en-US" w:eastAsia="zh-CN" w:bidi="ar-SA"/>
        </w:rPr>
        <w:t>万元，全年执行数为</w:t>
      </w:r>
      <w:r>
        <w:rPr>
          <w:rFonts w:hint="eastAsia"/>
          <w:b w:val="0"/>
          <w:bCs w:val="0"/>
          <w:color w:val="auto"/>
          <w:highlight w:val="none"/>
          <w:lang w:eastAsia="zh-CN"/>
        </w:rPr>
        <w:t>182.23</w:t>
      </w:r>
      <w:r>
        <w:rPr>
          <w:rFonts w:hint="eastAsia" w:ascii="宋体" w:hAnsi="宋体" w:eastAsia="宋体" w:cs="仿宋_GB2312"/>
          <w:b w:val="0"/>
          <w:bCs w:val="0"/>
          <w:color w:val="auto"/>
          <w:kern w:val="2"/>
          <w:sz w:val="28"/>
          <w:szCs w:val="28"/>
          <w:highlight w:val="none"/>
          <w:lang w:val="en-US" w:eastAsia="zh-CN" w:bidi="ar-SA"/>
        </w:rPr>
        <w:t>万元，预算执行率为</w:t>
      </w:r>
      <w:r>
        <w:rPr>
          <w:rFonts w:hint="eastAsia" w:cs="仿宋_GB2312"/>
          <w:b w:val="0"/>
          <w:bCs w:val="0"/>
          <w:color w:val="auto"/>
          <w:kern w:val="2"/>
          <w:sz w:val="28"/>
          <w:szCs w:val="28"/>
          <w:highlight w:val="none"/>
          <w:lang w:val="en-US" w:eastAsia="zh-CN" w:bidi="ar-SA"/>
        </w:rPr>
        <w:t>100</w:t>
      </w:r>
      <w:r>
        <w:rPr>
          <w:rFonts w:hint="eastAsia" w:ascii="宋体" w:hAnsi="宋体" w:eastAsia="宋体" w:cs="宋体"/>
          <w:b w:val="0"/>
          <w:bCs w:val="0"/>
          <w:color w:val="auto"/>
          <w:kern w:val="2"/>
          <w:sz w:val="28"/>
          <w:szCs w:val="28"/>
          <w:highlight w:val="none"/>
          <w:lang w:val="en-US" w:eastAsia="zh-CN" w:bidi="ar-SA"/>
        </w:rPr>
        <w:t>%</w:t>
      </w:r>
      <w:r>
        <w:rPr>
          <w:rFonts w:hint="eastAsia" w:ascii="宋体" w:hAnsi="宋体" w:eastAsia="宋体" w:cs="仿宋_GB2312"/>
          <w:b w:val="0"/>
          <w:bCs w:val="0"/>
          <w:color w:val="auto"/>
          <w:kern w:val="2"/>
          <w:sz w:val="28"/>
          <w:szCs w:val="28"/>
          <w:highlight w:val="none"/>
          <w:lang w:val="en-US" w:eastAsia="zh-CN" w:bidi="ar-SA"/>
        </w:rPr>
        <w:t>，总体完成率为</w:t>
      </w:r>
      <w:r>
        <w:rPr>
          <w:rFonts w:hint="eastAsia" w:cs="宋体"/>
          <w:b w:val="0"/>
          <w:bCs w:val="0"/>
          <w:color w:val="auto"/>
          <w:kern w:val="2"/>
          <w:sz w:val="28"/>
          <w:szCs w:val="28"/>
          <w:highlight w:val="none"/>
          <w:lang w:val="en-US" w:eastAsia="zh-CN" w:bidi="ar-SA"/>
        </w:rPr>
        <w:t>100</w:t>
      </w:r>
      <w:r>
        <w:rPr>
          <w:rFonts w:hint="eastAsia" w:ascii="宋体" w:hAnsi="宋体" w:eastAsia="宋体" w:cs="宋体"/>
          <w:b w:val="0"/>
          <w:bCs w:val="0"/>
          <w:color w:val="auto"/>
          <w:kern w:val="2"/>
          <w:sz w:val="28"/>
          <w:szCs w:val="28"/>
          <w:highlight w:val="none"/>
          <w:lang w:val="zh-TW" w:eastAsia="zh-TW" w:bidi="ar-SA"/>
        </w:rPr>
        <w:t>%</w:t>
      </w:r>
      <w:r>
        <w:rPr>
          <w:rFonts w:hint="eastAsia" w:ascii="宋体" w:hAnsi="宋体" w:eastAsia="宋体" w:cs="仿宋_GB2312"/>
          <w:b w:val="0"/>
          <w:bCs w:val="0"/>
          <w:color w:val="auto"/>
          <w:kern w:val="2"/>
          <w:sz w:val="28"/>
          <w:szCs w:val="28"/>
          <w:highlight w:val="none"/>
          <w:lang w:val="en-US" w:eastAsia="zh-CN" w:bidi="ar-SA"/>
        </w:rPr>
        <w:t>。预算执行率与总体完成率之间的偏差为</w:t>
      </w:r>
      <w:r>
        <w:rPr>
          <w:rFonts w:hint="eastAsia" w:cs="宋体"/>
          <w:b w:val="0"/>
          <w:bCs w:val="0"/>
          <w:color w:val="auto"/>
          <w:kern w:val="2"/>
          <w:sz w:val="28"/>
          <w:szCs w:val="28"/>
          <w:highlight w:val="none"/>
          <w:lang w:val="en-US" w:eastAsia="zh-CN" w:bidi="ar-SA"/>
        </w:rPr>
        <w:t>0</w:t>
      </w:r>
      <w:r>
        <w:rPr>
          <w:rFonts w:hint="eastAsia" w:ascii="宋体" w:hAnsi="宋体" w:eastAsia="宋体" w:cs="宋体"/>
          <w:b w:val="0"/>
          <w:bCs w:val="0"/>
          <w:color w:val="auto"/>
          <w:kern w:val="2"/>
          <w:sz w:val="28"/>
          <w:szCs w:val="28"/>
          <w:highlight w:val="none"/>
          <w:lang w:val="en-US" w:eastAsia="zh-CN" w:bidi="ar-SA"/>
        </w:rPr>
        <w:t>%</w:t>
      </w:r>
      <w:r>
        <w:rPr>
          <w:rFonts w:hint="eastAsia" w:ascii="宋体" w:hAnsi="宋体" w:eastAsia="宋体" w:cs="仿宋_GB2312"/>
          <w:b w:val="0"/>
          <w:bCs w:val="0"/>
          <w:color w:val="auto"/>
          <w:kern w:val="2"/>
          <w:sz w:val="28"/>
          <w:szCs w:val="28"/>
          <w:highlight w:val="none"/>
          <w:lang w:val="en-US" w:eastAsia="zh-CN" w:bidi="ar-SA"/>
        </w:rPr>
        <w:t>，总体完成率</w:t>
      </w:r>
      <w:r>
        <w:rPr>
          <w:rFonts w:hint="eastAsia" w:cs="仿宋_GB2312"/>
          <w:b w:val="0"/>
          <w:bCs w:val="0"/>
          <w:color w:val="auto"/>
          <w:kern w:val="2"/>
          <w:sz w:val="28"/>
          <w:szCs w:val="28"/>
          <w:highlight w:val="none"/>
          <w:lang w:val="en-US" w:eastAsia="zh-CN" w:bidi="ar-SA"/>
        </w:rPr>
        <w:t>较好。</w:t>
      </w:r>
    </w:p>
    <w:p w14:paraId="5466C1A8">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8"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78"/>
    </w:p>
    <w:p w14:paraId="198CD191">
      <w:pPr>
        <w:numPr>
          <w:ilvl w:val="0"/>
          <w:numId w:val="0"/>
        </w:numPr>
        <w:bidi w:val="0"/>
        <w:ind w:left="560" w:leftChars="0"/>
        <w:outlineLvl w:val="1"/>
        <w:rPr>
          <w:rFonts w:hint="eastAsia"/>
          <w:b/>
          <w:bCs/>
          <w:color w:val="auto"/>
          <w:highlight w:val="none"/>
          <w:lang w:eastAsia="zh-CN"/>
        </w:rPr>
      </w:pPr>
      <w:bookmarkStart w:id="79" w:name="_Toc13160"/>
      <w:bookmarkStart w:id="80" w:name="_Toc28290"/>
      <w:bookmarkStart w:id="81"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79"/>
    </w:p>
    <w:p w14:paraId="4C191862">
      <w:pPr>
        <w:bidi w:val="0"/>
        <w:rPr>
          <w:rFonts w:hint="eastAsia"/>
          <w:color w:val="auto"/>
          <w:highlight w:val="none"/>
          <w:lang w:eastAsia="zh-CN"/>
        </w:rPr>
      </w:pPr>
      <w:r>
        <w:rPr>
          <w:rFonts w:hint="eastAsia"/>
          <w:color w:val="auto"/>
          <w:highlight w:val="none"/>
          <w:lang w:val="en-US" w:eastAsia="zh-CN"/>
        </w:rPr>
        <w:t>现代职业教育质量提升项目资金项目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为182.23万元，</w:t>
      </w:r>
      <w:r>
        <w:rPr>
          <w:rFonts w:hint="eastAsia"/>
          <w:color w:val="auto"/>
          <w:highlight w:val="none"/>
          <w:lang w:val="en-US" w:eastAsia="zh-CN"/>
        </w:rPr>
        <w:t>截至2023年12月31日共</w:t>
      </w:r>
      <w:r>
        <w:rPr>
          <w:rFonts w:hint="eastAsia"/>
          <w:color w:val="auto"/>
          <w:highlight w:val="none"/>
          <w:lang w:eastAsia="zh-CN"/>
        </w:rPr>
        <w:t>支出182.23万元，预算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14:paraId="5401518C">
      <w:pPr>
        <w:bidi w:val="0"/>
        <w:rPr>
          <w:rFonts w:hint="eastAsia"/>
          <w:color w:val="auto"/>
          <w:highlight w:val="none"/>
          <w:lang w:eastAsia="zh-CN"/>
        </w:rPr>
      </w:pPr>
      <w:r>
        <w:rPr>
          <w:rFonts w:hint="eastAsia"/>
          <w:color w:val="auto"/>
          <w:highlight w:val="none"/>
          <w:lang w:val="en-US" w:eastAsia="zh-CN"/>
        </w:rPr>
        <w:t>阜康市职业中等专业学校单位</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阜康市职业中等专业学校单位</w:t>
      </w:r>
      <w:r>
        <w:rPr>
          <w:rFonts w:hint="eastAsia"/>
          <w:color w:val="auto"/>
          <w:highlight w:val="none"/>
          <w:lang w:eastAsia="zh-CN"/>
        </w:rPr>
        <w:t>事业发展中关系民生与稳定的项目，切实优化资源配置，提高了资金使用的效率和效果。</w:t>
      </w:r>
    </w:p>
    <w:bookmarkEnd w:id="80"/>
    <w:bookmarkEnd w:id="81"/>
    <w:p w14:paraId="22B8FD3A">
      <w:pPr>
        <w:bidi w:val="0"/>
        <w:outlineLvl w:val="1"/>
        <w:rPr>
          <w:rFonts w:hint="eastAsia"/>
          <w:b/>
          <w:bCs/>
          <w:color w:val="auto"/>
          <w:highlight w:val="none"/>
          <w:lang w:eastAsia="zh-CN"/>
        </w:rPr>
      </w:pPr>
      <w:bookmarkStart w:id="82" w:name="_Toc9582"/>
    </w:p>
    <w:p w14:paraId="52305D3B">
      <w:pPr>
        <w:bidi w:val="0"/>
        <w:outlineLvl w:val="1"/>
        <w:rPr>
          <w:rFonts w:hint="eastAsia"/>
          <w:b/>
          <w:bCs/>
          <w:color w:val="auto"/>
          <w:highlight w:val="none"/>
          <w:lang w:eastAsia="zh-CN"/>
        </w:rPr>
      </w:pPr>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2"/>
    </w:p>
    <w:p w14:paraId="6CB4DB84">
      <w:pPr>
        <w:bidi w:val="0"/>
        <w:rPr>
          <w:rFonts w:hint="eastAsia" w:ascii="宋体" w:hAnsi="宋体" w:eastAsia="宋体" w:cs="宋体"/>
          <w:highlight w:val="none"/>
          <w:lang w:val="en-US" w:eastAsia="zh-CN"/>
        </w:rPr>
      </w:pPr>
      <w:bookmarkStart w:id="83" w:name="_Toc5230"/>
      <w:r>
        <w:rPr>
          <w:rFonts w:hint="eastAsia" w:ascii="宋体" w:hAnsi="宋体" w:eastAsia="宋体" w:cs="宋体"/>
          <w:highlight w:val="none"/>
          <w:lang w:val="en-US" w:eastAsia="zh-CN"/>
        </w:rPr>
        <w:t>1</w:t>
      </w:r>
      <w:r>
        <w:rPr>
          <w:rFonts w:hint="eastAsia" w:ascii="宋体" w:hAnsi="宋体" w:eastAsia="宋体" w:cs="宋体"/>
          <w:highlight w:val="none"/>
          <w:lang w:eastAsia="zh-CN"/>
        </w:rPr>
        <w:t>. 项目实施过程中存在不足，</w:t>
      </w:r>
      <w:r>
        <w:rPr>
          <w:rFonts w:hint="eastAsia" w:ascii="宋体" w:hAnsi="宋体" w:eastAsia="宋体" w:cs="宋体"/>
          <w:highlight w:val="none"/>
          <w:lang w:val="en-US" w:eastAsia="zh-CN"/>
        </w:rPr>
        <w:t>学校项目管理人员专业性不足，缺乏工程建设项目相关法律、规定、施工专业等知识，导致项目管理人员对工程实施各节点存在的问题及风险预判能力不足，项目各环节把控能力薄弱。</w:t>
      </w:r>
    </w:p>
    <w:p w14:paraId="7A64D93A">
      <w:pPr>
        <w:bidi w:val="0"/>
        <w:rPr>
          <w:rFonts w:hint="default" w:ascii="宋体" w:hAnsi="宋体" w:eastAsia="宋体" w:cs="宋体"/>
          <w:highlight w:val="none"/>
          <w:lang w:val="en-US" w:eastAsia="zh-CN"/>
        </w:rPr>
      </w:pPr>
      <w:r>
        <w:rPr>
          <w:rFonts w:hint="eastAsia" w:ascii="宋体" w:hAnsi="宋体" w:eastAsia="宋体" w:cs="宋体"/>
          <w:highlight w:val="none"/>
          <w:lang w:val="en-US" w:eastAsia="zh-CN"/>
        </w:rPr>
        <w:t>2</w:t>
      </w:r>
      <w:r>
        <w:rPr>
          <w:rFonts w:hint="eastAsia" w:ascii="宋体" w:hAnsi="宋体" w:eastAsia="宋体" w:cs="宋体"/>
          <w:highlight w:val="none"/>
          <w:lang w:eastAsia="zh-CN"/>
        </w:rPr>
        <w:t xml:space="preserve">. </w:t>
      </w:r>
      <w:r>
        <w:rPr>
          <w:rFonts w:hint="eastAsia" w:cs="宋体"/>
          <w:highlight w:val="none"/>
          <w:lang w:val="en-US" w:eastAsia="zh-CN"/>
        </w:rPr>
        <w:t>项目实施前期经过会议研究、可行性研究、专家论证环节，但是没有开展风险评估和绩效评估，项目实施论证不全面。</w:t>
      </w:r>
    </w:p>
    <w:p w14:paraId="16E28965">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七、有关建议</w:t>
      </w:r>
      <w:bookmarkEnd w:id="83"/>
    </w:p>
    <w:p w14:paraId="08F704F6">
      <w:pPr>
        <w:bidi w:val="0"/>
        <w:ind w:left="0" w:leftChars="0" w:firstLine="560" w:firstLineChars="200"/>
        <w:rPr>
          <w:rFonts w:hint="eastAsia" w:ascii="宋体" w:hAnsi="宋体" w:eastAsia="宋体" w:cs="Times New Roman"/>
          <w:color w:val="auto"/>
          <w:kern w:val="2"/>
          <w:sz w:val="28"/>
          <w:szCs w:val="24"/>
          <w:highlight w:val="none"/>
          <w:lang w:val="en-US" w:eastAsia="zh-CN" w:bidi="ar-SA"/>
        </w:rPr>
      </w:pPr>
      <w:bookmarkStart w:id="84" w:name="_Toc15618"/>
      <w:r>
        <w:rPr>
          <w:rFonts w:hint="eastAsia" w:cs="Times New Roman"/>
          <w:color w:val="auto"/>
          <w:kern w:val="2"/>
          <w:sz w:val="28"/>
          <w:szCs w:val="24"/>
          <w:highlight w:val="none"/>
          <w:lang w:val="en-US" w:eastAsia="zh-CN" w:bidi="ar-SA"/>
        </w:rPr>
        <w:t>（一）</w:t>
      </w:r>
      <w:r>
        <w:rPr>
          <w:rFonts w:hint="eastAsia" w:ascii="宋体" w:hAnsi="宋体" w:eastAsia="宋体" w:cs="Times New Roman"/>
          <w:color w:val="auto"/>
          <w:kern w:val="2"/>
          <w:sz w:val="28"/>
          <w:szCs w:val="24"/>
          <w:highlight w:val="none"/>
          <w:lang w:val="en-US" w:eastAsia="zh-CN" w:bidi="ar-SA"/>
        </w:rPr>
        <w:t>理提升学校项目管理人员专业性，采取个人规划学习、团队集中学习、聘请专家讲座等方式，充实建设项目相关法律规定和工程建设专业知识，提高项目管理能力。</w:t>
      </w:r>
    </w:p>
    <w:p w14:paraId="0E1BB3BC">
      <w:pPr>
        <w:bidi w:val="0"/>
        <w:ind w:left="0" w:leftChars="0" w:firstLine="560" w:firstLineChars="200"/>
        <w:rPr>
          <w:rFonts w:hint="default" w:ascii="宋体" w:hAnsi="宋体" w:eastAsia="宋体"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（二）项目开展前除专家论证、可行性研究以外，也要对项目可能产生的风险进行预判和评估，建立健全项目绩效相关制度</w:t>
      </w:r>
      <w:r>
        <w:rPr>
          <w:rFonts w:hint="eastAsia" w:ascii="宋体" w:hAnsi="宋体" w:eastAsia="宋体" w:cs="Times New Roman"/>
          <w:color w:val="auto"/>
          <w:kern w:val="2"/>
          <w:sz w:val="28"/>
          <w:szCs w:val="24"/>
          <w:highlight w:val="none"/>
          <w:lang w:val="en-US" w:eastAsia="zh-CN" w:bidi="ar-SA"/>
        </w:rPr>
        <w:t>。</w:t>
      </w:r>
    </w:p>
    <w:p w14:paraId="30C48A31">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八、其他需要说明的问题</w:t>
      </w:r>
      <w:bookmarkEnd w:id="84"/>
    </w:p>
    <w:p w14:paraId="739D4513">
      <w:pPr>
        <w:bidi w:val="0"/>
        <w:rPr>
          <w:rFonts w:hint="default" w:ascii="宋体" w:hAnsi="宋体" w:eastAsia="宋体" w:cs="宋体"/>
          <w:highlight w:val="none"/>
          <w:lang w:val="en-US" w:eastAsia="zh-CN"/>
        </w:rPr>
      </w:pPr>
      <w:r>
        <w:rPr>
          <w:rFonts w:hint="eastAsia" w:ascii="宋体" w:hAnsi="宋体" w:eastAsia="宋体" w:cs="宋体"/>
          <w:highlight w:val="none"/>
          <w:lang w:val="en-US" w:eastAsia="zh-CN"/>
        </w:rPr>
        <w:t>无其他需要说明的问题。</w:t>
      </w:r>
    </w:p>
    <w:p w14:paraId="19A330AB">
      <w:pPr>
        <w:pageBreakBefore w:val="0"/>
        <w:kinsoku/>
        <w:wordWrap/>
        <w:overflowPunct/>
        <w:topLinePunct w:val="0"/>
        <w:autoSpaceDE/>
        <w:autoSpaceDN/>
        <w:bidi w:val="0"/>
        <w:adjustRightInd/>
        <w:spacing w:line="360" w:lineRule="auto"/>
        <w:textAlignment w:val="auto"/>
        <w:rPr>
          <w:rFonts w:hint="eastAsia" w:cs="宋体"/>
          <w:color w:val="000000" w:themeColor="text1"/>
          <w:highlight w:val="none"/>
          <w:shd w:val="clear" w:color="auto" w:fill="auto"/>
          <w:lang w:val="en-US" w:eastAsia="zh-CN"/>
          <w14:textFill>
            <w14:solidFill>
              <w14:schemeClr w14:val="tx1"/>
            </w14:solidFill>
          </w14:textFill>
        </w:rPr>
      </w:pPr>
    </w:p>
    <w:p w14:paraId="7F8F2312">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sectPr>
          <w:footerReference r:id="rId5" w:type="default"/>
          <w:pgSz w:w="11906" w:h="16838"/>
          <w:pgMar w:top="1440" w:right="1800" w:bottom="1440" w:left="1800" w:header="737" w:footer="851" w:gutter="0"/>
          <w:pgNumType w:fmt="decimal" w:start="1"/>
          <w:cols w:space="720" w:num="1"/>
          <w:docGrid w:type="lines" w:linePitch="408" w:charSpace="0"/>
        </w:sectPr>
      </w:pPr>
      <w:bookmarkStart w:id="85" w:name="_Toc11349"/>
    </w:p>
    <w:bookmarkEnd w:id="85"/>
    <w:p w14:paraId="341B40BB">
      <w:pPr>
        <w:pStyle w:val="2"/>
        <w:pageBreakBefore w:val="0"/>
        <w:numPr>
          <w:ilvl w:val="0"/>
          <w:numId w:val="0"/>
        </w:numPr>
        <w:kinsoku/>
        <w:wordWrap/>
        <w:overflowPunct/>
        <w:topLinePunct w:val="0"/>
        <w:autoSpaceDE/>
        <w:autoSpaceDN/>
        <w:bidi w:val="0"/>
        <w:adjustRightInd/>
        <w:spacing w:beforeLines="0" w:afterLines="0" w:line="240" w:lineRule="auto"/>
        <w:textAlignment w:val="auto"/>
        <w:rPr>
          <w:highlight w:val="none"/>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附件一、项目支出绩效自评表</w:t>
      </w:r>
    </w:p>
    <w:tbl>
      <w:tblPr>
        <w:tblStyle w:val="12"/>
        <w:tblW w:w="492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914"/>
        <w:gridCol w:w="914"/>
        <w:gridCol w:w="914"/>
        <w:gridCol w:w="914"/>
        <w:gridCol w:w="1465"/>
        <w:gridCol w:w="914"/>
        <w:gridCol w:w="914"/>
        <w:gridCol w:w="1006"/>
        <w:gridCol w:w="914"/>
        <w:gridCol w:w="914"/>
        <w:gridCol w:w="1373"/>
        <w:gridCol w:w="1098"/>
        <w:gridCol w:w="1006"/>
        <w:gridCol w:w="914"/>
      </w:tblGrid>
      <w:tr w14:paraId="0560B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cBorders>
            <w:shd w:val="clear" w:color="auto" w:fill="auto"/>
            <w:vAlign w:val="center"/>
          </w:tcPr>
          <w:p w14:paraId="5C9F33F3">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41534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14:paraId="26800691">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5633F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50" w:type="dxa"/>
            <w:gridSpan w:val="2"/>
            <w:tcBorders>
              <w:top w:val="single" w:color="auto" w:sz="4" w:space="0"/>
            </w:tcBorders>
            <w:shd w:val="clear" w:color="auto" w:fill="auto"/>
            <w:vAlign w:val="center"/>
          </w:tcPr>
          <w:p w14:paraId="0A4ABC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824" w:type="dxa"/>
            <w:gridSpan w:val="12"/>
            <w:tcBorders>
              <w:top w:val="single" w:color="auto" w:sz="4" w:space="0"/>
            </w:tcBorders>
            <w:shd w:val="clear" w:color="auto" w:fill="auto"/>
            <w:vAlign w:val="center"/>
          </w:tcPr>
          <w:p w14:paraId="509D2B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现代职业教育质量提升项目资金</w:t>
            </w:r>
          </w:p>
        </w:tc>
      </w:tr>
      <w:tr w14:paraId="35D51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50" w:type="dxa"/>
            <w:gridSpan w:val="2"/>
            <w:shd w:val="clear" w:color="auto" w:fill="auto"/>
            <w:vAlign w:val="center"/>
          </w:tcPr>
          <w:p w14:paraId="64705D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041" w:type="dxa"/>
            <w:gridSpan w:val="5"/>
            <w:shd w:val="clear" w:color="auto" w:fill="auto"/>
            <w:vAlign w:val="center"/>
          </w:tcPr>
          <w:p w14:paraId="5E09E0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1925" w:type="dxa"/>
            <w:gridSpan w:val="2"/>
            <w:shd w:val="clear" w:color="auto" w:fill="auto"/>
            <w:vAlign w:val="center"/>
          </w:tcPr>
          <w:p w14:paraId="761CD4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858" w:type="dxa"/>
            <w:gridSpan w:val="5"/>
            <w:shd w:val="clear" w:color="auto" w:fill="auto"/>
            <w:vAlign w:val="center"/>
          </w:tcPr>
          <w:p w14:paraId="66AF7B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阜康市职业中等专业学校</w:t>
            </w:r>
          </w:p>
        </w:tc>
      </w:tr>
      <w:tr w14:paraId="4AB87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50" w:type="dxa"/>
            <w:gridSpan w:val="2"/>
            <w:vMerge w:val="restart"/>
            <w:shd w:val="clear" w:color="auto" w:fill="auto"/>
            <w:vAlign w:val="center"/>
          </w:tcPr>
          <w:p w14:paraId="68DC4E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133" w:type="dxa"/>
            <w:gridSpan w:val="2"/>
            <w:shd w:val="clear" w:color="auto" w:fill="auto"/>
            <w:vAlign w:val="center"/>
          </w:tcPr>
          <w:p w14:paraId="32B2F6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133" w:type="dxa"/>
            <w:shd w:val="clear" w:color="auto" w:fill="auto"/>
            <w:vAlign w:val="center"/>
          </w:tcPr>
          <w:p w14:paraId="2D1042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75" w:type="dxa"/>
            <w:gridSpan w:val="2"/>
            <w:shd w:val="clear" w:color="auto" w:fill="auto"/>
            <w:vAlign w:val="center"/>
          </w:tcPr>
          <w:p w14:paraId="77CE9C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25" w:type="dxa"/>
            <w:gridSpan w:val="2"/>
            <w:shd w:val="clear" w:color="auto" w:fill="auto"/>
            <w:vAlign w:val="center"/>
          </w:tcPr>
          <w:p w14:paraId="0CE74B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103" w:type="dxa"/>
            <w:gridSpan w:val="2"/>
            <w:shd w:val="clear" w:color="auto" w:fill="auto"/>
            <w:vAlign w:val="center"/>
          </w:tcPr>
          <w:p w14:paraId="35E1EB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855" w:type="dxa"/>
            <w:gridSpan w:val="2"/>
            <w:shd w:val="clear" w:color="auto" w:fill="auto"/>
            <w:vAlign w:val="center"/>
          </w:tcPr>
          <w:p w14:paraId="071816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900" w:type="dxa"/>
            <w:shd w:val="clear" w:color="auto" w:fill="auto"/>
            <w:vAlign w:val="center"/>
          </w:tcPr>
          <w:p w14:paraId="59E37A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73D78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50" w:type="dxa"/>
            <w:gridSpan w:val="2"/>
            <w:vMerge w:val="continue"/>
            <w:shd w:val="clear" w:color="auto" w:fill="auto"/>
            <w:vAlign w:val="center"/>
          </w:tcPr>
          <w:p w14:paraId="6CD72B11">
            <w:pPr>
              <w:jc w:val="center"/>
              <w:rPr>
                <w:rFonts w:hint="eastAsia" w:ascii="宋体" w:hAnsi="宋体" w:eastAsia="宋体" w:cs="宋体"/>
                <w:i w:val="0"/>
                <w:iCs w:val="0"/>
                <w:color w:val="000000"/>
                <w:sz w:val="20"/>
                <w:szCs w:val="20"/>
                <w:u w:val="none"/>
              </w:rPr>
            </w:pPr>
          </w:p>
        </w:tc>
        <w:tc>
          <w:tcPr>
            <w:tcW w:w="2133" w:type="dxa"/>
            <w:gridSpan w:val="2"/>
            <w:shd w:val="clear" w:color="auto" w:fill="auto"/>
            <w:vAlign w:val="center"/>
          </w:tcPr>
          <w:p w14:paraId="08FE5D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33" w:type="dxa"/>
            <w:shd w:val="clear" w:color="auto" w:fill="auto"/>
            <w:vAlign w:val="center"/>
          </w:tcPr>
          <w:p w14:paraId="6399E4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182.23 </w:t>
            </w:r>
          </w:p>
        </w:tc>
        <w:tc>
          <w:tcPr>
            <w:tcW w:w="1775" w:type="dxa"/>
            <w:gridSpan w:val="2"/>
            <w:shd w:val="clear" w:color="auto" w:fill="auto"/>
            <w:vAlign w:val="center"/>
          </w:tcPr>
          <w:p w14:paraId="788E07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182.23 </w:t>
            </w:r>
          </w:p>
        </w:tc>
        <w:tc>
          <w:tcPr>
            <w:tcW w:w="1925" w:type="dxa"/>
            <w:gridSpan w:val="2"/>
            <w:shd w:val="clear" w:color="auto" w:fill="auto"/>
            <w:vAlign w:val="center"/>
          </w:tcPr>
          <w:p w14:paraId="7C183C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182.23 </w:t>
            </w:r>
          </w:p>
        </w:tc>
        <w:tc>
          <w:tcPr>
            <w:tcW w:w="2103" w:type="dxa"/>
            <w:gridSpan w:val="2"/>
            <w:shd w:val="clear" w:color="auto" w:fill="auto"/>
            <w:vAlign w:val="center"/>
          </w:tcPr>
          <w:p w14:paraId="6ED1BC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855" w:type="dxa"/>
            <w:gridSpan w:val="2"/>
            <w:shd w:val="clear" w:color="auto" w:fill="auto"/>
            <w:vAlign w:val="center"/>
          </w:tcPr>
          <w:p w14:paraId="3DF5E0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900" w:type="dxa"/>
            <w:shd w:val="clear" w:color="auto" w:fill="auto"/>
            <w:vAlign w:val="center"/>
          </w:tcPr>
          <w:p w14:paraId="409D3C7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1E6C3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350" w:type="dxa"/>
            <w:gridSpan w:val="2"/>
            <w:vMerge w:val="continue"/>
            <w:shd w:val="clear" w:color="auto" w:fill="auto"/>
            <w:vAlign w:val="center"/>
          </w:tcPr>
          <w:p w14:paraId="505E5F33">
            <w:pPr>
              <w:jc w:val="center"/>
              <w:rPr>
                <w:rFonts w:hint="eastAsia" w:ascii="宋体" w:hAnsi="宋体" w:eastAsia="宋体" w:cs="宋体"/>
                <w:i w:val="0"/>
                <w:iCs w:val="0"/>
                <w:color w:val="000000"/>
                <w:sz w:val="20"/>
                <w:szCs w:val="20"/>
                <w:u w:val="none"/>
              </w:rPr>
            </w:pPr>
          </w:p>
        </w:tc>
        <w:tc>
          <w:tcPr>
            <w:tcW w:w="2133" w:type="dxa"/>
            <w:gridSpan w:val="2"/>
            <w:shd w:val="clear" w:color="auto" w:fill="auto"/>
            <w:vAlign w:val="center"/>
          </w:tcPr>
          <w:p w14:paraId="52A3C5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33" w:type="dxa"/>
            <w:shd w:val="clear" w:color="auto" w:fill="auto"/>
            <w:vAlign w:val="center"/>
          </w:tcPr>
          <w:p w14:paraId="6386D0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182.23 </w:t>
            </w:r>
          </w:p>
        </w:tc>
        <w:tc>
          <w:tcPr>
            <w:tcW w:w="1775" w:type="dxa"/>
            <w:gridSpan w:val="2"/>
            <w:shd w:val="clear" w:color="auto" w:fill="auto"/>
            <w:vAlign w:val="center"/>
          </w:tcPr>
          <w:p w14:paraId="38BDB4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182.23 </w:t>
            </w:r>
          </w:p>
        </w:tc>
        <w:tc>
          <w:tcPr>
            <w:tcW w:w="1925" w:type="dxa"/>
            <w:gridSpan w:val="2"/>
            <w:shd w:val="clear" w:color="auto" w:fill="auto"/>
            <w:vAlign w:val="center"/>
          </w:tcPr>
          <w:p w14:paraId="5E05C9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182.23 </w:t>
            </w:r>
          </w:p>
        </w:tc>
        <w:tc>
          <w:tcPr>
            <w:tcW w:w="2103" w:type="dxa"/>
            <w:gridSpan w:val="2"/>
            <w:shd w:val="clear" w:color="auto" w:fill="auto"/>
            <w:vAlign w:val="center"/>
          </w:tcPr>
          <w:p w14:paraId="358D93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55" w:type="dxa"/>
            <w:gridSpan w:val="2"/>
            <w:shd w:val="clear" w:color="auto" w:fill="auto"/>
            <w:vAlign w:val="center"/>
          </w:tcPr>
          <w:p w14:paraId="65023C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00" w:type="dxa"/>
            <w:shd w:val="clear" w:color="auto" w:fill="auto"/>
            <w:vAlign w:val="center"/>
          </w:tcPr>
          <w:p w14:paraId="466A91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496B0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350" w:type="dxa"/>
            <w:gridSpan w:val="2"/>
            <w:vMerge w:val="continue"/>
            <w:shd w:val="clear" w:color="auto" w:fill="auto"/>
            <w:vAlign w:val="center"/>
          </w:tcPr>
          <w:p w14:paraId="3AE78B9C">
            <w:pPr>
              <w:jc w:val="center"/>
              <w:rPr>
                <w:rFonts w:hint="eastAsia" w:ascii="宋体" w:hAnsi="宋体" w:eastAsia="宋体" w:cs="宋体"/>
                <w:i w:val="0"/>
                <w:iCs w:val="0"/>
                <w:color w:val="000000"/>
                <w:sz w:val="20"/>
                <w:szCs w:val="20"/>
                <w:u w:val="none"/>
              </w:rPr>
            </w:pPr>
          </w:p>
        </w:tc>
        <w:tc>
          <w:tcPr>
            <w:tcW w:w="2133" w:type="dxa"/>
            <w:gridSpan w:val="2"/>
            <w:shd w:val="clear" w:color="auto" w:fill="auto"/>
            <w:vAlign w:val="center"/>
          </w:tcPr>
          <w:p w14:paraId="75A01E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33" w:type="dxa"/>
            <w:shd w:val="clear" w:color="auto" w:fill="auto"/>
            <w:vAlign w:val="center"/>
          </w:tcPr>
          <w:p w14:paraId="5B46B1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75" w:type="dxa"/>
            <w:gridSpan w:val="2"/>
            <w:shd w:val="clear" w:color="auto" w:fill="auto"/>
            <w:vAlign w:val="center"/>
          </w:tcPr>
          <w:p w14:paraId="24DD59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25" w:type="dxa"/>
            <w:gridSpan w:val="2"/>
            <w:shd w:val="clear" w:color="auto" w:fill="auto"/>
            <w:vAlign w:val="center"/>
          </w:tcPr>
          <w:p w14:paraId="719E37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103" w:type="dxa"/>
            <w:gridSpan w:val="2"/>
            <w:shd w:val="clear" w:color="auto" w:fill="auto"/>
            <w:vAlign w:val="center"/>
          </w:tcPr>
          <w:p w14:paraId="4F9938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55" w:type="dxa"/>
            <w:gridSpan w:val="2"/>
            <w:shd w:val="clear" w:color="auto" w:fill="auto"/>
            <w:vAlign w:val="center"/>
          </w:tcPr>
          <w:p w14:paraId="258E58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00" w:type="dxa"/>
            <w:shd w:val="clear" w:color="auto" w:fill="auto"/>
            <w:vAlign w:val="center"/>
          </w:tcPr>
          <w:p w14:paraId="7CB5E0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2D269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675" w:type="dxa"/>
            <w:vMerge w:val="restart"/>
            <w:shd w:val="clear" w:color="auto" w:fill="auto"/>
            <w:vAlign w:val="center"/>
          </w:tcPr>
          <w:p w14:paraId="241CDD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641" w:type="dxa"/>
            <w:gridSpan w:val="8"/>
            <w:shd w:val="clear" w:color="auto" w:fill="auto"/>
            <w:vAlign w:val="center"/>
          </w:tcPr>
          <w:p w14:paraId="34C9CA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858" w:type="dxa"/>
            <w:gridSpan w:val="5"/>
            <w:shd w:val="clear" w:color="auto" w:fill="auto"/>
            <w:vAlign w:val="center"/>
          </w:tcPr>
          <w:p w14:paraId="7DD7A3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29D79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trPr>
        <w:tc>
          <w:tcPr>
            <w:tcW w:w="675" w:type="dxa"/>
            <w:vMerge w:val="continue"/>
            <w:shd w:val="clear" w:color="auto" w:fill="auto"/>
            <w:vAlign w:val="center"/>
          </w:tcPr>
          <w:p w14:paraId="408349C5">
            <w:pPr>
              <w:jc w:val="center"/>
              <w:rPr>
                <w:rFonts w:hint="eastAsia" w:ascii="宋体" w:hAnsi="宋体" w:eastAsia="宋体" w:cs="宋体"/>
                <w:i w:val="0"/>
                <w:iCs w:val="0"/>
                <w:color w:val="000000"/>
                <w:sz w:val="20"/>
                <w:szCs w:val="20"/>
                <w:u w:val="none"/>
              </w:rPr>
            </w:pPr>
          </w:p>
        </w:tc>
        <w:tc>
          <w:tcPr>
            <w:tcW w:w="7641" w:type="dxa"/>
            <w:gridSpan w:val="8"/>
            <w:shd w:val="clear" w:color="auto" w:fill="auto"/>
            <w:vAlign w:val="center"/>
          </w:tcPr>
          <w:p w14:paraId="3878BD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中等职业教育，促进职业教育发展。阜康市职业中等专业学校现代职业教育质量提升项目，完成实训基地建设面积1819.58平方米、实训基地建设、实训室设备质量合格率达100%，项目资金执行率100%。项目支出182.23万元，学生满意度达95%以上。</w:t>
            </w:r>
          </w:p>
        </w:tc>
        <w:tc>
          <w:tcPr>
            <w:tcW w:w="5858" w:type="dxa"/>
            <w:gridSpan w:val="5"/>
            <w:shd w:val="clear" w:color="auto" w:fill="auto"/>
            <w:vAlign w:val="center"/>
          </w:tcPr>
          <w:p w14:paraId="49A5D4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截至2023年12月31日，本项目完成面积1819.58平方米，建设一所实训基地，实训基地验收、实训室设备质量合格率达100%，项目资金执行率100%。项目支出182.23万元，达到改善办学条件的效益，学生满意度达95%。</w:t>
            </w:r>
          </w:p>
        </w:tc>
      </w:tr>
      <w:tr w14:paraId="6F35F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75" w:type="dxa"/>
            <w:shd w:val="clear" w:color="auto" w:fill="auto"/>
            <w:vAlign w:val="center"/>
          </w:tcPr>
          <w:p w14:paraId="55AF912D">
            <w:pPr>
              <w:jc w:val="center"/>
              <w:rPr>
                <w:rFonts w:hint="eastAsia" w:ascii="宋体" w:hAnsi="宋体" w:eastAsia="宋体" w:cs="宋体"/>
                <w:i w:val="0"/>
                <w:iCs w:val="0"/>
                <w:color w:val="000000"/>
                <w:sz w:val="20"/>
                <w:szCs w:val="20"/>
                <w:u w:val="none"/>
              </w:rPr>
            </w:pPr>
          </w:p>
        </w:tc>
        <w:tc>
          <w:tcPr>
            <w:tcW w:w="675" w:type="dxa"/>
            <w:shd w:val="clear" w:color="auto" w:fill="auto"/>
            <w:vAlign w:val="center"/>
          </w:tcPr>
          <w:p w14:paraId="17548D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877" w:type="dxa"/>
            <w:shd w:val="clear" w:color="auto" w:fill="auto"/>
            <w:vAlign w:val="center"/>
          </w:tcPr>
          <w:p w14:paraId="615A83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256" w:type="dxa"/>
            <w:shd w:val="clear" w:color="auto" w:fill="auto"/>
            <w:vAlign w:val="center"/>
          </w:tcPr>
          <w:p w14:paraId="6C5C78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33" w:type="dxa"/>
            <w:shd w:val="clear" w:color="auto" w:fill="auto"/>
            <w:vAlign w:val="center"/>
          </w:tcPr>
          <w:p w14:paraId="1EA7DA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87" w:type="dxa"/>
            <w:shd w:val="clear" w:color="auto" w:fill="auto"/>
            <w:vAlign w:val="center"/>
          </w:tcPr>
          <w:p w14:paraId="435B4E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88" w:type="dxa"/>
            <w:shd w:val="clear" w:color="auto" w:fill="auto"/>
            <w:vAlign w:val="center"/>
          </w:tcPr>
          <w:p w14:paraId="7A3F33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62" w:type="dxa"/>
            <w:shd w:val="clear" w:color="auto" w:fill="auto"/>
            <w:vAlign w:val="center"/>
          </w:tcPr>
          <w:p w14:paraId="641FAB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63" w:type="dxa"/>
            <w:shd w:val="clear" w:color="auto" w:fill="auto"/>
            <w:vAlign w:val="center"/>
          </w:tcPr>
          <w:p w14:paraId="7437BB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75" w:type="dxa"/>
            <w:shd w:val="clear" w:color="auto" w:fill="auto"/>
            <w:vAlign w:val="center"/>
          </w:tcPr>
          <w:p w14:paraId="706BAB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28" w:type="dxa"/>
            <w:shd w:val="clear" w:color="auto" w:fill="auto"/>
            <w:vAlign w:val="center"/>
          </w:tcPr>
          <w:p w14:paraId="147B13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946" w:type="dxa"/>
            <w:shd w:val="clear" w:color="auto" w:fill="auto"/>
            <w:vAlign w:val="center"/>
          </w:tcPr>
          <w:p w14:paraId="3B6DA7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909" w:type="dxa"/>
            <w:shd w:val="clear" w:color="auto" w:fill="auto"/>
            <w:vAlign w:val="center"/>
          </w:tcPr>
          <w:p w14:paraId="5141DD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900" w:type="dxa"/>
            <w:shd w:val="clear" w:color="auto" w:fill="auto"/>
            <w:vAlign w:val="center"/>
          </w:tcPr>
          <w:p w14:paraId="1FFCD8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569AB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80" w:hRule="atLeast"/>
        </w:trPr>
        <w:tc>
          <w:tcPr>
            <w:tcW w:w="675" w:type="dxa"/>
            <w:vMerge w:val="restart"/>
            <w:shd w:val="clear" w:color="auto" w:fill="auto"/>
            <w:vAlign w:val="center"/>
          </w:tcPr>
          <w:p w14:paraId="3D0F12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75" w:type="dxa"/>
            <w:vMerge w:val="restart"/>
            <w:shd w:val="clear" w:color="auto" w:fill="auto"/>
            <w:vAlign w:val="center"/>
          </w:tcPr>
          <w:p w14:paraId="06E53B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877" w:type="dxa"/>
            <w:vMerge w:val="restart"/>
            <w:shd w:val="clear" w:color="auto" w:fill="auto"/>
            <w:vAlign w:val="center"/>
          </w:tcPr>
          <w:p w14:paraId="517AA7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256" w:type="dxa"/>
            <w:shd w:val="clear" w:color="auto" w:fill="auto"/>
            <w:vAlign w:val="center"/>
          </w:tcPr>
          <w:p w14:paraId="4AFD40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实训基地建设面积</w:t>
            </w:r>
          </w:p>
        </w:tc>
        <w:tc>
          <w:tcPr>
            <w:tcW w:w="1133" w:type="dxa"/>
            <w:shd w:val="clear" w:color="auto" w:fill="auto"/>
            <w:vAlign w:val="center"/>
          </w:tcPr>
          <w:p w14:paraId="344595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≥1819.58平方米</w:t>
            </w:r>
          </w:p>
        </w:tc>
        <w:tc>
          <w:tcPr>
            <w:tcW w:w="887" w:type="dxa"/>
            <w:shd w:val="clear" w:color="auto" w:fill="auto"/>
            <w:vAlign w:val="center"/>
          </w:tcPr>
          <w:p w14:paraId="6F4B38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vAlign w:val="center"/>
          </w:tcPr>
          <w:p w14:paraId="0AEFA28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2" w:type="dxa"/>
            <w:shd w:val="clear" w:color="auto" w:fill="auto"/>
            <w:vAlign w:val="center"/>
          </w:tcPr>
          <w:p w14:paraId="6FDAFB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3" w:type="dxa"/>
            <w:shd w:val="clear" w:color="auto" w:fill="auto"/>
            <w:vAlign w:val="center"/>
          </w:tcPr>
          <w:p w14:paraId="1B3FE8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75" w:type="dxa"/>
            <w:shd w:val="clear" w:color="auto" w:fill="auto"/>
            <w:vAlign w:val="center"/>
          </w:tcPr>
          <w:p w14:paraId="6E5372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28" w:type="dxa"/>
            <w:shd w:val="clear" w:color="auto" w:fill="auto"/>
            <w:vAlign w:val="center"/>
          </w:tcPr>
          <w:p w14:paraId="190B65A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1819.58平方米</w:t>
            </w:r>
          </w:p>
        </w:tc>
        <w:tc>
          <w:tcPr>
            <w:tcW w:w="946" w:type="dxa"/>
            <w:shd w:val="clear" w:color="auto" w:fill="auto"/>
            <w:vAlign w:val="center"/>
          </w:tcPr>
          <w:p w14:paraId="648103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9" w:type="dxa"/>
            <w:shd w:val="clear" w:color="auto" w:fill="auto"/>
            <w:vAlign w:val="center"/>
          </w:tcPr>
          <w:p w14:paraId="31C3D8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00" w:type="dxa"/>
            <w:shd w:val="clear" w:color="auto" w:fill="auto"/>
            <w:vAlign w:val="center"/>
          </w:tcPr>
          <w:p w14:paraId="6AA85526">
            <w:pPr>
              <w:jc w:val="center"/>
              <w:rPr>
                <w:rFonts w:hint="eastAsia" w:ascii="宋体" w:hAnsi="宋体" w:eastAsia="宋体" w:cs="宋体"/>
                <w:i w:val="0"/>
                <w:iCs w:val="0"/>
                <w:color w:val="000000"/>
                <w:sz w:val="20"/>
                <w:szCs w:val="20"/>
                <w:u w:val="none"/>
              </w:rPr>
            </w:pPr>
          </w:p>
        </w:tc>
      </w:tr>
      <w:tr w14:paraId="18E29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80" w:hRule="atLeast"/>
        </w:trPr>
        <w:tc>
          <w:tcPr>
            <w:tcW w:w="675" w:type="dxa"/>
            <w:vMerge w:val="continue"/>
            <w:shd w:val="clear" w:color="auto" w:fill="auto"/>
            <w:vAlign w:val="center"/>
          </w:tcPr>
          <w:p w14:paraId="0AFD7F49">
            <w:pPr>
              <w:jc w:val="center"/>
              <w:rPr>
                <w:rFonts w:hint="eastAsia" w:ascii="宋体" w:hAnsi="宋体" w:eastAsia="宋体" w:cs="宋体"/>
                <w:i w:val="0"/>
                <w:iCs w:val="0"/>
                <w:color w:val="000000"/>
                <w:sz w:val="20"/>
                <w:szCs w:val="20"/>
                <w:u w:val="none"/>
              </w:rPr>
            </w:pPr>
          </w:p>
        </w:tc>
        <w:tc>
          <w:tcPr>
            <w:tcW w:w="675" w:type="dxa"/>
            <w:vMerge w:val="continue"/>
            <w:shd w:val="clear" w:color="auto" w:fill="auto"/>
            <w:vAlign w:val="center"/>
          </w:tcPr>
          <w:p w14:paraId="10133228">
            <w:pPr>
              <w:jc w:val="center"/>
              <w:rPr>
                <w:rFonts w:hint="eastAsia" w:ascii="宋体" w:hAnsi="宋体" w:eastAsia="宋体" w:cs="宋体"/>
                <w:i w:val="0"/>
                <w:iCs w:val="0"/>
                <w:color w:val="000000"/>
                <w:sz w:val="20"/>
                <w:szCs w:val="20"/>
                <w:u w:val="none"/>
              </w:rPr>
            </w:pPr>
          </w:p>
        </w:tc>
        <w:tc>
          <w:tcPr>
            <w:tcW w:w="877" w:type="dxa"/>
            <w:vMerge w:val="continue"/>
            <w:shd w:val="clear" w:color="auto" w:fill="auto"/>
            <w:vAlign w:val="center"/>
          </w:tcPr>
          <w:p w14:paraId="515B289F">
            <w:pPr>
              <w:jc w:val="center"/>
              <w:rPr>
                <w:rFonts w:hint="eastAsia" w:ascii="宋体" w:hAnsi="宋体" w:eastAsia="宋体" w:cs="宋体"/>
                <w:i w:val="0"/>
                <w:iCs w:val="0"/>
                <w:color w:val="000000"/>
                <w:sz w:val="20"/>
                <w:szCs w:val="20"/>
                <w:u w:val="none"/>
              </w:rPr>
            </w:pPr>
          </w:p>
        </w:tc>
        <w:tc>
          <w:tcPr>
            <w:tcW w:w="1256" w:type="dxa"/>
            <w:shd w:val="clear" w:color="auto" w:fill="auto"/>
            <w:vAlign w:val="center"/>
          </w:tcPr>
          <w:p w14:paraId="40B6C48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实训基地建设数量（所）</w:t>
            </w:r>
          </w:p>
        </w:tc>
        <w:tc>
          <w:tcPr>
            <w:tcW w:w="1133" w:type="dxa"/>
            <w:shd w:val="clear" w:color="auto" w:fill="auto"/>
            <w:vAlign w:val="center"/>
          </w:tcPr>
          <w:p w14:paraId="714D1D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≥1所</w:t>
            </w:r>
          </w:p>
        </w:tc>
        <w:tc>
          <w:tcPr>
            <w:tcW w:w="887" w:type="dxa"/>
            <w:shd w:val="clear" w:color="auto" w:fill="auto"/>
            <w:vAlign w:val="center"/>
          </w:tcPr>
          <w:p w14:paraId="00DA24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vAlign w:val="center"/>
          </w:tcPr>
          <w:p w14:paraId="2E9633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2" w:type="dxa"/>
            <w:shd w:val="clear" w:color="auto" w:fill="auto"/>
            <w:vAlign w:val="center"/>
          </w:tcPr>
          <w:p w14:paraId="1639E6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63" w:type="dxa"/>
            <w:shd w:val="clear" w:color="auto" w:fill="auto"/>
            <w:vAlign w:val="center"/>
          </w:tcPr>
          <w:p w14:paraId="1CFCA7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75" w:type="dxa"/>
            <w:shd w:val="clear" w:color="auto" w:fill="auto"/>
            <w:vAlign w:val="center"/>
          </w:tcPr>
          <w:p w14:paraId="2443F9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28" w:type="dxa"/>
            <w:shd w:val="clear" w:color="auto" w:fill="auto"/>
            <w:vAlign w:val="center"/>
          </w:tcPr>
          <w:p w14:paraId="6E58BD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1所</w:t>
            </w:r>
          </w:p>
        </w:tc>
        <w:tc>
          <w:tcPr>
            <w:tcW w:w="946" w:type="dxa"/>
            <w:shd w:val="clear" w:color="auto" w:fill="auto"/>
            <w:vAlign w:val="center"/>
          </w:tcPr>
          <w:p w14:paraId="7372978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9" w:type="dxa"/>
            <w:shd w:val="clear" w:color="auto" w:fill="auto"/>
            <w:vAlign w:val="center"/>
          </w:tcPr>
          <w:p w14:paraId="0E0252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900" w:type="dxa"/>
            <w:shd w:val="clear" w:color="auto" w:fill="auto"/>
            <w:vAlign w:val="center"/>
          </w:tcPr>
          <w:p w14:paraId="51450F87">
            <w:pPr>
              <w:jc w:val="center"/>
              <w:rPr>
                <w:rFonts w:hint="eastAsia" w:ascii="宋体" w:hAnsi="宋体" w:eastAsia="宋体" w:cs="宋体"/>
                <w:i w:val="0"/>
                <w:iCs w:val="0"/>
                <w:color w:val="000000"/>
                <w:sz w:val="20"/>
                <w:szCs w:val="20"/>
                <w:u w:val="none"/>
              </w:rPr>
            </w:pPr>
          </w:p>
        </w:tc>
      </w:tr>
      <w:tr w14:paraId="0E58A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675" w:type="dxa"/>
            <w:vMerge w:val="continue"/>
            <w:shd w:val="clear" w:color="auto" w:fill="auto"/>
            <w:vAlign w:val="center"/>
          </w:tcPr>
          <w:p w14:paraId="2889687A">
            <w:pPr>
              <w:jc w:val="center"/>
              <w:rPr>
                <w:rFonts w:hint="eastAsia" w:ascii="宋体" w:hAnsi="宋体" w:eastAsia="宋体" w:cs="宋体"/>
                <w:i w:val="0"/>
                <w:iCs w:val="0"/>
                <w:color w:val="000000"/>
                <w:sz w:val="20"/>
                <w:szCs w:val="20"/>
                <w:u w:val="none"/>
              </w:rPr>
            </w:pPr>
          </w:p>
        </w:tc>
        <w:tc>
          <w:tcPr>
            <w:tcW w:w="675" w:type="dxa"/>
            <w:vMerge w:val="continue"/>
            <w:shd w:val="clear" w:color="auto" w:fill="auto"/>
            <w:vAlign w:val="center"/>
          </w:tcPr>
          <w:p w14:paraId="7D9CF3A0">
            <w:pPr>
              <w:jc w:val="center"/>
              <w:rPr>
                <w:rFonts w:hint="eastAsia" w:ascii="宋体" w:hAnsi="宋体" w:eastAsia="宋体" w:cs="宋体"/>
                <w:i w:val="0"/>
                <w:iCs w:val="0"/>
                <w:color w:val="000000"/>
                <w:sz w:val="20"/>
                <w:szCs w:val="20"/>
                <w:u w:val="none"/>
              </w:rPr>
            </w:pPr>
          </w:p>
        </w:tc>
        <w:tc>
          <w:tcPr>
            <w:tcW w:w="877" w:type="dxa"/>
            <w:vMerge w:val="restart"/>
            <w:shd w:val="clear" w:color="auto" w:fill="auto"/>
            <w:vAlign w:val="center"/>
          </w:tcPr>
          <w:p w14:paraId="77879B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256" w:type="dxa"/>
            <w:shd w:val="clear" w:color="auto" w:fill="auto"/>
            <w:vAlign w:val="center"/>
          </w:tcPr>
          <w:p w14:paraId="33A278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实训室设备质量合格率</w:t>
            </w:r>
          </w:p>
        </w:tc>
        <w:tc>
          <w:tcPr>
            <w:tcW w:w="1133" w:type="dxa"/>
            <w:shd w:val="clear" w:color="auto" w:fill="auto"/>
            <w:vAlign w:val="center"/>
          </w:tcPr>
          <w:p w14:paraId="6561C6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7" w:type="dxa"/>
            <w:shd w:val="clear" w:color="auto" w:fill="auto"/>
            <w:vAlign w:val="center"/>
          </w:tcPr>
          <w:p w14:paraId="140143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vAlign w:val="center"/>
          </w:tcPr>
          <w:p w14:paraId="62D9E6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2" w:type="dxa"/>
            <w:shd w:val="clear" w:color="auto" w:fill="auto"/>
            <w:vAlign w:val="center"/>
          </w:tcPr>
          <w:p w14:paraId="7EAAC1D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3" w:type="dxa"/>
            <w:shd w:val="clear" w:color="auto" w:fill="auto"/>
            <w:vAlign w:val="center"/>
          </w:tcPr>
          <w:p w14:paraId="25A759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75" w:type="dxa"/>
            <w:shd w:val="clear" w:color="auto" w:fill="auto"/>
            <w:vAlign w:val="center"/>
          </w:tcPr>
          <w:p w14:paraId="5461EB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28" w:type="dxa"/>
            <w:shd w:val="clear" w:color="auto" w:fill="auto"/>
            <w:vAlign w:val="center"/>
          </w:tcPr>
          <w:p w14:paraId="5BE309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6" w:type="dxa"/>
            <w:shd w:val="clear" w:color="auto" w:fill="auto"/>
            <w:vAlign w:val="center"/>
          </w:tcPr>
          <w:p w14:paraId="4085FF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9" w:type="dxa"/>
            <w:shd w:val="clear" w:color="auto" w:fill="auto"/>
            <w:vAlign w:val="center"/>
          </w:tcPr>
          <w:p w14:paraId="260BD6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00" w:type="dxa"/>
            <w:shd w:val="clear" w:color="auto" w:fill="auto"/>
            <w:vAlign w:val="center"/>
          </w:tcPr>
          <w:p w14:paraId="1E14C254">
            <w:pPr>
              <w:jc w:val="center"/>
              <w:rPr>
                <w:rFonts w:hint="eastAsia" w:ascii="宋体" w:hAnsi="宋体" w:eastAsia="宋体" w:cs="宋体"/>
                <w:i w:val="0"/>
                <w:iCs w:val="0"/>
                <w:color w:val="000000"/>
                <w:sz w:val="20"/>
                <w:szCs w:val="20"/>
                <w:u w:val="none"/>
              </w:rPr>
            </w:pPr>
          </w:p>
        </w:tc>
      </w:tr>
      <w:tr w14:paraId="25FE3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675" w:type="dxa"/>
            <w:vMerge w:val="continue"/>
            <w:shd w:val="clear" w:color="auto" w:fill="auto"/>
            <w:vAlign w:val="center"/>
          </w:tcPr>
          <w:p w14:paraId="0A836A6E">
            <w:pPr>
              <w:jc w:val="center"/>
              <w:rPr>
                <w:rFonts w:hint="eastAsia" w:ascii="宋体" w:hAnsi="宋体" w:eastAsia="宋体" w:cs="宋体"/>
                <w:i w:val="0"/>
                <w:iCs w:val="0"/>
                <w:color w:val="000000"/>
                <w:sz w:val="20"/>
                <w:szCs w:val="20"/>
                <w:u w:val="none"/>
              </w:rPr>
            </w:pPr>
          </w:p>
        </w:tc>
        <w:tc>
          <w:tcPr>
            <w:tcW w:w="675" w:type="dxa"/>
            <w:vMerge w:val="continue"/>
            <w:shd w:val="clear" w:color="auto" w:fill="auto"/>
            <w:vAlign w:val="center"/>
          </w:tcPr>
          <w:p w14:paraId="6CFE7003">
            <w:pPr>
              <w:jc w:val="center"/>
              <w:rPr>
                <w:rFonts w:hint="eastAsia" w:ascii="宋体" w:hAnsi="宋体" w:eastAsia="宋体" w:cs="宋体"/>
                <w:i w:val="0"/>
                <w:iCs w:val="0"/>
                <w:color w:val="000000"/>
                <w:sz w:val="20"/>
                <w:szCs w:val="20"/>
                <w:u w:val="none"/>
              </w:rPr>
            </w:pPr>
          </w:p>
        </w:tc>
        <w:tc>
          <w:tcPr>
            <w:tcW w:w="877" w:type="dxa"/>
            <w:vMerge w:val="continue"/>
            <w:shd w:val="clear" w:color="auto" w:fill="auto"/>
            <w:vAlign w:val="center"/>
          </w:tcPr>
          <w:p w14:paraId="7B8FE989">
            <w:pPr>
              <w:jc w:val="center"/>
              <w:rPr>
                <w:rFonts w:hint="eastAsia" w:ascii="宋体" w:hAnsi="宋体" w:eastAsia="宋体" w:cs="宋体"/>
                <w:i w:val="0"/>
                <w:iCs w:val="0"/>
                <w:color w:val="000000"/>
                <w:sz w:val="20"/>
                <w:szCs w:val="20"/>
                <w:u w:val="none"/>
              </w:rPr>
            </w:pPr>
          </w:p>
        </w:tc>
        <w:tc>
          <w:tcPr>
            <w:tcW w:w="1256" w:type="dxa"/>
            <w:shd w:val="clear" w:color="auto" w:fill="auto"/>
            <w:vAlign w:val="center"/>
          </w:tcPr>
          <w:p w14:paraId="20B47C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实训基地验收合格率</w:t>
            </w:r>
          </w:p>
        </w:tc>
        <w:tc>
          <w:tcPr>
            <w:tcW w:w="1133" w:type="dxa"/>
            <w:shd w:val="clear" w:color="auto" w:fill="auto"/>
            <w:vAlign w:val="center"/>
          </w:tcPr>
          <w:p w14:paraId="287607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7" w:type="dxa"/>
            <w:shd w:val="clear" w:color="auto" w:fill="auto"/>
            <w:vAlign w:val="center"/>
          </w:tcPr>
          <w:p w14:paraId="0E070D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vAlign w:val="center"/>
          </w:tcPr>
          <w:p w14:paraId="6370C79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2" w:type="dxa"/>
            <w:shd w:val="clear" w:color="auto" w:fill="auto"/>
            <w:vAlign w:val="center"/>
          </w:tcPr>
          <w:p w14:paraId="338E07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63" w:type="dxa"/>
            <w:shd w:val="clear" w:color="auto" w:fill="auto"/>
            <w:vAlign w:val="center"/>
          </w:tcPr>
          <w:p w14:paraId="531EF7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75" w:type="dxa"/>
            <w:shd w:val="clear" w:color="auto" w:fill="auto"/>
            <w:vAlign w:val="center"/>
          </w:tcPr>
          <w:p w14:paraId="28C767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28" w:type="dxa"/>
            <w:shd w:val="clear" w:color="auto" w:fill="auto"/>
            <w:vAlign w:val="center"/>
          </w:tcPr>
          <w:p w14:paraId="01D80E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6" w:type="dxa"/>
            <w:shd w:val="clear" w:color="auto" w:fill="auto"/>
            <w:vAlign w:val="center"/>
          </w:tcPr>
          <w:p w14:paraId="1A15DD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9" w:type="dxa"/>
            <w:shd w:val="clear" w:color="auto" w:fill="auto"/>
            <w:vAlign w:val="center"/>
          </w:tcPr>
          <w:p w14:paraId="4726CA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900" w:type="dxa"/>
            <w:shd w:val="clear" w:color="auto" w:fill="auto"/>
            <w:vAlign w:val="center"/>
          </w:tcPr>
          <w:p w14:paraId="6B2A923F">
            <w:pPr>
              <w:jc w:val="center"/>
              <w:rPr>
                <w:rFonts w:hint="eastAsia" w:ascii="宋体" w:hAnsi="宋体" w:eastAsia="宋体" w:cs="宋体"/>
                <w:i w:val="0"/>
                <w:iCs w:val="0"/>
                <w:color w:val="000000"/>
                <w:sz w:val="20"/>
                <w:szCs w:val="20"/>
                <w:u w:val="none"/>
              </w:rPr>
            </w:pPr>
          </w:p>
        </w:tc>
      </w:tr>
      <w:tr w14:paraId="211F9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675" w:type="dxa"/>
            <w:vMerge w:val="continue"/>
            <w:shd w:val="clear" w:color="auto" w:fill="auto"/>
            <w:vAlign w:val="center"/>
          </w:tcPr>
          <w:p w14:paraId="3024A7EB">
            <w:pPr>
              <w:jc w:val="center"/>
              <w:rPr>
                <w:rFonts w:hint="eastAsia" w:ascii="宋体" w:hAnsi="宋体" w:eastAsia="宋体" w:cs="宋体"/>
                <w:i w:val="0"/>
                <w:iCs w:val="0"/>
                <w:color w:val="000000"/>
                <w:sz w:val="20"/>
                <w:szCs w:val="20"/>
                <w:u w:val="none"/>
              </w:rPr>
            </w:pPr>
          </w:p>
        </w:tc>
        <w:tc>
          <w:tcPr>
            <w:tcW w:w="675" w:type="dxa"/>
            <w:vMerge w:val="continue"/>
            <w:shd w:val="clear" w:color="auto" w:fill="auto"/>
            <w:vAlign w:val="center"/>
          </w:tcPr>
          <w:p w14:paraId="1E231A61">
            <w:pPr>
              <w:jc w:val="center"/>
              <w:rPr>
                <w:rFonts w:hint="eastAsia" w:ascii="宋体" w:hAnsi="宋体" w:eastAsia="宋体" w:cs="宋体"/>
                <w:i w:val="0"/>
                <w:iCs w:val="0"/>
                <w:color w:val="000000"/>
                <w:sz w:val="20"/>
                <w:szCs w:val="20"/>
                <w:u w:val="none"/>
              </w:rPr>
            </w:pPr>
          </w:p>
        </w:tc>
        <w:tc>
          <w:tcPr>
            <w:tcW w:w="877" w:type="dxa"/>
            <w:shd w:val="clear" w:color="auto" w:fill="auto"/>
            <w:vAlign w:val="center"/>
          </w:tcPr>
          <w:p w14:paraId="718AAE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256" w:type="dxa"/>
            <w:shd w:val="clear" w:color="auto" w:fill="auto"/>
            <w:vAlign w:val="center"/>
          </w:tcPr>
          <w:p w14:paraId="0424A7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按期完成率</w:t>
            </w:r>
          </w:p>
        </w:tc>
        <w:tc>
          <w:tcPr>
            <w:tcW w:w="1133" w:type="dxa"/>
            <w:shd w:val="clear" w:color="auto" w:fill="auto"/>
            <w:vAlign w:val="center"/>
          </w:tcPr>
          <w:p w14:paraId="1C3D699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7" w:type="dxa"/>
            <w:shd w:val="clear" w:color="auto" w:fill="auto"/>
            <w:vAlign w:val="center"/>
          </w:tcPr>
          <w:p w14:paraId="2A4BFF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vAlign w:val="center"/>
          </w:tcPr>
          <w:p w14:paraId="439EB0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2" w:type="dxa"/>
            <w:shd w:val="clear" w:color="auto" w:fill="auto"/>
            <w:vAlign w:val="center"/>
          </w:tcPr>
          <w:p w14:paraId="2A419C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3" w:type="dxa"/>
            <w:shd w:val="clear" w:color="auto" w:fill="auto"/>
            <w:vAlign w:val="center"/>
          </w:tcPr>
          <w:p w14:paraId="545DB1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75" w:type="dxa"/>
            <w:shd w:val="clear" w:color="auto" w:fill="auto"/>
            <w:vAlign w:val="center"/>
          </w:tcPr>
          <w:p w14:paraId="571DCC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28" w:type="dxa"/>
            <w:shd w:val="clear" w:color="auto" w:fill="auto"/>
            <w:vAlign w:val="center"/>
          </w:tcPr>
          <w:p w14:paraId="21C126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6" w:type="dxa"/>
            <w:shd w:val="clear" w:color="auto" w:fill="auto"/>
            <w:vAlign w:val="center"/>
          </w:tcPr>
          <w:p w14:paraId="41462F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9" w:type="dxa"/>
            <w:shd w:val="clear" w:color="auto" w:fill="auto"/>
            <w:vAlign w:val="center"/>
          </w:tcPr>
          <w:p w14:paraId="36EEB3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00" w:type="dxa"/>
            <w:shd w:val="clear" w:color="auto" w:fill="auto"/>
            <w:vAlign w:val="center"/>
          </w:tcPr>
          <w:p w14:paraId="2E63AEA0">
            <w:pPr>
              <w:jc w:val="center"/>
              <w:rPr>
                <w:rFonts w:hint="eastAsia" w:ascii="宋体" w:hAnsi="宋体" w:eastAsia="宋体" w:cs="宋体"/>
                <w:i w:val="0"/>
                <w:iCs w:val="0"/>
                <w:color w:val="000000"/>
                <w:sz w:val="20"/>
                <w:szCs w:val="20"/>
                <w:u w:val="none"/>
              </w:rPr>
            </w:pPr>
          </w:p>
        </w:tc>
      </w:tr>
      <w:tr w14:paraId="5129A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675" w:type="dxa"/>
            <w:vMerge w:val="continue"/>
            <w:shd w:val="clear" w:color="auto" w:fill="auto"/>
            <w:vAlign w:val="center"/>
          </w:tcPr>
          <w:p w14:paraId="0B644E1F">
            <w:pPr>
              <w:jc w:val="center"/>
              <w:rPr>
                <w:rFonts w:hint="eastAsia" w:ascii="宋体" w:hAnsi="宋体" w:eastAsia="宋体" w:cs="宋体"/>
                <w:i w:val="0"/>
                <w:iCs w:val="0"/>
                <w:color w:val="000000"/>
                <w:sz w:val="20"/>
                <w:szCs w:val="20"/>
                <w:u w:val="none"/>
              </w:rPr>
            </w:pPr>
          </w:p>
        </w:tc>
        <w:tc>
          <w:tcPr>
            <w:tcW w:w="675" w:type="dxa"/>
            <w:vMerge w:val="restart"/>
            <w:shd w:val="clear" w:color="auto" w:fill="auto"/>
            <w:vAlign w:val="center"/>
          </w:tcPr>
          <w:p w14:paraId="7E4C50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877" w:type="dxa"/>
            <w:shd w:val="clear" w:color="auto" w:fill="auto"/>
            <w:vAlign w:val="center"/>
          </w:tcPr>
          <w:p w14:paraId="5D4EAF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256" w:type="dxa"/>
            <w:shd w:val="clear" w:color="auto" w:fill="auto"/>
            <w:vAlign w:val="center"/>
          </w:tcPr>
          <w:p w14:paraId="55F00C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3" w:type="dxa"/>
            <w:shd w:val="clear" w:color="auto" w:fill="auto"/>
            <w:vAlign w:val="center"/>
          </w:tcPr>
          <w:p w14:paraId="27942E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7" w:type="dxa"/>
            <w:shd w:val="clear" w:color="auto" w:fill="auto"/>
            <w:vAlign w:val="center"/>
          </w:tcPr>
          <w:p w14:paraId="3D62A1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shd w:val="clear" w:color="auto" w:fill="auto"/>
            <w:vAlign w:val="center"/>
          </w:tcPr>
          <w:p w14:paraId="2D4A34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2" w:type="dxa"/>
            <w:shd w:val="clear" w:color="auto" w:fill="auto"/>
            <w:vAlign w:val="center"/>
          </w:tcPr>
          <w:p w14:paraId="7B12BC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3" w:type="dxa"/>
            <w:shd w:val="clear" w:color="auto" w:fill="auto"/>
            <w:vAlign w:val="center"/>
          </w:tcPr>
          <w:p w14:paraId="2355BC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5" w:type="dxa"/>
            <w:shd w:val="clear" w:color="auto" w:fill="auto"/>
            <w:vAlign w:val="center"/>
          </w:tcPr>
          <w:p w14:paraId="745AA7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8" w:type="dxa"/>
            <w:shd w:val="clear" w:color="auto" w:fill="auto"/>
            <w:vAlign w:val="center"/>
          </w:tcPr>
          <w:p w14:paraId="72092B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6" w:type="dxa"/>
            <w:shd w:val="clear" w:color="auto" w:fill="auto"/>
            <w:vAlign w:val="center"/>
          </w:tcPr>
          <w:p w14:paraId="745D18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9" w:type="dxa"/>
            <w:shd w:val="clear" w:color="auto" w:fill="auto"/>
            <w:vAlign w:val="center"/>
          </w:tcPr>
          <w:p w14:paraId="47D70A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00" w:type="dxa"/>
            <w:shd w:val="clear" w:color="auto" w:fill="auto"/>
            <w:vAlign w:val="center"/>
          </w:tcPr>
          <w:p w14:paraId="01E4AA84">
            <w:pPr>
              <w:jc w:val="center"/>
              <w:rPr>
                <w:rFonts w:hint="eastAsia" w:ascii="宋体" w:hAnsi="宋体" w:eastAsia="宋体" w:cs="宋体"/>
                <w:i w:val="0"/>
                <w:iCs w:val="0"/>
                <w:color w:val="000000"/>
                <w:sz w:val="20"/>
                <w:szCs w:val="20"/>
                <w:u w:val="none"/>
              </w:rPr>
            </w:pPr>
          </w:p>
        </w:tc>
      </w:tr>
      <w:tr w14:paraId="57761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80" w:hRule="atLeast"/>
        </w:trPr>
        <w:tc>
          <w:tcPr>
            <w:tcW w:w="675" w:type="dxa"/>
            <w:vMerge w:val="continue"/>
            <w:shd w:val="clear" w:color="auto" w:fill="auto"/>
            <w:vAlign w:val="center"/>
          </w:tcPr>
          <w:p w14:paraId="7FD7BC1A">
            <w:pPr>
              <w:jc w:val="center"/>
              <w:rPr>
                <w:rFonts w:hint="eastAsia" w:ascii="宋体" w:hAnsi="宋体" w:eastAsia="宋体" w:cs="宋体"/>
                <w:i w:val="0"/>
                <w:iCs w:val="0"/>
                <w:color w:val="000000"/>
                <w:sz w:val="20"/>
                <w:szCs w:val="20"/>
                <w:u w:val="none"/>
              </w:rPr>
            </w:pPr>
          </w:p>
        </w:tc>
        <w:tc>
          <w:tcPr>
            <w:tcW w:w="675" w:type="dxa"/>
            <w:vMerge w:val="continue"/>
            <w:shd w:val="clear" w:color="auto" w:fill="auto"/>
            <w:vAlign w:val="center"/>
          </w:tcPr>
          <w:p w14:paraId="46A08ED3">
            <w:pPr>
              <w:jc w:val="center"/>
              <w:rPr>
                <w:rFonts w:hint="eastAsia" w:ascii="宋体" w:hAnsi="宋体" w:eastAsia="宋体" w:cs="宋体"/>
                <w:i w:val="0"/>
                <w:iCs w:val="0"/>
                <w:color w:val="000000"/>
                <w:sz w:val="20"/>
                <w:szCs w:val="20"/>
                <w:u w:val="none"/>
              </w:rPr>
            </w:pPr>
          </w:p>
        </w:tc>
        <w:tc>
          <w:tcPr>
            <w:tcW w:w="877" w:type="dxa"/>
            <w:vMerge w:val="restart"/>
            <w:shd w:val="clear" w:color="auto" w:fill="auto"/>
            <w:vAlign w:val="center"/>
          </w:tcPr>
          <w:p w14:paraId="21EF74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256" w:type="dxa"/>
            <w:shd w:val="clear" w:color="auto" w:fill="auto"/>
            <w:vAlign w:val="center"/>
          </w:tcPr>
          <w:p w14:paraId="6E702F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实训基地建支出（万）</w:t>
            </w:r>
          </w:p>
        </w:tc>
        <w:tc>
          <w:tcPr>
            <w:tcW w:w="1133" w:type="dxa"/>
            <w:shd w:val="clear" w:color="auto" w:fill="auto"/>
            <w:vAlign w:val="center"/>
          </w:tcPr>
          <w:p w14:paraId="75D758F7">
            <w:pPr>
              <w:keepNext w:val="0"/>
              <w:keepLines w:val="0"/>
              <w:widowControl/>
              <w:suppressLineNumbers w:val="0"/>
              <w:ind w:firstLine="400" w:firstLineChars="20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≤174.83万元</w:t>
            </w:r>
          </w:p>
        </w:tc>
        <w:tc>
          <w:tcPr>
            <w:tcW w:w="887" w:type="dxa"/>
            <w:shd w:val="clear" w:color="auto" w:fill="auto"/>
            <w:vAlign w:val="center"/>
          </w:tcPr>
          <w:p w14:paraId="0C6211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88" w:type="dxa"/>
            <w:shd w:val="clear" w:color="auto" w:fill="auto"/>
            <w:vAlign w:val="center"/>
          </w:tcPr>
          <w:p w14:paraId="748F2D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2" w:type="dxa"/>
            <w:shd w:val="clear" w:color="auto" w:fill="auto"/>
            <w:vAlign w:val="center"/>
          </w:tcPr>
          <w:p w14:paraId="789981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3" w:type="dxa"/>
            <w:shd w:val="clear" w:color="auto" w:fill="auto"/>
            <w:vAlign w:val="center"/>
          </w:tcPr>
          <w:p w14:paraId="7159F7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075" w:type="dxa"/>
            <w:shd w:val="clear" w:color="auto" w:fill="auto"/>
            <w:vAlign w:val="center"/>
          </w:tcPr>
          <w:p w14:paraId="405E3C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28" w:type="dxa"/>
            <w:shd w:val="clear" w:color="auto" w:fill="auto"/>
            <w:vAlign w:val="center"/>
          </w:tcPr>
          <w:p w14:paraId="53B569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174.83万元</w:t>
            </w:r>
          </w:p>
        </w:tc>
        <w:tc>
          <w:tcPr>
            <w:tcW w:w="946" w:type="dxa"/>
            <w:shd w:val="clear" w:color="auto" w:fill="auto"/>
            <w:vAlign w:val="center"/>
          </w:tcPr>
          <w:p w14:paraId="168A79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9" w:type="dxa"/>
            <w:shd w:val="clear" w:color="auto" w:fill="auto"/>
            <w:vAlign w:val="center"/>
          </w:tcPr>
          <w:p w14:paraId="5B632A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00" w:type="dxa"/>
            <w:shd w:val="clear" w:color="auto" w:fill="auto"/>
            <w:vAlign w:val="center"/>
          </w:tcPr>
          <w:p w14:paraId="2D71B818">
            <w:pPr>
              <w:jc w:val="center"/>
              <w:rPr>
                <w:rFonts w:hint="eastAsia" w:ascii="宋体" w:hAnsi="宋体" w:eastAsia="宋体" w:cs="宋体"/>
                <w:i w:val="0"/>
                <w:iCs w:val="0"/>
                <w:color w:val="000000"/>
                <w:sz w:val="20"/>
                <w:szCs w:val="20"/>
                <w:u w:val="none"/>
              </w:rPr>
            </w:pPr>
          </w:p>
        </w:tc>
      </w:tr>
      <w:tr w14:paraId="0F2BA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675" w:type="dxa"/>
            <w:vMerge w:val="continue"/>
            <w:shd w:val="clear" w:color="auto" w:fill="auto"/>
            <w:vAlign w:val="center"/>
          </w:tcPr>
          <w:p w14:paraId="29A193B1">
            <w:pPr>
              <w:jc w:val="center"/>
              <w:rPr>
                <w:rFonts w:hint="eastAsia" w:ascii="宋体" w:hAnsi="宋体" w:eastAsia="宋体" w:cs="宋体"/>
                <w:i w:val="0"/>
                <w:iCs w:val="0"/>
                <w:color w:val="000000"/>
                <w:sz w:val="20"/>
                <w:szCs w:val="20"/>
                <w:u w:val="none"/>
              </w:rPr>
            </w:pPr>
          </w:p>
        </w:tc>
        <w:tc>
          <w:tcPr>
            <w:tcW w:w="675" w:type="dxa"/>
            <w:vMerge w:val="continue"/>
            <w:shd w:val="clear" w:color="auto" w:fill="auto"/>
            <w:vAlign w:val="center"/>
          </w:tcPr>
          <w:p w14:paraId="4CE9A90B">
            <w:pPr>
              <w:jc w:val="center"/>
              <w:rPr>
                <w:rFonts w:hint="eastAsia" w:ascii="宋体" w:hAnsi="宋体" w:eastAsia="宋体" w:cs="宋体"/>
                <w:i w:val="0"/>
                <w:iCs w:val="0"/>
                <w:color w:val="000000"/>
                <w:sz w:val="20"/>
                <w:szCs w:val="20"/>
                <w:u w:val="none"/>
              </w:rPr>
            </w:pPr>
          </w:p>
        </w:tc>
        <w:tc>
          <w:tcPr>
            <w:tcW w:w="877" w:type="dxa"/>
            <w:vMerge w:val="continue"/>
            <w:shd w:val="clear" w:color="auto" w:fill="auto"/>
            <w:vAlign w:val="center"/>
          </w:tcPr>
          <w:p w14:paraId="010DE6B5">
            <w:pPr>
              <w:jc w:val="center"/>
              <w:rPr>
                <w:rFonts w:hint="eastAsia" w:ascii="宋体" w:hAnsi="宋体" w:eastAsia="宋体" w:cs="宋体"/>
                <w:i w:val="0"/>
                <w:iCs w:val="0"/>
                <w:color w:val="000000"/>
                <w:sz w:val="20"/>
                <w:szCs w:val="20"/>
                <w:u w:val="none"/>
              </w:rPr>
            </w:pPr>
          </w:p>
        </w:tc>
        <w:tc>
          <w:tcPr>
            <w:tcW w:w="1256" w:type="dxa"/>
            <w:shd w:val="clear" w:color="auto" w:fill="auto"/>
            <w:vAlign w:val="center"/>
          </w:tcPr>
          <w:p w14:paraId="2C7D1F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设备采购支出（万）</w:t>
            </w:r>
          </w:p>
        </w:tc>
        <w:tc>
          <w:tcPr>
            <w:tcW w:w="1133" w:type="dxa"/>
            <w:shd w:val="clear" w:color="auto" w:fill="auto"/>
            <w:vAlign w:val="center"/>
          </w:tcPr>
          <w:p w14:paraId="5DFD1F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≤7.4万元</w:t>
            </w:r>
          </w:p>
        </w:tc>
        <w:tc>
          <w:tcPr>
            <w:tcW w:w="887" w:type="dxa"/>
            <w:shd w:val="clear" w:color="auto" w:fill="auto"/>
            <w:vAlign w:val="center"/>
          </w:tcPr>
          <w:p w14:paraId="7B1A14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88" w:type="dxa"/>
            <w:shd w:val="clear" w:color="auto" w:fill="auto"/>
            <w:vAlign w:val="center"/>
          </w:tcPr>
          <w:p w14:paraId="4E9171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2" w:type="dxa"/>
            <w:shd w:val="clear" w:color="auto" w:fill="auto"/>
            <w:vAlign w:val="center"/>
          </w:tcPr>
          <w:p w14:paraId="2BFD71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3" w:type="dxa"/>
            <w:shd w:val="clear" w:color="auto" w:fill="auto"/>
            <w:vAlign w:val="center"/>
          </w:tcPr>
          <w:p w14:paraId="596027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075" w:type="dxa"/>
            <w:shd w:val="clear" w:color="auto" w:fill="auto"/>
            <w:vAlign w:val="center"/>
          </w:tcPr>
          <w:p w14:paraId="7DB955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28" w:type="dxa"/>
            <w:shd w:val="clear" w:color="auto" w:fill="auto"/>
            <w:vAlign w:val="center"/>
          </w:tcPr>
          <w:p w14:paraId="1C0D88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7.4万元</w:t>
            </w:r>
          </w:p>
        </w:tc>
        <w:tc>
          <w:tcPr>
            <w:tcW w:w="946" w:type="dxa"/>
            <w:shd w:val="clear" w:color="auto" w:fill="auto"/>
            <w:vAlign w:val="center"/>
          </w:tcPr>
          <w:p w14:paraId="42E6D0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9" w:type="dxa"/>
            <w:shd w:val="clear" w:color="auto" w:fill="auto"/>
            <w:vAlign w:val="center"/>
          </w:tcPr>
          <w:p w14:paraId="69F025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00" w:type="dxa"/>
            <w:shd w:val="clear" w:color="auto" w:fill="auto"/>
            <w:vAlign w:val="center"/>
          </w:tcPr>
          <w:p w14:paraId="160EA1A7">
            <w:pPr>
              <w:jc w:val="center"/>
              <w:rPr>
                <w:rFonts w:hint="eastAsia" w:ascii="宋体" w:hAnsi="宋体" w:eastAsia="宋体" w:cs="宋体"/>
                <w:i w:val="0"/>
                <w:iCs w:val="0"/>
                <w:color w:val="000000"/>
                <w:sz w:val="20"/>
                <w:szCs w:val="20"/>
                <w:u w:val="none"/>
              </w:rPr>
            </w:pPr>
          </w:p>
        </w:tc>
      </w:tr>
      <w:tr w14:paraId="634F2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80" w:hRule="atLeast"/>
        </w:trPr>
        <w:tc>
          <w:tcPr>
            <w:tcW w:w="675" w:type="dxa"/>
            <w:vMerge w:val="continue"/>
            <w:shd w:val="clear" w:color="auto" w:fill="auto"/>
            <w:vAlign w:val="center"/>
          </w:tcPr>
          <w:p w14:paraId="32549CD4">
            <w:pPr>
              <w:jc w:val="center"/>
              <w:rPr>
                <w:rFonts w:hint="eastAsia" w:ascii="宋体" w:hAnsi="宋体" w:eastAsia="宋体" w:cs="宋体"/>
                <w:i w:val="0"/>
                <w:iCs w:val="0"/>
                <w:color w:val="000000"/>
                <w:sz w:val="20"/>
                <w:szCs w:val="20"/>
                <w:u w:val="none"/>
              </w:rPr>
            </w:pPr>
          </w:p>
        </w:tc>
        <w:tc>
          <w:tcPr>
            <w:tcW w:w="675" w:type="dxa"/>
            <w:vMerge w:val="continue"/>
            <w:shd w:val="clear" w:color="auto" w:fill="auto"/>
            <w:vAlign w:val="center"/>
          </w:tcPr>
          <w:p w14:paraId="7380B1A8">
            <w:pPr>
              <w:jc w:val="center"/>
              <w:rPr>
                <w:rFonts w:hint="eastAsia" w:ascii="宋体" w:hAnsi="宋体" w:eastAsia="宋体" w:cs="宋体"/>
                <w:i w:val="0"/>
                <w:iCs w:val="0"/>
                <w:color w:val="000000"/>
                <w:sz w:val="20"/>
                <w:szCs w:val="20"/>
                <w:u w:val="none"/>
              </w:rPr>
            </w:pPr>
          </w:p>
        </w:tc>
        <w:tc>
          <w:tcPr>
            <w:tcW w:w="877" w:type="dxa"/>
            <w:shd w:val="clear" w:color="auto" w:fill="auto"/>
            <w:vAlign w:val="center"/>
          </w:tcPr>
          <w:p w14:paraId="71F2E1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256" w:type="dxa"/>
            <w:shd w:val="clear" w:color="auto" w:fill="auto"/>
            <w:vAlign w:val="center"/>
          </w:tcPr>
          <w:p w14:paraId="0CC6BA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3" w:type="dxa"/>
            <w:shd w:val="clear" w:color="auto" w:fill="auto"/>
            <w:vAlign w:val="center"/>
          </w:tcPr>
          <w:p w14:paraId="640065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7" w:type="dxa"/>
            <w:shd w:val="clear" w:color="auto" w:fill="auto"/>
            <w:vAlign w:val="center"/>
          </w:tcPr>
          <w:p w14:paraId="0CBDC9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shd w:val="clear" w:color="auto" w:fill="auto"/>
            <w:vAlign w:val="center"/>
          </w:tcPr>
          <w:p w14:paraId="0D3CB5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2" w:type="dxa"/>
            <w:shd w:val="clear" w:color="auto" w:fill="auto"/>
            <w:vAlign w:val="center"/>
          </w:tcPr>
          <w:p w14:paraId="579EEA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3" w:type="dxa"/>
            <w:shd w:val="clear" w:color="auto" w:fill="auto"/>
            <w:vAlign w:val="center"/>
          </w:tcPr>
          <w:p w14:paraId="28AA04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5" w:type="dxa"/>
            <w:shd w:val="clear" w:color="auto" w:fill="auto"/>
            <w:vAlign w:val="center"/>
          </w:tcPr>
          <w:p w14:paraId="52E7A4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8" w:type="dxa"/>
            <w:shd w:val="clear" w:color="auto" w:fill="auto"/>
            <w:vAlign w:val="center"/>
          </w:tcPr>
          <w:p w14:paraId="4EEE20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6" w:type="dxa"/>
            <w:shd w:val="clear" w:color="auto" w:fill="auto"/>
            <w:vAlign w:val="center"/>
          </w:tcPr>
          <w:p w14:paraId="08D9EA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9" w:type="dxa"/>
            <w:shd w:val="clear" w:color="auto" w:fill="auto"/>
            <w:vAlign w:val="center"/>
          </w:tcPr>
          <w:p w14:paraId="7B1C1C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00" w:type="dxa"/>
            <w:shd w:val="clear" w:color="auto" w:fill="auto"/>
            <w:vAlign w:val="center"/>
          </w:tcPr>
          <w:p w14:paraId="6B058DA9">
            <w:pPr>
              <w:jc w:val="center"/>
              <w:rPr>
                <w:rFonts w:hint="eastAsia" w:ascii="宋体" w:hAnsi="宋体" w:eastAsia="宋体" w:cs="宋体"/>
                <w:i w:val="0"/>
                <w:iCs w:val="0"/>
                <w:color w:val="000000"/>
                <w:sz w:val="20"/>
                <w:szCs w:val="20"/>
                <w:u w:val="none"/>
              </w:rPr>
            </w:pPr>
          </w:p>
        </w:tc>
      </w:tr>
      <w:tr w14:paraId="1DCCD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675" w:type="dxa"/>
            <w:vMerge w:val="continue"/>
            <w:shd w:val="clear" w:color="auto" w:fill="auto"/>
            <w:vAlign w:val="center"/>
          </w:tcPr>
          <w:p w14:paraId="21A654F6">
            <w:pPr>
              <w:jc w:val="center"/>
              <w:rPr>
                <w:rFonts w:hint="eastAsia" w:ascii="宋体" w:hAnsi="宋体" w:eastAsia="宋体" w:cs="宋体"/>
                <w:i w:val="0"/>
                <w:iCs w:val="0"/>
                <w:color w:val="000000"/>
                <w:sz w:val="20"/>
                <w:szCs w:val="20"/>
                <w:u w:val="none"/>
              </w:rPr>
            </w:pPr>
          </w:p>
        </w:tc>
        <w:tc>
          <w:tcPr>
            <w:tcW w:w="675" w:type="dxa"/>
            <w:vMerge w:val="restart"/>
            <w:shd w:val="clear" w:color="auto" w:fill="auto"/>
            <w:vAlign w:val="center"/>
          </w:tcPr>
          <w:p w14:paraId="2F8BCA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877" w:type="dxa"/>
            <w:shd w:val="clear" w:color="auto" w:fill="auto"/>
            <w:vAlign w:val="center"/>
          </w:tcPr>
          <w:p w14:paraId="69BBA4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256" w:type="dxa"/>
            <w:shd w:val="clear" w:color="auto" w:fill="auto"/>
            <w:vAlign w:val="center"/>
          </w:tcPr>
          <w:p w14:paraId="17A13F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3" w:type="dxa"/>
            <w:shd w:val="clear" w:color="auto" w:fill="auto"/>
            <w:vAlign w:val="center"/>
          </w:tcPr>
          <w:p w14:paraId="54BFC9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7" w:type="dxa"/>
            <w:shd w:val="clear" w:color="auto" w:fill="auto"/>
            <w:vAlign w:val="center"/>
          </w:tcPr>
          <w:p w14:paraId="2D6D83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shd w:val="clear" w:color="auto" w:fill="auto"/>
            <w:vAlign w:val="center"/>
          </w:tcPr>
          <w:p w14:paraId="4458AC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2" w:type="dxa"/>
            <w:shd w:val="clear" w:color="auto" w:fill="auto"/>
            <w:vAlign w:val="center"/>
          </w:tcPr>
          <w:p w14:paraId="15FACE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3" w:type="dxa"/>
            <w:shd w:val="clear" w:color="auto" w:fill="auto"/>
            <w:vAlign w:val="center"/>
          </w:tcPr>
          <w:p w14:paraId="1DBC99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5" w:type="dxa"/>
            <w:shd w:val="clear" w:color="auto" w:fill="auto"/>
            <w:vAlign w:val="center"/>
          </w:tcPr>
          <w:p w14:paraId="715431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8" w:type="dxa"/>
            <w:shd w:val="clear" w:color="auto" w:fill="auto"/>
            <w:vAlign w:val="center"/>
          </w:tcPr>
          <w:p w14:paraId="4546A1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6" w:type="dxa"/>
            <w:shd w:val="clear" w:color="auto" w:fill="auto"/>
            <w:vAlign w:val="center"/>
          </w:tcPr>
          <w:p w14:paraId="0844F9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9" w:type="dxa"/>
            <w:shd w:val="clear" w:color="auto" w:fill="auto"/>
            <w:vAlign w:val="center"/>
          </w:tcPr>
          <w:p w14:paraId="5A2BB8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00" w:type="dxa"/>
            <w:shd w:val="clear" w:color="auto" w:fill="auto"/>
            <w:vAlign w:val="center"/>
          </w:tcPr>
          <w:p w14:paraId="6CC6DBA0">
            <w:pPr>
              <w:jc w:val="center"/>
              <w:rPr>
                <w:rFonts w:hint="eastAsia" w:ascii="宋体" w:hAnsi="宋体" w:eastAsia="宋体" w:cs="宋体"/>
                <w:i w:val="0"/>
                <w:iCs w:val="0"/>
                <w:color w:val="000000"/>
                <w:sz w:val="20"/>
                <w:szCs w:val="20"/>
                <w:u w:val="none"/>
              </w:rPr>
            </w:pPr>
          </w:p>
        </w:tc>
      </w:tr>
      <w:tr w14:paraId="6D10D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675" w:type="dxa"/>
            <w:vMerge w:val="continue"/>
            <w:shd w:val="clear" w:color="auto" w:fill="auto"/>
            <w:vAlign w:val="center"/>
          </w:tcPr>
          <w:p w14:paraId="2676B809">
            <w:pPr>
              <w:jc w:val="center"/>
              <w:rPr>
                <w:rFonts w:hint="eastAsia" w:ascii="宋体" w:hAnsi="宋体" w:eastAsia="宋体" w:cs="宋体"/>
                <w:i w:val="0"/>
                <w:iCs w:val="0"/>
                <w:color w:val="000000"/>
                <w:sz w:val="20"/>
                <w:szCs w:val="20"/>
                <w:u w:val="none"/>
              </w:rPr>
            </w:pPr>
          </w:p>
        </w:tc>
        <w:tc>
          <w:tcPr>
            <w:tcW w:w="675" w:type="dxa"/>
            <w:vMerge w:val="continue"/>
            <w:shd w:val="clear" w:color="auto" w:fill="auto"/>
            <w:vAlign w:val="center"/>
          </w:tcPr>
          <w:p w14:paraId="2CC4C4A1">
            <w:pPr>
              <w:jc w:val="center"/>
              <w:rPr>
                <w:rFonts w:hint="eastAsia" w:ascii="宋体" w:hAnsi="宋体" w:eastAsia="宋体" w:cs="宋体"/>
                <w:i w:val="0"/>
                <w:iCs w:val="0"/>
                <w:color w:val="000000"/>
                <w:sz w:val="20"/>
                <w:szCs w:val="20"/>
                <w:u w:val="none"/>
              </w:rPr>
            </w:pPr>
          </w:p>
        </w:tc>
        <w:tc>
          <w:tcPr>
            <w:tcW w:w="877" w:type="dxa"/>
            <w:shd w:val="clear" w:color="auto" w:fill="auto"/>
            <w:vAlign w:val="center"/>
          </w:tcPr>
          <w:p w14:paraId="722D9E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256" w:type="dxa"/>
            <w:shd w:val="clear" w:color="auto" w:fill="auto"/>
            <w:vAlign w:val="center"/>
          </w:tcPr>
          <w:p w14:paraId="373104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改善办学条件</w:t>
            </w:r>
          </w:p>
        </w:tc>
        <w:tc>
          <w:tcPr>
            <w:tcW w:w="1133" w:type="dxa"/>
            <w:shd w:val="clear" w:color="auto" w:fill="auto"/>
            <w:vAlign w:val="center"/>
          </w:tcPr>
          <w:p w14:paraId="495C65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c>
          <w:tcPr>
            <w:tcW w:w="887" w:type="dxa"/>
            <w:shd w:val="clear" w:color="auto" w:fill="auto"/>
            <w:vAlign w:val="center"/>
          </w:tcPr>
          <w:p w14:paraId="6C7B63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vAlign w:val="center"/>
          </w:tcPr>
          <w:p w14:paraId="733639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2" w:type="dxa"/>
            <w:shd w:val="clear" w:color="auto" w:fill="auto"/>
            <w:vAlign w:val="center"/>
          </w:tcPr>
          <w:p w14:paraId="056EC9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63" w:type="dxa"/>
            <w:shd w:val="clear" w:color="auto" w:fill="auto"/>
            <w:vAlign w:val="center"/>
          </w:tcPr>
          <w:p w14:paraId="58A953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75" w:type="dxa"/>
            <w:shd w:val="clear" w:color="auto" w:fill="auto"/>
            <w:vAlign w:val="center"/>
          </w:tcPr>
          <w:p w14:paraId="34392D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28" w:type="dxa"/>
            <w:shd w:val="clear" w:color="auto" w:fill="auto"/>
            <w:vAlign w:val="center"/>
          </w:tcPr>
          <w:p w14:paraId="6DEBD0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6" w:type="dxa"/>
            <w:shd w:val="clear" w:color="auto" w:fill="auto"/>
            <w:vAlign w:val="center"/>
          </w:tcPr>
          <w:p w14:paraId="0DB422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9" w:type="dxa"/>
            <w:shd w:val="clear" w:color="auto" w:fill="auto"/>
            <w:vAlign w:val="center"/>
          </w:tcPr>
          <w:p w14:paraId="4C6F56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900" w:type="dxa"/>
            <w:shd w:val="clear" w:color="auto" w:fill="auto"/>
            <w:vAlign w:val="center"/>
          </w:tcPr>
          <w:p w14:paraId="0F1C765E">
            <w:pPr>
              <w:jc w:val="center"/>
              <w:rPr>
                <w:rFonts w:hint="eastAsia" w:ascii="宋体" w:hAnsi="宋体" w:eastAsia="宋体" w:cs="宋体"/>
                <w:i w:val="0"/>
                <w:iCs w:val="0"/>
                <w:color w:val="000000"/>
                <w:sz w:val="20"/>
                <w:szCs w:val="20"/>
                <w:u w:val="none"/>
              </w:rPr>
            </w:pPr>
          </w:p>
        </w:tc>
      </w:tr>
      <w:tr w14:paraId="7BF6C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675" w:type="dxa"/>
            <w:vMerge w:val="continue"/>
            <w:shd w:val="clear" w:color="auto" w:fill="auto"/>
            <w:vAlign w:val="center"/>
          </w:tcPr>
          <w:p w14:paraId="7B2CDE5E">
            <w:pPr>
              <w:jc w:val="center"/>
              <w:rPr>
                <w:rFonts w:hint="eastAsia" w:ascii="宋体" w:hAnsi="宋体" w:eastAsia="宋体" w:cs="宋体"/>
                <w:i w:val="0"/>
                <w:iCs w:val="0"/>
                <w:color w:val="000000"/>
                <w:sz w:val="20"/>
                <w:szCs w:val="20"/>
                <w:u w:val="none"/>
              </w:rPr>
            </w:pPr>
          </w:p>
        </w:tc>
        <w:tc>
          <w:tcPr>
            <w:tcW w:w="675" w:type="dxa"/>
            <w:vMerge w:val="continue"/>
            <w:shd w:val="clear" w:color="auto" w:fill="auto"/>
            <w:vAlign w:val="center"/>
          </w:tcPr>
          <w:p w14:paraId="64A538FC">
            <w:pPr>
              <w:jc w:val="center"/>
              <w:rPr>
                <w:rFonts w:hint="eastAsia" w:ascii="宋体" w:hAnsi="宋体" w:eastAsia="宋体" w:cs="宋体"/>
                <w:i w:val="0"/>
                <w:iCs w:val="0"/>
                <w:color w:val="000000"/>
                <w:sz w:val="20"/>
                <w:szCs w:val="20"/>
                <w:u w:val="none"/>
              </w:rPr>
            </w:pPr>
          </w:p>
        </w:tc>
        <w:tc>
          <w:tcPr>
            <w:tcW w:w="877" w:type="dxa"/>
            <w:shd w:val="clear" w:color="auto" w:fill="auto"/>
            <w:vAlign w:val="center"/>
          </w:tcPr>
          <w:p w14:paraId="07644C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256" w:type="dxa"/>
            <w:shd w:val="clear" w:color="auto" w:fill="auto"/>
            <w:vAlign w:val="center"/>
          </w:tcPr>
          <w:p w14:paraId="22F659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3" w:type="dxa"/>
            <w:shd w:val="clear" w:color="auto" w:fill="auto"/>
            <w:vAlign w:val="center"/>
          </w:tcPr>
          <w:p w14:paraId="384E27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7" w:type="dxa"/>
            <w:shd w:val="clear" w:color="auto" w:fill="auto"/>
            <w:vAlign w:val="center"/>
          </w:tcPr>
          <w:p w14:paraId="305096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shd w:val="clear" w:color="auto" w:fill="auto"/>
            <w:vAlign w:val="center"/>
          </w:tcPr>
          <w:p w14:paraId="0256F5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2" w:type="dxa"/>
            <w:shd w:val="clear" w:color="auto" w:fill="auto"/>
            <w:vAlign w:val="center"/>
          </w:tcPr>
          <w:p w14:paraId="703A7D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3" w:type="dxa"/>
            <w:shd w:val="clear" w:color="auto" w:fill="auto"/>
            <w:vAlign w:val="center"/>
          </w:tcPr>
          <w:p w14:paraId="2482F8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5" w:type="dxa"/>
            <w:shd w:val="clear" w:color="auto" w:fill="auto"/>
            <w:vAlign w:val="center"/>
          </w:tcPr>
          <w:p w14:paraId="4F8CD8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8" w:type="dxa"/>
            <w:shd w:val="clear" w:color="auto" w:fill="auto"/>
            <w:vAlign w:val="center"/>
          </w:tcPr>
          <w:p w14:paraId="3861AA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6" w:type="dxa"/>
            <w:shd w:val="clear" w:color="auto" w:fill="auto"/>
            <w:vAlign w:val="center"/>
          </w:tcPr>
          <w:p w14:paraId="4E52E7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9" w:type="dxa"/>
            <w:shd w:val="clear" w:color="auto" w:fill="auto"/>
            <w:vAlign w:val="center"/>
          </w:tcPr>
          <w:p w14:paraId="6D6333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00" w:type="dxa"/>
            <w:shd w:val="clear" w:color="auto" w:fill="auto"/>
            <w:vAlign w:val="center"/>
          </w:tcPr>
          <w:p w14:paraId="75C21305">
            <w:pPr>
              <w:jc w:val="center"/>
              <w:rPr>
                <w:rFonts w:hint="eastAsia" w:ascii="宋体" w:hAnsi="宋体" w:eastAsia="宋体" w:cs="宋体"/>
                <w:i w:val="0"/>
                <w:iCs w:val="0"/>
                <w:color w:val="000000"/>
                <w:sz w:val="20"/>
                <w:szCs w:val="20"/>
                <w:u w:val="none"/>
              </w:rPr>
            </w:pPr>
          </w:p>
        </w:tc>
      </w:tr>
      <w:tr w14:paraId="00896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trPr>
        <w:tc>
          <w:tcPr>
            <w:tcW w:w="675" w:type="dxa"/>
            <w:vMerge w:val="continue"/>
            <w:shd w:val="clear" w:color="auto" w:fill="auto"/>
            <w:vAlign w:val="center"/>
          </w:tcPr>
          <w:p w14:paraId="5F9E8C0F">
            <w:pPr>
              <w:jc w:val="center"/>
              <w:rPr>
                <w:rFonts w:hint="eastAsia" w:ascii="宋体" w:hAnsi="宋体" w:eastAsia="宋体" w:cs="宋体"/>
                <w:i w:val="0"/>
                <w:iCs w:val="0"/>
                <w:color w:val="000000"/>
                <w:sz w:val="20"/>
                <w:szCs w:val="20"/>
                <w:u w:val="none"/>
              </w:rPr>
            </w:pPr>
          </w:p>
        </w:tc>
        <w:tc>
          <w:tcPr>
            <w:tcW w:w="675" w:type="dxa"/>
            <w:shd w:val="clear" w:color="auto" w:fill="auto"/>
            <w:vAlign w:val="center"/>
          </w:tcPr>
          <w:p w14:paraId="206CE8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877" w:type="dxa"/>
            <w:shd w:val="clear" w:color="auto" w:fill="auto"/>
            <w:vAlign w:val="center"/>
          </w:tcPr>
          <w:p w14:paraId="798C82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56" w:type="dxa"/>
            <w:shd w:val="clear" w:color="auto" w:fill="auto"/>
            <w:vAlign w:val="center"/>
          </w:tcPr>
          <w:p w14:paraId="11260F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学生满意度</w:t>
            </w:r>
          </w:p>
        </w:tc>
        <w:tc>
          <w:tcPr>
            <w:tcW w:w="1133" w:type="dxa"/>
            <w:shd w:val="clear" w:color="auto" w:fill="auto"/>
            <w:vAlign w:val="center"/>
          </w:tcPr>
          <w:p w14:paraId="631F20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887" w:type="dxa"/>
            <w:shd w:val="clear" w:color="auto" w:fill="auto"/>
            <w:vAlign w:val="center"/>
          </w:tcPr>
          <w:p w14:paraId="49EBF4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vAlign w:val="center"/>
          </w:tcPr>
          <w:p w14:paraId="4FB6F9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2" w:type="dxa"/>
            <w:shd w:val="clear" w:color="auto" w:fill="auto"/>
            <w:vAlign w:val="center"/>
          </w:tcPr>
          <w:p w14:paraId="792A00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3" w:type="dxa"/>
            <w:shd w:val="clear" w:color="auto" w:fill="auto"/>
            <w:vAlign w:val="center"/>
          </w:tcPr>
          <w:p w14:paraId="3D3A50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1075" w:type="dxa"/>
            <w:shd w:val="clear" w:color="auto" w:fill="auto"/>
            <w:vAlign w:val="center"/>
          </w:tcPr>
          <w:p w14:paraId="24AAD9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28" w:type="dxa"/>
            <w:shd w:val="clear" w:color="auto" w:fill="auto"/>
            <w:vAlign w:val="center"/>
          </w:tcPr>
          <w:p w14:paraId="73C0FF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46" w:type="dxa"/>
            <w:shd w:val="clear" w:color="auto" w:fill="auto"/>
            <w:vAlign w:val="center"/>
          </w:tcPr>
          <w:p w14:paraId="21F1D8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9" w:type="dxa"/>
            <w:shd w:val="clear" w:color="auto" w:fill="auto"/>
            <w:vAlign w:val="center"/>
          </w:tcPr>
          <w:p w14:paraId="17ADB0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00" w:type="dxa"/>
            <w:shd w:val="clear" w:color="auto" w:fill="auto"/>
            <w:vAlign w:val="center"/>
          </w:tcPr>
          <w:p w14:paraId="04C922C6">
            <w:pPr>
              <w:jc w:val="center"/>
              <w:rPr>
                <w:rFonts w:hint="eastAsia" w:ascii="宋体" w:hAnsi="宋体" w:eastAsia="宋体" w:cs="宋体"/>
                <w:i w:val="0"/>
                <w:iCs w:val="0"/>
                <w:color w:val="000000"/>
                <w:sz w:val="20"/>
                <w:szCs w:val="20"/>
                <w:u w:val="none"/>
              </w:rPr>
            </w:pPr>
          </w:p>
        </w:tc>
      </w:tr>
      <w:tr w14:paraId="5F01E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3483" w:type="dxa"/>
            <w:gridSpan w:val="4"/>
            <w:shd w:val="clear" w:color="auto" w:fill="auto"/>
            <w:vAlign w:val="center"/>
          </w:tcPr>
          <w:p w14:paraId="70A704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33" w:type="dxa"/>
            <w:shd w:val="clear" w:color="auto" w:fill="auto"/>
            <w:vAlign w:val="center"/>
          </w:tcPr>
          <w:p w14:paraId="6D7521F6">
            <w:pPr>
              <w:jc w:val="center"/>
              <w:rPr>
                <w:rFonts w:hint="eastAsia" w:ascii="宋体" w:hAnsi="宋体" w:eastAsia="宋体" w:cs="宋体"/>
                <w:i w:val="0"/>
                <w:iCs w:val="0"/>
                <w:color w:val="000000"/>
                <w:sz w:val="20"/>
                <w:szCs w:val="20"/>
                <w:u w:val="none"/>
              </w:rPr>
            </w:pPr>
          </w:p>
        </w:tc>
        <w:tc>
          <w:tcPr>
            <w:tcW w:w="887" w:type="dxa"/>
            <w:shd w:val="clear" w:color="auto" w:fill="auto"/>
            <w:vAlign w:val="center"/>
          </w:tcPr>
          <w:p w14:paraId="49778C91">
            <w:pPr>
              <w:jc w:val="center"/>
              <w:rPr>
                <w:rFonts w:hint="eastAsia" w:ascii="宋体" w:hAnsi="宋体" w:eastAsia="宋体" w:cs="宋体"/>
                <w:b/>
                <w:bCs/>
                <w:i w:val="0"/>
                <w:iCs w:val="0"/>
                <w:color w:val="000000"/>
                <w:sz w:val="20"/>
                <w:szCs w:val="20"/>
                <w:u w:val="none"/>
              </w:rPr>
            </w:pPr>
          </w:p>
        </w:tc>
        <w:tc>
          <w:tcPr>
            <w:tcW w:w="888" w:type="dxa"/>
            <w:shd w:val="clear" w:color="auto" w:fill="auto"/>
            <w:vAlign w:val="center"/>
          </w:tcPr>
          <w:p w14:paraId="2D4A0F6A">
            <w:pPr>
              <w:jc w:val="center"/>
              <w:rPr>
                <w:rFonts w:hint="eastAsia" w:ascii="宋体" w:hAnsi="宋体" w:eastAsia="宋体" w:cs="宋体"/>
                <w:i w:val="0"/>
                <w:iCs w:val="0"/>
                <w:color w:val="000000"/>
                <w:sz w:val="20"/>
                <w:szCs w:val="20"/>
                <w:u w:val="none"/>
              </w:rPr>
            </w:pPr>
          </w:p>
        </w:tc>
        <w:tc>
          <w:tcPr>
            <w:tcW w:w="962" w:type="dxa"/>
            <w:shd w:val="clear" w:color="auto" w:fill="auto"/>
            <w:vAlign w:val="center"/>
          </w:tcPr>
          <w:p w14:paraId="64AD36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63" w:type="dxa"/>
            <w:shd w:val="clear" w:color="auto" w:fill="auto"/>
            <w:vAlign w:val="center"/>
          </w:tcPr>
          <w:p w14:paraId="72E979BD">
            <w:pPr>
              <w:jc w:val="center"/>
              <w:rPr>
                <w:rFonts w:hint="eastAsia" w:ascii="宋体" w:hAnsi="宋体" w:eastAsia="宋体" w:cs="宋体"/>
                <w:i w:val="0"/>
                <w:iCs w:val="0"/>
                <w:color w:val="000000"/>
                <w:sz w:val="20"/>
                <w:szCs w:val="20"/>
                <w:u w:val="none"/>
              </w:rPr>
            </w:pPr>
          </w:p>
        </w:tc>
        <w:tc>
          <w:tcPr>
            <w:tcW w:w="1075" w:type="dxa"/>
            <w:shd w:val="clear" w:color="auto" w:fill="auto"/>
            <w:vAlign w:val="center"/>
          </w:tcPr>
          <w:p w14:paraId="1774AEF6">
            <w:pPr>
              <w:jc w:val="center"/>
              <w:rPr>
                <w:rFonts w:hint="eastAsia" w:ascii="宋体" w:hAnsi="宋体" w:eastAsia="宋体" w:cs="宋体"/>
                <w:i w:val="0"/>
                <w:iCs w:val="0"/>
                <w:color w:val="000000"/>
                <w:sz w:val="20"/>
                <w:szCs w:val="20"/>
                <w:u w:val="none"/>
              </w:rPr>
            </w:pPr>
          </w:p>
        </w:tc>
        <w:tc>
          <w:tcPr>
            <w:tcW w:w="1028" w:type="dxa"/>
            <w:shd w:val="clear" w:color="auto" w:fill="auto"/>
            <w:vAlign w:val="center"/>
          </w:tcPr>
          <w:p w14:paraId="2A77F7B4">
            <w:pPr>
              <w:jc w:val="center"/>
              <w:rPr>
                <w:rFonts w:hint="eastAsia" w:ascii="宋体" w:hAnsi="宋体" w:eastAsia="宋体" w:cs="宋体"/>
                <w:i w:val="0"/>
                <w:iCs w:val="0"/>
                <w:color w:val="000000"/>
                <w:sz w:val="20"/>
                <w:szCs w:val="20"/>
                <w:u w:val="none"/>
              </w:rPr>
            </w:pPr>
          </w:p>
        </w:tc>
        <w:tc>
          <w:tcPr>
            <w:tcW w:w="946" w:type="dxa"/>
            <w:shd w:val="clear" w:color="auto" w:fill="auto"/>
            <w:vAlign w:val="center"/>
          </w:tcPr>
          <w:p w14:paraId="62EE70B9">
            <w:pPr>
              <w:jc w:val="center"/>
              <w:rPr>
                <w:rFonts w:hint="eastAsia" w:ascii="宋体" w:hAnsi="宋体" w:eastAsia="宋体" w:cs="宋体"/>
                <w:i w:val="0"/>
                <w:iCs w:val="0"/>
                <w:color w:val="000000"/>
                <w:sz w:val="20"/>
                <w:szCs w:val="20"/>
                <w:u w:val="none"/>
              </w:rPr>
            </w:pPr>
          </w:p>
        </w:tc>
        <w:tc>
          <w:tcPr>
            <w:tcW w:w="909" w:type="dxa"/>
            <w:shd w:val="clear" w:color="auto" w:fill="auto"/>
            <w:vAlign w:val="center"/>
          </w:tcPr>
          <w:p w14:paraId="3E1240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900" w:type="dxa"/>
            <w:shd w:val="clear" w:color="auto" w:fill="auto"/>
            <w:vAlign w:val="center"/>
          </w:tcPr>
          <w:p w14:paraId="211388AD">
            <w:pPr>
              <w:jc w:val="center"/>
              <w:rPr>
                <w:rFonts w:hint="eastAsia" w:ascii="宋体" w:hAnsi="宋体" w:eastAsia="宋体" w:cs="宋体"/>
                <w:i w:val="0"/>
                <w:iCs w:val="0"/>
                <w:color w:val="000000"/>
                <w:sz w:val="20"/>
                <w:szCs w:val="20"/>
                <w:u w:val="none"/>
              </w:rPr>
            </w:pPr>
          </w:p>
        </w:tc>
      </w:tr>
    </w:tbl>
    <w:p w14:paraId="75863794">
      <w:pPr>
        <w:rPr>
          <w:highlight w:val="none"/>
        </w:rPr>
      </w:pPr>
    </w:p>
    <w:p w14:paraId="3F65AB5F">
      <w:pPr>
        <w:rPr>
          <w:rFonts w:hint="default"/>
          <w:highlight w:val="none"/>
          <w:lang w:val="en-US" w:eastAsia="zh-CN"/>
        </w:rPr>
        <w:sectPr>
          <w:pgSz w:w="16838" w:h="11906" w:orient="landscape"/>
          <w:pgMar w:top="1800" w:right="1440" w:bottom="1800" w:left="1440" w:header="737" w:footer="851" w:gutter="0"/>
          <w:pgNumType w:fmt="decimal" w:start="1"/>
          <w:cols w:space="720" w:num="1"/>
          <w:docGrid w:type="lines" w:linePitch="408" w:charSpace="0"/>
        </w:sectPr>
      </w:pPr>
    </w:p>
    <w:p w14:paraId="12444ACC">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6" w:name="_Toc15067"/>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附件二、项目支出绩效评价指标体系打分表</w:t>
      </w:r>
      <w:bookmarkEnd w:id="86"/>
    </w:p>
    <w:tbl>
      <w:tblPr>
        <w:tblStyle w:val="12"/>
        <w:tblW w:w="138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58"/>
        <w:gridCol w:w="724"/>
        <w:gridCol w:w="1079"/>
        <w:gridCol w:w="2582"/>
        <w:gridCol w:w="7085"/>
        <w:gridCol w:w="782"/>
        <w:gridCol w:w="766"/>
      </w:tblGrid>
      <w:tr w14:paraId="1F5AE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blHeader/>
          <w:jc w:val="center"/>
        </w:trPr>
        <w:tc>
          <w:tcPr>
            <w:tcW w:w="858" w:type="dxa"/>
            <w:shd w:val="clear" w:color="auto" w:fill="auto"/>
            <w:noWrap w:val="0"/>
            <w:vAlign w:val="center"/>
          </w:tcPr>
          <w:p w14:paraId="3425AF3A">
            <w:pPr>
              <w:widowControl/>
              <w:spacing w:line="0" w:lineRule="atLeast"/>
              <w:ind w:firstLine="0" w:firstLineChars="0"/>
              <w:jc w:val="center"/>
              <w:rPr>
                <w:rFonts w:ascii="宋体" w:hAnsi="宋体" w:eastAsia="宋体" w:cs="宋体"/>
                <w:b/>
                <w:bCs/>
                <w:color w:val="000000"/>
                <w:kern w:val="0"/>
                <w:sz w:val="22"/>
                <w:szCs w:val="22"/>
                <w:highlight w:val="none"/>
              </w:rPr>
            </w:pPr>
            <w:bookmarkStart w:id="87" w:name="_GoBack"/>
            <w:r>
              <w:rPr>
                <w:rFonts w:hint="eastAsia" w:ascii="宋体" w:hAnsi="宋体" w:eastAsia="宋体" w:cs="宋体"/>
                <w:b/>
                <w:bCs/>
                <w:color w:val="000000"/>
                <w:kern w:val="0"/>
                <w:sz w:val="22"/>
                <w:szCs w:val="22"/>
                <w:highlight w:val="none"/>
              </w:rPr>
              <w:t>一级指标</w:t>
            </w:r>
          </w:p>
        </w:tc>
        <w:tc>
          <w:tcPr>
            <w:tcW w:w="724" w:type="dxa"/>
            <w:shd w:val="clear" w:color="auto" w:fill="auto"/>
            <w:noWrap w:val="0"/>
            <w:vAlign w:val="center"/>
          </w:tcPr>
          <w:p w14:paraId="54C399DF">
            <w:pPr>
              <w:widowControl/>
              <w:spacing w:line="0" w:lineRule="atLeast"/>
              <w:ind w:firstLine="0" w:firstLineChars="0"/>
              <w:jc w:val="center"/>
              <w:rPr>
                <w:rFonts w:ascii="宋体" w:hAnsi="宋体" w:eastAsia="宋体" w:cs="宋体"/>
                <w:b/>
                <w:bCs/>
                <w:color w:val="000000"/>
                <w:kern w:val="0"/>
                <w:sz w:val="22"/>
                <w:szCs w:val="22"/>
                <w:highlight w:val="none"/>
              </w:rPr>
            </w:pPr>
            <w:r>
              <w:rPr>
                <w:rFonts w:hint="eastAsia" w:ascii="宋体" w:hAnsi="宋体" w:eastAsia="宋体" w:cs="宋体"/>
                <w:b/>
                <w:bCs/>
                <w:color w:val="000000"/>
                <w:kern w:val="0"/>
                <w:sz w:val="22"/>
                <w:szCs w:val="22"/>
                <w:highlight w:val="none"/>
              </w:rPr>
              <w:t>二级指标</w:t>
            </w:r>
          </w:p>
        </w:tc>
        <w:tc>
          <w:tcPr>
            <w:tcW w:w="1079" w:type="dxa"/>
            <w:shd w:val="clear" w:color="auto" w:fill="auto"/>
            <w:noWrap w:val="0"/>
            <w:vAlign w:val="center"/>
          </w:tcPr>
          <w:p w14:paraId="1F7FCDF7">
            <w:pPr>
              <w:widowControl/>
              <w:spacing w:line="0" w:lineRule="atLeast"/>
              <w:ind w:firstLine="0" w:firstLineChars="0"/>
              <w:jc w:val="center"/>
              <w:rPr>
                <w:rFonts w:ascii="宋体" w:hAnsi="宋体" w:eastAsia="宋体" w:cs="宋体"/>
                <w:b/>
                <w:bCs/>
                <w:color w:val="000000"/>
                <w:kern w:val="0"/>
                <w:sz w:val="22"/>
                <w:szCs w:val="22"/>
                <w:highlight w:val="none"/>
              </w:rPr>
            </w:pPr>
            <w:r>
              <w:rPr>
                <w:rFonts w:hint="eastAsia" w:ascii="宋体" w:hAnsi="宋体" w:eastAsia="宋体" w:cs="宋体"/>
                <w:b/>
                <w:bCs/>
                <w:color w:val="000000"/>
                <w:kern w:val="0"/>
                <w:sz w:val="22"/>
                <w:szCs w:val="22"/>
                <w:highlight w:val="none"/>
              </w:rPr>
              <w:t>三级指标</w:t>
            </w:r>
          </w:p>
        </w:tc>
        <w:tc>
          <w:tcPr>
            <w:tcW w:w="2582" w:type="dxa"/>
            <w:shd w:val="clear" w:color="auto" w:fill="auto"/>
            <w:noWrap w:val="0"/>
            <w:vAlign w:val="center"/>
          </w:tcPr>
          <w:p w14:paraId="44629C6A">
            <w:pPr>
              <w:widowControl/>
              <w:spacing w:line="0" w:lineRule="atLeast"/>
              <w:ind w:firstLine="0" w:firstLineChars="0"/>
              <w:jc w:val="center"/>
              <w:rPr>
                <w:rFonts w:ascii="宋体" w:hAnsi="宋体" w:eastAsia="宋体" w:cs="宋体"/>
                <w:b/>
                <w:bCs/>
                <w:color w:val="000000"/>
                <w:kern w:val="0"/>
                <w:sz w:val="22"/>
                <w:szCs w:val="22"/>
                <w:highlight w:val="none"/>
              </w:rPr>
            </w:pPr>
            <w:r>
              <w:rPr>
                <w:rFonts w:hint="eastAsia" w:ascii="宋体" w:hAnsi="宋体" w:eastAsia="宋体" w:cs="宋体"/>
                <w:b/>
                <w:bCs/>
                <w:color w:val="000000"/>
                <w:kern w:val="0"/>
                <w:sz w:val="22"/>
                <w:szCs w:val="22"/>
                <w:highlight w:val="none"/>
              </w:rPr>
              <w:t>指标解释</w:t>
            </w:r>
          </w:p>
        </w:tc>
        <w:tc>
          <w:tcPr>
            <w:tcW w:w="7085" w:type="dxa"/>
            <w:shd w:val="clear" w:color="auto" w:fill="auto"/>
            <w:noWrap w:val="0"/>
            <w:vAlign w:val="center"/>
          </w:tcPr>
          <w:p w14:paraId="20C02974">
            <w:pPr>
              <w:widowControl/>
              <w:spacing w:line="0" w:lineRule="atLeast"/>
              <w:ind w:firstLine="0" w:firstLineChars="0"/>
              <w:jc w:val="center"/>
              <w:rPr>
                <w:rFonts w:ascii="宋体" w:hAnsi="宋体" w:eastAsia="宋体" w:cs="宋体"/>
                <w:b/>
                <w:bCs/>
                <w:color w:val="000000"/>
                <w:kern w:val="0"/>
                <w:sz w:val="22"/>
                <w:szCs w:val="22"/>
                <w:highlight w:val="none"/>
              </w:rPr>
            </w:pPr>
            <w:r>
              <w:rPr>
                <w:rFonts w:hint="eastAsia" w:ascii="宋体" w:hAnsi="宋体" w:eastAsia="宋体" w:cs="宋体"/>
                <w:b/>
                <w:bCs/>
                <w:color w:val="000000"/>
                <w:kern w:val="0"/>
                <w:sz w:val="22"/>
                <w:szCs w:val="22"/>
                <w:highlight w:val="none"/>
              </w:rPr>
              <w:t>指标说明</w:t>
            </w:r>
          </w:p>
        </w:tc>
        <w:tc>
          <w:tcPr>
            <w:tcW w:w="782" w:type="dxa"/>
            <w:shd w:val="clear" w:color="auto" w:fill="auto"/>
            <w:noWrap w:val="0"/>
            <w:vAlign w:val="center"/>
          </w:tcPr>
          <w:p w14:paraId="0C28E89E">
            <w:pPr>
              <w:widowControl/>
              <w:spacing w:line="0" w:lineRule="atLeast"/>
              <w:ind w:firstLine="0" w:firstLineChars="0"/>
              <w:jc w:val="center"/>
              <w:rPr>
                <w:rFonts w:hint="eastAsia" w:ascii="宋体" w:hAnsi="宋体" w:eastAsia="宋体" w:cs="宋体"/>
                <w:b/>
                <w:bCs/>
                <w:color w:val="000000"/>
                <w:kern w:val="0"/>
                <w:sz w:val="22"/>
                <w:szCs w:val="22"/>
                <w:highlight w:val="none"/>
                <w:lang w:val="en-US" w:eastAsia="zh-CN"/>
              </w:rPr>
            </w:pPr>
            <w:r>
              <w:rPr>
                <w:rFonts w:hint="eastAsia" w:ascii="宋体" w:hAnsi="宋体" w:eastAsia="宋体" w:cs="宋体"/>
                <w:b/>
                <w:bCs/>
                <w:color w:val="000000"/>
                <w:kern w:val="0"/>
                <w:sz w:val="22"/>
                <w:szCs w:val="22"/>
                <w:highlight w:val="none"/>
                <w:lang w:val="en-US" w:eastAsia="zh-CN"/>
              </w:rPr>
              <w:t>分值</w:t>
            </w:r>
          </w:p>
        </w:tc>
        <w:tc>
          <w:tcPr>
            <w:tcW w:w="766" w:type="dxa"/>
            <w:shd w:val="clear" w:color="auto" w:fill="auto"/>
            <w:noWrap w:val="0"/>
            <w:vAlign w:val="center"/>
          </w:tcPr>
          <w:p w14:paraId="36314EE3">
            <w:pPr>
              <w:widowControl/>
              <w:spacing w:line="0" w:lineRule="atLeast"/>
              <w:ind w:firstLine="0" w:firstLineChars="0"/>
              <w:jc w:val="center"/>
              <w:rPr>
                <w:rFonts w:hint="eastAsia" w:ascii="宋体" w:hAnsi="宋体" w:eastAsia="宋体" w:cs="宋体"/>
                <w:b/>
                <w:bCs/>
                <w:color w:val="000000"/>
                <w:kern w:val="0"/>
                <w:sz w:val="22"/>
                <w:szCs w:val="22"/>
                <w:highlight w:val="none"/>
                <w:lang w:val="en-US" w:eastAsia="zh-CN"/>
              </w:rPr>
            </w:pPr>
            <w:r>
              <w:rPr>
                <w:rFonts w:hint="eastAsia" w:ascii="宋体" w:hAnsi="宋体" w:eastAsia="宋体" w:cs="宋体"/>
                <w:b/>
                <w:bCs/>
                <w:color w:val="000000"/>
                <w:kern w:val="0"/>
                <w:sz w:val="22"/>
                <w:szCs w:val="22"/>
                <w:highlight w:val="none"/>
                <w:lang w:val="en-US" w:eastAsia="zh-CN"/>
              </w:rPr>
              <w:t>得分</w:t>
            </w:r>
          </w:p>
        </w:tc>
      </w:tr>
      <w:tr w14:paraId="3A88C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3" w:hRule="atLeast"/>
          <w:jc w:val="center"/>
        </w:trPr>
        <w:tc>
          <w:tcPr>
            <w:tcW w:w="858" w:type="dxa"/>
            <w:vMerge w:val="restart"/>
            <w:shd w:val="clear" w:color="auto" w:fill="auto"/>
            <w:noWrap w:val="0"/>
            <w:vAlign w:val="center"/>
          </w:tcPr>
          <w:p w14:paraId="373F8FAB">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决策　</w:t>
            </w:r>
          </w:p>
          <w:p w14:paraId="77354C7B">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　</w:t>
            </w:r>
          </w:p>
          <w:p w14:paraId="7A878C29">
            <w:pPr>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　</w:t>
            </w:r>
          </w:p>
        </w:tc>
        <w:tc>
          <w:tcPr>
            <w:tcW w:w="724" w:type="dxa"/>
            <w:vMerge w:val="restart"/>
            <w:shd w:val="clear" w:color="auto" w:fill="auto"/>
            <w:noWrap w:val="0"/>
            <w:vAlign w:val="center"/>
          </w:tcPr>
          <w:p w14:paraId="75B7139E">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项目立项　</w:t>
            </w:r>
          </w:p>
        </w:tc>
        <w:tc>
          <w:tcPr>
            <w:tcW w:w="1079" w:type="dxa"/>
            <w:shd w:val="clear" w:color="auto" w:fill="auto"/>
            <w:noWrap w:val="0"/>
            <w:vAlign w:val="center"/>
          </w:tcPr>
          <w:p w14:paraId="28D43CE1">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立项依据</w:t>
            </w:r>
          </w:p>
          <w:p w14:paraId="190FA283">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充分性</w:t>
            </w:r>
          </w:p>
        </w:tc>
        <w:tc>
          <w:tcPr>
            <w:tcW w:w="2582" w:type="dxa"/>
            <w:shd w:val="clear" w:color="auto" w:fill="auto"/>
            <w:noWrap w:val="0"/>
            <w:vAlign w:val="center"/>
          </w:tcPr>
          <w:p w14:paraId="18900567">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项目立项是否符合法律法规、相关政策、发展规划以及部门职责，用以反映和考核项目立项依据情况。</w:t>
            </w:r>
          </w:p>
        </w:tc>
        <w:tc>
          <w:tcPr>
            <w:tcW w:w="7085" w:type="dxa"/>
            <w:shd w:val="clear" w:color="auto" w:fill="auto"/>
            <w:noWrap w:val="0"/>
            <w:vAlign w:val="center"/>
          </w:tcPr>
          <w:p w14:paraId="1BFD2A0C">
            <w:pPr>
              <w:widowControl/>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19FDCC1E">
            <w:pPr>
              <w:widowControl/>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①项目立项是否符合国家法律法规、国民经济发展规划和相关政策；</w:t>
            </w:r>
          </w:p>
          <w:p w14:paraId="5105E396">
            <w:pPr>
              <w:widowControl/>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②项目立项是否符合行业发展规划和政策要求；</w:t>
            </w:r>
          </w:p>
          <w:p w14:paraId="739A94FA">
            <w:pPr>
              <w:widowControl/>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③项目立项是否与部门职责范围相符，属于部门履职所需；</w:t>
            </w:r>
          </w:p>
          <w:p w14:paraId="064CAEB1">
            <w:pPr>
              <w:widowControl/>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④项目是否属于公共财政支持范围，是否符合中央、地方事权支出责任划分原则；</w:t>
            </w:r>
          </w:p>
          <w:p w14:paraId="5D9187FB">
            <w:pPr>
              <w:widowControl/>
              <w:spacing w:line="0" w:lineRule="atLeast"/>
              <w:ind w:firstLine="0" w:firstLineChars="0"/>
              <w:jc w:val="left"/>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⑤项目是否与相关部门同类项目或部门内部相关项目重复。</w:t>
            </w:r>
          </w:p>
        </w:tc>
        <w:tc>
          <w:tcPr>
            <w:tcW w:w="782" w:type="dxa"/>
            <w:shd w:val="clear" w:color="auto" w:fill="auto"/>
            <w:noWrap w:val="0"/>
            <w:vAlign w:val="center"/>
          </w:tcPr>
          <w:p w14:paraId="2D8084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6" w:type="dxa"/>
            <w:shd w:val="clear" w:color="auto" w:fill="auto"/>
            <w:noWrap w:val="0"/>
            <w:vAlign w:val="center"/>
          </w:tcPr>
          <w:p w14:paraId="3E8585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kern w:val="0"/>
                <w:sz w:val="22"/>
                <w:szCs w:val="22"/>
                <w:highlight w:val="none"/>
                <w:lang w:val="en-US" w:eastAsia="zh-CN"/>
              </w:rPr>
            </w:pPr>
            <w:r>
              <w:rPr>
                <w:rFonts w:hint="eastAsia" w:cs="宋体"/>
                <w:color w:val="auto"/>
                <w:kern w:val="0"/>
                <w:sz w:val="20"/>
                <w:szCs w:val="20"/>
                <w:highlight w:val="none"/>
                <w:shd w:val="clear" w:color="auto" w:fill="auto"/>
                <w:lang w:val="en-US" w:eastAsia="zh-CN"/>
              </w:rPr>
              <w:t>2</w:t>
            </w:r>
          </w:p>
        </w:tc>
      </w:tr>
      <w:tr w14:paraId="05A35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1" w:hRule="atLeast"/>
          <w:jc w:val="center"/>
        </w:trPr>
        <w:tc>
          <w:tcPr>
            <w:tcW w:w="858" w:type="dxa"/>
            <w:vMerge w:val="continue"/>
            <w:shd w:val="clear" w:color="auto" w:fill="auto"/>
            <w:noWrap w:val="0"/>
            <w:vAlign w:val="center"/>
          </w:tcPr>
          <w:p w14:paraId="1AC461C0">
            <w:pPr>
              <w:spacing w:line="0" w:lineRule="atLeast"/>
              <w:ind w:firstLine="0" w:firstLineChars="0"/>
              <w:jc w:val="center"/>
              <w:rPr>
                <w:rFonts w:ascii="宋体" w:hAnsi="宋体" w:eastAsia="宋体" w:cs="宋体"/>
                <w:color w:val="000000"/>
                <w:kern w:val="0"/>
                <w:sz w:val="22"/>
                <w:szCs w:val="22"/>
                <w:highlight w:val="none"/>
              </w:rPr>
            </w:pPr>
          </w:p>
        </w:tc>
        <w:tc>
          <w:tcPr>
            <w:tcW w:w="724" w:type="dxa"/>
            <w:vMerge w:val="continue"/>
            <w:shd w:val="clear" w:color="auto" w:fill="auto"/>
            <w:noWrap w:val="0"/>
            <w:vAlign w:val="center"/>
          </w:tcPr>
          <w:p w14:paraId="44AF23F2">
            <w:pPr>
              <w:widowControl/>
              <w:spacing w:line="0" w:lineRule="atLeast"/>
              <w:ind w:firstLine="0" w:firstLineChars="0"/>
              <w:jc w:val="center"/>
              <w:rPr>
                <w:rFonts w:ascii="宋体" w:hAnsi="宋体" w:eastAsia="宋体" w:cs="宋体"/>
                <w:color w:val="000000"/>
                <w:kern w:val="0"/>
                <w:sz w:val="22"/>
                <w:szCs w:val="22"/>
                <w:highlight w:val="none"/>
              </w:rPr>
            </w:pPr>
          </w:p>
        </w:tc>
        <w:tc>
          <w:tcPr>
            <w:tcW w:w="1079" w:type="dxa"/>
            <w:shd w:val="clear" w:color="auto" w:fill="auto"/>
            <w:noWrap w:val="0"/>
            <w:vAlign w:val="center"/>
          </w:tcPr>
          <w:p w14:paraId="72E69C77">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立项程序</w:t>
            </w:r>
          </w:p>
          <w:p w14:paraId="43254045">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规范性</w:t>
            </w:r>
          </w:p>
        </w:tc>
        <w:tc>
          <w:tcPr>
            <w:tcW w:w="2582" w:type="dxa"/>
            <w:shd w:val="clear" w:color="auto" w:fill="auto"/>
            <w:noWrap w:val="0"/>
            <w:vAlign w:val="center"/>
          </w:tcPr>
          <w:p w14:paraId="3832D288">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项目申请、设立过程是否符合相关要求，用以反映和考核项目立项的规范情况。</w:t>
            </w:r>
          </w:p>
        </w:tc>
        <w:tc>
          <w:tcPr>
            <w:tcW w:w="7085" w:type="dxa"/>
            <w:shd w:val="clear" w:color="auto" w:fill="auto"/>
            <w:noWrap w:val="0"/>
            <w:vAlign w:val="center"/>
          </w:tcPr>
          <w:p w14:paraId="05D9C090">
            <w:pPr>
              <w:widowControl/>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171F1041">
            <w:pPr>
              <w:widowControl/>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①项目是否按照规定的程序申请设立；</w:t>
            </w:r>
          </w:p>
          <w:p w14:paraId="3783A95B">
            <w:pPr>
              <w:widowControl/>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②审批文件、材料是否符合相关要求；</w:t>
            </w:r>
          </w:p>
          <w:p w14:paraId="53B7E4EB">
            <w:pPr>
              <w:widowControl/>
              <w:spacing w:line="0" w:lineRule="atLeast"/>
              <w:ind w:firstLine="0" w:firstLineChars="0"/>
              <w:jc w:val="left"/>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③事前是否已经过必要的可行性研究、专家论证、风险评估、绩效评估、集体决策。</w:t>
            </w:r>
          </w:p>
        </w:tc>
        <w:tc>
          <w:tcPr>
            <w:tcW w:w="782" w:type="dxa"/>
            <w:shd w:val="clear" w:color="auto" w:fill="auto"/>
            <w:noWrap w:val="0"/>
            <w:vAlign w:val="center"/>
          </w:tcPr>
          <w:p w14:paraId="0B8CFD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6" w:type="dxa"/>
            <w:shd w:val="clear" w:color="auto" w:fill="auto"/>
            <w:noWrap w:val="0"/>
            <w:vAlign w:val="center"/>
          </w:tcPr>
          <w:p w14:paraId="1F94F535">
            <w:pPr>
              <w:widowControl/>
              <w:spacing w:line="0" w:lineRule="atLeast"/>
              <w:ind w:firstLine="0" w:firstLineChars="0"/>
              <w:jc w:val="left"/>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2.5</w:t>
            </w:r>
          </w:p>
        </w:tc>
      </w:tr>
      <w:tr w14:paraId="1272B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4" w:hRule="atLeast"/>
          <w:jc w:val="center"/>
        </w:trPr>
        <w:tc>
          <w:tcPr>
            <w:tcW w:w="858" w:type="dxa"/>
            <w:vMerge w:val="continue"/>
            <w:shd w:val="clear" w:color="auto" w:fill="auto"/>
            <w:noWrap w:val="0"/>
            <w:vAlign w:val="center"/>
          </w:tcPr>
          <w:p w14:paraId="7C2DC493">
            <w:pPr>
              <w:spacing w:line="0" w:lineRule="atLeast"/>
              <w:ind w:firstLine="0" w:firstLineChars="0"/>
              <w:jc w:val="center"/>
              <w:rPr>
                <w:rFonts w:ascii="宋体" w:hAnsi="宋体" w:eastAsia="宋体" w:cs="宋体"/>
                <w:color w:val="000000"/>
                <w:kern w:val="0"/>
                <w:sz w:val="22"/>
                <w:szCs w:val="22"/>
                <w:highlight w:val="none"/>
              </w:rPr>
            </w:pPr>
          </w:p>
        </w:tc>
        <w:tc>
          <w:tcPr>
            <w:tcW w:w="724" w:type="dxa"/>
            <w:shd w:val="clear" w:color="auto" w:fill="auto"/>
            <w:noWrap w:val="0"/>
            <w:vAlign w:val="center"/>
          </w:tcPr>
          <w:p w14:paraId="53A40426">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绩效目标　</w:t>
            </w:r>
          </w:p>
        </w:tc>
        <w:tc>
          <w:tcPr>
            <w:tcW w:w="1079" w:type="dxa"/>
            <w:shd w:val="clear" w:color="auto" w:fill="auto"/>
            <w:noWrap w:val="0"/>
            <w:vAlign w:val="center"/>
          </w:tcPr>
          <w:p w14:paraId="53D895AD">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绩效目标</w:t>
            </w:r>
          </w:p>
          <w:p w14:paraId="096EBA8F">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合理性</w:t>
            </w:r>
          </w:p>
        </w:tc>
        <w:tc>
          <w:tcPr>
            <w:tcW w:w="2582" w:type="dxa"/>
            <w:shd w:val="clear" w:color="auto" w:fill="auto"/>
            <w:noWrap w:val="0"/>
            <w:vAlign w:val="center"/>
          </w:tcPr>
          <w:p w14:paraId="68C500C8">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项目所设定的绩效目标是否依据充分，是否符合客观实际，用以反映和考核项目绩效目标与项目实施的相符情况。</w:t>
            </w:r>
          </w:p>
        </w:tc>
        <w:tc>
          <w:tcPr>
            <w:tcW w:w="7085" w:type="dxa"/>
            <w:shd w:val="clear" w:color="auto" w:fill="auto"/>
            <w:noWrap w:val="0"/>
            <w:vAlign w:val="center"/>
          </w:tcPr>
          <w:p w14:paraId="57B9AE48">
            <w:pPr>
              <w:widowControl/>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694DCFBA">
            <w:pPr>
              <w:widowControl/>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（如未设定预算绩效目标，也可考核其他工作任务目标）</w:t>
            </w:r>
          </w:p>
          <w:p w14:paraId="07EA6565">
            <w:pPr>
              <w:widowControl/>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①项目是否有绩效目标；</w:t>
            </w:r>
          </w:p>
          <w:p w14:paraId="64F25B31">
            <w:pPr>
              <w:widowControl/>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②项目绩效目标与实际工作内容是否具有相关性；</w:t>
            </w:r>
          </w:p>
          <w:p w14:paraId="22159E91">
            <w:pPr>
              <w:widowControl/>
              <w:spacing w:line="0" w:lineRule="atLeast"/>
              <w:ind w:firstLine="0" w:firstLineChars="0"/>
              <w:jc w:val="left"/>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③项目预期产出效益和效果是否符合正常的业绩水平；</w:t>
            </w:r>
          </w:p>
          <w:p w14:paraId="4F394738">
            <w:pPr>
              <w:widowControl/>
              <w:spacing w:line="0" w:lineRule="atLeast"/>
              <w:ind w:firstLine="0" w:firstLineChars="0"/>
              <w:jc w:val="left"/>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④是否与预算确定的项目投资额或资金量相匹配。</w:t>
            </w:r>
          </w:p>
        </w:tc>
        <w:tc>
          <w:tcPr>
            <w:tcW w:w="782" w:type="dxa"/>
            <w:shd w:val="clear" w:color="auto" w:fill="auto"/>
            <w:noWrap w:val="0"/>
            <w:vAlign w:val="center"/>
          </w:tcPr>
          <w:p w14:paraId="4C6D92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6" w:type="dxa"/>
            <w:shd w:val="clear" w:color="auto" w:fill="auto"/>
            <w:noWrap w:val="0"/>
            <w:vAlign w:val="center"/>
          </w:tcPr>
          <w:p w14:paraId="371C17FF">
            <w:pPr>
              <w:widowControl/>
              <w:spacing w:line="0" w:lineRule="atLeast"/>
              <w:ind w:firstLine="0" w:firstLineChars="0"/>
              <w:jc w:val="left"/>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5</w:t>
            </w:r>
          </w:p>
        </w:tc>
      </w:tr>
      <w:tr w14:paraId="0160B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jc w:val="center"/>
        </w:trPr>
        <w:tc>
          <w:tcPr>
            <w:tcW w:w="858" w:type="dxa"/>
            <w:vMerge w:val="restart"/>
            <w:shd w:val="clear" w:color="auto" w:fill="auto"/>
            <w:noWrap w:val="0"/>
            <w:vAlign w:val="center"/>
          </w:tcPr>
          <w:p w14:paraId="6C063116">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决策　</w:t>
            </w:r>
          </w:p>
        </w:tc>
        <w:tc>
          <w:tcPr>
            <w:tcW w:w="724" w:type="dxa"/>
            <w:shd w:val="clear" w:color="auto" w:fill="auto"/>
            <w:noWrap w:val="0"/>
            <w:vAlign w:val="center"/>
          </w:tcPr>
          <w:p w14:paraId="1AC698A3">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绩效目标</w:t>
            </w:r>
          </w:p>
        </w:tc>
        <w:tc>
          <w:tcPr>
            <w:tcW w:w="1079" w:type="dxa"/>
            <w:shd w:val="clear" w:color="auto" w:fill="auto"/>
            <w:noWrap w:val="0"/>
            <w:vAlign w:val="center"/>
          </w:tcPr>
          <w:p w14:paraId="7821687B">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绩效指标</w:t>
            </w:r>
          </w:p>
          <w:p w14:paraId="493A987D">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明确性</w:t>
            </w:r>
          </w:p>
        </w:tc>
        <w:tc>
          <w:tcPr>
            <w:tcW w:w="2582" w:type="dxa"/>
            <w:shd w:val="clear" w:color="auto" w:fill="auto"/>
            <w:noWrap w:val="0"/>
            <w:vAlign w:val="center"/>
          </w:tcPr>
          <w:p w14:paraId="6257BF8A">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依据绩效目标设定的绩效指标是否清晰、细化、可衡量等，用以反映和考核项目绩效目标的明细化情况。</w:t>
            </w:r>
          </w:p>
        </w:tc>
        <w:tc>
          <w:tcPr>
            <w:tcW w:w="7085" w:type="dxa"/>
            <w:shd w:val="clear" w:color="auto" w:fill="auto"/>
            <w:noWrap w:val="0"/>
            <w:vAlign w:val="center"/>
          </w:tcPr>
          <w:p w14:paraId="5BD906C0">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4C406817">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①是否将项目绩效目标细化分解为具体的绩效指标；</w:t>
            </w:r>
          </w:p>
          <w:p w14:paraId="2BB3C2BC">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②是否通过清晰、可衡量的指标值予以体现；</w:t>
            </w:r>
          </w:p>
          <w:p w14:paraId="36E1B08B">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③是否与项目目标任务数或计划数相对应。</w:t>
            </w:r>
          </w:p>
          <w:p w14:paraId="18AB9546">
            <w:pPr>
              <w:widowControl/>
              <w:spacing w:line="0" w:lineRule="atLeast"/>
              <w:ind w:firstLine="0" w:firstLineChars="0"/>
              <w:rPr>
                <w:rFonts w:hint="eastAsia" w:ascii="宋体" w:hAnsi="宋体" w:eastAsia="宋体" w:cs="宋体"/>
                <w:color w:val="000000"/>
                <w:kern w:val="0"/>
                <w:sz w:val="22"/>
                <w:szCs w:val="22"/>
                <w:highlight w:val="none"/>
                <w:lang w:eastAsia="zh-CN"/>
              </w:rPr>
            </w:pPr>
          </w:p>
        </w:tc>
        <w:tc>
          <w:tcPr>
            <w:tcW w:w="782" w:type="dxa"/>
            <w:shd w:val="clear" w:color="auto" w:fill="auto"/>
            <w:noWrap w:val="0"/>
            <w:vAlign w:val="center"/>
          </w:tcPr>
          <w:p w14:paraId="4033A3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6" w:type="dxa"/>
            <w:shd w:val="clear" w:color="auto" w:fill="auto"/>
            <w:noWrap w:val="0"/>
            <w:vAlign w:val="center"/>
          </w:tcPr>
          <w:p w14:paraId="63D07F2C">
            <w:pPr>
              <w:widowControl/>
              <w:spacing w:line="0" w:lineRule="atLeast"/>
              <w:ind w:firstLine="0" w:firstLineChars="0"/>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5</w:t>
            </w:r>
          </w:p>
        </w:tc>
      </w:tr>
      <w:tr w14:paraId="7FC02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63" w:hRule="atLeast"/>
          <w:jc w:val="center"/>
        </w:trPr>
        <w:tc>
          <w:tcPr>
            <w:tcW w:w="858" w:type="dxa"/>
            <w:vMerge w:val="continue"/>
            <w:shd w:val="clear" w:color="auto" w:fill="auto"/>
            <w:noWrap w:val="0"/>
            <w:vAlign w:val="center"/>
          </w:tcPr>
          <w:p w14:paraId="317E7AAF">
            <w:pPr>
              <w:spacing w:line="0" w:lineRule="atLeast"/>
              <w:ind w:firstLine="0" w:firstLineChars="0"/>
              <w:jc w:val="center"/>
              <w:rPr>
                <w:rFonts w:ascii="宋体" w:hAnsi="宋体" w:eastAsia="宋体" w:cs="宋体"/>
                <w:color w:val="000000"/>
                <w:kern w:val="0"/>
                <w:sz w:val="22"/>
                <w:szCs w:val="22"/>
                <w:highlight w:val="none"/>
              </w:rPr>
            </w:pPr>
          </w:p>
        </w:tc>
        <w:tc>
          <w:tcPr>
            <w:tcW w:w="724" w:type="dxa"/>
            <w:vMerge w:val="restart"/>
            <w:shd w:val="clear" w:color="auto" w:fill="auto"/>
            <w:noWrap w:val="0"/>
            <w:vAlign w:val="center"/>
          </w:tcPr>
          <w:p w14:paraId="3E91910B">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资金投入</w:t>
            </w:r>
          </w:p>
          <w:p w14:paraId="11785A92">
            <w:pPr>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　</w:t>
            </w:r>
          </w:p>
        </w:tc>
        <w:tc>
          <w:tcPr>
            <w:tcW w:w="1079" w:type="dxa"/>
            <w:shd w:val="clear" w:color="auto" w:fill="auto"/>
            <w:noWrap w:val="0"/>
            <w:vAlign w:val="center"/>
          </w:tcPr>
          <w:p w14:paraId="5B6B2953">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预算编制</w:t>
            </w:r>
          </w:p>
          <w:p w14:paraId="56CD92F2">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科学性</w:t>
            </w:r>
          </w:p>
        </w:tc>
        <w:tc>
          <w:tcPr>
            <w:tcW w:w="2582" w:type="dxa"/>
            <w:shd w:val="clear" w:color="auto" w:fill="auto"/>
            <w:noWrap w:val="0"/>
            <w:vAlign w:val="center"/>
          </w:tcPr>
          <w:p w14:paraId="2CACFA4B">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项目预算编制是否经过科学论证、有明确标准，资金额度与年度目标是否相适应，用以反映和考核项目预算编制的科学性、合理性情况。</w:t>
            </w:r>
          </w:p>
        </w:tc>
        <w:tc>
          <w:tcPr>
            <w:tcW w:w="7085" w:type="dxa"/>
            <w:shd w:val="clear" w:color="auto" w:fill="auto"/>
            <w:noWrap w:val="0"/>
            <w:vAlign w:val="center"/>
          </w:tcPr>
          <w:p w14:paraId="6C509078">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02496CAA">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①预算编制是否经过科学论证；</w:t>
            </w:r>
          </w:p>
          <w:p w14:paraId="30C6AD53">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②预算内容与项目内容是否匹配；</w:t>
            </w:r>
          </w:p>
          <w:p w14:paraId="7ED31C82">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③预算额度测算依据是否充分，是否按照标准编制；</w:t>
            </w:r>
          </w:p>
          <w:p w14:paraId="5581FFC9">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④预算确定的项目投资额或资金量是否与工作任务相匹配。</w:t>
            </w:r>
          </w:p>
        </w:tc>
        <w:tc>
          <w:tcPr>
            <w:tcW w:w="782" w:type="dxa"/>
            <w:shd w:val="clear" w:color="auto" w:fill="auto"/>
            <w:noWrap w:val="0"/>
            <w:vAlign w:val="center"/>
          </w:tcPr>
          <w:p w14:paraId="3DD4DB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6" w:type="dxa"/>
            <w:shd w:val="clear" w:color="auto" w:fill="auto"/>
            <w:noWrap w:val="0"/>
            <w:vAlign w:val="center"/>
          </w:tcPr>
          <w:p w14:paraId="608A3052">
            <w:pPr>
              <w:widowControl/>
              <w:spacing w:line="0" w:lineRule="atLeast"/>
              <w:ind w:firstLine="0" w:firstLineChars="0"/>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r>
      <w:tr w14:paraId="60212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jc w:val="center"/>
        </w:trPr>
        <w:tc>
          <w:tcPr>
            <w:tcW w:w="858" w:type="dxa"/>
            <w:vMerge w:val="continue"/>
            <w:shd w:val="clear" w:color="auto" w:fill="auto"/>
            <w:noWrap w:val="0"/>
            <w:vAlign w:val="center"/>
          </w:tcPr>
          <w:p w14:paraId="71AE77C1">
            <w:pPr>
              <w:widowControl/>
              <w:spacing w:line="0" w:lineRule="atLeast"/>
              <w:ind w:firstLine="0" w:firstLineChars="0"/>
              <w:jc w:val="center"/>
              <w:rPr>
                <w:rFonts w:ascii="宋体" w:hAnsi="宋体" w:eastAsia="宋体" w:cs="宋体"/>
                <w:color w:val="000000"/>
                <w:kern w:val="0"/>
                <w:sz w:val="22"/>
                <w:szCs w:val="22"/>
                <w:highlight w:val="none"/>
              </w:rPr>
            </w:pPr>
          </w:p>
        </w:tc>
        <w:tc>
          <w:tcPr>
            <w:tcW w:w="724" w:type="dxa"/>
            <w:vMerge w:val="continue"/>
            <w:shd w:val="clear" w:color="auto" w:fill="auto"/>
            <w:noWrap w:val="0"/>
            <w:vAlign w:val="center"/>
          </w:tcPr>
          <w:p w14:paraId="4C35D226">
            <w:pPr>
              <w:widowControl/>
              <w:spacing w:line="0" w:lineRule="atLeast"/>
              <w:ind w:firstLine="0" w:firstLineChars="0"/>
              <w:jc w:val="center"/>
              <w:rPr>
                <w:rFonts w:ascii="宋体" w:hAnsi="宋体" w:eastAsia="宋体" w:cs="宋体"/>
                <w:color w:val="000000"/>
                <w:kern w:val="0"/>
                <w:sz w:val="22"/>
                <w:szCs w:val="22"/>
                <w:highlight w:val="none"/>
              </w:rPr>
            </w:pPr>
          </w:p>
        </w:tc>
        <w:tc>
          <w:tcPr>
            <w:tcW w:w="1079" w:type="dxa"/>
            <w:shd w:val="clear" w:color="auto" w:fill="auto"/>
            <w:noWrap w:val="0"/>
            <w:vAlign w:val="center"/>
          </w:tcPr>
          <w:p w14:paraId="33B17802">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资金分配</w:t>
            </w:r>
          </w:p>
          <w:p w14:paraId="5ACB5741">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合理性</w:t>
            </w:r>
          </w:p>
        </w:tc>
        <w:tc>
          <w:tcPr>
            <w:tcW w:w="2582" w:type="dxa"/>
            <w:shd w:val="clear" w:color="auto" w:fill="auto"/>
            <w:noWrap w:val="0"/>
            <w:vAlign w:val="center"/>
          </w:tcPr>
          <w:p w14:paraId="6C27BB71">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项目预算资金分配是否有测算依据，与补助单位或地方实际是否相适应，用以反映和考核项目预算资金分配的科学性、合理性情况。</w:t>
            </w:r>
          </w:p>
        </w:tc>
        <w:tc>
          <w:tcPr>
            <w:tcW w:w="7085" w:type="dxa"/>
            <w:shd w:val="clear" w:color="auto" w:fill="auto"/>
            <w:noWrap w:val="0"/>
            <w:vAlign w:val="center"/>
          </w:tcPr>
          <w:p w14:paraId="022E4420">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366389A9">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①预算资金分配依据是否充分；</w:t>
            </w:r>
          </w:p>
          <w:p w14:paraId="1BCEB074">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②资金分配额度是否合理，与项目单位或地方实际是否相适应。</w:t>
            </w:r>
          </w:p>
        </w:tc>
        <w:tc>
          <w:tcPr>
            <w:tcW w:w="782" w:type="dxa"/>
            <w:shd w:val="clear" w:color="auto" w:fill="auto"/>
            <w:noWrap w:val="0"/>
            <w:vAlign w:val="center"/>
          </w:tcPr>
          <w:p w14:paraId="4D9B74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6" w:type="dxa"/>
            <w:shd w:val="clear" w:color="auto" w:fill="auto"/>
            <w:noWrap w:val="0"/>
            <w:vAlign w:val="center"/>
          </w:tcPr>
          <w:p w14:paraId="494F1311">
            <w:pPr>
              <w:widowControl/>
              <w:spacing w:line="0" w:lineRule="atLeast"/>
              <w:ind w:firstLine="0" w:firstLineChars="0"/>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3</w:t>
            </w:r>
          </w:p>
        </w:tc>
      </w:tr>
      <w:tr w14:paraId="1BF44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4" w:hRule="atLeast"/>
          <w:jc w:val="center"/>
        </w:trPr>
        <w:tc>
          <w:tcPr>
            <w:tcW w:w="858" w:type="dxa"/>
            <w:vMerge w:val="restart"/>
            <w:shd w:val="clear" w:color="auto" w:fill="auto"/>
            <w:noWrap w:val="0"/>
            <w:vAlign w:val="center"/>
          </w:tcPr>
          <w:p w14:paraId="6BABBB85">
            <w:pPr>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过程</w:t>
            </w:r>
          </w:p>
        </w:tc>
        <w:tc>
          <w:tcPr>
            <w:tcW w:w="724" w:type="dxa"/>
            <w:vMerge w:val="restart"/>
            <w:shd w:val="clear" w:color="auto" w:fill="auto"/>
            <w:noWrap w:val="0"/>
            <w:vAlign w:val="center"/>
          </w:tcPr>
          <w:p w14:paraId="58B98781">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资金管理</w:t>
            </w:r>
          </w:p>
        </w:tc>
        <w:tc>
          <w:tcPr>
            <w:tcW w:w="1079" w:type="dxa"/>
            <w:shd w:val="clear" w:color="auto" w:fill="auto"/>
            <w:noWrap w:val="0"/>
            <w:vAlign w:val="center"/>
          </w:tcPr>
          <w:p w14:paraId="31CC1F38">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资金到位率</w:t>
            </w:r>
          </w:p>
        </w:tc>
        <w:tc>
          <w:tcPr>
            <w:tcW w:w="2582" w:type="dxa"/>
            <w:shd w:val="clear" w:color="auto" w:fill="auto"/>
            <w:noWrap w:val="0"/>
            <w:vAlign w:val="center"/>
          </w:tcPr>
          <w:p w14:paraId="68CD48CF">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实际到位资金与预算资金的比率，用以反映和考核资金落实情况对项目实施的总体保障程度。</w:t>
            </w:r>
          </w:p>
        </w:tc>
        <w:tc>
          <w:tcPr>
            <w:tcW w:w="7085" w:type="dxa"/>
            <w:shd w:val="clear" w:color="auto" w:fill="auto"/>
            <w:noWrap w:val="0"/>
            <w:vAlign w:val="center"/>
          </w:tcPr>
          <w:p w14:paraId="2CBCAF88">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资金到位率=（实际到位资金/预算资金）×100%。</w:t>
            </w:r>
          </w:p>
          <w:p w14:paraId="29DB6C36">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实际到位资金：一定时期（本年度或项目期）内落实到具体项目的资金。</w:t>
            </w:r>
          </w:p>
          <w:p w14:paraId="3E3A12C6">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预算资金：一定时期（本年度或项目期）内预算安排到具体项目的资金。</w:t>
            </w:r>
          </w:p>
        </w:tc>
        <w:tc>
          <w:tcPr>
            <w:tcW w:w="782" w:type="dxa"/>
            <w:shd w:val="clear" w:color="auto" w:fill="auto"/>
            <w:noWrap w:val="0"/>
            <w:vAlign w:val="center"/>
          </w:tcPr>
          <w:p w14:paraId="2F20AC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6" w:type="dxa"/>
            <w:shd w:val="clear" w:color="auto" w:fill="auto"/>
            <w:noWrap w:val="0"/>
            <w:vAlign w:val="center"/>
          </w:tcPr>
          <w:p w14:paraId="0385FFCA">
            <w:pPr>
              <w:widowControl/>
              <w:spacing w:line="0" w:lineRule="atLeast"/>
              <w:ind w:firstLine="0" w:firstLineChars="0"/>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r>
      <w:tr w14:paraId="1FCEA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71" w:hRule="atLeast"/>
          <w:jc w:val="center"/>
        </w:trPr>
        <w:tc>
          <w:tcPr>
            <w:tcW w:w="858" w:type="dxa"/>
            <w:vMerge w:val="continue"/>
            <w:shd w:val="clear" w:color="auto" w:fill="auto"/>
            <w:noWrap w:val="0"/>
            <w:vAlign w:val="center"/>
          </w:tcPr>
          <w:p w14:paraId="643007A1">
            <w:pPr>
              <w:spacing w:line="0" w:lineRule="atLeast"/>
              <w:ind w:firstLine="0" w:firstLineChars="0"/>
              <w:jc w:val="center"/>
              <w:rPr>
                <w:rFonts w:hint="eastAsia" w:ascii="宋体" w:hAnsi="宋体" w:eastAsia="宋体" w:cs="宋体"/>
                <w:color w:val="000000"/>
                <w:kern w:val="0"/>
                <w:sz w:val="22"/>
                <w:szCs w:val="22"/>
                <w:highlight w:val="none"/>
              </w:rPr>
            </w:pPr>
          </w:p>
        </w:tc>
        <w:tc>
          <w:tcPr>
            <w:tcW w:w="724" w:type="dxa"/>
            <w:vMerge w:val="continue"/>
            <w:shd w:val="clear" w:color="auto" w:fill="auto"/>
            <w:noWrap w:val="0"/>
            <w:vAlign w:val="center"/>
          </w:tcPr>
          <w:p w14:paraId="3A71A5ED">
            <w:pPr>
              <w:spacing w:line="0" w:lineRule="atLeast"/>
              <w:ind w:firstLine="0" w:firstLineChars="0"/>
              <w:jc w:val="center"/>
              <w:rPr>
                <w:rFonts w:hint="eastAsia" w:ascii="宋体" w:hAnsi="宋体" w:eastAsia="宋体" w:cs="宋体"/>
                <w:color w:val="000000"/>
                <w:kern w:val="0"/>
                <w:sz w:val="22"/>
                <w:szCs w:val="22"/>
                <w:highlight w:val="none"/>
              </w:rPr>
            </w:pPr>
          </w:p>
        </w:tc>
        <w:tc>
          <w:tcPr>
            <w:tcW w:w="1079" w:type="dxa"/>
            <w:shd w:val="clear" w:color="auto" w:fill="auto"/>
            <w:noWrap w:val="0"/>
            <w:vAlign w:val="center"/>
          </w:tcPr>
          <w:p w14:paraId="7F7ECB94">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预算执行率</w:t>
            </w:r>
          </w:p>
        </w:tc>
        <w:tc>
          <w:tcPr>
            <w:tcW w:w="2582" w:type="dxa"/>
            <w:shd w:val="clear" w:color="auto" w:fill="auto"/>
            <w:noWrap w:val="0"/>
            <w:vAlign w:val="center"/>
          </w:tcPr>
          <w:p w14:paraId="106EF24B">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项目预算资金是否按照计划执行，用以反映或考核项目预算执行情况。</w:t>
            </w:r>
          </w:p>
        </w:tc>
        <w:tc>
          <w:tcPr>
            <w:tcW w:w="7085" w:type="dxa"/>
            <w:shd w:val="clear" w:color="auto" w:fill="auto"/>
            <w:noWrap w:val="0"/>
            <w:vAlign w:val="center"/>
          </w:tcPr>
          <w:p w14:paraId="0978EDE3">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预算执行率=（实际支出资金/实际到位资金）×100%。</w:t>
            </w:r>
          </w:p>
          <w:p w14:paraId="338E402C">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实际支出资金：一定时期（本年度或项目期）内项目实际拨付的资金。</w:t>
            </w:r>
          </w:p>
        </w:tc>
        <w:tc>
          <w:tcPr>
            <w:tcW w:w="782" w:type="dxa"/>
            <w:shd w:val="clear" w:color="auto" w:fill="auto"/>
            <w:noWrap w:val="0"/>
            <w:vAlign w:val="center"/>
          </w:tcPr>
          <w:p w14:paraId="587262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6" w:type="dxa"/>
            <w:shd w:val="clear" w:color="auto" w:fill="auto"/>
            <w:noWrap w:val="0"/>
            <w:vAlign w:val="center"/>
          </w:tcPr>
          <w:p w14:paraId="72A0C691">
            <w:pPr>
              <w:widowControl/>
              <w:spacing w:line="0" w:lineRule="atLeast"/>
              <w:ind w:firstLine="0" w:firstLineChars="0"/>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r>
      <w:tr w14:paraId="49547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jc w:val="center"/>
        </w:trPr>
        <w:tc>
          <w:tcPr>
            <w:tcW w:w="858" w:type="dxa"/>
            <w:vMerge w:val="restart"/>
            <w:shd w:val="clear" w:color="auto" w:fill="auto"/>
            <w:noWrap w:val="0"/>
            <w:vAlign w:val="center"/>
          </w:tcPr>
          <w:p w14:paraId="0A28E251">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　</w:t>
            </w:r>
          </w:p>
          <w:p w14:paraId="5DB91FC5">
            <w:pPr>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过程　</w:t>
            </w:r>
          </w:p>
        </w:tc>
        <w:tc>
          <w:tcPr>
            <w:tcW w:w="724" w:type="dxa"/>
            <w:shd w:val="clear" w:color="auto" w:fill="auto"/>
            <w:noWrap w:val="0"/>
            <w:vAlign w:val="center"/>
          </w:tcPr>
          <w:p w14:paraId="5E7C49EB">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资金管理</w:t>
            </w:r>
          </w:p>
        </w:tc>
        <w:tc>
          <w:tcPr>
            <w:tcW w:w="1079" w:type="dxa"/>
            <w:shd w:val="clear" w:color="auto" w:fill="auto"/>
            <w:noWrap w:val="0"/>
            <w:vAlign w:val="center"/>
          </w:tcPr>
          <w:p w14:paraId="4F5CFCEA">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资金使用</w:t>
            </w:r>
          </w:p>
          <w:p w14:paraId="23E4B9B9">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合规性</w:t>
            </w:r>
          </w:p>
        </w:tc>
        <w:tc>
          <w:tcPr>
            <w:tcW w:w="2582" w:type="dxa"/>
            <w:shd w:val="clear" w:color="auto" w:fill="auto"/>
            <w:noWrap w:val="0"/>
            <w:vAlign w:val="center"/>
          </w:tcPr>
          <w:p w14:paraId="5E92FDC6">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项目资金使用是否符合相关的财务管理制度规定，用以反映和考核项目资金的规范运行情况。</w:t>
            </w:r>
          </w:p>
        </w:tc>
        <w:tc>
          <w:tcPr>
            <w:tcW w:w="7085" w:type="dxa"/>
            <w:shd w:val="clear" w:color="auto" w:fill="auto"/>
            <w:noWrap w:val="0"/>
            <w:vAlign w:val="center"/>
          </w:tcPr>
          <w:p w14:paraId="5C608179">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27C4294F">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①是否符合国家财经法规和财务管理制度以及有关专项资金管理办法的规定；</w:t>
            </w:r>
          </w:p>
          <w:p w14:paraId="5F228639">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②资金的拨付是否有完整的审批程序和手续；</w:t>
            </w:r>
          </w:p>
          <w:p w14:paraId="66ECB446">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③是否符合项目预算批复或合同规定的用途；</w:t>
            </w:r>
          </w:p>
          <w:p w14:paraId="3E12D0B2">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④是否存在截留、挤占、挪用、虚列支出等情况。</w:t>
            </w:r>
          </w:p>
        </w:tc>
        <w:tc>
          <w:tcPr>
            <w:tcW w:w="782" w:type="dxa"/>
            <w:shd w:val="clear" w:color="auto" w:fill="auto"/>
            <w:noWrap w:val="0"/>
            <w:vAlign w:val="center"/>
          </w:tcPr>
          <w:p w14:paraId="098D29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6" w:type="dxa"/>
            <w:shd w:val="clear" w:color="auto" w:fill="auto"/>
            <w:noWrap w:val="0"/>
            <w:vAlign w:val="center"/>
          </w:tcPr>
          <w:p w14:paraId="4DB27836">
            <w:pPr>
              <w:widowControl/>
              <w:spacing w:line="0" w:lineRule="atLeast"/>
              <w:ind w:firstLine="0" w:firstLineChars="0"/>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r>
      <w:tr w14:paraId="3CA7B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8" w:hRule="atLeast"/>
          <w:jc w:val="center"/>
        </w:trPr>
        <w:tc>
          <w:tcPr>
            <w:tcW w:w="858" w:type="dxa"/>
            <w:vMerge w:val="continue"/>
            <w:shd w:val="clear" w:color="auto" w:fill="auto"/>
            <w:noWrap w:val="0"/>
            <w:vAlign w:val="center"/>
          </w:tcPr>
          <w:p w14:paraId="6CAFABD3">
            <w:pPr>
              <w:spacing w:line="0" w:lineRule="atLeast"/>
              <w:ind w:firstLine="0" w:firstLineChars="0"/>
              <w:jc w:val="center"/>
              <w:rPr>
                <w:rFonts w:ascii="宋体" w:hAnsi="宋体" w:eastAsia="宋体" w:cs="宋体"/>
                <w:color w:val="000000"/>
                <w:kern w:val="0"/>
                <w:sz w:val="22"/>
                <w:szCs w:val="22"/>
                <w:highlight w:val="none"/>
              </w:rPr>
            </w:pPr>
          </w:p>
        </w:tc>
        <w:tc>
          <w:tcPr>
            <w:tcW w:w="724" w:type="dxa"/>
            <w:vMerge w:val="restart"/>
            <w:shd w:val="clear" w:color="auto" w:fill="auto"/>
            <w:noWrap w:val="0"/>
            <w:vAlign w:val="center"/>
          </w:tcPr>
          <w:p w14:paraId="03EF4901">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组织实施</w:t>
            </w:r>
          </w:p>
          <w:p w14:paraId="70756D4C">
            <w:pPr>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　</w:t>
            </w:r>
          </w:p>
        </w:tc>
        <w:tc>
          <w:tcPr>
            <w:tcW w:w="1079" w:type="dxa"/>
            <w:shd w:val="clear" w:color="auto" w:fill="auto"/>
            <w:noWrap w:val="0"/>
            <w:vAlign w:val="center"/>
          </w:tcPr>
          <w:p w14:paraId="0C84977B">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管理制度</w:t>
            </w:r>
          </w:p>
          <w:p w14:paraId="5AF07DBD">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健全性</w:t>
            </w:r>
          </w:p>
        </w:tc>
        <w:tc>
          <w:tcPr>
            <w:tcW w:w="2582" w:type="dxa"/>
            <w:shd w:val="clear" w:color="auto" w:fill="auto"/>
            <w:noWrap w:val="0"/>
            <w:vAlign w:val="center"/>
          </w:tcPr>
          <w:p w14:paraId="41EC1E54">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项目实施单位的财务和业务管理制度是否健全，用以反映和考核财务和业务管理制度对项目顺利实施的保障情况。</w:t>
            </w:r>
          </w:p>
        </w:tc>
        <w:tc>
          <w:tcPr>
            <w:tcW w:w="7085" w:type="dxa"/>
            <w:shd w:val="clear" w:color="auto" w:fill="auto"/>
            <w:noWrap w:val="0"/>
            <w:vAlign w:val="center"/>
          </w:tcPr>
          <w:p w14:paraId="300801AC">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61E3929C">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①是否已制定或具有相应的财务和业务管理制度；</w:t>
            </w:r>
          </w:p>
          <w:p w14:paraId="0518DDB9">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②财务和业务管理制度是否合法、合规、完整。</w:t>
            </w:r>
          </w:p>
        </w:tc>
        <w:tc>
          <w:tcPr>
            <w:tcW w:w="782" w:type="dxa"/>
            <w:shd w:val="clear" w:color="auto" w:fill="auto"/>
            <w:noWrap w:val="0"/>
            <w:vAlign w:val="center"/>
          </w:tcPr>
          <w:p w14:paraId="3C01C7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6" w:type="dxa"/>
            <w:shd w:val="clear" w:color="auto" w:fill="auto"/>
            <w:noWrap w:val="0"/>
            <w:vAlign w:val="center"/>
          </w:tcPr>
          <w:p w14:paraId="34A5AF44">
            <w:pPr>
              <w:widowControl/>
              <w:spacing w:line="0" w:lineRule="atLeast"/>
              <w:ind w:firstLine="0" w:firstLineChars="0"/>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r>
      <w:tr w14:paraId="5FC9C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63" w:hRule="atLeast"/>
          <w:jc w:val="center"/>
        </w:trPr>
        <w:tc>
          <w:tcPr>
            <w:tcW w:w="858" w:type="dxa"/>
            <w:vMerge w:val="continue"/>
            <w:shd w:val="clear" w:color="auto" w:fill="auto"/>
            <w:noWrap w:val="0"/>
            <w:vAlign w:val="center"/>
          </w:tcPr>
          <w:p w14:paraId="36F702B1">
            <w:pPr>
              <w:widowControl/>
              <w:spacing w:line="0" w:lineRule="atLeast"/>
              <w:ind w:firstLine="0" w:firstLineChars="0"/>
              <w:jc w:val="center"/>
              <w:rPr>
                <w:rFonts w:ascii="宋体" w:hAnsi="宋体" w:eastAsia="宋体" w:cs="宋体"/>
                <w:color w:val="000000"/>
                <w:kern w:val="0"/>
                <w:sz w:val="22"/>
                <w:szCs w:val="22"/>
                <w:highlight w:val="none"/>
              </w:rPr>
            </w:pPr>
          </w:p>
        </w:tc>
        <w:tc>
          <w:tcPr>
            <w:tcW w:w="724" w:type="dxa"/>
            <w:vMerge w:val="continue"/>
            <w:shd w:val="clear" w:color="auto" w:fill="auto"/>
            <w:noWrap w:val="0"/>
            <w:vAlign w:val="center"/>
          </w:tcPr>
          <w:p w14:paraId="46092E84">
            <w:pPr>
              <w:widowControl/>
              <w:spacing w:line="0" w:lineRule="atLeast"/>
              <w:ind w:firstLine="0" w:firstLineChars="0"/>
              <w:jc w:val="center"/>
              <w:rPr>
                <w:rFonts w:ascii="宋体" w:hAnsi="宋体" w:eastAsia="宋体" w:cs="宋体"/>
                <w:color w:val="000000"/>
                <w:kern w:val="0"/>
                <w:sz w:val="22"/>
                <w:szCs w:val="22"/>
                <w:highlight w:val="none"/>
              </w:rPr>
            </w:pPr>
          </w:p>
        </w:tc>
        <w:tc>
          <w:tcPr>
            <w:tcW w:w="1079" w:type="dxa"/>
            <w:shd w:val="clear" w:color="auto" w:fill="auto"/>
            <w:noWrap w:val="0"/>
            <w:vAlign w:val="center"/>
          </w:tcPr>
          <w:p w14:paraId="61A05522">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制度执行</w:t>
            </w:r>
          </w:p>
          <w:p w14:paraId="5C79981E">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有效性</w:t>
            </w:r>
          </w:p>
        </w:tc>
        <w:tc>
          <w:tcPr>
            <w:tcW w:w="2582" w:type="dxa"/>
            <w:shd w:val="clear" w:color="auto" w:fill="auto"/>
            <w:noWrap w:val="0"/>
            <w:vAlign w:val="center"/>
          </w:tcPr>
          <w:p w14:paraId="6B54A74B">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项目实施是否符合相关管理规定，用以反映和考核相关管理制度的有效执行情况。</w:t>
            </w:r>
          </w:p>
        </w:tc>
        <w:tc>
          <w:tcPr>
            <w:tcW w:w="7085" w:type="dxa"/>
            <w:shd w:val="clear" w:color="auto" w:fill="auto"/>
            <w:noWrap w:val="0"/>
            <w:vAlign w:val="center"/>
          </w:tcPr>
          <w:p w14:paraId="41492532">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7B0AE10E">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①是否遵守相关法律法规和相关管理规定；</w:t>
            </w:r>
          </w:p>
          <w:p w14:paraId="00310067">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②项目调整及支出调整手续是否完备；</w:t>
            </w:r>
          </w:p>
          <w:p w14:paraId="11F92889">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③项目合同书、验收报告、技术鉴定等资料是否齐全并及时归档；</w:t>
            </w:r>
          </w:p>
          <w:p w14:paraId="25975C53">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④项目实施的人员条件、场地设备、信息支撑等是否落实到位。</w:t>
            </w:r>
          </w:p>
        </w:tc>
        <w:tc>
          <w:tcPr>
            <w:tcW w:w="782" w:type="dxa"/>
            <w:shd w:val="clear" w:color="auto" w:fill="auto"/>
            <w:noWrap w:val="0"/>
            <w:vAlign w:val="center"/>
          </w:tcPr>
          <w:p w14:paraId="264796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6" w:type="dxa"/>
            <w:shd w:val="clear" w:color="auto" w:fill="auto"/>
            <w:noWrap w:val="0"/>
            <w:vAlign w:val="center"/>
          </w:tcPr>
          <w:p w14:paraId="1F53DC75">
            <w:pPr>
              <w:widowControl/>
              <w:spacing w:line="0" w:lineRule="atLeast"/>
              <w:ind w:firstLine="0" w:firstLineChars="0"/>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r>
      <w:tr w14:paraId="05A71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93" w:hRule="atLeast"/>
          <w:jc w:val="center"/>
        </w:trPr>
        <w:tc>
          <w:tcPr>
            <w:tcW w:w="858" w:type="dxa"/>
            <w:shd w:val="clear" w:color="auto" w:fill="auto"/>
            <w:noWrap w:val="0"/>
            <w:vAlign w:val="center"/>
          </w:tcPr>
          <w:p w14:paraId="3A03C0E8">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724" w:type="dxa"/>
            <w:vMerge w:val="restart"/>
            <w:shd w:val="clear" w:color="auto" w:fill="auto"/>
            <w:noWrap w:val="0"/>
            <w:vAlign w:val="center"/>
          </w:tcPr>
          <w:p w14:paraId="44333862">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产出数量</w:t>
            </w:r>
          </w:p>
        </w:tc>
        <w:tc>
          <w:tcPr>
            <w:tcW w:w="1079" w:type="dxa"/>
            <w:shd w:val="clear" w:color="auto" w:fill="auto"/>
            <w:noWrap w:val="0"/>
            <w:vAlign w:val="center"/>
          </w:tcPr>
          <w:p w14:paraId="76FF0713">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lang w:val="en-US" w:eastAsia="zh-CN"/>
              </w:rPr>
              <w:t>实训基地建设面积</w:t>
            </w:r>
          </w:p>
        </w:tc>
        <w:tc>
          <w:tcPr>
            <w:tcW w:w="2582" w:type="dxa"/>
            <w:shd w:val="clear" w:color="auto" w:fill="auto"/>
            <w:noWrap w:val="0"/>
            <w:vAlign w:val="center"/>
          </w:tcPr>
          <w:p w14:paraId="0344F7F7">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7085" w:type="dxa"/>
            <w:shd w:val="clear" w:color="auto" w:fill="auto"/>
            <w:noWrap w:val="0"/>
            <w:vAlign w:val="center"/>
          </w:tcPr>
          <w:p w14:paraId="181D5FF3">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实际完成率=（实际产出数/计划产出数）×100%。</w:t>
            </w:r>
          </w:p>
          <w:p w14:paraId="4E3D52C9">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实际产出数：一定时期（本年度或项目期）内项目实际产出的产品或提供的服务数量。</w:t>
            </w:r>
          </w:p>
          <w:p w14:paraId="1EE1391C">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计划产出数：项目绩效目标确定的在一定时期（本年度或项目期）内计划产出的产品或提供的服务数量。</w:t>
            </w:r>
          </w:p>
        </w:tc>
        <w:tc>
          <w:tcPr>
            <w:tcW w:w="782" w:type="dxa"/>
            <w:shd w:val="clear" w:color="auto" w:fill="auto"/>
            <w:noWrap w:val="0"/>
            <w:vAlign w:val="center"/>
          </w:tcPr>
          <w:p w14:paraId="6BEF4C87">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5</w:t>
            </w:r>
          </w:p>
        </w:tc>
        <w:tc>
          <w:tcPr>
            <w:tcW w:w="766" w:type="dxa"/>
            <w:shd w:val="clear" w:color="auto" w:fill="auto"/>
            <w:noWrap w:val="0"/>
            <w:vAlign w:val="center"/>
          </w:tcPr>
          <w:p w14:paraId="555762FF">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5</w:t>
            </w:r>
          </w:p>
        </w:tc>
      </w:tr>
      <w:tr w14:paraId="0C91C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jc w:val="center"/>
        </w:trPr>
        <w:tc>
          <w:tcPr>
            <w:tcW w:w="858" w:type="dxa"/>
            <w:shd w:val="clear" w:color="auto" w:fill="auto"/>
            <w:noWrap w:val="0"/>
            <w:vAlign w:val="center"/>
          </w:tcPr>
          <w:p w14:paraId="46C59281">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724" w:type="dxa"/>
            <w:vMerge w:val="continue"/>
            <w:shd w:val="clear" w:color="auto" w:fill="auto"/>
            <w:noWrap w:val="0"/>
            <w:vAlign w:val="center"/>
          </w:tcPr>
          <w:p w14:paraId="4139E870">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1079" w:type="dxa"/>
            <w:shd w:val="clear" w:color="auto" w:fill="auto"/>
            <w:noWrap w:val="0"/>
            <w:vAlign w:val="center"/>
          </w:tcPr>
          <w:p w14:paraId="5B4AD8CD">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lang w:val="en-US" w:eastAsia="zh-CN"/>
              </w:rPr>
              <w:t>实训基地建设数量（所）</w:t>
            </w:r>
          </w:p>
        </w:tc>
        <w:tc>
          <w:tcPr>
            <w:tcW w:w="2582" w:type="dxa"/>
            <w:shd w:val="clear" w:color="auto" w:fill="auto"/>
            <w:noWrap w:val="0"/>
            <w:vAlign w:val="center"/>
          </w:tcPr>
          <w:p w14:paraId="6797CEBF">
            <w:pPr>
              <w:widowControl/>
              <w:spacing w:line="0" w:lineRule="atLeast"/>
              <w:ind w:firstLine="0" w:firstLineChars="0"/>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7085" w:type="dxa"/>
            <w:shd w:val="clear" w:color="auto" w:fill="auto"/>
            <w:noWrap w:val="0"/>
            <w:vAlign w:val="center"/>
          </w:tcPr>
          <w:p w14:paraId="5F4E2843">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实际完成率=（实际产出数/计划产出数）×100%。</w:t>
            </w:r>
          </w:p>
          <w:p w14:paraId="3CCDECEC">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实际产出数：一定时期（本年度或项目期）内项目实际产出的产品或提供的服务数量。</w:t>
            </w:r>
          </w:p>
          <w:p w14:paraId="4C95B87A">
            <w:pPr>
              <w:widowControl/>
              <w:spacing w:line="0" w:lineRule="atLeast"/>
              <w:ind w:firstLine="0" w:firstLineChars="0"/>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计划产出数：项目绩效目标确定的在一定时期（本年度或项目期）内计划产出的产品或提供的服务数量。</w:t>
            </w:r>
          </w:p>
        </w:tc>
        <w:tc>
          <w:tcPr>
            <w:tcW w:w="782" w:type="dxa"/>
            <w:shd w:val="clear" w:color="auto" w:fill="auto"/>
            <w:noWrap w:val="0"/>
            <w:vAlign w:val="center"/>
          </w:tcPr>
          <w:p w14:paraId="61A5178B">
            <w:pPr>
              <w:widowControl/>
              <w:spacing w:line="0" w:lineRule="atLeast"/>
              <w:ind w:firstLine="0" w:firstLineChars="0"/>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5</w:t>
            </w:r>
          </w:p>
        </w:tc>
        <w:tc>
          <w:tcPr>
            <w:tcW w:w="766" w:type="dxa"/>
            <w:shd w:val="clear" w:color="auto" w:fill="auto"/>
            <w:noWrap w:val="0"/>
            <w:vAlign w:val="center"/>
          </w:tcPr>
          <w:p w14:paraId="5421E947">
            <w:pPr>
              <w:widowControl/>
              <w:spacing w:line="0" w:lineRule="atLeast"/>
              <w:ind w:firstLine="0" w:firstLineChars="0"/>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5</w:t>
            </w:r>
          </w:p>
        </w:tc>
      </w:tr>
      <w:tr w14:paraId="5463F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19" w:hRule="atLeast"/>
          <w:jc w:val="center"/>
        </w:trPr>
        <w:tc>
          <w:tcPr>
            <w:tcW w:w="858" w:type="dxa"/>
            <w:vMerge w:val="restart"/>
            <w:shd w:val="clear" w:color="auto" w:fill="auto"/>
            <w:noWrap w:val="0"/>
            <w:vAlign w:val="center"/>
          </w:tcPr>
          <w:p w14:paraId="2E13259C">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724" w:type="dxa"/>
            <w:vMerge w:val="restart"/>
            <w:shd w:val="clear" w:color="auto" w:fill="auto"/>
            <w:noWrap w:val="0"/>
            <w:vAlign w:val="center"/>
          </w:tcPr>
          <w:p w14:paraId="5CF64AFA">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产出质量</w:t>
            </w:r>
          </w:p>
        </w:tc>
        <w:tc>
          <w:tcPr>
            <w:tcW w:w="1079" w:type="dxa"/>
            <w:shd w:val="clear" w:color="auto" w:fill="auto"/>
            <w:noWrap w:val="0"/>
            <w:vAlign w:val="center"/>
          </w:tcPr>
          <w:p w14:paraId="6DD58B97">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lang w:val="en-US" w:eastAsia="zh-CN"/>
              </w:rPr>
              <w:t>实训室设备质量合格率</w:t>
            </w:r>
          </w:p>
        </w:tc>
        <w:tc>
          <w:tcPr>
            <w:tcW w:w="2582" w:type="dxa"/>
            <w:shd w:val="clear" w:color="auto" w:fill="auto"/>
            <w:noWrap w:val="0"/>
            <w:vAlign w:val="center"/>
          </w:tcPr>
          <w:p w14:paraId="6CAC3459">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项目完成的质量达标产出数与实际产出数的比率，用以反映和考核项目产出质量目标的实现程度。</w:t>
            </w:r>
          </w:p>
        </w:tc>
        <w:tc>
          <w:tcPr>
            <w:tcW w:w="7085" w:type="dxa"/>
            <w:shd w:val="clear" w:color="auto" w:fill="auto"/>
            <w:noWrap w:val="0"/>
            <w:vAlign w:val="center"/>
          </w:tcPr>
          <w:p w14:paraId="62AE3D0E">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质量达标率=（质量达标产出数/实际产出数）×100%。</w:t>
            </w:r>
          </w:p>
          <w:p w14:paraId="6BCBF6E5">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2" w:type="dxa"/>
            <w:shd w:val="clear" w:color="auto" w:fill="auto"/>
            <w:noWrap w:val="0"/>
            <w:vAlign w:val="center"/>
          </w:tcPr>
          <w:p w14:paraId="09F8C5B4">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5</w:t>
            </w:r>
          </w:p>
        </w:tc>
        <w:tc>
          <w:tcPr>
            <w:tcW w:w="766" w:type="dxa"/>
            <w:shd w:val="clear" w:color="auto" w:fill="auto"/>
            <w:noWrap w:val="0"/>
            <w:vAlign w:val="center"/>
          </w:tcPr>
          <w:p w14:paraId="7A5D414D">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5</w:t>
            </w:r>
          </w:p>
        </w:tc>
      </w:tr>
      <w:tr w14:paraId="4057F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jc w:val="center"/>
        </w:trPr>
        <w:tc>
          <w:tcPr>
            <w:tcW w:w="858" w:type="dxa"/>
            <w:vMerge w:val="continue"/>
            <w:shd w:val="clear" w:color="auto" w:fill="auto"/>
            <w:noWrap w:val="0"/>
            <w:vAlign w:val="center"/>
          </w:tcPr>
          <w:p w14:paraId="0F31C09E">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724" w:type="dxa"/>
            <w:vMerge w:val="continue"/>
            <w:shd w:val="clear" w:color="auto" w:fill="auto"/>
            <w:noWrap w:val="0"/>
            <w:vAlign w:val="center"/>
          </w:tcPr>
          <w:p w14:paraId="7468DF51">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1079" w:type="dxa"/>
            <w:shd w:val="clear" w:color="auto" w:fill="auto"/>
            <w:noWrap w:val="0"/>
            <w:vAlign w:val="center"/>
          </w:tcPr>
          <w:p w14:paraId="6510EFC3">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lang w:val="en-US" w:eastAsia="zh-CN"/>
              </w:rPr>
              <w:t>实训基地验收合格率</w:t>
            </w:r>
          </w:p>
        </w:tc>
        <w:tc>
          <w:tcPr>
            <w:tcW w:w="2582" w:type="dxa"/>
            <w:shd w:val="clear" w:color="auto" w:fill="auto"/>
            <w:noWrap w:val="0"/>
            <w:vAlign w:val="center"/>
          </w:tcPr>
          <w:p w14:paraId="5EFDD7F1">
            <w:pPr>
              <w:widowControl/>
              <w:spacing w:line="0" w:lineRule="atLeast"/>
              <w:ind w:firstLine="0" w:firstLineChars="0"/>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rPr>
              <w:t>项目完成的质量达标产出数与实际产出数的比率，用以反映和考核项目产出质量目标的实现程度。</w:t>
            </w:r>
          </w:p>
        </w:tc>
        <w:tc>
          <w:tcPr>
            <w:tcW w:w="7085" w:type="dxa"/>
            <w:shd w:val="clear" w:color="auto" w:fill="auto"/>
            <w:noWrap w:val="0"/>
            <w:vAlign w:val="center"/>
          </w:tcPr>
          <w:p w14:paraId="2DD864DC">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质量达标率=（质量达标产出数/实际产出数）×100%。</w:t>
            </w:r>
          </w:p>
          <w:p w14:paraId="1D88FCD7">
            <w:pPr>
              <w:widowControl/>
              <w:spacing w:line="0" w:lineRule="atLeast"/>
              <w:ind w:firstLine="0" w:firstLineChars="0"/>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2" w:type="dxa"/>
            <w:shd w:val="clear" w:color="auto" w:fill="auto"/>
            <w:noWrap w:val="0"/>
            <w:vAlign w:val="center"/>
          </w:tcPr>
          <w:p w14:paraId="5CEA08F1">
            <w:pPr>
              <w:widowControl/>
              <w:spacing w:line="0" w:lineRule="atLeast"/>
              <w:ind w:firstLine="0" w:firstLineChars="0"/>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5</w:t>
            </w:r>
          </w:p>
        </w:tc>
        <w:tc>
          <w:tcPr>
            <w:tcW w:w="766" w:type="dxa"/>
            <w:shd w:val="clear" w:color="auto" w:fill="auto"/>
            <w:noWrap w:val="0"/>
            <w:vAlign w:val="center"/>
          </w:tcPr>
          <w:p w14:paraId="5CB9CCBA">
            <w:pPr>
              <w:widowControl/>
              <w:spacing w:line="0" w:lineRule="atLeast"/>
              <w:ind w:firstLine="0" w:firstLineChars="0"/>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5</w:t>
            </w:r>
          </w:p>
        </w:tc>
      </w:tr>
      <w:tr w14:paraId="37563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34" w:hRule="atLeast"/>
          <w:jc w:val="center"/>
        </w:trPr>
        <w:tc>
          <w:tcPr>
            <w:tcW w:w="858" w:type="dxa"/>
            <w:vMerge w:val="continue"/>
            <w:shd w:val="clear" w:color="auto" w:fill="auto"/>
            <w:noWrap w:val="0"/>
            <w:vAlign w:val="center"/>
          </w:tcPr>
          <w:p w14:paraId="548E59FC">
            <w:pPr>
              <w:spacing w:line="0" w:lineRule="atLeast"/>
              <w:ind w:firstLine="0" w:firstLineChars="0"/>
              <w:jc w:val="center"/>
              <w:rPr>
                <w:rFonts w:ascii="宋体" w:hAnsi="宋体" w:eastAsia="宋体" w:cs="宋体"/>
                <w:color w:val="000000"/>
                <w:kern w:val="0"/>
                <w:sz w:val="22"/>
                <w:szCs w:val="22"/>
                <w:highlight w:val="none"/>
              </w:rPr>
            </w:pPr>
          </w:p>
        </w:tc>
        <w:tc>
          <w:tcPr>
            <w:tcW w:w="724" w:type="dxa"/>
            <w:shd w:val="clear" w:color="auto" w:fill="auto"/>
            <w:noWrap w:val="0"/>
            <w:vAlign w:val="center"/>
          </w:tcPr>
          <w:p w14:paraId="3A17804D">
            <w:pPr>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产出时效</w:t>
            </w:r>
          </w:p>
        </w:tc>
        <w:tc>
          <w:tcPr>
            <w:tcW w:w="1079" w:type="dxa"/>
            <w:shd w:val="clear" w:color="auto" w:fill="auto"/>
            <w:noWrap w:val="0"/>
            <w:vAlign w:val="center"/>
          </w:tcPr>
          <w:p w14:paraId="01509046">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按期完成率</w:t>
            </w:r>
          </w:p>
        </w:tc>
        <w:tc>
          <w:tcPr>
            <w:tcW w:w="2582" w:type="dxa"/>
            <w:shd w:val="clear" w:color="auto" w:fill="auto"/>
            <w:noWrap w:val="0"/>
            <w:vAlign w:val="center"/>
          </w:tcPr>
          <w:p w14:paraId="16D9D164">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项目实际完成时间与计划完成时间的比较，用以反映和考核项目产出时效目标的实现程度。</w:t>
            </w:r>
          </w:p>
        </w:tc>
        <w:tc>
          <w:tcPr>
            <w:tcW w:w="7085" w:type="dxa"/>
            <w:shd w:val="clear" w:color="auto" w:fill="auto"/>
            <w:noWrap w:val="0"/>
            <w:vAlign w:val="center"/>
          </w:tcPr>
          <w:p w14:paraId="504FB21E">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实际完成时间：项目实施单位完成该项目实际所耗用的时间。</w:t>
            </w:r>
          </w:p>
          <w:p w14:paraId="7D230E24">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计划完成时间：按照项目实施计划或相关规定完成该项目所需的时间。</w:t>
            </w:r>
          </w:p>
        </w:tc>
        <w:tc>
          <w:tcPr>
            <w:tcW w:w="782" w:type="dxa"/>
            <w:shd w:val="clear" w:color="auto" w:fill="auto"/>
            <w:noWrap w:val="0"/>
            <w:vAlign w:val="center"/>
          </w:tcPr>
          <w:p w14:paraId="40C18BA7">
            <w:pPr>
              <w:widowControl/>
              <w:spacing w:line="0" w:lineRule="atLeast"/>
              <w:ind w:firstLine="0" w:firstLineChars="0"/>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5</w:t>
            </w:r>
          </w:p>
        </w:tc>
        <w:tc>
          <w:tcPr>
            <w:tcW w:w="766" w:type="dxa"/>
            <w:shd w:val="clear" w:color="auto" w:fill="auto"/>
            <w:noWrap w:val="0"/>
            <w:vAlign w:val="center"/>
          </w:tcPr>
          <w:p w14:paraId="19C83517">
            <w:pPr>
              <w:widowControl/>
              <w:spacing w:line="0" w:lineRule="atLeast"/>
              <w:ind w:firstLine="0" w:firstLineChars="0"/>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5</w:t>
            </w:r>
          </w:p>
        </w:tc>
      </w:tr>
      <w:tr w14:paraId="01B51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jc w:val="center"/>
        </w:trPr>
        <w:tc>
          <w:tcPr>
            <w:tcW w:w="858" w:type="dxa"/>
            <w:vMerge w:val="continue"/>
            <w:shd w:val="clear" w:color="auto" w:fill="auto"/>
            <w:noWrap w:val="0"/>
            <w:vAlign w:val="center"/>
          </w:tcPr>
          <w:p w14:paraId="320BDDDE">
            <w:pPr>
              <w:widowControl/>
              <w:spacing w:line="0" w:lineRule="atLeast"/>
              <w:ind w:firstLine="0" w:firstLineChars="0"/>
              <w:jc w:val="center"/>
              <w:rPr>
                <w:rFonts w:ascii="宋体" w:hAnsi="宋体" w:eastAsia="宋体" w:cs="宋体"/>
                <w:color w:val="000000"/>
                <w:kern w:val="0"/>
                <w:sz w:val="22"/>
                <w:szCs w:val="22"/>
                <w:highlight w:val="none"/>
              </w:rPr>
            </w:pPr>
          </w:p>
        </w:tc>
        <w:tc>
          <w:tcPr>
            <w:tcW w:w="724" w:type="dxa"/>
            <w:vMerge w:val="restart"/>
            <w:shd w:val="clear" w:color="auto" w:fill="auto"/>
            <w:noWrap w:val="0"/>
            <w:vAlign w:val="center"/>
          </w:tcPr>
          <w:p w14:paraId="033D7656">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产出成本</w:t>
            </w:r>
          </w:p>
        </w:tc>
        <w:tc>
          <w:tcPr>
            <w:tcW w:w="1079" w:type="dxa"/>
            <w:shd w:val="clear" w:color="auto" w:fill="auto"/>
            <w:noWrap w:val="0"/>
            <w:vAlign w:val="center"/>
          </w:tcPr>
          <w:p w14:paraId="30B41461">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lang w:val="en-US" w:eastAsia="zh-CN"/>
              </w:rPr>
              <w:t>实训基地建支出（万）</w:t>
            </w:r>
          </w:p>
        </w:tc>
        <w:tc>
          <w:tcPr>
            <w:tcW w:w="2582" w:type="dxa"/>
            <w:shd w:val="clear" w:color="auto" w:fill="auto"/>
            <w:noWrap w:val="0"/>
            <w:vAlign w:val="center"/>
          </w:tcPr>
          <w:p w14:paraId="50575D40">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完成项目计划工作目标的实际节约成本与计划成本的比率，用以反映和考核项目的成本节约程度。</w:t>
            </w:r>
          </w:p>
        </w:tc>
        <w:tc>
          <w:tcPr>
            <w:tcW w:w="7085" w:type="dxa"/>
            <w:shd w:val="clear" w:color="auto" w:fill="auto"/>
            <w:noWrap w:val="0"/>
            <w:vAlign w:val="center"/>
          </w:tcPr>
          <w:p w14:paraId="1494A402">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成本节约率=[（计划成本-实际成本）/计划成本]×100%。</w:t>
            </w:r>
          </w:p>
          <w:p w14:paraId="22A02C7E">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实际成本：项目实施单位如期、保质、保量完成既定工作目标实际所耗费的支出。</w:t>
            </w:r>
          </w:p>
          <w:p w14:paraId="6AF484A9">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计划成本：项目实施单位为完成工作目标计划安排的支出，一般以项目预算为参考。</w:t>
            </w:r>
          </w:p>
        </w:tc>
        <w:tc>
          <w:tcPr>
            <w:tcW w:w="782" w:type="dxa"/>
            <w:shd w:val="clear" w:color="auto" w:fill="auto"/>
            <w:noWrap w:val="0"/>
            <w:vAlign w:val="center"/>
          </w:tcPr>
          <w:p w14:paraId="0159B461">
            <w:pPr>
              <w:widowControl/>
              <w:spacing w:line="0" w:lineRule="atLeast"/>
              <w:ind w:firstLine="0" w:firstLineChars="0"/>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2.5</w:t>
            </w:r>
          </w:p>
        </w:tc>
        <w:tc>
          <w:tcPr>
            <w:tcW w:w="766" w:type="dxa"/>
            <w:shd w:val="clear" w:color="auto" w:fill="auto"/>
            <w:noWrap w:val="0"/>
            <w:vAlign w:val="center"/>
          </w:tcPr>
          <w:p w14:paraId="675E6ED1">
            <w:pPr>
              <w:widowControl/>
              <w:spacing w:line="0" w:lineRule="atLeast"/>
              <w:ind w:firstLine="0" w:firstLineChars="0"/>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2.5</w:t>
            </w:r>
          </w:p>
        </w:tc>
      </w:tr>
      <w:tr w14:paraId="61EFC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jc w:val="center"/>
        </w:trPr>
        <w:tc>
          <w:tcPr>
            <w:tcW w:w="858" w:type="dxa"/>
            <w:shd w:val="clear" w:color="auto" w:fill="auto"/>
            <w:noWrap w:val="0"/>
            <w:vAlign w:val="center"/>
          </w:tcPr>
          <w:p w14:paraId="6B2C637F">
            <w:pPr>
              <w:widowControl/>
              <w:spacing w:line="0" w:lineRule="atLeast"/>
              <w:ind w:firstLine="0" w:firstLineChars="0"/>
              <w:jc w:val="center"/>
              <w:rPr>
                <w:rFonts w:ascii="宋体" w:hAnsi="宋体" w:eastAsia="宋体" w:cs="宋体"/>
                <w:color w:val="000000"/>
                <w:kern w:val="0"/>
                <w:sz w:val="22"/>
                <w:szCs w:val="22"/>
                <w:highlight w:val="none"/>
              </w:rPr>
            </w:pPr>
          </w:p>
        </w:tc>
        <w:tc>
          <w:tcPr>
            <w:tcW w:w="724" w:type="dxa"/>
            <w:vMerge w:val="continue"/>
            <w:shd w:val="clear" w:color="auto" w:fill="auto"/>
            <w:noWrap w:val="0"/>
            <w:vAlign w:val="center"/>
          </w:tcPr>
          <w:p w14:paraId="297398AA">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1079" w:type="dxa"/>
            <w:shd w:val="clear" w:color="auto" w:fill="auto"/>
            <w:noWrap w:val="0"/>
            <w:vAlign w:val="center"/>
          </w:tcPr>
          <w:p w14:paraId="2350CEA8">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lang w:val="en-US" w:eastAsia="zh-CN"/>
              </w:rPr>
              <w:t>设备采购支出（万）</w:t>
            </w:r>
          </w:p>
        </w:tc>
        <w:tc>
          <w:tcPr>
            <w:tcW w:w="2582" w:type="dxa"/>
            <w:shd w:val="clear" w:color="auto" w:fill="auto"/>
            <w:noWrap w:val="0"/>
            <w:vAlign w:val="center"/>
          </w:tcPr>
          <w:p w14:paraId="3DBC65FE">
            <w:pPr>
              <w:widowControl/>
              <w:spacing w:line="0" w:lineRule="atLeast"/>
              <w:ind w:firstLine="0" w:firstLineChars="0"/>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rPr>
              <w:t>完成项目计划工作目标的实际节约成本与计划成本的比率，用以反映和考核项目的成本节约程度。</w:t>
            </w:r>
          </w:p>
        </w:tc>
        <w:tc>
          <w:tcPr>
            <w:tcW w:w="7085" w:type="dxa"/>
            <w:shd w:val="clear" w:color="auto" w:fill="auto"/>
            <w:noWrap w:val="0"/>
            <w:vAlign w:val="center"/>
          </w:tcPr>
          <w:p w14:paraId="33DEF35D">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成本节约率=[（计划成本-实际成本）/计划成本]×100%。</w:t>
            </w:r>
          </w:p>
          <w:p w14:paraId="1114E919">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实际成本：项目实施单位如期、保质、保量完成既定工作目标实际所耗费的支出。</w:t>
            </w:r>
          </w:p>
          <w:p w14:paraId="3838F78F">
            <w:pPr>
              <w:widowControl/>
              <w:spacing w:line="0" w:lineRule="atLeast"/>
              <w:ind w:firstLine="0" w:firstLineChars="0"/>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计划成本：项目实施单位为完成工作目标计划安排的支出，一般以项目预算为参考。</w:t>
            </w:r>
          </w:p>
        </w:tc>
        <w:tc>
          <w:tcPr>
            <w:tcW w:w="782" w:type="dxa"/>
            <w:shd w:val="clear" w:color="auto" w:fill="auto"/>
            <w:noWrap w:val="0"/>
            <w:vAlign w:val="center"/>
          </w:tcPr>
          <w:p w14:paraId="20A387A0">
            <w:pPr>
              <w:widowControl/>
              <w:spacing w:line="0" w:lineRule="atLeast"/>
              <w:ind w:firstLine="0" w:firstLineChars="0"/>
              <w:rPr>
                <w:rFonts w:hint="eastAsia" w:ascii="宋体" w:hAnsi="宋体" w:eastAsia="宋体" w:cs="宋体"/>
                <w:color w:val="000000"/>
                <w:kern w:val="0"/>
                <w:sz w:val="22"/>
                <w:szCs w:val="22"/>
                <w:highlight w:val="none"/>
                <w:lang w:val="en-US" w:eastAsia="zh-CN" w:bidi="ar-SA"/>
              </w:rPr>
            </w:pPr>
            <w:r>
              <w:rPr>
                <w:rFonts w:hint="eastAsia" w:cs="宋体"/>
                <w:color w:val="000000"/>
                <w:kern w:val="0"/>
                <w:sz w:val="22"/>
                <w:szCs w:val="22"/>
                <w:highlight w:val="none"/>
                <w:lang w:val="en-US" w:eastAsia="zh-CN"/>
              </w:rPr>
              <w:t>2.5</w:t>
            </w:r>
          </w:p>
        </w:tc>
        <w:tc>
          <w:tcPr>
            <w:tcW w:w="766" w:type="dxa"/>
            <w:shd w:val="clear" w:color="auto" w:fill="auto"/>
            <w:noWrap w:val="0"/>
            <w:vAlign w:val="center"/>
          </w:tcPr>
          <w:p w14:paraId="415C95D1">
            <w:pPr>
              <w:widowControl/>
              <w:spacing w:line="0" w:lineRule="atLeast"/>
              <w:ind w:firstLine="0" w:firstLineChars="0"/>
              <w:rPr>
                <w:rFonts w:hint="eastAsia" w:ascii="宋体" w:hAnsi="宋体" w:eastAsia="宋体" w:cs="宋体"/>
                <w:color w:val="000000"/>
                <w:kern w:val="0"/>
                <w:sz w:val="22"/>
                <w:szCs w:val="22"/>
                <w:highlight w:val="none"/>
                <w:lang w:val="en-US" w:eastAsia="zh-CN" w:bidi="ar-SA"/>
              </w:rPr>
            </w:pPr>
            <w:r>
              <w:rPr>
                <w:rFonts w:hint="eastAsia" w:cs="宋体"/>
                <w:color w:val="000000"/>
                <w:kern w:val="0"/>
                <w:sz w:val="22"/>
                <w:szCs w:val="22"/>
                <w:highlight w:val="none"/>
                <w:lang w:val="en-US" w:eastAsia="zh-CN"/>
              </w:rPr>
              <w:t>2.5</w:t>
            </w:r>
          </w:p>
        </w:tc>
      </w:tr>
      <w:tr w14:paraId="1F20D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858" w:type="dxa"/>
            <w:vMerge w:val="restart"/>
            <w:shd w:val="clear" w:color="auto" w:fill="auto"/>
            <w:noWrap w:val="0"/>
            <w:vAlign w:val="center"/>
          </w:tcPr>
          <w:p w14:paraId="1CEC1899">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效益　</w:t>
            </w:r>
          </w:p>
        </w:tc>
        <w:tc>
          <w:tcPr>
            <w:tcW w:w="724" w:type="dxa"/>
            <w:vMerge w:val="restart"/>
            <w:shd w:val="clear" w:color="auto" w:fill="auto"/>
            <w:noWrap w:val="0"/>
            <w:vAlign w:val="center"/>
          </w:tcPr>
          <w:p w14:paraId="160D3D5F">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项目效益　</w:t>
            </w:r>
          </w:p>
        </w:tc>
        <w:tc>
          <w:tcPr>
            <w:tcW w:w="1079" w:type="dxa"/>
            <w:shd w:val="clear" w:color="auto" w:fill="auto"/>
            <w:noWrap w:val="0"/>
            <w:vAlign w:val="center"/>
          </w:tcPr>
          <w:p w14:paraId="1A0DE035">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改善办学条件</w:t>
            </w:r>
          </w:p>
        </w:tc>
        <w:tc>
          <w:tcPr>
            <w:tcW w:w="2582" w:type="dxa"/>
            <w:shd w:val="clear" w:color="auto" w:fill="auto"/>
            <w:noWrap w:val="0"/>
            <w:vAlign w:val="center"/>
          </w:tcPr>
          <w:p w14:paraId="17E48ED7">
            <w:pPr>
              <w:widowControl/>
              <w:spacing w:line="0" w:lineRule="atLeast"/>
              <w:ind w:firstLine="0" w:firstLineChars="0"/>
              <w:jc w:val="left"/>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项目实施所产生的效益。</w:t>
            </w:r>
          </w:p>
        </w:tc>
        <w:tc>
          <w:tcPr>
            <w:tcW w:w="7085" w:type="dxa"/>
            <w:shd w:val="clear" w:color="auto" w:fill="auto"/>
            <w:noWrap w:val="0"/>
            <w:vAlign w:val="center"/>
          </w:tcPr>
          <w:p w14:paraId="52FE4F0A">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项目实施所产生的社会效益、经济效益、生态效益、可持续影响等。可根据项目实际情况有选择地设置和细化。</w:t>
            </w:r>
          </w:p>
        </w:tc>
        <w:tc>
          <w:tcPr>
            <w:tcW w:w="782" w:type="dxa"/>
            <w:shd w:val="clear" w:color="auto" w:fill="auto"/>
            <w:noWrap w:val="0"/>
            <w:vAlign w:val="center"/>
          </w:tcPr>
          <w:p w14:paraId="358A277B">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15</w:t>
            </w:r>
          </w:p>
        </w:tc>
        <w:tc>
          <w:tcPr>
            <w:tcW w:w="766" w:type="dxa"/>
            <w:shd w:val="clear" w:color="auto" w:fill="auto"/>
            <w:noWrap w:val="0"/>
            <w:vAlign w:val="center"/>
          </w:tcPr>
          <w:p w14:paraId="34FE069F">
            <w:pPr>
              <w:widowControl/>
              <w:spacing w:line="0" w:lineRule="atLeast"/>
              <w:ind w:firstLine="0" w:firstLineChars="0"/>
              <w:rPr>
                <w:rFonts w:hint="eastAsia" w:ascii="宋体" w:hAnsi="宋体" w:eastAsia="宋体" w:cs="宋体"/>
                <w:color w:val="000000"/>
                <w:kern w:val="0"/>
                <w:sz w:val="22"/>
                <w:szCs w:val="22"/>
                <w:highlight w:val="none"/>
                <w:lang w:val="en-US" w:eastAsia="zh-CN" w:bidi="ar-SA"/>
              </w:rPr>
            </w:pPr>
            <w:r>
              <w:rPr>
                <w:rFonts w:hint="eastAsia" w:cs="宋体"/>
                <w:color w:val="000000"/>
                <w:kern w:val="0"/>
                <w:sz w:val="22"/>
                <w:szCs w:val="22"/>
                <w:highlight w:val="none"/>
                <w:lang w:val="en-US" w:eastAsia="zh-CN"/>
              </w:rPr>
              <w:t>15</w:t>
            </w:r>
          </w:p>
        </w:tc>
      </w:tr>
      <w:tr w14:paraId="6C695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1" w:hRule="atLeast"/>
          <w:jc w:val="center"/>
        </w:trPr>
        <w:tc>
          <w:tcPr>
            <w:tcW w:w="858" w:type="dxa"/>
            <w:vMerge w:val="continue"/>
            <w:shd w:val="clear" w:color="auto" w:fill="auto"/>
            <w:noWrap w:val="0"/>
            <w:vAlign w:val="center"/>
          </w:tcPr>
          <w:p w14:paraId="024B3C49">
            <w:pPr>
              <w:widowControl/>
              <w:spacing w:line="0" w:lineRule="atLeast"/>
              <w:ind w:firstLine="0" w:firstLineChars="0"/>
              <w:jc w:val="center"/>
              <w:rPr>
                <w:rFonts w:ascii="宋体" w:hAnsi="宋体" w:eastAsia="宋体" w:cs="宋体"/>
                <w:color w:val="000000"/>
                <w:kern w:val="0"/>
                <w:sz w:val="22"/>
                <w:szCs w:val="22"/>
                <w:highlight w:val="none"/>
              </w:rPr>
            </w:pPr>
          </w:p>
        </w:tc>
        <w:tc>
          <w:tcPr>
            <w:tcW w:w="724" w:type="dxa"/>
            <w:vMerge w:val="continue"/>
            <w:shd w:val="clear" w:color="auto" w:fill="auto"/>
            <w:noWrap w:val="0"/>
            <w:vAlign w:val="center"/>
          </w:tcPr>
          <w:p w14:paraId="4DBFE3B8">
            <w:pPr>
              <w:widowControl/>
              <w:spacing w:line="0" w:lineRule="atLeast"/>
              <w:ind w:firstLine="0" w:firstLineChars="0"/>
              <w:jc w:val="center"/>
              <w:rPr>
                <w:rFonts w:ascii="宋体" w:hAnsi="宋体" w:eastAsia="宋体" w:cs="宋体"/>
                <w:color w:val="000000"/>
                <w:kern w:val="0"/>
                <w:sz w:val="22"/>
                <w:szCs w:val="22"/>
                <w:highlight w:val="none"/>
              </w:rPr>
            </w:pPr>
          </w:p>
        </w:tc>
        <w:tc>
          <w:tcPr>
            <w:tcW w:w="1079" w:type="dxa"/>
            <w:shd w:val="clear" w:color="auto" w:fill="auto"/>
            <w:noWrap w:val="0"/>
            <w:vAlign w:val="center"/>
          </w:tcPr>
          <w:p w14:paraId="62CFB2F7">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cs="宋体"/>
                <w:color w:val="000000"/>
                <w:kern w:val="0"/>
                <w:sz w:val="22"/>
                <w:szCs w:val="22"/>
                <w:highlight w:val="none"/>
                <w:lang w:val="en-US" w:eastAsia="zh-CN"/>
              </w:rPr>
              <w:t>学生</w:t>
            </w:r>
            <w:r>
              <w:rPr>
                <w:rFonts w:hint="eastAsia" w:ascii="宋体" w:hAnsi="宋体" w:eastAsia="宋体" w:cs="宋体"/>
                <w:color w:val="000000"/>
                <w:kern w:val="0"/>
                <w:sz w:val="22"/>
                <w:szCs w:val="22"/>
                <w:highlight w:val="none"/>
              </w:rPr>
              <w:t>满意度</w:t>
            </w:r>
          </w:p>
        </w:tc>
        <w:tc>
          <w:tcPr>
            <w:tcW w:w="2582" w:type="dxa"/>
            <w:shd w:val="clear" w:color="auto" w:fill="auto"/>
            <w:noWrap w:val="0"/>
            <w:vAlign w:val="center"/>
          </w:tcPr>
          <w:p w14:paraId="3857999A">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社会公众或服务对象对项目实施效果的满意程度。</w:t>
            </w:r>
          </w:p>
        </w:tc>
        <w:tc>
          <w:tcPr>
            <w:tcW w:w="7085" w:type="dxa"/>
            <w:shd w:val="clear" w:color="auto" w:fill="auto"/>
            <w:noWrap w:val="0"/>
            <w:vAlign w:val="center"/>
          </w:tcPr>
          <w:p w14:paraId="6EF2B534">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社会公众或服务对象是指因该项目实施而受到影响的部门（单位）、群体或个人。一般采取社会调查的方式。</w:t>
            </w:r>
          </w:p>
        </w:tc>
        <w:tc>
          <w:tcPr>
            <w:tcW w:w="782" w:type="dxa"/>
            <w:shd w:val="clear" w:color="auto" w:fill="auto"/>
            <w:noWrap w:val="0"/>
            <w:vAlign w:val="center"/>
          </w:tcPr>
          <w:p w14:paraId="101ECD8E">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15</w:t>
            </w:r>
          </w:p>
        </w:tc>
        <w:tc>
          <w:tcPr>
            <w:tcW w:w="766" w:type="dxa"/>
            <w:shd w:val="clear" w:color="auto" w:fill="auto"/>
            <w:noWrap w:val="0"/>
            <w:vAlign w:val="center"/>
          </w:tcPr>
          <w:p w14:paraId="31DBA9B8">
            <w:pPr>
              <w:widowControl/>
              <w:spacing w:line="0" w:lineRule="atLeast"/>
              <w:ind w:firstLine="0" w:firstLineChars="0"/>
              <w:rPr>
                <w:rFonts w:hint="eastAsia" w:ascii="宋体" w:hAnsi="宋体" w:eastAsia="宋体" w:cs="宋体"/>
                <w:color w:val="000000"/>
                <w:kern w:val="0"/>
                <w:sz w:val="22"/>
                <w:szCs w:val="22"/>
                <w:highlight w:val="none"/>
                <w:lang w:val="en-US" w:eastAsia="zh-CN" w:bidi="ar-SA"/>
              </w:rPr>
            </w:pPr>
            <w:r>
              <w:rPr>
                <w:rFonts w:hint="eastAsia" w:cs="宋体"/>
                <w:color w:val="000000"/>
                <w:kern w:val="0"/>
                <w:sz w:val="22"/>
                <w:szCs w:val="22"/>
                <w:highlight w:val="none"/>
                <w:lang w:val="en-US" w:eastAsia="zh-CN"/>
              </w:rPr>
              <w:t>15</w:t>
            </w:r>
          </w:p>
        </w:tc>
      </w:tr>
      <w:tr w14:paraId="0C3B9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5243" w:type="dxa"/>
            <w:gridSpan w:val="4"/>
            <w:shd w:val="clear" w:color="auto" w:fill="auto"/>
            <w:noWrap w:val="0"/>
            <w:vAlign w:val="center"/>
          </w:tcPr>
          <w:p w14:paraId="0A5B814A">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lang w:val="en-US" w:eastAsia="zh-CN"/>
              </w:rPr>
              <w:t>合计</w:t>
            </w:r>
          </w:p>
        </w:tc>
        <w:tc>
          <w:tcPr>
            <w:tcW w:w="7085" w:type="dxa"/>
            <w:shd w:val="clear" w:color="auto" w:fill="auto"/>
            <w:noWrap w:val="0"/>
            <w:vAlign w:val="center"/>
          </w:tcPr>
          <w:p w14:paraId="34786DBE">
            <w:pPr>
              <w:widowControl/>
              <w:spacing w:line="0" w:lineRule="atLeast"/>
              <w:ind w:firstLine="0" w:firstLineChars="0"/>
              <w:rPr>
                <w:rFonts w:hint="eastAsia" w:ascii="宋体" w:hAnsi="宋体" w:eastAsia="宋体" w:cs="宋体"/>
                <w:color w:val="000000"/>
                <w:kern w:val="0"/>
                <w:sz w:val="22"/>
                <w:szCs w:val="22"/>
                <w:highlight w:val="none"/>
              </w:rPr>
            </w:pPr>
          </w:p>
        </w:tc>
        <w:tc>
          <w:tcPr>
            <w:tcW w:w="782" w:type="dxa"/>
            <w:shd w:val="clear" w:color="auto" w:fill="auto"/>
            <w:noWrap w:val="0"/>
            <w:vAlign w:val="center"/>
          </w:tcPr>
          <w:p w14:paraId="7C0F3507">
            <w:pPr>
              <w:widowControl/>
              <w:spacing w:line="0" w:lineRule="atLeast"/>
              <w:ind w:firstLine="0" w:firstLineChars="0"/>
              <w:jc w:val="center"/>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100</w:t>
            </w:r>
          </w:p>
        </w:tc>
        <w:tc>
          <w:tcPr>
            <w:tcW w:w="766" w:type="dxa"/>
            <w:shd w:val="clear" w:color="auto" w:fill="auto"/>
            <w:noWrap w:val="0"/>
            <w:vAlign w:val="center"/>
          </w:tcPr>
          <w:p w14:paraId="7F51102E">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99.5</w:t>
            </w:r>
          </w:p>
        </w:tc>
      </w:tr>
      <w:bookmarkEnd w:id="87"/>
    </w:tbl>
    <w:p w14:paraId="57864345">
      <w:pPr>
        <w:spacing w:line="240" w:lineRule="auto"/>
        <w:ind w:firstLine="0" w:firstLineChars="0"/>
        <w:rPr>
          <w:rFonts w:ascii="Times New Roman" w:hAnsi="Times New Roman" w:eastAsia="仿宋_GB2312" w:cs="Times New Roman"/>
          <w:sz w:val="30"/>
          <w:szCs w:val="24"/>
          <w:highlight w:val="none"/>
        </w:rPr>
      </w:pPr>
    </w:p>
    <w:p w14:paraId="210E748E">
      <w:pPr>
        <w:rPr>
          <w:rFonts w:hint="default"/>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09F30E">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305D78">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7305D78">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C7DB2"/>
    <w:rsid w:val="007D6A04"/>
    <w:rsid w:val="00C50F1B"/>
    <w:rsid w:val="00E23C81"/>
    <w:rsid w:val="01253350"/>
    <w:rsid w:val="01282E62"/>
    <w:rsid w:val="014029CF"/>
    <w:rsid w:val="01470C4C"/>
    <w:rsid w:val="02200440"/>
    <w:rsid w:val="02284B43"/>
    <w:rsid w:val="02B015E2"/>
    <w:rsid w:val="02DC08FA"/>
    <w:rsid w:val="03087048"/>
    <w:rsid w:val="033B569D"/>
    <w:rsid w:val="03747D9C"/>
    <w:rsid w:val="039C3BA0"/>
    <w:rsid w:val="03A845BB"/>
    <w:rsid w:val="03B45AD1"/>
    <w:rsid w:val="04A0564E"/>
    <w:rsid w:val="04D12EE4"/>
    <w:rsid w:val="04D63993"/>
    <w:rsid w:val="07890F4F"/>
    <w:rsid w:val="08892439"/>
    <w:rsid w:val="08EB30F3"/>
    <w:rsid w:val="09237408"/>
    <w:rsid w:val="09781BD6"/>
    <w:rsid w:val="09F359DF"/>
    <w:rsid w:val="0A2A7C4B"/>
    <w:rsid w:val="0A575E65"/>
    <w:rsid w:val="0A806186"/>
    <w:rsid w:val="0ACA0AB6"/>
    <w:rsid w:val="0BB93035"/>
    <w:rsid w:val="0C032502"/>
    <w:rsid w:val="0C27698C"/>
    <w:rsid w:val="0D4452F3"/>
    <w:rsid w:val="0D6A6DAA"/>
    <w:rsid w:val="0D95525E"/>
    <w:rsid w:val="0EB42E0B"/>
    <w:rsid w:val="0F5E5042"/>
    <w:rsid w:val="0FE95707"/>
    <w:rsid w:val="10510571"/>
    <w:rsid w:val="10787A20"/>
    <w:rsid w:val="108672DE"/>
    <w:rsid w:val="10EC685A"/>
    <w:rsid w:val="110C00AB"/>
    <w:rsid w:val="11FA6155"/>
    <w:rsid w:val="12CF0947"/>
    <w:rsid w:val="12F1313F"/>
    <w:rsid w:val="136C678E"/>
    <w:rsid w:val="13EB2FF5"/>
    <w:rsid w:val="15114352"/>
    <w:rsid w:val="15A46B04"/>
    <w:rsid w:val="165825BC"/>
    <w:rsid w:val="16BC5D73"/>
    <w:rsid w:val="176F36D7"/>
    <w:rsid w:val="1795226D"/>
    <w:rsid w:val="18456B1E"/>
    <w:rsid w:val="18BD7EDC"/>
    <w:rsid w:val="1B511EAC"/>
    <w:rsid w:val="1C1171C5"/>
    <w:rsid w:val="1D265138"/>
    <w:rsid w:val="1D6D6DBD"/>
    <w:rsid w:val="1D7B6BCA"/>
    <w:rsid w:val="1DA41A79"/>
    <w:rsid w:val="1DF53469"/>
    <w:rsid w:val="1E2F24F2"/>
    <w:rsid w:val="1E58492F"/>
    <w:rsid w:val="1E5B6757"/>
    <w:rsid w:val="1ED10AC6"/>
    <w:rsid w:val="1F080948"/>
    <w:rsid w:val="1F89225F"/>
    <w:rsid w:val="1F900A1F"/>
    <w:rsid w:val="1FC0575D"/>
    <w:rsid w:val="206132C7"/>
    <w:rsid w:val="21076325"/>
    <w:rsid w:val="21B00C1D"/>
    <w:rsid w:val="22FF6E4E"/>
    <w:rsid w:val="23031BEB"/>
    <w:rsid w:val="23917691"/>
    <w:rsid w:val="24184125"/>
    <w:rsid w:val="244D65B8"/>
    <w:rsid w:val="245E1E24"/>
    <w:rsid w:val="25AD5E5D"/>
    <w:rsid w:val="267E3B00"/>
    <w:rsid w:val="268F110A"/>
    <w:rsid w:val="26B449B1"/>
    <w:rsid w:val="2732478D"/>
    <w:rsid w:val="27661469"/>
    <w:rsid w:val="27900EAD"/>
    <w:rsid w:val="279B538A"/>
    <w:rsid w:val="286F545C"/>
    <w:rsid w:val="29314FBC"/>
    <w:rsid w:val="2995241E"/>
    <w:rsid w:val="2BC5755A"/>
    <w:rsid w:val="2C024B86"/>
    <w:rsid w:val="2C927671"/>
    <w:rsid w:val="2D7C5CD6"/>
    <w:rsid w:val="2E483E7E"/>
    <w:rsid w:val="2E5A772B"/>
    <w:rsid w:val="2E690493"/>
    <w:rsid w:val="2E9854BD"/>
    <w:rsid w:val="2F0D407F"/>
    <w:rsid w:val="2F454B19"/>
    <w:rsid w:val="2F57598F"/>
    <w:rsid w:val="310224D9"/>
    <w:rsid w:val="31B4621C"/>
    <w:rsid w:val="31E3230A"/>
    <w:rsid w:val="330957E0"/>
    <w:rsid w:val="33356F64"/>
    <w:rsid w:val="33944516"/>
    <w:rsid w:val="34B62907"/>
    <w:rsid w:val="36BD137C"/>
    <w:rsid w:val="385D37E7"/>
    <w:rsid w:val="38782EDD"/>
    <w:rsid w:val="3B42664A"/>
    <w:rsid w:val="3C4936B2"/>
    <w:rsid w:val="3D4F5874"/>
    <w:rsid w:val="3D836A4E"/>
    <w:rsid w:val="3EA37E97"/>
    <w:rsid w:val="3EA46215"/>
    <w:rsid w:val="3FBE0BC5"/>
    <w:rsid w:val="3FC306F2"/>
    <w:rsid w:val="4048103A"/>
    <w:rsid w:val="40736643"/>
    <w:rsid w:val="40D24A7A"/>
    <w:rsid w:val="42621029"/>
    <w:rsid w:val="42924CE2"/>
    <w:rsid w:val="435241E2"/>
    <w:rsid w:val="43975C51"/>
    <w:rsid w:val="439E3FA7"/>
    <w:rsid w:val="44B32266"/>
    <w:rsid w:val="44FC64F4"/>
    <w:rsid w:val="45455AF4"/>
    <w:rsid w:val="4577105E"/>
    <w:rsid w:val="4592157C"/>
    <w:rsid w:val="467F4585"/>
    <w:rsid w:val="46853538"/>
    <w:rsid w:val="470628CB"/>
    <w:rsid w:val="470D1EAB"/>
    <w:rsid w:val="472B3AEA"/>
    <w:rsid w:val="47555BD4"/>
    <w:rsid w:val="47E96399"/>
    <w:rsid w:val="48E12B50"/>
    <w:rsid w:val="499441BE"/>
    <w:rsid w:val="499A6C1C"/>
    <w:rsid w:val="4A2138F0"/>
    <w:rsid w:val="4A583887"/>
    <w:rsid w:val="4B060FC5"/>
    <w:rsid w:val="4B3D3F18"/>
    <w:rsid w:val="4B9F6E02"/>
    <w:rsid w:val="4C350D66"/>
    <w:rsid w:val="4C89637B"/>
    <w:rsid w:val="4E6E48A8"/>
    <w:rsid w:val="4E960CC2"/>
    <w:rsid w:val="4EEC036B"/>
    <w:rsid w:val="5007663A"/>
    <w:rsid w:val="501D2673"/>
    <w:rsid w:val="50C80BF1"/>
    <w:rsid w:val="51746AFC"/>
    <w:rsid w:val="51852833"/>
    <w:rsid w:val="51C4585C"/>
    <w:rsid w:val="51DD75DC"/>
    <w:rsid w:val="52AA4A52"/>
    <w:rsid w:val="52F11AC8"/>
    <w:rsid w:val="534F49D9"/>
    <w:rsid w:val="53555F0F"/>
    <w:rsid w:val="535D23D5"/>
    <w:rsid w:val="56F4341A"/>
    <w:rsid w:val="575A7321"/>
    <w:rsid w:val="580C3AB9"/>
    <w:rsid w:val="583C7AE0"/>
    <w:rsid w:val="586C1E9A"/>
    <w:rsid w:val="586E0800"/>
    <w:rsid w:val="58FB67C7"/>
    <w:rsid w:val="59216F96"/>
    <w:rsid w:val="598C4145"/>
    <w:rsid w:val="59957D1B"/>
    <w:rsid w:val="59D4294E"/>
    <w:rsid w:val="5A6D6864"/>
    <w:rsid w:val="5A921266"/>
    <w:rsid w:val="5B614411"/>
    <w:rsid w:val="5B634312"/>
    <w:rsid w:val="5B9D2CCD"/>
    <w:rsid w:val="5B9E71EA"/>
    <w:rsid w:val="5D985EAE"/>
    <w:rsid w:val="5DAF6A50"/>
    <w:rsid w:val="5E226FBC"/>
    <w:rsid w:val="5FE72BD2"/>
    <w:rsid w:val="60120613"/>
    <w:rsid w:val="609D0497"/>
    <w:rsid w:val="618D5292"/>
    <w:rsid w:val="622E78FA"/>
    <w:rsid w:val="62C423F5"/>
    <w:rsid w:val="63343F70"/>
    <w:rsid w:val="637A221F"/>
    <w:rsid w:val="64296E1C"/>
    <w:rsid w:val="649E64A2"/>
    <w:rsid w:val="655A0598"/>
    <w:rsid w:val="65E5270A"/>
    <w:rsid w:val="663D3C54"/>
    <w:rsid w:val="66862C89"/>
    <w:rsid w:val="66BB486D"/>
    <w:rsid w:val="67394C7D"/>
    <w:rsid w:val="68126B38"/>
    <w:rsid w:val="68291A1A"/>
    <w:rsid w:val="68352BB8"/>
    <w:rsid w:val="691B1594"/>
    <w:rsid w:val="693A016B"/>
    <w:rsid w:val="6A17429C"/>
    <w:rsid w:val="6A567EA3"/>
    <w:rsid w:val="6B014FD4"/>
    <w:rsid w:val="6B4B4368"/>
    <w:rsid w:val="6B79100E"/>
    <w:rsid w:val="6C844C00"/>
    <w:rsid w:val="6E10212C"/>
    <w:rsid w:val="6E43561A"/>
    <w:rsid w:val="6E557973"/>
    <w:rsid w:val="6E9568DB"/>
    <w:rsid w:val="6F0D6C22"/>
    <w:rsid w:val="6F47657F"/>
    <w:rsid w:val="6F5647D4"/>
    <w:rsid w:val="6FAF23D9"/>
    <w:rsid w:val="70635CF6"/>
    <w:rsid w:val="70670707"/>
    <w:rsid w:val="7089584F"/>
    <w:rsid w:val="720E3691"/>
    <w:rsid w:val="724E244C"/>
    <w:rsid w:val="72DA6946"/>
    <w:rsid w:val="732764B3"/>
    <w:rsid w:val="74026044"/>
    <w:rsid w:val="743C1DEF"/>
    <w:rsid w:val="74746410"/>
    <w:rsid w:val="747C42E2"/>
    <w:rsid w:val="75AC3C3A"/>
    <w:rsid w:val="75E5007C"/>
    <w:rsid w:val="75E95C5D"/>
    <w:rsid w:val="768A53DD"/>
    <w:rsid w:val="77813724"/>
    <w:rsid w:val="77861774"/>
    <w:rsid w:val="78F31435"/>
    <w:rsid w:val="79300B45"/>
    <w:rsid w:val="794D3E18"/>
    <w:rsid w:val="79F3729A"/>
    <w:rsid w:val="7A880722"/>
    <w:rsid w:val="7ACB0498"/>
    <w:rsid w:val="7AED0B4D"/>
    <w:rsid w:val="7C1E4487"/>
    <w:rsid w:val="7C215E02"/>
    <w:rsid w:val="7CF23764"/>
    <w:rsid w:val="7E797F74"/>
    <w:rsid w:val="7F924011"/>
    <w:rsid w:val="7FBB25C3"/>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15"/>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pPr>
      <w:spacing w:before="240" w:after="240" w:line="360" w:lineRule="auto"/>
      <w:jc w:val="center"/>
    </w:pPr>
    <w:rPr>
      <w:b/>
      <w:sz w:val="44"/>
    </w:rPr>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autoRedefine/>
    <w:qFormat/>
    <w:uiPriority w:val="99"/>
  </w:style>
  <w:style w:type="paragraph" w:styleId="11">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4">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3"/>
    <w:autoRedefine/>
    <w:qFormat/>
    <w:uiPriority w:val="0"/>
    <w:rPr>
      <w:rFonts w:ascii="Arial" w:hAnsi="Arial" w:eastAsia="楷体"/>
      <w:b/>
      <w:sz w:val="32"/>
    </w:rPr>
  </w:style>
  <w:style w:type="paragraph" w:customStyle="1" w:styleId="16">
    <w:name w:val="WPSOffice手动目录 1"/>
    <w:autoRedefine/>
    <w:qFormat/>
    <w:uiPriority w:val="0"/>
    <w:pPr>
      <w:ind w:leftChars="0"/>
    </w:pPr>
    <w:rPr>
      <w:rFonts w:ascii="Times New Roman" w:hAnsi="Times New Roman" w:eastAsia="宋体" w:cs="Times New Roman"/>
      <w:sz w:val="20"/>
      <w:szCs w:val="20"/>
    </w:rPr>
  </w:style>
  <w:style w:type="paragraph" w:customStyle="1" w:styleId="17">
    <w:name w:val="WPSOffice手动目录 2"/>
    <w:autoRedefine/>
    <w:qFormat/>
    <w:uiPriority w:val="0"/>
    <w:pPr>
      <w:ind w:leftChars="200"/>
    </w:pPr>
    <w:rPr>
      <w:rFonts w:ascii="Times New Roman" w:hAnsi="Times New Roman" w:eastAsia="宋体" w:cs="Times New Roman"/>
      <w:sz w:val="20"/>
      <w:szCs w:val="20"/>
    </w:rPr>
  </w:style>
  <w:style w:type="paragraph" w:customStyle="1" w:styleId="18">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13125</Words>
  <Characters>14018</Characters>
  <Lines>0</Lines>
  <Paragraphs>0</Paragraphs>
  <TotalTime>1</TotalTime>
  <ScaleCrop>false</ScaleCrop>
  <LinksUpToDate>false</LinksUpToDate>
  <CharactersWithSpaces>14102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青青</cp:lastModifiedBy>
  <dcterms:modified xsi:type="dcterms:W3CDTF">2024-10-10T07:32:29Z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1D17C581B7B649E79D2BCA767FA9A472_13</vt:lpwstr>
  </property>
</Properties>
</file>