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0FE1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4A3BA1C">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7668CAD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FC1ADD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昌州财教【2019】98号滋泥泉子中学2020年暖气改造</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01E1BD9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5F157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A0A8D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7C7E3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C22F1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33C9D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4EF86F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968CB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项目名称：昌州财教【2019】98号滋泥泉子中学2020年暖气改造项目</w:t>
      </w:r>
    </w:p>
    <w:p w14:paraId="0F79798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阜康市滋泥泉子镇中学</w:t>
      </w:r>
    </w:p>
    <w:p w14:paraId="591871A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41099CB">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1C46A689">
      <w:pPr>
        <w:rPr>
          <w:rFonts w:hint="eastAsia"/>
          <w:color w:val="auto"/>
          <w:highlight w:val="none"/>
          <w:lang w:val="en-US" w:eastAsia="zh-CN"/>
        </w:rPr>
      </w:pPr>
      <w:r>
        <w:rPr>
          <w:rFonts w:hint="eastAsia"/>
          <w:color w:val="auto"/>
          <w:highlight w:val="none"/>
          <w:lang w:val="en-US" w:eastAsia="zh-CN"/>
        </w:rPr>
        <w:br w:type="page"/>
      </w:r>
    </w:p>
    <w:p w14:paraId="164A65A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633914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3A049F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2DA7D94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77FD64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5E4FF4F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027B5A4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85414B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0F56497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C7C900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E4222B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853A17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88E2D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489C961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0D62398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504662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26B1FAE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52F324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DB465A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D31B7B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9E3F1F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9B8567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F40B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B9249C9">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640F92E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40"/>
          <w:szCs w:val="40"/>
          <w:highlight w:val="none"/>
          <w:shd w:val="clear" w:color="auto" w:fill="auto"/>
          <w:lang w:val="en-US" w:eastAsia="zh-CN"/>
        </w:rPr>
        <w:t>昌州财教【2019】98号城滋泥泉子中学2020年暖气改造项目</w:t>
      </w:r>
      <w:r>
        <w:rPr>
          <w:rFonts w:hint="eastAsia" w:ascii="宋体" w:hAnsi="宋体" w:eastAsia="宋体" w:cs="宋体"/>
          <w:b/>
          <w:bCs/>
          <w:color w:val="auto"/>
          <w:sz w:val="36"/>
          <w:szCs w:val="36"/>
          <w:highlight w:val="none"/>
          <w:shd w:val="clear" w:color="auto" w:fill="auto"/>
        </w:rPr>
        <w:t>支出绩效评价报告</w:t>
      </w:r>
      <w:bookmarkEnd w:id="1"/>
    </w:p>
    <w:p w14:paraId="523024D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D1DE047">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7DDC8F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DEBEAF2">
      <w:pPr>
        <w:bidi w:val="0"/>
        <w:rPr>
          <w:rFonts w:hint="default" w:eastAsia="宋体"/>
          <w:color w:val="auto"/>
          <w:highlight w:val="none"/>
          <w:lang w:val="en-US" w:eastAsia="zh-CN"/>
        </w:rPr>
      </w:pPr>
      <w:r>
        <w:rPr>
          <w:rFonts w:hint="eastAsia"/>
          <w:color w:val="auto"/>
          <w:highlight w:val="none"/>
          <w:lang w:val="en-US" w:eastAsia="zh-CN"/>
        </w:rPr>
        <w:t>依据昌吉州教育局农村校舍安全长效机制专项的文件精神，对义务教育薄弱环节改善与能力提升的要求，解决我校冬季部分教学用房暖气不热的问题，对我校部分教学用房进行暖气改造</w:t>
      </w:r>
      <w:r>
        <w:rPr>
          <w:rFonts w:hint="eastAsia" w:cs="宋体"/>
          <w:color w:val="auto"/>
          <w:highlight w:val="none"/>
          <w:shd w:val="clear" w:color="auto" w:fill="auto"/>
          <w:lang w:val="en-US" w:eastAsia="zh-CN"/>
        </w:rPr>
        <w:t>。</w:t>
      </w:r>
    </w:p>
    <w:p w14:paraId="46DBD9D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BFBD64B">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根据昌州财教【2019】98号---2020年城乡义务教育补助经费（农村校舍安全长效机制专项）要求，由昌吉州腾威建设工程有限责任公司改造我校思源楼的暖气、门窗等工作。</w:t>
      </w:r>
    </w:p>
    <w:p w14:paraId="5A6F58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2020</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阜康市滋泥泉子镇中学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鲁峰</w:t>
      </w:r>
      <w:r>
        <w:rPr>
          <w:rFonts w:hint="eastAsia" w:ascii="宋体" w:hAnsi="宋体" w:eastAsia="宋体" w:cs="宋体"/>
          <w:color w:val="auto"/>
          <w:highlight w:val="none"/>
          <w:shd w:val="clear" w:color="auto" w:fill="auto"/>
          <w:lang w:val="en-US" w:eastAsia="zh-CN"/>
        </w:rPr>
        <w:t>，副组长为吉红军，项目负责人为王府贵，组员任超、马存学其中：吉红军负责监管工作，王府贵负责项目档案资料，马存学负责资金拨付工作。</w:t>
      </w:r>
    </w:p>
    <w:p w14:paraId="61978207">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本项目已验收合格，由昌吉州腾威建设有限公司移交我校使用。</w:t>
      </w:r>
    </w:p>
    <w:p w14:paraId="735F21E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29D67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265F2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根据昌州财教【2019】98号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lang w:val="en-US" w:eastAsia="zh-CN"/>
        </w:rPr>
        <w:t>预算安排总额</w:t>
      </w:r>
      <w:r>
        <w:rPr>
          <w:rFonts w:hint="eastAsia" w:ascii="宋体" w:hAnsi="宋体" w:eastAsia="宋体" w:cs="宋体"/>
          <w:b w:val="0"/>
          <w:bCs w:val="0"/>
          <w:color w:val="auto"/>
          <w:kern w:val="2"/>
          <w:sz w:val="28"/>
          <w:szCs w:val="28"/>
          <w:highlight w:val="none"/>
          <w:shd w:val="clear" w:color="auto" w:fill="auto"/>
          <w:lang w:val="en-US" w:eastAsia="zh-CN" w:bidi="ar-SA"/>
        </w:rPr>
        <w:t>为27.48万元，其中财政资金27.48万元，其他资金0万元，2020</w:t>
      </w:r>
      <w:r>
        <w:rPr>
          <w:rFonts w:hint="eastAsia" w:cs="宋体"/>
          <w:color w:val="auto"/>
          <w:highlight w:val="none"/>
          <w:shd w:val="clear" w:color="auto" w:fill="auto"/>
          <w:lang w:val="en-US" w:eastAsia="zh-CN"/>
        </w:rPr>
        <w:t>年实际收到预算资金27.48万元，预算资金到位率为100%。</w:t>
      </w:r>
    </w:p>
    <w:p w14:paraId="467471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20979A1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b w:val="0"/>
          <w:bCs w:val="0"/>
          <w:color w:val="auto"/>
          <w:kern w:val="2"/>
          <w:sz w:val="28"/>
          <w:szCs w:val="28"/>
          <w:highlight w:val="none"/>
          <w:shd w:val="clear" w:color="auto" w:fill="auto"/>
          <w:lang w:val="en-US" w:eastAsia="zh-CN" w:bidi="ar-SA"/>
        </w:rPr>
        <w:t>根据昌州财教【2019】98号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27.48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14:paraId="4242040E">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7E2A6A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1BACECF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根据昌州财教【2019】98号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cs="宋体"/>
          <w:color w:val="auto"/>
          <w:highlight w:val="none"/>
          <w:shd w:val="clear" w:color="auto" w:fill="auto"/>
          <w:lang w:val="en-US" w:eastAsia="zh-CN"/>
        </w:rPr>
        <w:t>绩效总体目标为：</w:t>
      </w:r>
      <w:r>
        <w:rPr>
          <w:rFonts w:hint="eastAsia"/>
          <w:color w:val="auto"/>
          <w:highlight w:val="none"/>
          <w:lang w:val="en-US" w:eastAsia="zh-CN"/>
        </w:rPr>
        <w:t>对义务教育薄弱环节改善与能力提升的要求，解决我校冬季部分教学用房暖气不热的问题，对我校部分教学用房进行暖气改造</w:t>
      </w:r>
    </w:p>
    <w:p w14:paraId="36DDBE1D">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80D70F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A9437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2D3E41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C10A6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暖气改造项目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为&gt;=1个；</w:t>
      </w:r>
    </w:p>
    <w:p w14:paraId="66A856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教育教学日常开展学生人数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为&gt;=277人；</w:t>
      </w:r>
    </w:p>
    <w:p w14:paraId="759A9B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p>
    <w:p w14:paraId="7C7CCB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7D43D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E5A48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日常维修改造质量达标率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CD1C9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365424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工程完工率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69C5F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日常巡查维修及时率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079C0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2CCD53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财政专项资金拨款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为&lt;=27.48万元；</w:t>
      </w:r>
    </w:p>
    <w:p w14:paraId="48F816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090FF4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660D0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促进学生素质教育</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66E996B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58B0F9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保障学校各项工作平稳进行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平稳</w:t>
      </w:r>
      <w:r>
        <w:rPr>
          <w:rFonts w:hint="eastAsia" w:ascii="宋体" w:hAnsi="宋体" w:eastAsia="宋体" w:cs="宋体"/>
          <w:color w:val="auto"/>
          <w:highlight w:val="none"/>
          <w:shd w:val="clear" w:color="auto" w:fill="auto"/>
          <w:lang w:val="en-US" w:eastAsia="zh-CN"/>
        </w:rPr>
        <w:t>；</w:t>
      </w:r>
    </w:p>
    <w:p w14:paraId="2454FCE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27551868">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4E08AB0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F7B59DC">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14:paraId="2C631A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D6256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学生及家长满意度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w:t>
      </w:r>
    </w:p>
    <w:p w14:paraId="617D0F24">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38E429C7">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462343"/>
      <w:bookmarkStart w:id="13" w:name="_Toc22922"/>
      <w:bookmarkStart w:id="14" w:name="_Toc22169_WPSOffice_Level2"/>
      <w:bookmarkStart w:id="15" w:name="_Toc5258"/>
      <w:bookmarkStart w:id="16" w:name="_Toc26632"/>
      <w:bookmarkStart w:id="17" w:name="_Toc12868"/>
      <w:bookmarkStart w:id="18" w:name="_Toc480473081"/>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7E681B1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82FD79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D0A40E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705649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ascii="宋体" w:hAnsi="宋体" w:eastAsia="宋体" w:cs="宋体"/>
          <w:b w:val="0"/>
          <w:bCs w:val="0"/>
          <w:color w:val="auto"/>
          <w:kern w:val="2"/>
          <w:sz w:val="28"/>
          <w:szCs w:val="28"/>
          <w:highlight w:val="none"/>
          <w:shd w:val="clear" w:color="auto" w:fill="auto"/>
          <w:lang w:val="en-US" w:eastAsia="zh-CN" w:bidi="ar-SA"/>
        </w:rPr>
        <w:t>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lang w:val="en-US" w:eastAsia="zh-CN"/>
        </w:rPr>
        <w:t>开展部门绩效评价。</w:t>
      </w:r>
    </w:p>
    <w:p w14:paraId="1DD781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70BD3FA">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DECC76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D45C5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b w:val="0"/>
          <w:bCs w:val="0"/>
          <w:color w:val="auto"/>
          <w:kern w:val="2"/>
          <w:sz w:val="28"/>
          <w:szCs w:val="28"/>
          <w:highlight w:val="none"/>
          <w:shd w:val="clear" w:color="auto" w:fill="auto"/>
          <w:lang w:val="en-US" w:eastAsia="zh-CN" w:bidi="ar-SA"/>
        </w:rPr>
        <w:t>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1D1762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4C0973F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BD290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BA193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559404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E66250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B3F38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7374E61">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712FE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5BF6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5FBA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63DA38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953D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C3163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1408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DF69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38148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5C3F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DF21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5650F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90D65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6C3F5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E3C284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2ED64B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74513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0E1EE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8E3B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BD000F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069D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B3E6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AC0D4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09899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222F7B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29AC9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B6751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CD5FF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C95B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7152D6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2824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1BB90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D6ADE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07D12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5B4010D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2F141D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84B75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D952F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3E6AE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7C608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62BE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ED00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3D5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5BF3B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3BC3A7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5BE313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9E00A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FDB0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F38BD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DF69C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682C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DE97C2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9185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77B3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4244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55CB82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9011D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539C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D21CC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ECEC4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C7A78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95DA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FC38D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468F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89A4A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99513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AE2EC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2C64D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FB9B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64BCA5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B888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36847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DE497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74AAC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3DEA4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6B9FF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12F6D7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84F95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77691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2A55AB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13722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B735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41B55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9B10A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9F667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F32F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C40E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27849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673E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24E55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0136E8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438D9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74D94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B0CA7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248DA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ED30C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752C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178CE6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AA38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8316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B282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32327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1BFDA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1E07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41C03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DC5A1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34F3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7027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437CF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58734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B2441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9F1A9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878E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37EF5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EF963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CBAC2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EFA9C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FF68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95F37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19189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2243B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796EC9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20377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B0E92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BF17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ED78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BACD3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9032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8CDFE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5C383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50E69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F810B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CE550A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D1A634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41036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493C3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C784D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17DDAC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DB36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BE60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32DC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B9B0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8BCB1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E9B08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3D92C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25BB7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198E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483A0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AE43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4DE7B5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EC94B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0EBB5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01D0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70B8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B7D27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C4BF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05F1E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8C16C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ACCBDF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4692D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ascii="宋体" w:hAnsi="宋体" w:eastAsia="宋体" w:cs="宋体"/>
          <w:b w:val="0"/>
          <w:bCs w:val="0"/>
          <w:color w:val="auto"/>
          <w:kern w:val="2"/>
          <w:sz w:val="28"/>
          <w:szCs w:val="28"/>
          <w:highlight w:val="none"/>
          <w:shd w:val="clear" w:color="auto" w:fill="auto"/>
          <w:lang w:val="en-US" w:eastAsia="zh-CN" w:bidi="ar-SA"/>
        </w:rPr>
        <w:t>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lang w:val="en-US" w:eastAsia="zh-CN"/>
        </w:rPr>
        <w:t>进行评价。</w:t>
      </w:r>
    </w:p>
    <w:p w14:paraId="3B86943B">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74DD44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1624A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BFD7A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97726F3">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B83190F">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4E0789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15F735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766763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8B3694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C4391A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3FC2BBC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EEA725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944BB8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7490AB1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28286B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906ACE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F46316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3B73F1C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2428F9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2A75C8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12A56C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5D0B7B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E92389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2B96B8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FE8CB1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05AC96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927D9C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5D06AE9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71A599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7A512E9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4EF55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8"/>
          <w:highlight w:val="none"/>
          <w:shd w:val="clear" w:color="auto" w:fill="auto"/>
          <w:lang w:val="en-US" w:eastAsia="zh-CN" w:bidi="ar-SA"/>
        </w:rPr>
        <w:t>昌州财教【2019】98号</w:t>
      </w:r>
      <w:r>
        <w:rPr>
          <w:rFonts w:hint="eastAsia" w:cs="宋体"/>
          <w:b w:val="0"/>
          <w:bCs w:val="0"/>
          <w:color w:val="auto"/>
          <w:kern w:val="2"/>
          <w:sz w:val="28"/>
          <w:szCs w:val="28"/>
          <w:highlight w:val="none"/>
          <w:shd w:val="clear" w:color="auto" w:fill="auto"/>
          <w:lang w:val="en-US" w:eastAsia="zh-CN" w:bidi="ar-SA"/>
        </w:rPr>
        <w:t>滋泥泉子中学2020年暖气改造项目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CADEC74">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EF36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表3-1：昌州财教【2019】98号滋泥泉子中学2020年暖气改造项目得分表</w:t>
            </w:r>
          </w:p>
        </w:tc>
      </w:tr>
      <w:tr w14:paraId="5B819D1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0F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CC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DF6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00F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773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9E6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244240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846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A3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07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50E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7B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83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0003C07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BA8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E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C95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F7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39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1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295B2DC3">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E4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1D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287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3A4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0A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C4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1183BA3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DD87111">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82C9E7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911B43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B1B4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3722B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566D5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7B766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20D72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370D3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7FEC13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2C7E8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CB6B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58BD4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4620C6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0F630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157C40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64C5B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3A7FC6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6A94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42F7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494C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EF02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42DBF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5FBA7E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7B5A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5F735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5691A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44DD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ECC83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4B298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10B98B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02373D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63BF2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54C32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3E3166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FD95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EC113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47605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5457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459B4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5399DB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65AE1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72B8F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5031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7C2F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2B9D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13C49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65A67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5F720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12FB5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309584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807D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3F9A9E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EBE97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5F36C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6FB4B8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3901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488A8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7B5426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1BC4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6E577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316E18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359C13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758D2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71FC07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4738CC39">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8BD4617">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新疆维吾尔自治区城市供热办法》</w:t>
      </w:r>
    </w:p>
    <w:p w14:paraId="6560DE3E">
      <w:pPr>
        <w:bidi w:val="0"/>
        <w:rPr>
          <w:rFonts w:hint="default"/>
          <w:color w:val="auto"/>
          <w:highlight w:val="none"/>
          <w:lang w:val="en-US" w:eastAsia="zh-CN"/>
        </w:rPr>
      </w:pPr>
      <w:r>
        <w:rPr>
          <w:rFonts w:hint="eastAsia"/>
          <w:color w:val="auto"/>
          <w:highlight w:val="none"/>
          <w:lang w:eastAsia="zh-CN"/>
        </w:rPr>
        <w:t>②项目立项符合</w:t>
      </w:r>
      <w:r>
        <w:rPr>
          <w:rFonts w:hint="eastAsia"/>
          <w:color w:val="auto"/>
          <w:highlight w:val="none"/>
          <w:lang w:val="en-US" w:eastAsia="zh-CN"/>
        </w:rPr>
        <w:t>阜康市教育局、阜康市滋泥泉子镇中学关于初中教育发展规划和政策要求。</w:t>
      </w:r>
    </w:p>
    <w:p w14:paraId="7A1D14D9">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color w:val="auto"/>
          <w:highlight w:val="none"/>
          <w:lang w:val="en-US" w:eastAsia="zh-CN"/>
        </w:rPr>
        <w:t>阜康市滋泥泉子镇中学</w:t>
      </w:r>
      <w:r>
        <w:rPr>
          <w:rFonts w:hint="eastAsia" w:ascii="宋体" w:hAnsi="宋体" w:eastAsia="宋体" w:cs="宋体"/>
          <w:color w:val="auto"/>
          <w:highlight w:val="none"/>
          <w:lang w:eastAsia="zh-CN"/>
        </w:rPr>
        <w:t>实施初中义务教育，促进基础教育发展</w:t>
      </w:r>
      <w:r>
        <w:rPr>
          <w:rFonts w:hint="eastAsia" w:cs="宋体"/>
          <w:color w:val="auto"/>
          <w:highlight w:val="none"/>
          <w:lang w:val="en-US" w:eastAsia="zh-CN"/>
        </w:rPr>
        <w:t>和</w:t>
      </w:r>
      <w:r>
        <w:rPr>
          <w:rFonts w:hint="eastAsia" w:ascii="宋体" w:hAnsi="宋体" w:eastAsia="宋体" w:cs="宋体"/>
          <w:color w:val="auto"/>
          <w:highlight w:val="none"/>
          <w:lang w:eastAsia="zh-CN"/>
        </w:rPr>
        <w:t>初中学历教育</w:t>
      </w:r>
      <w:r>
        <w:rPr>
          <w:rFonts w:hint="eastAsia" w:cs="宋体"/>
          <w:color w:val="auto"/>
          <w:highlight w:val="none"/>
          <w:lang w:eastAsia="zh-CN"/>
        </w:rPr>
        <w:t>，</w:t>
      </w:r>
      <w:r>
        <w:rPr>
          <w:rFonts w:hint="eastAsia" w:cs="宋体"/>
          <w:color w:val="auto"/>
          <w:highlight w:val="none"/>
          <w:lang w:val="en-US" w:eastAsia="zh-CN"/>
        </w:rPr>
        <w:t>为教育教学工作提供保障和服务，</w:t>
      </w:r>
      <w:r>
        <w:rPr>
          <w:rFonts w:hint="eastAsia" w:ascii="宋体" w:hAnsi="宋体" w:eastAsia="宋体" w:cs="宋体"/>
          <w:color w:val="auto"/>
          <w:highlight w:val="none"/>
          <w:lang w:eastAsia="zh-CN"/>
        </w:rPr>
        <w:t>属于部门履职所需；</w:t>
      </w:r>
    </w:p>
    <w:p w14:paraId="07B5DEAF">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14:paraId="13451A29">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37A5B09">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56B42DB">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FA88C71">
      <w:pPr>
        <w:bidi w:val="0"/>
        <w:rPr>
          <w:rFonts w:hint="eastAsia"/>
          <w:color w:val="auto"/>
          <w:highlight w:val="none"/>
          <w:lang w:eastAsia="zh-CN"/>
        </w:rPr>
      </w:pPr>
      <w:r>
        <w:rPr>
          <w:rFonts w:hint="eastAsia"/>
          <w:color w:val="auto"/>
          <w:highlight w:val="none"/>
          <w:lang w:eastAsia="zh-CN"/>
        </w:rPr>
        <w:t>①项目按照规定的程序申请设立</w:t>
      </w:r>
    </w:p>
    <w:p w14:paraId="7DA9BEA2">
      <w:pPr>
        <w:bidi w:val="0"/>
        <w:rPr>
          <w:rFonts w:hint="eastAsia"/>
          <w:color w:val="auto"/>
          <w:highlight w:val="none"/>
          <w:lang w:eastAsia="zh-CN"/>
        </w:rPr>
      </w:pPr>
      <w:r>
        <w:rPr>
          <w:rFonts w:hint="eastAsia"/>
          <w:color w:val="auto"/>
          <w:highlight w:val="none"/>
          <w:lang w:eastAsia="zh-CN"/>
        </w:rPr>
        <w:t>②审批文件、材料符合相关要求</w:t>
      </w:r>
    </w:p>
    <w:p w14:paraId="5A2D545C">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3D358EEB">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4F524B64">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18710EE">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14:paraId="465EAB0C">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3726FFB2">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14:paraId="55EE6222">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25ACB57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BFE4E6F">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3AB78C21">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774FD7B1">
      <w:pPr>
        <w:bidi w:val="0"/>
        <w:rPr>
          <w:rFonts w:hint="eastAsia"/>
          <w:color w:val="auto"/>
          <w:highlight w:val="none"/>
          <w:lang w:eastAsia="zh-CN"/>
        </w:rPr>
      </w:pPr>
      <w:r>
        <w:rPr>
          <w:rFonts w:hint="eastAsia"/>
          <w:color w:val="auto"/>
          <w:highlight w:val="none"/>
          <w:lang w:eastAsia="zh-CN"/>
        </w:rPr>
        <w:t>②通过清晰、可衡量的指标值予以体现；</w:t>
      </w:r>
    </w:p>
    <w:p w14:paraId="761BE864">
      <w:pPr>
        <w:bidi w:val="0"/>
        <w:rPr>
          <w:rFonts w:hint="eastAsia"/>
          <w:color w:val="auto"/>
          <w:highlight w:val="none"/>
          <w:lang w:eastAsia="zh-CN"/>
        </w:rPr>
      </w:pPr>
      <w:r>
        <w:rPr>
          <w:rFonts w:hint="eastAsia"/>
          <w:color w:val="auto"/>
          <w:highlight w:val="none"/>
          <w:lang w:eastAsia="zh-CN"/>
        </w:rPr>
        <w:t>③与项目目标任务数或计划数相对应。</w:t>
      </w:r>
    </w:p>
    <w:p w14:paraId="5F54B5A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3477BEA">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AB13F19">
      <w:pPr>
        <w:bidi w:val="0"/>
        <w:rPr>
          <w:rFonts w:hint="eastAsia"/>
          <w:color w:val="auto"/>
          <w:highlight w:val="none"/>
          <w:lang w:eastAsia="zh-CN"/>
        </w:rPr>
      </w:pPr>
      <w:r>
        <w:rPr>
          <w:rFonts w:hint="eastAsia"/>
          <w:color w:val="auto"/>
          <w:highlight w:val="none"/>
          <w:lang w:eastAsia="zh-CN"/>
        </w:rPr>
        <w:t>①预算编制经过科学论证；</w:t>
      </w:r>
    </w:p>
    <w:p w14:paraId="26930A67">
      <w:pPr>
        <w:bidi w:val="0"/>
        <w:rPr>
          <w:rFonts w:hint="eastAsia"/>
          <w:color w:val="auto"/>
          <w:highlight w:val="none"/>
          <w:lang w:eastAsia="zh-CN"/>
        </w:rPr>
      </w:pPr>
      <w:r>
        <w:rPr>
          <w:rFonts w:hint="eastAsia"/>
          <w:color w:val="auto"/>
          <w:highlight w:val="none"/>
          <w:lang w:eastAsia="zh-CN"/>
        </w:rPr>
        <w:t>②预算内容与项目内容匹配；</w:t>
      </w:r>
    </w:p>
    <w:p w14:paraId="695B5DE0">
      <w:pPr>
        <w:bidi w:val="0"/>
        <w:rPr>
          <w:rFonts w:hint="eastAsia"/>
          <w:color w:val="auto"/>
          <w:highlight w:val="none"/>
          <w:lang w:eastAsia="zh-CN"/>
        </w:rPr>
      </w:pPr>
      <w:r>
        <w:rPr>
          <w:rFonts w:hint="eastAsia"/>
          <w:color w:val="auto"/>
          <w:highlight w:val="none"/>
          <w:lang w:eastAsia="zh-CN"/>
        </w:rPr>
        <w:t>③预算额度测算依据充分，按照标准编制；</w:t>
      </w:r>
    </w:p>
    <w:p w14:paraId="335C79FB">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57CAFD86">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BDFFBA0">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55097C05">
      <w:pPr>
        <w:bidi w:val="0"/>
        <w:rPr>
          <w:rFonts w:hint="eastAsia"/>
          <w:color w:val="auto"/>
          <w:highlight w:val="none"/>
          <w:lang w:eastAsia="zh-CN"/>
        </w:rPr>
      </w:pPr>
      <w:r>
        <w:rPr>
          <w:rFonts w:hint="eastAsia"/>
          <w:color w:val="auto"/>
          <w:highlight w:val="none"/>
          <w:lang w:eastAsia="zh-CN"/>
        </w:rPr>
        <w:t>①预算资金分配依据充分；</w:t>
      </w:r>
    </w:p>
    <w:p w14:paraId="3D5E5AB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FDDCEF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A06FB3E">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896798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93650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5165637">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DF6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C16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103A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86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3A7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2975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E5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1A4A372">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28C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39BD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666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CBC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2C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E8C4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0020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7E827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3BA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5C38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BEDA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408C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44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42A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E0A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920851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50D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FFF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8A1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FF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3DF4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CCB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C23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0EAFDA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5DF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C70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B07C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A7D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E1DA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4D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E80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58CFFB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49A5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D58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054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A80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68A6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EC0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4B2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442B95D">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AF9D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915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D8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95B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C322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246CF06">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5492A037">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27.48万元</w:t>
      </w:r>
      <w:r>
        <w:rPr>
          <w:rFonts w:hint="eastAsia"/>
          <w:color w:val="auto"/>
          <w:highlight w:val="none"/>
          <w:lang w:eastAsia="zh-CN"/>
        </w:rPr>
        <w:t>/</w:t>
      </w:r>
      <w:r>
        <w:rPr>
          <w:rFonts w:hint="eastAsia"/>
          <w:color w:val="auto"/>
          <w:highlight w:val="none"/>
          <w:lang w:val="en-US" w:eastAsia="zh-CN"/>
        </w:rPr>
        <w:t>27.48万元</w:t>
      </w:r>
      <w:r>
        <w:rPr>
          <w:rFonts w:hint="eastAsia"/>
          <w:color w:val="auto"/>
          <w:highlight w:val="none"/>
          <w:lang w:eastAsia="zh-CN"/>
        </w:rPr>
        <w:t>）×100%。</w:t>
      </w:r>
      <w:r>
        <w:rPr>
          <w:rFonts w:hint="eastAsia"/>
          <w:color w:val="auto"/>
          <w:highlight w:val="none"/>
          <w:lang w:val="en-US" w:eastAsia="zh-CN"/>
        </w:rPr>
        <w:t>=100%</w:t>
      </w:r>
    </w:p>
    <w:p w14:paraId="3F74FF20">
      <w:pPr>
        <w:bidi w:val="0"/>
        <w:rPr>
          <w:rFonts w:hint="eastAsia"/>
          <w:color w:val="auto"/>
          <w:highlight w:val="none"/>
          <w:lang w:eastAsia="zh-CN"/>
        </w:rPr>
      </w:pPr>
      <w:r>
        <w:rPr>
          <w:rFonts w:hint="eastAsia"/>
          <w:color w:val="auto"/>
          <w:highlight w:val="none"/>
          <w:lang w:val="en-US" w:eastAsia="zh-CN"/>
        </w:rPr>
        <w:t>综上，该项指标满分4分，得分4分。</w:t>
      </w:r>
    </w:p>
    <w:p w14:paraId="524A66E0">
      <w:pPr>
        <w:bidi w:val="0"/>
        <w:rPr>
          <w:rFonts w:hint="default"/>
          <w:color w:val="auto"/>
          <w:highlight w:val="none"/>
          <w:lang w:val="en-US" w:eastAsia="zh-CN"/>
        </w:rPr>
      </w:pPr>
      <w:bookmarkStart w:id="66" w:name="_Toc9705"/>
      <w:r>
        <w:rPr>
          <w:rFonts w:hint="eastAsia"/>
          <w:color w:val="auto"/>
          <w:highlight w:val="none"/>
          <w:lang w:val="en-US" w:eastAsia="zh-CN"/>
        </w:rPr>
        <w:t>2.预算执行率</w:t>
      </w:r>
      <w:bookmarkEnd w:id="66"/>
    </w:p>
    <w:p w14:paraId="0889E570">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27.48万元</w:t>
      </w:r>
      <w:r>
        <w:rPr>
          <w:rFonts w:hint="eastAsia"/>
          <w:color w:val="auto"/>
          <w:highlight w:val="none"/>
          <w:lang w:eastAsia="zh-CN"/>
        </w:rPr>
        <w:t>/</w:t>
      </w:r>
      <w:r>
        <w:rPr>
          <w:rFonts w:hint="eastAsia"/>
          <w:color w:val="auto"/>
          <w:highlight w:val="none"/>
          <w:lang w:val="en-US" w:eastAsia="zh-CN"/>
        </w:rPr>
        <w:t>27.48万元</w:t>
      </w:r>
      <w:r>
        <w:rPr>
          <w:rFonts w:hint="eastAsia"/>
          <w:color w:val="auto"/>
          <w:highlight w:val="none"/>
          <w:lang w:eastAsia="zh-CN"/>
        </w:rPr>
        <w:t>）×100%。</w:t>
      </w:r>
      <w:r>
        <w:rPr>
          <w:rFonts w:hint="eastAsia"/>
          <w:b/>
          <w:bCs/>
          <w:color w:val="auto"/>
          <w:highlight w:val="none"/>
          <w:lang w:val="en-US" w:eastAsia="zh-CN"/>
        </w:rPr>
        <w:t>=100%</w:t>
      </w:r>
    </w:p>
    <w:p w14:paraId="60DFC53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E0B7670">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34F3F12">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滋泥泉子镇中学</w:t>
      </w:r>
      <w:r>
        <w:rPr>
          <w:rFonts w:hint="eastAsia" w:ascii="宋体" w:hAnsi="宋体" w:eastAsia="宋体" w:cs="宋体"/>
          <w:color w:val="auto"/>
          <w:highlight w:val="none"/>
          <w:lang w:val="en-US" w:eastAsia="zh-CN"/>
        </w:rPr>
        <w:t>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43AD7F67">
      <w:pPr>
        <w:bidi w:val="0"/>
        <w:rPr>
          <w:rFonts w:hint="eastAsia"/>
          <w:color w:val="auto"/>
          <w:highlight w:val="none"/>
          <w:lang w:eastAsia="zh-CN"/>
        </w:rPr>
      </w:pPr>
      <w:r>
        <w:rPr>
          <w:rFonts w:hint="eastAsia"/>
          <w:color w:val="auto"/>
          <w:highlight w:val="none"/>
          <w:lang w:eastAsia="zh-CN"/>
        </w:rPr>
        <w:t>②资金的拨付有完整的审批程序和手续；</w:t>
      </w:r>
    </w:p>
    <w:p w14:paraId="281CF5BF">
      <w:pPr>
        <w:bidi w:val="0"/>
        <w:rPr>
          <w:rFonts w:hint="eastAsia"/>
          <w:color w:val="auto"/>
          <w:highlight w:val="none"/>
          <w:lang w:eastAsia="zh-CN"/>
        </w:rPr>
      </w:pPr>
      <w:r>
        <w:rPr>
          <w:rFonts w:hint="eastAsia"/>
          <w:color w:val="auto"/>
          <w:highlight w:val="none"/>
          <w:lang w:eastAsia="zh-CN"/>
        </w:rPr>
        <w:t>③符合项目预算批复或合同规定的用途；</w:t>
      </w:r>
    </w:p>
    <w:p w14:paraId="510346C9">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FCD31C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D5DDAA8">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14:paraId="1299AFD1">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滋泥泉子镇中学</w:t>
      </w:r>
      <w:r>
        <w:rPr>
          <w:rFonts w:hint="eastAsia" w:ascii="宋体" w:hAnsi="宋体" w:eastAsia="宋体" w:cs="宋体"/>
          <w:color w:val="auto"/>
          <w:highlight w:val="none"/>
          <w:lang w:val="en-US" w:eastAsia="zh-CN"/>
        </w:rPr>
        <w:t>财务管理制度》《</w:t>
      </w:r>
      <w:r>
        <w:rPr>
          <w:rFonts w:hint="eastAsia"/>
          <w:color w:val="auto"/>
          <w:highlight w:val="none"/>
          <w:lang w:val="en-US" w:eastAsia="zh-CN"/>
        </w:rPr>
        <w:t>阜康市</w:t>
      </w:r>
      <w:r>
        <w:rPr>
          <w:rFonts w:hint="eastAsia" w:cs="宋体"/>
          <w:color w:val="auto"/>
          <w:highlight w:val="none"/>
          <w:lang w:val="en-US" w:eastAsia="zh-CN"/>
        </w:rPr>
        <w:t>滋泥泉子镇中学</w:t>
      </w:r>
      <w:r>
        <w:rPr>
          <w:rFonts w:hint="eastAsia"/>
          <w:color w:val="auto"/>
          <w:highlight w:val="none"/>
          <w:lang w:val="en-US" w:eastAsia="zh-CN"/>
        </w:rPr>
        <w:t>资产管理办法》《阜康市</w:t>
      </w:r>
      <w:r>
        <w:rPr>
          <w:rFonts w:hint="eastAsia" w:cs="宋体"/>
          <w:color w:val="auto"/>
          <w:highlight w:val="none"/>
          <w:lang w:val="en-US" w:eastAsia="zh-CN"/>
        </w:rPr>
        <w:t>滋泥泉子镇中学</w:t>
      </w:r>
      <w:r>
        <w:rPr>
          <w:rFonts w:hint="eastAsia"/>
          <w:color w:val="auto"/>
          <w:highlight w:val="none"/>
          <w:lang w:val="en-US" w:eastAsia="zh-CN"/>
        </w:rPr>
        <w:t>收支管理办法》《阜康市</w:t>
      </w:r>
      <w:r>
        <w:rPr>
          <w:rFonts w:hint="eastAsia" w:cs="宋体"/>
          <w:color w:val="auto"/>
          <w:highlight w:val="none"/>
          <w:lang w:val="en-US" w:eastAsia="zh-CN"/>
        </w:rPr>
        <w:t>滋泥泉子镇中学</w:t>
      </w:r>
      <w:r>
        <w:rPr>
          <w:rFonts w:hint="eastAsia"/>
          <w:color w:val="auto"/>
          <w:highlight w:val="none"/>
          <w:lang w:val="en-US" w:eastAsia="zh-CN"/>
        </w:rPr>
        <w:t>出纳管理办法》等</w:t>
      </w:r>
      <w:r>
        <w:rPr>
          <w:rFonts w:hint="eastAsia"/>
          <w:color w:val="auto"/>
          <w:highlight w:val="none"/>
          <w:lang w:eastAsia="zh-CN"/>
        </w:rPr>
        <w:t>财务和业务管理制度</w:t>
      </w:r>
      <w:r>
        <w:rPr>
          <w:rFonts w:hint="eastAsia"/>
          <w:color w:val="auto"/>
          <w:highlight w:val="none"/>
          <w:lang w:val="en-US" w:eastAsia="zh-CN"/>
        </w:rPr>
        <w:t>是</w:t>
      </w:r>
      <w:r>
        <w:rPr>
          <w:rFonts w:hint="eastAsia"/>
          <w:color w:val="auto"/>
          <w:highlight w:val="none"/>
          <w:lang w:eastAsia="zh-CN"/>
        </w:rPr>
        <w:t>合法、合规、完整。</w:t>
      </w:r>
    </w:p>
    <w:p w14:paraId="7678504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A57F878">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9F06649">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根据上级指示精神，2020年9月26至2020年10月15日完工。</w:t>
      </w:r>
    </w:p>
    <w:p w14:paraId="7E55C71C">
      <w:pPr>
        <w:bidi w:val="0"/>
        <w:rPr>
          <w:rFonts w:hint="eastAsia" w:eastAsia="宋体"/>
          <w:color w:val="auto"/>
          <w:highlight w:val="none"/>
          <w:lang w:eastAsia="zh-CN"/>
        </w:rPr>
      </w:pPr>
      <w:r>
        <w:rPr>
          <w:rFonts w:hint="eastAsia"/>
          <w:color w:val="auto"/>
          <w:highlight w:val="none"/>
          <w:lang w:eastAsia="zh-CN"/>
        </w:rPr>
        <w:t>②</w:t>
      </w:r>
      <w:r>
        <w:rPr>
          <w:rFonts w:hint="eastAsia"/>
          <w:color w:val="auto"/>
          <w:highlight w:val="none"/>
          <w:lang w:val="en-US" w:eastAsia="zh-CN"/>
        </w:rPr>
        <w:t>昌州财教【2019】98号滋泥泉子中学2020年暖气改造项目</w:t>
      </w:r>
      <w:r>
        <w:rPr>
          <w:rFonts w:hint="eastAsia"/>
          <w:color w:val="auto"/>
          <w:highlight w:val="none"/>
          <w:lang w:eastAsia="zh-CN"/>
        </w:rPr>
        <w:t>本年度项目无调整及支出调整。</w:t>
      </w:r>
    </w:p>
    <w:p w14:paraId="05957C33">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昌州财教【2019】98号滋泥泉子中学2020年暖气改造项目</w:t>
      </w:r>
      <w:r>
        <w:rPr>
          <w:rFonts w:hint="eastAsia"/>
          <w:color w:val="auto"/>
          <w:highlight w:val="none"/>
          <w:lang w:eastAsia="zh-CN"/>
        </w:rPr>
        <w:t>本年度已按规定及时完成，项目台帐已按规定造册装订移交档案室；</w:t>
      </w:r>
    </w:p>
    <w:p w14:paraId="6ACD53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val="en-US" w:eastAsia="zh-CN"/>
        </w:rPr>
        <w:t>④本项目自2020年9月经阜康市滋泥泉子镇中学文件批复，经财经领导小组会议，确定了项目领导小组，明确了责任分工：</w:t>
      </w:r>
      <w:r>
        <w:rPr>
          <w:rFonts w:hint="eastAsia" w:ascii="宋体" w:hAnsi="宋体" w:eastAsia="宋体" w:cs="宋体"/>
          <w:color w:val="auto"/>
          <w:highlight w:val="none"/>
          <w:shd w:val="clear" w:color="auto" w:fill="auto"/>
          <w:lang w:val="en-US" w:eastAsia="zh-CN"/>
        </w:rPr>
        <w:t>组长为</w:t>
      </w:r>
      <w:r>
        <w:rPr>
          <w:rFonts w:hint="eastAsia" w:cs="宋体"/>
          <w:color w:val="auto"/>
          <w:highlight w:val="none"/>
          <w:shd w:val="clear" w:color="auto" w:fill="auto"/>
          <w:lang w:val="en-US" w:eastAsia="zh-CN"/>
        </w:rPr>
        <w:t>鲁峰</w:t>
      </w:r>
      <w:r>
        <w:rPr>
          <w:rFonts w:hint="eastAsia" w:ascii="宋体" w:hAnsi="宋体" w:eastAsia="宋体" w:cs="宋体"/>
          <w:color w:val="auto"/>
          <w:highlight w:val="none"/>
          <w:shd w:val="clear" w:color="auto" w:fill="auto"/>
          <w:lang w:val="en-US" w:eastAsia="zh-CN"/>
        </w:rPr>
        <w:t>，副组长为吉红军，项目负责人为王府贵，组员任超、马存学其中：吉红军负责监管工作，王府贵负责项目档案资料，马存学负责资金拨付工作。</w:t>
      </w:r>
    </w:p>
    <w:p w14:paraId="5010BB4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37F077B">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EE296B4">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60AC31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82A7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PrEx>
        <w:trPr>
          <w:trHeight w:val="750" w:hRule="atLeast"/>
        </w:trPr>
        <w:tc>
          <w:tcPr>
            <w:tcW w:w="634" w:type="dxa"/>
            <w:tcBorders>
              <w:tl2br w:val="nil"/>
              <w:tr2bl w:val="nil"/>
            </w:tcBorders>
            <w:shd w:val="clear" w:color="auto" w:fill="auto"/>
            <w:tcMar>
              <w:top w:w="15" w:type="dxa"/>
              <w:left w:w="15" w:type="dxa"/>
              <w:right w:w="15" w:type="dxa"/>
            </w:tcMar>
            <w:vAlign w:val="center"/>
          </w:tcPr>
          <w:p w14:paraId="71C88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l2br w:val="nil"/>
              <w:tr2bl w:val="nil"/>
            </w:tcBorders>
            <w:shd w:val="clear" w:color="auto" w:fill="auto"/>
            <w:tcMar>
              <w:top w:w="15" w:type="dxa"/>
              <w:left w:w="15" w:type="dxa"/>
              <w:right w:w="15" w:type="dxa"/>
            </w:tcMar>
            <w:vAlign w:val="center"/>
          </w:tcPr>
          <w:p w14:paraId="61BB7E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l2br w:val="nil"/>
              <w:tr2bl w:val="nil"/>
            </w:tcBorders>
            <w:shd w:val="clear" w:color="auto" w:fill="auto"/>
            <w:tcMar>
              <w:top w:w="15" w:type="dxa"/>
              <w:left w:w="15" w:type="dxa"/>
              <w:right w:w="15" w:type="dxa"/>
            </w:tcMar>
            <w:vAlign w:val="center"/>
          </w:tcPr>
          <w:p w14:paraId="21F4B6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l2br w:val="nil"/>
              <w:tr2bl w:val="nil"/>
            </w:tcBorders>
            <w:shd w:val="clear" w:color="auto" w:fill="auto"/>
            <w:tcMar>
              <w:top w:w="15" w:type="dxa"/>
              <w:left w:w="15" w:type="dxa"/>
              <w:right w:w="15" w:type="dxa"/>
            </w:tcMar>
            <w:vAlign w:val="center"/>
          </w:tcPr>
          <w:p w14:paraId="695E9B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l2br w:val="nil"/>
              <w:tr2bl w:val="nil"/>
            </w:tcBorders>
            <w:shd w:val="clear" w:color="auto" w:fill="auto"/>
            <w:tcMar>
              <w:top w:w="15" w:type="dxa"/>
              <w:left w:w="15" w:type="dxa"/>
              <w:right w:w="15" w:type="dxa"/>
            </w:tcMar>
            <w:vAlign w:val="center"/>
          </w:tcPr>
          <w:p w14:paraId="55186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l2br w:val="nil"/>
              <w:tr2bl w:val="nil"/>
            </w:tcBorders>
            <w:shd w:val="clear" w:color="auto" w:fill="auto"/>
            <w:tcMar>
              <w:top w:w="15" w:type="dxa"/>
              <w:left w:w="15" w:type="dxa"/>
              <w:right w:w="15" w:type="dxa"/>
            </w:tcMar>
            <w:vAlign w:val="center"/>
          </w:tcPr>
          <w:p w14:paraId="642CA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l2br w:val="nil"/>
              <w:tr2bl w:val="nil"/>
            </w:tcBorders>
            <w:shd w:val="clear" w:color="auto" w:fill="auto"/>
            <w:tcMar>
              <w:top w:w="15" w:type="dxa"/>
              <w:left w:w="15" w:type="dxa"/>
              <w:right w:w="15" w:type="dxa"/>
            </w:tcMar>
            <w:vAlign w:val="center"/>
          </w:tcPr>
          <w:p w14:paraId="2CF48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4511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34" w:type="dxa"/>
            <w:vMerge w:val="restart"/>
            <w:tcBorders>
              <w:tl2br w:val="nil"/>
              <w:tr2bl w:val="nil"/>
            </w:tcBorders>
            <w:shd w:val="clear" w:color="auto" w:fill="auto"/>
            <w:tcMar>
              <w:top w:w="15" w:type="dxa"/>
              <w:left w:w="15" w:type="dxa"/>
              <w:right w:w="15" w:type="dxa"/>
            </w:tcMar>
            <w:vAlign w:val="center"/>
          </w:tcPr>
          <w:p w14:paraId="5561E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l2br w:val="nil"/>
              <w:tr2bl w:val="nil"/>
            </w:tcBorders>
            <w:shd w:val="clear" w:color="auto" w:fill="auto"/>
            <w:tcMar>
              <w:top w:w="15" w:type="dxa"/>
              <w:left w:w="15" w:type="dxa"/>
              <w:right w:w="15" w:type="dxa"/>
            </w:tcMar>
            <w:vAlign w:val="center"/>
          </w:tcPr>
          <w:p w14:paraId="0450F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l2br w:val="nil"/>
              <w:tr2bl w:val="nil"/>
            </w:tcBorders>
            <w:shd w:val="clear" w:color="auto" w:fill="auto"/>
            <w:tcMar>
              <w:top w:w="15" w:type="dxa"/>
              <w:left w:w="15" w:type="dxa"/>
              <w:right w:w="15" w:type="dxa"/>
            </w:tcMar>
            <w:vAlign w:val="center"/>
          </w:tcPr>
          <w:p w14:paraId="775AE26B">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暖气改造项目</w:t>
            </w:r>
          </w:p>
        </w:tc>
        <w:tc>
          <w:tcPr>
            <w:tcW w:w="1437" w:type="dxa"/>
            <w:tcBorders>
              <w:tl2br w:val="nil"/>
              <w:tr2bl w:val="nil"/>
            </w:tcBorders>
            <w:shd w:val="clear" w:color="auto" w:fill="auto"/>
            <w:tcMar>
              <w:top w:w="15" w:type="dxa"/>
              <w:left w:w="15" w:type="dxa"/>
              <w:right w:w="15" w:type="dxa"/>
            </w:tcMar>
            <w:vAlign w:val="center"/>
          </w:tcPr>
          <w:p w14:paraId="0DDCEDF4">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&gt;=1个</w:t>
            </w:r>
          </w:p>
        </w:tc>
        <w:tc>
          <w:tcPr>
            <w:tcW w:w="558" w:type="dxa"/>
            <w:tcBorders>
              <w:tl2br w:val="nil"/>
              <w:tr2bl w:val="nil"/>
            </w:tcBorders>
            <w:shd w:val="clear" w:color="auto" w:fill="auto"/>
            <w:tcMar>
              <w:top w:w="15" w:type="dxa"/>
              <w:left w:w="15" w:type="dxa"/>
              <w:right w:w="15" w:type="dxa"/>
            </w:tcMar>
            <w:vAlign w:val="center"/>
          </w:tcPr>
          <w:p w14:paraId="7D9EED4D">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365" w:type="dxa"/>
            <w:tcBorders>
              <w:tl2br w:val="nil"/>
              <w:tr2bl w:val="nil"/>
            </w:tcBorders>
            <w:shd w:val="clear" w:color="auto" w:fill="auto"/>
            <w:tcMar>
              <w:top w:w="15" w:type="dxa"/>
              <w:left w:w="15" w:type="dxa"/>
              <w:right w:w="15" w:type="dxa"/>
            </w:tcMar>
            <w:vAlign w:val="center"/>
          </w:tcPr>
          <w:p w14:paraId="5463DF98">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w:t>
            </w:r>
          </w:p>
        </w:tc>
        <w:tc>
          <w:tcPr>
            <w:tcW w:w="631" w:type="dxa"/>
            <w:tcBorders>
              <w:tl2br w:val="nil"/>
              <w:tr2bl w:val="nil"/>
            </w:tcBorders>
            <w:shd w:val="clear" w:color="auto" w:fill="auto"/>
            <w:tcMar>
              <w:top w:w="15" w:type="dxa"/>
              <w:left w:w="15" w:type="dxa"/>
              <w:right w:w="15" w:type="dxa"/>
            </w:tcMar>
            <w:vAlign w:val="center"/>
          </w:tcPr>
          <w:p w14:paraId="64A16707">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50086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7C8D0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47EB5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783716B3">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教育教学日常开展学生人数</w:t>
            </w:r>
          </w:p>
        </w:tc>
        <w:tc>
          <w:tcPr>
            <w:tcW w:w="1437" w:type="dxa"/>
            <w:tcBorders>
              <w:tl2br w:val="nil"/>
              <w:tr2bl w:val="nil"/>
            </w:tcBorders>
            <w:shd w:val="clear" w:color="auto" w:fill="auto"/>
            <w:tcMar>
              <w:top w:w="15" w:type="dxa"/>
              <w:left w:w="15" w:type="dxa"/>
              <w:right w:w="15" w:type="dxa"/>
            </w:tcMar>
            <w:vAlign w:val="center"/>
          </w:tcPr>
          <w:p w14:paraId="7A6BEA6E">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&gt;=</w:t>
            </w:r>
            <w:r>
              <w:rPr>
                <w:rFonts w:hint="eastAsia" w:cs="宋体"/>
                <w:i w:val="0"/>
                <w:iCs w:val="0"/>
                <w:color w:val="auto"/>
                <w:kern w:val="0"/>
                <w:sz w:val="20"/>
                <w:szCs w:val="20"/>
                <w:highlight w:val="none"/>
                <w:u w:val="none"/>
                <w:lang w:val="en-US" w:eastAsia="zh-CN" w:bidi="ar"/>
              </w:rPr>
              <w:t>277人</w:t>
            </w:r>
          </w:p>
        </w:tc>
        <w:tc>
          <w:tcPr>
            <w:tcW w:w="558" w:type="dxa"/>
            <w:tcBorders>
              <w:tl2br w:val="nil"/>
              <w:tr2bl w:val="nil"/>
            </w:tcBorders>
            <w:shd w:val="clear" w:color="auto" w:fill="auto"/>
            <w:tcMar>
              <w:top w:w="15" w:type="dxa"/>
              <w:left w:w="15" w:type="dxa"/>
              <w:right w:w="15" w:type="dxa"/>
            </w:tcMar>
            <w:vAlign w:val="center"/>
          </w:tcPr>
          <w:p w14:paraId="4D28445A">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365" w:type="dxa"/>
            <w:tcBorders>
              <w:tl2br w:val="nil"/>
              <w:tr2bl w:val="nil"/>
            </w:tcBorders>
            <w:shd w:val="clear" w:color="auto" w:fill="auto"/>
            <w:tcMar>
              <w:top w:w="15" w:type="dxa"/>
              <w:left w:w="15" w:type="dxa"/>
              <w:right w:w="15" w:type="dxa"/>
            </w:tcMar>
            <w:vAlign w:val="center"/>
          </w:tcPr>
          <w:p w14:paraId="1E2D85D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277人</w:t>
            </w:r>
          </w:p>
        </w:tc>
        <w:tc>
          <w:tcPr>
            <w:tcW w:w="631" w:type="dxa"/>
            <w:tcBorders>
              <w:tl2br w:val="nil"/>
              <w:tr2bl w:val="nil"/>
            </w:tcBorders>
            <w:shd w:val="clear" w:color="auto" w:fill="auto"/>
            <w:tcMar>
              <w:top w:w="15" w:type="dxa"/>
              <w:left w:w="15" w:type="dxa"/>
              <w:right w:w="15" w:type="dxa"/>
            </w:tcMar>
            <w:vAlign w:val="center"/>
          </w:tcPr>
          <w:p w14:paraId="47521AB1">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4AC86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6A26A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1FB82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l2br w:val="nil"/>
              <w:tr2bl w:val="nil"/>
            </w:tcBorders>
            <w:shd w:val="clear" w:color="auto" w:fill="auto"/>
            <w:tcMar>
              <w:top w:w="15" w:type="dxa"/>
              <w:left w:w="15" w:type="dxa"/>
              <w:right w:w="15" w:type="dxa"/>
            </w:tcMar>
            <w:vAlign w:val="center"/>
          </w:tcPr>
          <w:p w14:paraId="024BB11C">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工程验收合格率</w:t>
            </w:r>
          </w:p>
        </w:tc>
        <w:tc>
          <w:tcPr>
            <w:tcW w:w="1437" w:type="dxa"/>
            <w:tcBorders>
              <w:tl2br w:val="nil"/>
              <w:tr2bl w:val="nil"/>
            </w:tcBorders>
            <w:shd w:val="clear" w:color="auto" w:fill="auto"/>
            <w:tcMar>
              <w:top w:w="15" w:type="dxa"/>
              <w:left w:w="15" w:type="dxa"/>
              <w:right w:w="15" w:type="dxa"/>
            </w:tcMar>
            <w:vAlign w:val="center"/>
          </w:tcPr>
          <w:p w14:paraId="07CB0C59">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l2br w:val="nil"/>
              <w:tr2bl w:val="nil"/>
            </w:tcBorders>
            <w:shd w:val="clear" w:color="auto" w:fill="auto"/>
            <w:tcMar>
              <w:top w:w="15" w:type="dxa"/>
              <w:left w:w="15" w:type="dxa"/>
              <w:right w:w="15" w:type="dxa"/>
            </w:tcMar>
            <w:vAlign w:val="center"/>
          </w:tcPr>
          <w:p w14:paraId="28321C1D">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365" w:type="dxa"/>
            <w:tcBorders>
              <w:tl2br w:val="nil"/>
              <w:tr2bl w:val="nil"/>
            </w:tcBorders>
            <w:shd w:val="clear" w:color="auto" w:fill="auto"/>
            <w:tcMar>
              <w:top w:w="15" w:type="dxa"/>
              <w:left w:w="15" w:type="dxa"/>
              <w:right w:w="15" w:type="dxa"/>
            </w:tcMar>
            <w:vAlign w:val="center"/>
          </w:tcPr>
          <w:p w14:paraId="02926541">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31" w:type="dxa"/>
            <w:tcBorders>
              <w:tl2br w:val="nil"/>
              <w:tr2bl w:val="nil"/>
            </w:tcBorders>
            <w:shd w:val="clear" w:color="auto" w:fill="auto"/>
            <w:tcMar>
              <w:top w:w="15" w:type="dxa"/>
              <w:left w:w="15" w:type="dxa"/>
              <w:right w:w="15" w:type="dxa"/>
            </w:tcMar>
            <w:vAlign w:val="center"/>
          </w:tcPr>
          <w:p w14:paraId="28364138">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7F6DF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0A59D7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312B5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2FA35281">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日常维修改造质量达标率</w:t>
            </w:r>
          </w:p>
        </w:tc>
        <w:tc>
          <w:tcPr>
            <w:tcW w:w="1437" w:type="dxa"/>
            <w:tcBorders>
              <w:tl2br w:val="nil"/>
              <w:tr2bl w:val="nil"/>
            </w:tcBorders>
            <w:shd w:val="clear" w:color="auto" w:fill="auto"/>
            <w:tcMar>
              <w:top w:w="15" w:type="dxa"/>
              <w:left w:w="15" w:type="dxa"/>
              <w:right w:w="15" w:type="dxa"/>
            </w:tcMar>
            <w:vAlign w:val="center"/>
          </w:tcPr>
          <w:p w14:paraId="0F101B72">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l2br w:val="nil"/>
              <w:tr2bl w:val="nil"/>
            </w:tcBorders>
            <w:shd w:val="clear" w:color="auto" w:fill="auto"/>
            <w:tcMar>
              <w:top w:w="15" w:type="dxa"/>
              <w:left w:w="15" w:type="dxa"/>
              <w:right w:w="15" w:type="dxa"/>
            </w:tcMar>
            <w:vAlign w:val="center"/>
          </w:tcPr>
          <w:p w14:paraId="5F007D72">
            <w:pPr>
              <w:keepNext w:val="0"/>
              <w:keepLines w:val="0"/>
              <w:widowControl/>
              <w:suppressLineNumbers w:val="0"/>
              <w:ind w:left="0" w:leftChars="0" w:firstLine="0" w:firstLineChars="0"/>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365" w:type="dxa"/>
            <w:tcBorders>
              <w:tl2br w:val="nil"/>
              <w:tr2bl w:val="nil"/>
            </w:tcBorders>
            <w:shd w:val="clear" w:color="auto" w:fill="auto"/>
            <w:tcMar>
              <w:top w:w="15" w:type="dxa"/>
              <w:left w:w="15" w:type="dxa"/>
              <w:right w:w="15" w:type="dxa"/>
            </w:tcMar>
            <w:vAlign w:val="center"/>
          </w:tcPr>
          <w:p w14:paraId="656F46C6">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31" w:type="dxa"/>
            <w:tcBorders>
              <w:tl2br w:val="nil"/>
              <w:tr2bl w:val="nil"/>
            </w:tcBorders>
            <w:shd w:val="clear" w:color="auto" w:fill="auto"/>
            <w:tcMar>
              <w:top w:w="15" w:type="dxa"/>
              <w:left w:w="15" w:type="dxa"/>
              <w:right w:w="15" w:type="dxa"/>
            </w:tcMar>
            <w:vAlign w:val="center"/>
          </w:tcPr>
          <w:p w14:paraId="70BA71E0">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r>
      <w:tr w14:paraId="183E8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601D2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vMerge w:val="restart"/>
            <w:tcBorders>
              <w:tl2br w:val="nil"/>
              <w:tr2bl w:val="nil"/>
            </w:tcBorders>
            <w:shd w:val="clear" w:color="auto" w:fill="auto"/>
            <w:tcMar>
              <w:top w:w="15" w:type="dxa"/>
              <w:left w:w="15" w:type="dxa"/>
              <w:right w:w="15" w:type="dxa"/>
            </w:tcMar>
            <w:vAlign w:val="center"/>
          </w:tcPr>
          <w:p w14:paraId="349E6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14:paraId="7B82E9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23D519E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工程完工率</w:t>
            </w:r>
          </w:p>
        </w:tc>
        <w:tc>
          <w:tcPr>
            <w:tcW w:w="1437" w:type="dxa"/>
            <w:tcBorders>
              <w:tl2br w:val="nil"/>
              <w:tr2bl w:val="nil"/>
            </w:tcBorders>
            <w:shd w:val="clear" w:color="auto" w:fill="auto"/>
            <w:tcMar>
              <w:top w:w="15" w:type="dxa"/>
              <w:left w:w="15" w:type="dxa"/>
              <w:right w:w="15" w:type="dxa"/>
            </w:tcMar>
            <w:vAlign w:val="center"/>
          </w:tcPr>
          <w:p w14:paraId="01FF5B45">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l2br w:val="nil"/>
              <w:tr2bl w:val="nil"/>
            </w:tcBorders>
            <w:shd w:val="clear" w:color="auto" w:fill="auto"/>
            <w:tcMar>
              <w:top w:w="15" w:type="dxa"/>
              <w:left w:w="15" w:type="dxa"/>
              <w:right w:w="15" w:type="dxa"/>
            </w:tcMar>
            <w:vAlign w:val="center"/>
          </w:tcPr>
          <w:p w14:paraId="55DF319D">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5</w:t>
            </w:r>
          </w:p>
        </w:tc>
        <w:tc>
          <w:tcPr>
            <w:tcW w:w="1365" w:type="dxa"/>
            <w:tcBorders>
              <w:tl2br w:val="nil"/>
              <w:tr2bl w:val="nil"/>
            </w:tcBorders>
            <w:shd w:val="clear" w:color="auto" w:fill="auto"/>
            <w:tcMar>
              <w:top w:w="15" w:type="dxa"/>
              <w:left w:w="15" w:type="dxa"/>
              <w:right w:w="15" w:type="dxa"/>
            </w:tcMar>
            <w:vAlign w:val="center"/>
          </w:tcPr>
          <w:p w14:paraId="0BADE315">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31" w:type="dxa"/>
            <w:tcBorders>
              <w:tl2br w:val="nil"/>
              <w:tr2bl w:val="nil"/>
            </w:tcBorders>
            <w:shd w:val="clear" w:color="auto" w:fill="auto"/>
            <w:tcMar>
              <w:top w:w="15" w:type="dxa"/>
              <w:left w:w="15" w:type="dxa"/>
              <w:right w:w="15" w:type="dxa"/>
            </w:tcMar>
            <w:vAlign w:val="center"/>
          </w:tcPr>
          <w:p w14:paraId="4DAB05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5106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76075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2132B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47C7248D">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日常巡查维修及时率</w:t>
            </w:r>
          </w:p>
        </w:tc>
        <w:tc>
          <w:tcPr>
            <w:tcW w:w="1437" w:type="dxa"/>
            <w:tcBorders>
              <w:tl2br w:val="nil"/>
              <w:tr2bl w:val="nil"/>
            </w:tcBorders>
            <w:shd w:val="clear" w:color="auto" w:fill="auto"/>
            <w:tcMar>
              <w:top w:w="15" w:type="dxa"/>
              <w:left w:w="15" w:type="dxa"/>
              <w:right w:w="15" w:type="dxa"/>
            </w:tcMar>
            <w:vAlign w:val="center"/>
          </w:tcPr>
          <w:p w14:paraId="368A5745">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l2br w:val="nil"/>
              <w:tr2bl w:val="nil"/>
            </w:tcBorders>
            <w:shd w:val="clear" w:color="auto" w:fill="auto"/>
            <w:tcMar>
              <w:top w:w="15" w:type="dxa"/>
              <w:left w:w="15" w:type="dxa"/>
              <w:right w:w="15" w:type="dxa"/>
            </w:tcMar>
            <w:vAlign w:val="center"/>
          </w:tcPr>
          <w:p w14:paraId="4F639486">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4</w:t>
            </w:r>
          </w:p>
        </w:tc>
        <w:tc>
          <w:tcPr>
            <w:tcW w:w="1365" w:type="dxa"/>
            <w:tcBorders>
              <w:tl2br w:val="nil"/>
              <w:tr2bl w:val="nil"/>
            </w:tcBorders>
            <w:shd w:val="clear" w:color="auto" w:fill="auto"/>
            <w:tcMar>
              <w:top w:w="15" w:type="dxa"/>
              <w:left w:w="15" w:type="dxa"/>
              <w:right w:w="15" w:type="dxa"/>
            </w:tcMar>
            <w:vAlign w:val="center"/>
          </w:tcPr>
          <w:p w14:paraId="79223EFE">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31" w:type="dxa"/>
            <w:tcBorders>
              <w:tl2br w:val="nil"/>
              <w:tr2bl w:val="nil"/>
            </w:tcBorders>
            <w:shd w:val="clear" w:color="auto" w:fill="auto"/>
            <w:tcMar>
              <w:top w:w="15" w:type="dxa"/>
              <w:left w:w="15" w:type="dxa"/>
              <w:right w:w="15" w:type="dxa"/>
            </w:tcMar>
            <w:vAlign w:val="center"/>
          </w:tcPr>
          <w:p w14:paraId="123E9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432F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8" w:hRule="atLeast"/>
        </w:trPr>
        <w:tc>
          <w:tcPr>
            <w:tcW w:w="634" w:type="dxa"/>
            <w:vMerge w:val="continue"/>
            <w:tcBorders>
              <w:tl2br w:val="nil"/>
              <w:tr2bl w:val="nil"/>
            </w:tcBorders>
            <w:shd w:val="clear" w:color="auto" w:fill="auto"/>
            <w:tcMar>
              <w:top w:w="15" w:type="dxa"/>
              <w:left w:w="15" w:type="dxa"/>
              <w:right w:w="15" w:type="dxa"/>
            </w:tcMar>
            <w:vAlign w:val="center"/>
          </w:tcPr>
          <w:p w14:paraId="093BF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l2br w:val="nil"/>
              <w:tr2bl w:val="nil"/>
            </w:tcBorders>
            <w:shd w:val="clear" w:color="auto" w:fill="auto"/>
            <w:tcMar>
              <w:top w:w="15" w:type="dxa"/>
              <w:left w:w="15" w:type="dxa"/>
              <w:right w:w="15" w:type="dxa"/>
            </w:tcMar>
            <w:vAlign w:val="center"/>
          </w:tcPr>
          <w:p w14:paraId="395B32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l2br w:val="nil"/>
              <w:tr2bl w:val="nil"/>
            </w:tcBorders>
            <w:shd w:val="clear" w:color="auto" w:fill="auto"/>
            <w:tcMar>
              <w:top w:w="15" w:type="dxa"/>
              <w:left w:w="15" w:type="dxa"/>
              <w:right w:w="15" w:type="dxa"/>
            </w:tcMar>
            <w:vAlign w:val="center"/>
          </w:tcPr>
          <w:p w14:paraId="1BF383B3">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财政专项资金拨款</w:t>
            </w:r>
          </w:p>
        </w:tc>
        <w:tc>
          <w:tcPr>
            <w:tcW w:w="1437" w:type="dxa"/>
            <w:tcBorders>
              <w:tl2br w:val="nil"/>
              <w:tr2bl w:val="nil"/>
            </w:tcBorders>
            <w:shd w:val="clear" w:color="auto" w:fill="auto"/>
            <w:tcMar>
              <w:top w:w="15" w:type="dxa"/>
              <w:left w:w="15" w:type="dxa"/>
              <w:right w:w="15" w:type="dxa"/>
            </w:tcMar>
            <w:vAlign w:val="center"/>
          </w:tcPr>
          <w:p w14:paraId="68BFA460">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&lt;=27.48万元</w:t>
            </w:r>
          </w:p>
        </w:tc>
        <w:tc>
          <w:tcPr>
            <w:tcW w:w="558" w:type="dxa"/>
            <w:tcBorders>
              <w:tl2br w:val="nil"/>
              <w:tr2bl w:val="nil"/>
            </w:tcBorders>
            <w:shd w:val="clear" w:color="auto" w:fill="auto"/>
            <w:tcMar>
              <w:top w:w="15" w:type="dxa"/>
              <w:left w:w="15" w:type="dxa"/>
              <w:right w:w="15" w:type="dxa"/>
            </w:tcMar>
            <w:vAlign w:val="center"/>
          </w:tcPr>
          <w:p w14:paraId="49B9EC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08BD914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=27.48万元</w:t>
            </w:r>
          </w:p>
        </w:tc>
        <w:tc>
          <w:tcPr>
            <w:tcW w:w="631" w:type="dxa"/>
            <w:tcBorders>
              <w:tl2br w:val="nil"/>
              <w:tr2bl w:val="nil"/>
            </w:tcBorders>
            <w:shd w:val="clear" w:color="auto" w:fill="auto"/>
            <w:tcMar>
              <w:top w:w="15" w:type="dxa"/>
              <w:left w:w="15" w:type="dxa"/>
              <w:right w:w="15" w:type="dxa"/>
            </w:tcMar>
            <w:vAlign w:val="center"/>
          </w:tcPr>
          <w:p w14:paraId="69F1C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F79E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14:paraId="4D1D1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l2br w:val="nil"/>
              <w:tr2bl w:val="nil"/>
            </w:tcBorders>
            <w:shd w:val="clear" w:color="auto" w:fill="auto"/>
            <w:tcMar>
              <w:top w:w="15" w:type="dxa"/>
              <w:left w:w="15" w:type="dxa"/>
              <w:right w:w="15" w:type="dxa"/>
            </w:tcMar>
            <w:vAlign w:val="center"/>
          </w:tcPr>
          <w:p w14:paraId="009B04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l2br w:val="nil"/>
              <w:tr2bl w:val="nil"/>
            </w:tcBorders>
            <w:shd w:val="clear" w:color="auto" w:fill="auto"/>
            <w:tcMar>
              <w:top w:w="15" w:type="dxa"/>
              <w:left w:w="15" w:type="dxa"/>
              <w:right w:w="15" w:type="dxa"/>
            </w:tcMar>
            <w:vAlign w:val="center"/>
          </w:tcPr>
          <w:p w14:paraId="27DC7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l2br w:val="nil"/>
              <w:tr2bl w:val="nil"/>
            </w:tcBorders>
            <w:shd w:val="clear" w:color="auto" w:fill="auto"/>
            <w:tcMar>
              <w:top w:w="15" w:type="dxa"/>
              <w:left w:w="15" w:type="dxa"/>
              <w:right w:w="15" w:type="dxa"/>
            </w:tcMar>
            <w:vAlign w:val="center"/>
          </w:tcPr>
          <w:p w14:paraId="31B734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6ED30C2">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14:paraId="1A527E9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暖气改造项目</w:t>
      </w:r>
      <w:r>
        <w:rPr>
          <w:rFonts w:hint="eastAsia"/>
          <w:color w:val="auto"/>
          <w:highlight w:val="none"/>
          <w:lang w:eastAsia="zh-CN"/>
        </w:rPr>
        <w:t>”</w:t>
      </w:r>
      <w:r>
        <w:rPr>
          <w:rFonts w:hint="eastAsia"/>
          <w:color w:val="auto"/>
          <w:highlight w:val="none"/>
          <w:lang w:val="en-US" w:eastAsia="zh-CN"/>
        </w:rPr>
        <w:t>指标，预期目标值为&gt;=1个，实际完成为1个。实际完成率=（1/1）×100%=100%。</w:t>
      </w:r>
    </w:p>
    <w:p w14:paraId="513CD4F5">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教育教学日常开展学生人数</w:t>
      </w:r>
      <w:r>
        <w:rPr>
          <w:rFonts w:hint="eastAsia"/>
          <w:color w:val="auto"/>
          <w:highlight w:val="none"/>
          <w:lang w:eastAsia="zh-CN"/>
        </w:rPr>
        <w:t>”</w:t>
      </w:r>
      <w:r>
        <w:rPr>
          <w:rFonts w:hint="eastAsia"/>
          <w:color w:val="auto"/>
          <w:highlight w:val="none"/>
          <w:lang w:val="en-US" w:eastAsia="zh-CN"/>
        </w:rPr>
        <w:t>指标，预期目标值为277个，实际完成为277个。实际完成率=（277/277）×100%=100%。</w:t>
      </w:r>
    </w:p>
    <w:p w14:paraId="50C6D4D8">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5B8649E1">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A60B1A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工程验收合格率</w:t>
      </w:r>
      <w:r>
        <w:rPr>
          <w:rFonts w:hint="eastAsia"/>
          <w:color w:val="auto"/>
          <w:highlight w:val="none"/>
          <w:lang w:eastAsia="zh-CN"/>
        </w:rPr>
        <w:t>”</w:t>
      </w:r>
      <w:r>
        <w:rPr>
          <w:rFonts w:hint="eastAsia"/>
          <w:color w:val="auto"/>
          <w:highlight w:val="none"/>
          <w:lang w:val="en-US" w:eastAsia="zh-CN"/>
        </w:rPr>
        <w:t>指标，预期目标值为1，实际完成为100%。</w:t>
      </w:r>
    </w:p>
    <w:p w14:paraId="200B22FF">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日常维修改造质量达标率”</w:t>
      </w:r>
      <w:r>
        <w:rPr>
          <w:rFonts w:hint="eastAsia"/>
          <w:color w:val="auto"/>
          <w:highlight w:val="none"/>
          <w:lang w:val="en-US" w:eastAsia="zh-CN"/>
        </w:rPr>
        <w:t>指标，预期目标值为1，实际完成为100%。</w:t>
      </w:r>
    </w:p>
    <w:p w14:paraId="7C80AA62">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3C37C0B3">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B2244CF">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工程完工率</w:t>
      </w:r>
      <w:r>
        <w:rPr>
          <w:rFonts w:hint="eastAsia"/>
          <w:color w:val="auto"/>
          <w:highlight w:val="none"/>
          <w:lang w:eastAsia="zh-CN"/>
        </w:rPr>
        <w:t>”</w:t>
      </w:r>
      <w:r>
        <w:rPr>
          <w:rFonts w:hint="eastAsia"/>
          <w:color w:val="auto"/>
          <w:highlight w:val="none"/>
          <w:lang w:val="en-US" w:eastAsia="zh-CN"/>
        </w:rPr>
        <w:t>指标，预期目标值为100%，实际完成为100%。</w:t>
      </w:r>
    </w:p>
    <w:p w14:paraId="1A6F7BDA">
      <w:pPr>
        <w:bidi w:val="0"/>
        <w:rPr>
          <w:rFonts w:hint="eastAsia"/>
          <w:color w:val="auto"/>
          <w:highlight w:val="none"/>
          <w:lang w:val="en-US" w:eastAsia="zh-CN"/>
        </w:rPr>
      </w:pPr>
      <w:r>
        <w:rPr>
          <w:rFonts w:hint="eastAsia" w:ascii="宋体" w:hAnsi="宋体" w:eastAsia="宋体" w:cs="宋体"/>
          <w:color w:val="auto"/>
          <w:highlight w:val="none"/>
          <w:lang w:val="en-US" w:eastAsia="zh-CN"/>
        </w:rPr>
        <w:t>“日常巡查维修及时率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08A16F2A">
      <w:pPr>
        <w:bidi w:val="0"/>
        <w:rPr>
          <w:rFonts w:hint="eastAsia"/>
          <w:color w:val="auto"/>
          <w:highlight w:val="none"/>
          <w:lang w:eastAsia="zh-CN"/>
        </w:rPr>
      </w:pPr>
      <w:r>
        <w:rPr>
          <w:rFonts w:hint="eastAsia"/>
          <w:b/>
          <w:bCs/>
          <w:color w:val="auto"/>
          <w:highlight w:val="none"/>
          <w:lang w:val="en-US" w:eastAsia="zh-CN"/>
        </w:rPr>
        <w:t>综上，该项指标满分9分，得分9分。</w:t>
      </w:r>
    </w:p>
    <w:p w14:paraId="50E23705">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096ADD41">
      <w:pPr>
        <w:bidi w:val="0"/>
        <w:rPr>
          <w:rFonts w:hint="eastAsia"/>
          <w:color w:val="auto"/>
          <w:highlight w:val="none"/>
          <w:lang w:eastAsia="zh-CN"/>
        </w:rPr>
      </w:pPr>
      <w:r>
        <w:rPr>
          <w:rFonts w:hint="eastAsia" w:ascii="宋体" w:hAnsi="宋体" w:eastAsia="宋体" w:cs="宋体"/>
          <w:color w:val="auto"/>
          <w:highlight w:val="none"/>
          <w:lang w:val="en-US" w:eastAsia="zh-CN"/>
        </w:rPr>
        <w:t>“财政专项资金拨款</w:t>
      </w:r>
      <w:r>
        <w:rPr>
          <w:rFonts w:hint="eastAsia"/>
          <w:color w:val="auto"/>
          <w:highlight w:val="none"/>
          <w:lang w:eastAsia="zh-CN"/>
        </w:rPr>
        <w:t>”</w:t>
      </w:r>
      <w:r>
        <w:rPr>
          <w:rFonts w:hint="eastAsia"/>
          <w:color w:val="auto"/>
          <w:highlight w:val="none"/>
          <w:lang w:val="en-US" w:eastAsia="zh-CN"/>
        </w:rPr>
        <w:t>指标，预期目标值为“&lt;=27.48万元”，实际完成为27.48万元。实际完成率=（27.48/27.48）×100%=100%。</w:t>
      </w:r>
    </w:p>
    <w:p w14:paraId="1333DE4E">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6CEA83A">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74A45748">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1A06B0D">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EA13578">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E6F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73D7A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E673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13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D2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42F7A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B6C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8948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9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25FA3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62E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5704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57C34F2">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08207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AC63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B8F3AE0">
            <w:pPr>
              <w:keepNext w:val="0"/>
              <w:keepLines w:val="0"/>
              <w:widowControl/>
              <w:suppressLineNumbers w:val="0"/>
              <w:ind w:firstLine="400" w:firstLineChars="200"/>
              <w:jc w:val="left"/>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促进学生素质教育</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6FE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CB9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AA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1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8BF78B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377B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E4060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C8EF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保障学校各项工作平稳进行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8E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平稳</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842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3B1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A1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D7C912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A902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F482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01CD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9BA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C4E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086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7A5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8D6F9F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4E47A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EF5D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4A2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53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31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B5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E5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0A55C1B">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B634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6E8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D6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w:t>
            </w:r>
            <w:r>
              <w:rPr>
                <w:rFonts w:hint="eastAsia" w:cs="宋体"/>
                <w:color w:val="auto"/>
                <w:kern w:val="0"/>
                <w:sz w:val="20"/>
                <w:szCs w:val="20"/>
                <w:highlight w:val="none"/>
                <w:shd w:val="clear" w:color="auto" w:fill="auto"/>
                <w:lang w:val="en-US" w:eastAsia="zh-CN"/>
              </w:rPr>
              <w:t>家长</w:t>
            </w:r>
            <w:r>
              <w:rPr>
                <w:rFonts w:hint="eastAsia" w:ascii="宋体" w:hAnsi="宋体" w:eastAsia="宋体" w:cs="宋体"/>
                <w:color w:val="auto"/>
                <w:kern w:val="0"/>
                <w:sz w:val="20"/>
                <w:szCs w:val="20"/>
                <w:highlight w:val="none"/>
                <w:shd w:val="clear" w:color="auto" w:fill="auto"/>
                <w:lang w:val="en-US" w:eastAsia="zh-CN"/>
              </w:rPr>
              <w:t>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9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E2A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55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024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17CB6E2">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148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F2F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9E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434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F28FB9D">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43130DA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促进学生素质教育</w:t>
      </w:r>
      <w:r>
        <w:rPr>
          <w:rFonts w:hint="eastAsia"/>
          <w:color w:val="auto"/>
          <w:highlight w:val="none"/>
          <w:lang w:eastAsia="zh-CN"/>
        </w:rPr>
        <w:t>”</w:t>
      </w:r>
      <w:r>
        <w:rPr>
          <w:rFonts w:hint="eastAsia"/>
          <w:color w:val="auto"/>
          <w:highlight w:val="none"/>
          <w:lang w:val="en-US" w:eastAsia="zh-CN"/>
        </w:rPr>
        <w:t>指标，预期目标值为有效提升，实际完成为100%。</w:t>
      </w:r>
    </w:p>
    <w:p w14:paraId="691D89C6">
      <w:pPr>
        <w:bidi w:val="0"/>
        <w:rPr>
          <w:rFonts w:hint="default"/>
          <w:color w:val="auto"/>
          <w:highlight w:val="none"/>
          <w:lang w:val="en-US" w:eastAsia="zh-CN"/>
        </w:rPr>
      </w:pPr>
      <w:r>
        <w:rPr>
          <w:rFonts w:hint="eastAsia"/>
          <w:color w:val="auto"/>
          <w:highlight w:val="none"/>
          <w:lang w:val="en-US" w:eastAsia="zh-CN"/>
        </w:rPr>
        <w:t>通过项目的实施，促进学生素质教育，有效提升学生家长满意度。</w:t>
      </w:r>
    </w:p>
    <w:p w14:paraId="319EB254">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13C967B">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53A2400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保障学校各项工作平稳进行</w:t>
      </w:r>
      <w:r>
        <w:rPr>
          <w:rFonts w:hint="eastAsia"/>
          <w:color w:val="auto"/>
          <w:highlight w:val="none"/>
          <w:lang w:eastAsia="zh-CN"/>
        </w:rPr>
        <w:t>”</w:t>
      </w:r>
      <w:r>
        <w:rPr>
          <w:rFonts w:hint="eastAsia"/>
          <w:color w:val="auto"/>
          <w:highlight w:val="none"/>
          <w:lang w:val="en-US" w:eastAsia="zh-CN"/>
        </w:rPr>
        <w:t>指标，预期目标值为平稳，实际完成为100%。</w:t>
      </w:r>
    </w:p>
    <w:p w14:paraId="6ABC9F04">
      <w:pPr>
        <w:bidi w:val="0"/>
        <w:rPr>
          <w:rFonts w:hint="default"/>
          <w:color w:val="auto"/>
          <w:highlight w:val="none"/>
          <w:lang w:val="en-US" w:eastAsia="zh-CN"/>
        </w:rPr>
      </w:pPr>
      <w:r>
        <w:rPr>
          <w:rFonts w:hint="eastAsia"/>
          <w:color w:val="auto"/>
          <w:highlight w:val="none"/>
          <w:lang w:val="en-US" w:eastAsia="zh-CN"/>
        </w:rPr>
        <w:t>通过项目的实施，提高学生家长对学校办学条件的满意度。</w:t>
      </w:r>
    </w:p>
    <w:p w14:paraId="3FB19D6D">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4A47B50C">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90CA236">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14:paraId="51938221">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56A81130">
      <w:pPr>
        <w:bidi w:val="0"/>
        <w:rPr>
          <w:rFonts w:hint="eastAsia"/>
          <w:b/>
          <w:bCs/>
          <w:color w:val="auto"/>
          <w:highlight w:val="none"/>
          <w:lang w:val="en-US" w:eastAsia="zh-CN"/>
        </w:rPr>
      </w:pPr>
      <w:r>
        <w:rPr>
          <w:rFonts w:hint="eastAsia"/>
          <w:color w:val="auto"/>
          <w:highlight w:val="none"/>
          <w:lang w:val="en-US" w:eastAsia="zh-CN"/>
        </w:rPr>
        <w:t>“学生家长满意度</w:t>
      </w:r>
      <w:r>
        <w:rPr>
          <w:rFonts w:hint="eastAsia"/>
          <w:color w:val="auto"/>
          <w:highlight w:val="none"/>
          <w:lang w:eastAsia="zh-CN"/>
        </w:rPr>
        <w:t>”</w:t>
      </w:r>
      <w:r>
        <w:rPr>
          <w:rFonts w:hint="eastAsia"/>
          <w:color w:val="auto"/>
          <w:highlight w:val="none"/>
          <w:lang w:val="en-US" w:eastAsia="zh-CN"/>
        </w:rPr>
        <w:t>指标，预期目标值为≥95%，实际完成为95%。</w:t>
      </w:r>
    </w:p>
    <w:p w14:paraId="393B6861">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1F36253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4099BD66">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该项目预算资金总额为27.48万元，全年</w:t>
      </w:r>
      <w:bookmarkStart w:id="88" w:name="_GoBack"/>
      <w:r>
        <w:rPr>
          <w:rFonts w:hint="eastAsia" w:ascii="宋体" w:hAnsi="宋体" w:eastAsia="宋体" w:cs="宋体"/>
          <w:color w:val="auto"/>
          <w:kern w:val="2"/>
          <w:sz w:val="28"/>
          <w:szCs w:val="28"/>
          <w:highlight w:val="none"/>
          <w:lang w:val="en-US" w:eastAsia="zh-CN" w:bidi="ar-SA"/>
        </w:rPr>
        <w:t>执行数</w:t>
      </w:r>
      <w:bookmarkEnd w:id="88"/>
      <w:r>
        <w:rPr>
          <w:rFonts w:hint="eastAsia" w:ascii="宋体" w:hAnsi="宋体" w:eastAsia="宋体" w:cs="宋体"/>
          <w:color w:val="auto"/>
          <w:kern w:val="2"/>
          <w:sz w:val="28"/>
          <w:szCs w:val="28"/>
          <w:highlight w:val="none"/>
          <w:lang w:val="en-US" w:eastAsia="zh-CN" w:bidi="ar-SA"/>
        </w:rPr>
        <w:t>为27.48万元，预算执行率为100%，总体完成率为100</w:t>
      </w:r>
      <w:r>
        <w:rPr>
          <w:rFonts w:hint="eastAsia" w:ascii="宋体" w:hAnsi="宋体" w:eastAsia="宋体" w:cs="宋体"/>
          <w:color w:val="auto"/>
          <w:kern w:val="2"/>
          <w:sz w:val="28"/>
          <w:szCs w:val="28"/>
          <w:highlight w:val="none"/>
          <w:lang w:val="zh-TW" w:eastAsia="zh-TW" w:bidi="ar-SA"/>
        </w:rPr>
        <w:t>%。</w:t>
      </w:r>
      <w:r>
        <w:rPr>
          <w:rFonts w:hint="eastAsia" w:ascii="宋体" w:hAnsi="宋体" w:eastAsia="宋体" w:cs="宋体"/>
          <w:color w:val="auto"/>
          <w:kern w:val="2"/>
          <w:sz w:val="28"/>
          <w:szCs w:val="28"/>
          <w:highlight w:val="none"/>
          <w:lang w:val="en-US" w:eastAsia="zh-CN" w:bidi="ar-SA"/>
        </w:rPr>
        <w:t>预算执行率与总体完成率之间的偏差为0，无偏差。</w:t>
      </w:r>
    </w:p>
    <w:p w14:paraId="5045A90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6E2188B8">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094090E9">
      <w:pPr>
        <w:bidi w:val="0"/>
        <w:rPr>
          <w:rFonts w:hint="eastAsia"/>
          <w:color w:val="auto"/>
          <w:highlight w:val="none"/>
          <w:lang w:eastAsia="zh-CN"/>
        </w:rPr>
      </w:pPr>
      <w:r>
        <w:rPr>
          <w:rFonts w:hint="eastAsia" w:cs="宋体"/>
          <w:color w:val="auto"/>
          <w:highlight w:val="none"/>
          <w:shd w:val="clear" w:color="auto" w:fill="auto"/>
          <w:lang w:val="en-US" w:eastAsia="zh-CN"/>
        </w:rPr>
        <w:t>昌州财教【2019】98号滋泥泉子中学2020年暖气改造项目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27.48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27.48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52063F67">
      <w:pPr>
        <w:bidi w:val="0"/>
        <w:rPr>
          <w:rFonts w:hint="eastAsia"/>
          <w:color w:val="auto"/>
          <w:highlight w:val="none"/>
          <w:lang w:eastAsia="zh-CN"/>
        </w:rPr>
      </w:pPr>
      <w:r>
        <w:rPr>
          <w:rFonts w:hint="eastAsia"/>
          <w:color w:val="auto"/>
          <w:highlight w:val="none"/>
          <w:lang w:val="en-US" w:eastAsia="zh-CN"/>
        </w:rPr>
        <w:t>阜康市滋泥泉子镇中学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阜康市滋泥泉子镇中学</w:t>
      </w:r>
      <w:r>
        <w:rPr>
          <w:rFonts w:hint="eastAsia"/>
          <w:color w:val="auto"/>
          <w:highlight w:val="none"/>
          <w:lang w:eastAsia="zh-CN"/>
        </w:rPr>
        <w:t>事业发展中关系民生与稳定的项目，切实优化资源配置，提高了资金使用的效率和效果。</w:t>
      </w:r>
    </w:p>
    <w:bookmarkEnd w:id="82"/>
    <w:bookmarkEnd w:id="83"/>
    <w:p w14:paraId="608E6520">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14:paraId="136B3152">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14:paraId="35C97FE7">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14:paraId="77ACF24C">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14:paraId="67E7CE4C">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15DE55D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（1）</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14:paraId="28924CA3">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（2）实施专款专用，项目资金应严格按照项目预算进行支出，确保专款专用，避免资金挪用。</w:t>
      </w:r>
    </w:p>
    <w:p w14:paraId="7C40B76E">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　　（3）提高资金使用率，确保项目顺利进行。</w:t>
      </w:r>
    </w:p>
    <w:p w14:paraId="5871B6D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590BC0D1">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18260EF0">
      <w:pPr>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br w:type="page"/>
      </w:r>
    </w:p>
    <w:p w14:paraId="6D8A1E19">
      <w:pPr>
        <w:pStyle w:val="4"/>
        <w:rPr>
          <w:rFonts w:hint="eastAsia"/>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5AE4EE02">
      <w:pPr>
        <w:ind w:left="0" w:leftChars="0" w:firstLine="0" w:firstLineChars="0"/>
        <w:rPr>
          <w:rFonts w:hint="eastAsia"/>
          <w:b/>
          <w:bCs/>
          <w:color w:val="auto"/>
          <w:highlight w:val="none"/>
          <w:lang w:val="en-US" w:eastAsia="zh-CN"/>
        </w:rPr>
      </w:pPr>
      <w:r>
        <w:rPr>
          <w:rFonts w:hint="eastAsia"/>
          <w:b/>
          <w:bCs/>
          <w:color w:val="auto"/>
          <w:highlight w:val="none"/>
          <w:lang w:val="en-US" w:eastAsia="zh-CN"/>
        </w:rPr>
        <w:t>附件一、项目支出绩效自评表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21"/>
        <w:gridCol w:w="960"/>
        <w:gridCol w:w="1092"/>
        <w:gridCol w:w="1332"/>
        <w:gridCol w:w="1008"/>
        <w:gridCol w:w="942"/>
        <w:gridCol w:w="810"/>
        <w:gridCol w:w="816"/>
        <w:gridCol w:w="1464"/>
        <w:gridCol w:w="1008"/>
        <w:gridCol w:w="942"/>
        <w:gridCol w:w="1120"/>
        <w:gridCol w:w="1026"/>
        <w:gridCol w:w="933"/>
      </w:tblGrid>
      <w:tr w14:paraId="030F2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5000" w:type="pct"/>
            <w:gridSpan w:val="14"/>
            <w:tcBorders>
              <w:tl2br w:val="nil"/>
              <w:tr2bl w:val="nil"/>
            </w:tcBorders>
            <w:shd w:val="clear" w:color="auto" w:fill="auto"/>
            <w:vAlign w:val="center"/>
          </w:tcPr>
          <w:p w14:paraId="4FE84E78">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5A593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5000" w:type="pct"/>
            <w:gridSpan w:val="14"/>
            <w:tcBorders>
              <w:tl2br w:val="nil"/>
              <w:tr2bl w:val="nil"/>
            </w:tcBorders>
            <w:shd w:val="clear" w:color="auto" w:fill="auto"/>
            <w:vAlign w:val="center"/>
          </w:tcPr>
          <w:p w14:paraId="134B2D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8836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592" w:type="pct"/>
            <w:gridSpan w:val="2"/>
            <w:tcBorders>
              <w:tl2br w:val="nil"/>
              <w:tr2bl w:val="nil"/>
            </w:tcBorders>
            <w:shd w:val="clear" w:color="auto" w:fill="auto"/>
            <w:vAlign w:val="center"/>
          </w:tcPr>
          <w:p w14:paraId="416DA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407" w:type="pct"/>
            <w:gridSpan w:val="12"/>
            <w:tcBorders>
              <w:tl2br w:val="nil"/>
              <w:tr2bl w:val="nil"/>
            </w:tcBorders>
            <w:shd w:val="clear" w:color="auto" w:fill="auto"/>
            <w:vAlign w:val="center"/>
          </w:tcPr>
          <w:p w14:paraId="3BF7F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昌州财教【2019】98号 滋泥泉子中学2020年暖气改造项目</w:t>
            </w:r>
          </w:p>
        </w:tc>
      </w:tr>
      <w:tr w14:paraId="58085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592" w:type="pct"/>
            <w:gridSpan w:val="2"/>
            <w:tcBorders>
              <w:tl2br w:val="nil"/>
              <w:tr2bl w:val="nil"/>
            </w:tcBorders>
            <w:shd w:val="clear" w:color="auto" w:fill="auto"/>
            <w:vAlign w:val="center"/>
          </w:tcPr>
          <w:p w14:paraId="7A8AE8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828" w:type="pct"/>
            <w:gridSpan w:val="5"/>
            <w:tcBorders>
              <w:tl2br w:val="nil"/>
              <w:tr2bl w:val="nil"/>
            </w:tcBorders>
            <w:shd w:val="clear" w:color="auto" w:fill="auto"/>
            <w:vAlign w:val="center"/>
          </w:tcPr>
          <w:p w14:paraId="0CADC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804" w:type="pct"/>
            <w:gridSpan w:val="2"/>
            <w:tcBorders>
              <w:tl2br w:val="nil"/>
              <w:tr2bl w:val="nil"/>
            </w:tcBorders>
            <w:shd w:val="clear" w:color="auto" w:fill="auto"/>
            <w:vAlign w:val="center"/>
          </w:tcPr>
          <w:p w14:paraId="75910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774" w:type="pct"/>
            <w:gridSpan w:val="5"/>
            <w:tcBorders>
              <w:tl2br w:val="nil"/>
              <w:tr2bl w:val="nil"/>
            </w:tcBorders>
            <w:shd w:val="clear" w:color="auto" w:fill="auto"/>
            <w:vAlign w:val="center"/>
          </w:tcPr>
          <w:p w14:paraId="52665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阜康市滋泥泉子镇中学</w:t>
            </w:r>
          </w:p>
        </w:tc>
      </w:tr>
      <w:tr w14:paraId="15950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592" w:type="pct"/>
            <w:gridSpan w:val="2"/>
            <w:vMerge w:val="restart"/>
            <w:tcBorders>
              <w:tl2br w:val="nil"/>
              <w:tr2bl w:val="nil"/>
            </w:tcBorders>
            <w:shd w:val="clear" w:color="auto" w:fill="auto"/>
            <w:vAlign w:val="center"/>
          </w:tcPr>
          <w:p w14:paraId="5B84D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855" w:type="pct"/>
            <w:gridSpan w:val="2"/>
            <w:tcBorders>
              <w:tl2br w:val="nil"/>
              <w:tr2bl w:val="nil"/>
            </w:tcBorders>
            <w:shd w:val="clear" w:color="auto" w:fill="auto"/>
            <w:vAlign w:val="center"/>
          </w:tcPr>
          <w:p w14:paraId="0C1B3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355" w:type="pct"/>
            <w:tcBorders>
              <w:tl2br w:val="nil"/>
              <w:tr2bl w:val="nil"/>
            </w:tcBorders>
            <w:shd w:val="clear" w:color="auto" w:fill="auto"/>
            <w:vAlign w:val="center"/>
          </w:tcPr>
          <w:p w14:paraId="25FD1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618" w:type="pct"/>
            <w:gridSpan w:val="2"/>
            <w:tcBorders>
              <w:tl2br w:val="nil"/>
              <w:tr2bl w:val="nil"/>
            </w:tcBorders>
            <w:shd w:val="clear" w:color="auto" w:fill="auto"/>
            <w:vAlign w:val="center"/>
          </w:tcPr>
          <w:p w14:paraId="1A17B0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804" w:type="pct"/>
            <w:gridSpan w:val="2"/>
            <w:tcBorders>
              <w:tl2br w:val="nil"/>
              <w:tr2bl w:val="nil"/>
            </w:tcBorders>
            <w:shd w:val="clear" w:color="auto" w:fill="auto"/>
            <w:vAlign w:val="center"/>
          </w:tcPr>
          <w:p w14:paraId="07F3F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87" w:type="pct"/>
            <w:gridSpan w:val="2"/>
            <w:tcBorders>
              <w:tl2br w:val="nil"/>
              <w:tr2bl w:val="nil"/>
            </w:tcBorders>
            <w:shd w:val="clear" w:color="auto" w:fill="auto"/>
            <w:vAlign w:val="center"/>
          </w:tcPr>
          <w:p w14:paraId="13BD6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757" w:type="pct"/>
            <w:gridSpan w:val="2"/>
            <w:tcBorders>
              <w:tl2br w:val="nil"/>
              <w:tr2bl w:val="nil"/>
            </w:tcBorders>
            <w:shd w:val="clear" w:color="auto" w:fill="auto"/>
            <w:vAlign w:val="center"/>
          </w:tcPr>
          <w:p w14:paraId="619A4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329" w:type="pct"/>
            <w:tcBorders>
              <w:tl2br w:val="nil"/>
              <w:tr2bl w:val="nil"/>
            </w:tcBorders>
            <w:shd w:val="clear" w:color="auto" w:fill="auto"/>
            <w:vAlign w:val="center"/>
          </w:tcPr>
          <w:p w14:paraId="288433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9DEA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trPr>
        <w:tc>
          <w:tcPr>
            <w:tcW w:w="592" w:type="pct"/>
            <w:gridSpan w:val="2"/>
            <w:vMerge w:val="continue"/>
            <w:tcBorders>
              <w:tl2br w:val="nil"/>
              <w:tr2bl w:val="nil"/>
            </w:tcBorders>
            <w:shd w:val="clear" w:color="auto" w:fill="auto"/>
            <w:vAlign w:val="center"/>
          </w:tcPr>
          <w:p w14:paraId="324B097C">
            <w:pPr>
              <w:jc w:val="center"/>
              <w:rPr>
                <w:rFonts w:hint="eastAsia" w:ascii="宋体" w:hAnsi="宋体" w:eastAsia="宋体" w:cs="宋体"/>
                <w:i w:val="0"/>
                <w:iCs w:val="0"/>
                <w:color w:val="000000"/>
                <w:sz w:val="20"/>
                <w:szCs w:val="20"/>
                <w:u w:val="none"/>
              </w:rPr>
            </w:pPr>
          </w:p>
        </w:tc>
        <w:tc>
          <w:tcPr>
            <w:tcW w:w="855" w:type="pct"/>
            <w:gridSpan w:val="2"/>
            <w:tcBorders>
              <w:tl2br w:val="nil"/>
              <w:tr2bl w:val="nil"/>
            </w:tcBorders>
            <w:shd w:val="clear" w:color="auto" w:fill="auto"/>
            <w:vAlign w:val="center"/>
          </w:tcPr>
          <w:p w14:paraId="250F4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355" w:type="pct"/>
            <w:tcBorders>
              <w:tl2br w:val="nil"/>
              <w:tr2bl w:val="nil"/>
            </w:tcBorders>
            <w:shd w:val="clear" w:color="auto" w:fill="auto"/>
            <w:vAlign w:val="center"/>
          </w:tcPr>
          <w:p w14:paraId="5D032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618" w:type="pct"/>
            <w:gridSpan w:val="2"/>
            <w:tcBorders>
              <w:tl2br w:val="nil"/>
              <w:tr2bl w:val="nil"/>
            </w:tcBorders>
            <w:shd w:val="clear" w:color="auto" w:fill="auto"/>
            <w:vAlign w:val="center"/>
          </w:tcPr>
          <w:p w14:paraId="4543C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804" w:type="pct"/>
            <w:gridSpan w:val="2"/>
            <w:tcBorders>
              <w:tl2br w:val="nil"/>
              <w:tr2bl w:val="nil"/>
            </w:tcBorders>
            <w:shd w:val="clear" w:color="auto" w:fill="auto"/>
            <w:vAlign w:val="center"/>
          </w:tcPr>
          <w:p w14:paraId="2D0CC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687" w:type="pct"/>
            <w:gridSpan w:val="2"/>
            <w:tcBorders>
              <w:tl2br w:val="nil"/>
              <w:tr2bl w:val="nil"/>
            </w:tcBorders>
            <w:shd w:val="clear" w:color="auto" w:fill="auto"/>
            <w:vAlign w:val="center"/>
          </w:tcPr>
          <w:p w14:paraId="49EB8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57" w:type="pct"/>
            <w:gridSpan w:val="2"/>
            <w:tcBorders>
              <w:tl2br w:val="nil"/>
              <w:tr2bl w:val="nil"/>
            </w:tcBorders>
            <w:shd w:val="clear" w:color="auto" w:fill="auto"/>
            <w:vAlign w:val="center"/>
          </w:tcPr>
          <w:p w14:paraId="30133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29" w:type="pct"/>
            <w:tcBorders>
              <w:tl2br w:val="nil"/>
              <w:tr2bl w:val="nil"/>
            </w:tcBorders>
            <w:shd w:val="clear" w:color="auto" w:fill="auto"/>
            <w:vAlign w:val="center"/>
          </w:tcPr>
          <w:p w14:paraId="10EBB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A987F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592" w:type="pct"/>
            <w:gridSpan w:val="2"/>
            <w:vMerge w:val="continue"/>
            <w:tcBorders>
              <w:tl2br w:val="nil"/>
              <w:tr2bl w:val="nil"/>
            </w:tcBorders>
            <w:shd w:val="clear" w:color="auto" w:fill="auto"/>
            <w:vAlign w:val="center"/>
          </w:tcPr>
          <w:p w14:paraId="45788C59">
            <w:pPr>
              <w:jc w:val="center"/>
              <w:rPr>
                <w:rFonts w:hint="eastAsia" w:ascii="宋体" w:hAnsi="宋体" w:eastAsia="宋体" w:cs="宋体"/>
                <w:i w:val="0"/>
                <w:iCs w:val="0"/>
                <w:color w:val="000000"/>
                <w:sz w:val="20"/>
                <w:szCs w:val="20"/>
                <w:u w:val="none"/>
              </w:rPr>
            </w:pPr>
          </w:p>
        </w:tc>
        <w:tc>
          <w:tcPr>
            <w:tcW w:w="855" w:type="pct"/>
            <w:gridSpan w:val="2"/>
            <w:tcBorders>
              <w:tl2br w:val="nil"/>
              <w:tr2bl w:val="nil"/>
            </w:tcBorders>
            <w:shd w:val="clear" w:color="auto" w:fill="auto"/>
            <w:vAlign w:val="center"/>
          </w:tcPr>
          <w:p w14:paraId="42456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355" w:type="pct"/>
            <w:tcBorders>
              <w:tl2br w:val="nil"/>
              <w:tr2bl w:val="nil"/>
            </w:tcBorders>
            <w:shd w:val="clear" w:color="auto" w:fill="auto"/>
            <w:vAlign w:val="center"/>
          </w:tcPr>
          <w:p w14:paraId="6A0FD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618" w:type="pct"/>
            <w:gridSpan w:val="2"/>
            <w:tcBorders>
              <w:tl2br w:val="nil"/>
              <w:tr2bl w:val="nil"/>
            </w:tcBorders>
            <w:shd w:val="clear" w:color="auto" w:fill="auto"/>
            <w:vAlign w:val="center"/>
          </w:tcPr>
          <w:p w14:paraId="11DC5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804" w:type="pct"/>
            <w:gridSpan w:val="2"/>
            <w:tcBorders>
              <w:tl2br w:val="nil"/>
              <w:tr2bl w:val="nil"/>
            </w:tcBorders>
            <w:shd w:val="clear" w:color="auto" w:fill="auto"/>
            <w:vAlign w:val="center"/>
          </w:tcPr>
          <w:p w14:paraId="7A5F4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27.48 </w:t>
            </w:r>
          </w:p>
        </w:tc>
        <w:tc>
          <w:tcPr>
            <w:tcW w:w="687" w:type="pct"/>
            <w:gridSpan w:val="2"/>
            <w:tcBorders>
              <w:tl2br w:val="nil"/>
              <w:tr2bl w:val="nil"/>
            </w:tcBorders>
            <w:shd w:val="clear" w:color="auto" w:fill="auto"/>
            <w:vAlign w:val="center"/>
          </w:tcPr>
          <w:p w14:paraId="15CB5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pct"/>
            <w:gridSpan w:val="2"/>
            <w:tcBorders>
              <w:tl2br w:val="nil"/>
              <w:tr2bl w:val="nil"/>
            </w:tcBorders>
            <w:shd w:val="clear" w:color="auto" w:fill="auto"/>
            <w:vAlign w:val="center"/>
          </w:tcPr>
          <w:p w14:paraId="2D756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29" w:type="pct"/>
            <w:tcBorders>
              <w:tl2br w:val="nil"/>
              <w:tr2bl w:val="nil"/>
            </w:tcBorders>
            <w:shd w:val="clear" w:color="auto" w:fill="auto"/>
            <w:vAlign w:val="center"/>
          </w:tcPr>
          <w:p w14:paraId="126709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CA80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20" w:hRule="atLeast"/>
        </w:trPr>
        <w:tc>
          <w:tcPr>
            <w:tcW w:w="592" w:type="pct"/>
            <w:gridSpan w:val="2"/>
            <w:vMerge w:val="continue"/>
            <w:tcBorders>
              <w:tl2br w:val="nil"/>
              <w:tr2bl w:val="nil"/>
            </w:tcBorders>
            <w:shd w:val="clear" w:color="auto" w:fill="auto"/>
            <w:vAlign w:val="center"/>
          </w:tcPr>
          <w:p w14:paraId="2B2BE0DA">
            <w:pPr>
              <w:jc w:val="center"/>
              <w:rPr>
                <w:rFonts w:hint="eastAsia" w:ascii="宋体" w:hAnsi="宋体" w:eastAsia="宋体" w:cs="宋体"/>
                <w:i w:val="0"/>
                <w:iCs w:val="0"/>
                <w:color w:val="000000"/>
                <w:sz w:val="20"/>
                <w:szCs w:val="20"/>
                <w:u w:val="none"/>
              </w:rPr>
            </w:pPr>
          </w:p>
        </w:tc>
        <w:tc>
          <w:tcPr>
            <w:tcW w:w="855" w:type="pct"/>
            <w:gridSpan w:val="2"/>
            <w:tcBorders>
              <w:tl2br w:val="nil"/>
              <w:tr2bl w:val="nil"/>
            </w:tcBorders>
            <w:shd w:val="clear" w:color="auto" w:fill="auto"/>
            <w:vAlign w:val="center"/>
          </w:tcPr>
          <w:p w14:paraId="7FD54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355" w:type="pct"/>
            <w:tcBorders>
              <w:tl2br w:val="nil"/>
              <w:tr2bl w:val="nil"/>
            </w:tcBorders>
            <w:shd w:val="clear" w:color="auto" w:fill="auto"/>
            <w:vAlign w:val="center"/>
          </w:tcPr>
          <w:p w14:paraId="736EF1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18" w:type="pct"/>
            <w:gridSpan w:val="2"/>
            <w:tcBorders>
              <w:tl2br w:val="nil"/>
              <w:tr2bl w:val="nil"/>
            </w:tcBorders>
            <w:shd w:val="clear" w:color="auto" w:fill="auto"/>
            <w:vAlign w:val="center"/>
          </w:tcPr>
          <w:p w14:paraId="596DE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804" w:type="pct"/>
            <w:gridSpan w:val="2"/>
            <w:tcBorders>
              <w:tl2br w:val="nil"/>
              <w:tr2bl w:val="nil"/>
            </w:tcBorders>
            <w:shd w:val="clear" w:color="auto" w:fill="auto"/>
            <w:vAlign w:val="center"/>
          </w:tcPr>
          <w:p w14:paraId="2F80B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87" w:type="pct"/>
            <w:gridSpan w:val="2"/>
            <w:tcBorders>
              <w:tl2br w:val="nil"/>
              <w:tr2bl w:val="nil"/>
            </w:tcBorders>
            <w:shd w:val="clear" w:color="auto" w:fill="auto"/>
            <w:vAlign w:val="center"/>
          </w:tcPr>
          <w:p w14:paraId="10535C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pct"/>
            <w:gridSpan w:val="2"/>
            <w:tcBorders>
              <w:tl2br w:val="nil"/>
              <w:tr2bl w:val="nil"/>
            </w:tcBorders>
            <w:shd w:val="clear" w:color="auto" w:fill="auto"/>
            <w:vAlign w:val="center"/>
          </w:tcPr>
          <w:p w14:paraId="4830B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29" w:type="pct"/>
            <w:tcBorders>
              <w:tl2br w:val="nil"/>
              <w:tr2bl w:val="nil"/>
            </w:tcBorders>
            <w:shd w:val="clear" w:color="auto" w:fill="auto"/>
            <w:vAlign w:val="center"/>
          </w:tcPr>
          <w:p w14:paraId="0685A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8282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trPr>
        <w:tc>
          <w:tcPr>
            <w:tcW w:w="254" w:type="pct"/>
            <w:vMerge w:val="restart"/>
            <w:tcBorders>
              <w:tl2br w:val="nil"/>
              <w:tr2bl w:val="nil"/>
            </w:tcBorders>
            <w:shd w:val="clear" w:color="auto" w:fill="auto"/>
            <w:vAlign w:val="center"/>
          </w:tcPr>
          <w:p w14:paraId="0A5B3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971" w:type="pct"/>
            <w:gridSpan w:val="8"/>
            <w:tcBorders>
              <w:tl2br w:val="nil"/>
              <w:tr2bl w:val="nil"/>
            </w:tcBorders>
            <w:shd w:val="clear" w:color="auto" w:fill="auto"/>
            <w:vAlign w:val="center"/>
          </w:tcPr>
          <w:p w14:paraId="5FD92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1774" w:type="pct"/>
            <w:gridSpan w:val="5"/>
            <w:tcBorders>
              <w:tl2br w:val="nil"/>
              <w:tr2bl w:val="nil"/>
            </w:tcBorders>
            <w:shd w:val="clear" w:color="auto" w:fill="auto"/>
            <w:vAlign w:val="center"/>
          </w:tcPr>
          <w:p w14:paraId="49C7C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CF7B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0" w:hRule="atLeast"/>
        </w:trPr>
        <w:tc>
          <w:tcPr>
            <w:tcW w:w="254" w:type="pct"/>
            <w:vMerge w:val="continue"/>
            <w:tcBorders>
              <w:tl2br w:val="nil"/>
              <w:tr2bl w:val="nil"/>
            </w:tcBorders>
            <w:shd w:val="clear" w:color="auto" w:fill="auto"/>
            <w:vAlign w:val="center"/>
          </w:tcPr>
          <w:p w14:paraId="1A483EE0">
            <w:pPr>
              <w:jc w:val="center"/>
              <w:rPr>
                <w:rFonts w:hint="eastAsia" w:ascii="宋体" w:hAnsi="宋体" w:eastAsia="宋体" w:cs="宋体"/>
                <w:i w:val="0"/>
                <w:iCs w:val="0"/>
                <w:color w:val="000000"/>
                <w:sz w:val="20"/>
                <w:szCs w:val="20"/>
                <w:u w:val="none"/>
              </w:rPr>
            </w:pPr>
          </w:p>
        </w:tc>
        <w:tc>
          <w:tcPr>
            <w:tcW w:w="2971" w:type="pct"/>
            <w:gridSpan w:val="8"/>
            <w:tcBorders>
              <w:tl2br w:val="nil"/>
              <w:tr2bl w:val="nil"/>
            </w:tcBorders>
            <w:shd w:val="clear" w:color="auto" w:fill="auto"/>
            <w:vAlign w:val="center"/>
          </w:tcPr>
          <w:p w14:paraId="32BCD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暖气改造项目，完成教育教学质量的提升,教育教学日常开展学生人数277人，工程验收合格率100%，日常维修改造质量达标率100%,工程完工率100%,财政专项资金拨款27.48万元，促进学生素质教育，排除校园安全隐患,改善学习生活环境，受助学生满意度高达95%。</w:t>
            </w:r>
          </w:p>
        </w:tc>
        <w:tc>
          <w:tcPr>
            <w:tcW w:w="1774" w:type="pct"/>
            <w:gridSpan w:val="5"/>
            <w:tcBorders>
              <w:tl2br w:val="nil"/>
              <w:tr2bl w:val="nil"/>
            </w:tcBorders>
            <w:shd w:val="clear" w:color="auto" w:fill="auto"/>
            <w:vAlign w:val="center"/>
          </w:tcPr>
          <w:p w14:paraId="770A7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2023年12月31日，完成1个暖气改造项目，保障277名学生教育教学日常开展，工程完工率、工程验收合格率达到100%，日常维修改造质量达标率、日常巡查维修及时率达到100%，达到促进学生素质教育、保障学校各项工作平稳进行的效益，学生及家长满意度达到95%。</w:t>
            </w:r>
          </w:p>
        </w:tc>
      </w:tr>
      <w:tr w14:paraId="31CC7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0" w:hRule="atLeast"/>
        </w:trPr>
        <w:tc>
          <w:tcPr>
            <w:tcW w:w="254" w:type="pct"/>
            <w:tcBorders>
              <w:tl2br w:val="nil"/>
              <w:tr2bl w:val="nil"/>
            </w:tcBorders>
            <w:shd w:val="clear" w:color="auto" w:fill="auto"/>
            <w:vAlign w:val="center"/>
          </w:tcPr>
          <w:p w14:paraId="0512274B">
            <w:pPr>
              <w:jc w:val="center"/>
              <w:rPr>
                <w:rFonts w:hint="eastAsia" w:ascii="宋体" w:hAnsi="宋体" w:eastAsia="宋体" w:cs="宋体"/>
                <w:i w:val="0"/>
                <w:iCs w:val="0"/>
                <w:color w:val="000000"/>
                <w:sz w:val="20"/>
                <w:szCs w:val="20"/>
                <w:u w:val="none"/>
              </w:rPr>
            </w:pPr>
          </w:p>
        </w:tc>
        <w:tc>
          <w:tcPr>
            <w:tcW w:w="338" w:type="pct"/>
            <w:tcBorders>
              <w:tl2br w:val="nil"/>
              <w:tr2bl w:val="nil"/>
            </w:tcBorders>
            <w:shd w:val="clear" w:color="auto" w:fill="auto"/>
            <w:vAlign w:val="center"/>
          </w:tcPr>
          <w:p w14:paraId="50273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85" w:type="pct"/>
            <w:tcBorders>
              <w:tl2br w:val="nil"/>
              <w:tr2bl w:val="nil"/>
            </w:tcBorders>
            <w:shd w:val="clear" w:color="auto" w:fill="auto"/>
            <w:vAlign w:val="center"/>
          </w:tcPr>
          <w:p w14:paraId="12538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69" w:type="pct"/>
            <w:tcBorders>
              <w:tl2br w:val="nil"/>
              <w:tr2bl w:val="nil"/>
            </w:tcBorders>
            <w:shd w:val="clear" w:color="auto" w:fill="auto"/>
            <w:vAlign w:val="center"/>
          </w:tcPr>
          <w:p w14:paraId="3A935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55" w:type="pct"/>
            <w:tcBorders>
              <w:tl2br w:val="nil"/>
              <w:tr2bl w:val="nil"/>
            </w:tcBorders>
            <w:shd w:val="clear" w:color="auto" w:fill="auto"/>
            <w:vAlign w:val="center"/>
          </w:tcPr>
          <w:p w14:paraId="44587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32" w:type="pct"/>
            <w:tcBorders>
              <w:tl2br w:val="nil"/>
              <w:tr2bl w:val="nil"/>
            </w:tcBorders>
            <w:shd w:val="clear" w:color="auto" w:fill="auto"/>
            <w:vAlign w:val="center"/>
          </w:tcPr>
          <w:p w14:paraId="00C877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285" w:type="pct"/>
            <w:tcBorders>
              <w:tl2br w:val="nil"/>
              <w:tr2bl w:val="nil"/>
            </w:tcBorders>
            <w:shd w:val="clear" w:color="auto" w:fill="auto"/>
            <w:vAlign w:val="center"/>
          </w:tcPr>
          <w:p w14:paraId="45412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287" w:type="pct"/>
            <w:tcBorders>
              <w:tl2br w:val="nil"/>
              <w:tr2bl w:val="nil"/>
            </w:tcBorders>
            <w:shd w:val="clear" w:color="auto" w:fill="auto"/>
            <w:vAlign w:val="center"/>
          </w:tcPr>
          <w:p w14:paraId="04F90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516" w:type="pct"/>
            <w:tcBorders>
              <w:tl2br w:val="nil"/>
              <w:tr2bl w:val="nil"/>
            </w:tcBorders>
            <w:shd w:val="clear" w:color="auto" w:fill="auto"/>
            <w:vAlign w:val="center"/>
          </w:tcPr>
          <w:p w14:paraId="3B52B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355" w:type="pct"/>
            <w:tcBorders>
              <w:tl2br w:val="nil"/>
              <w:tr2bl w:val="nil"/>
            </w:tcBorders>
            <w:shd w:val="clear" w:color="auto" w:fill="auto"/>
            <w:vAlign w:val="center"/>
          </w:tcPr>
          <w:p w14:paraId="4052E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332" w:type="pct"/>
            <w:tcBorders>
              <w:tl2br w:val="nil"/>
              <w:tr2bl w:val="nil"/>
            </w:tcBorders>
            <w:shd w:val="clear" w:color="auto" w:fill="auto"/>
            <w:vAlign w:val="center"/>
          </w:tcPr>
          <w:p w14:paraId="5BACCE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395" w:type="pct"/>
            <w:tcBorders>
              <w:tl2br w:val="nil"/>
              <w:tr2bl w:val="nil"/>
            </w:tcBorders>
            <w:shd w:val="clear" w:color="auto" w:fill="auto"/>
            <w:vAlign w:val="center"/>
          </w:tcPr>
          <w:p w14:paraId="0C785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361" w:type="pct"/>
            <w:tcBorders>
              <w:tl2br w:val="nil"/>
              <w:tr2bl w:val="nil"/>
            </w:tcBorders>
            <w:shd w:val="clear" w:color="auto" w:fill="auto"/>
            <w:vAlign w:val="center"/>
          </w:tcPr>
          <w:p w14:paraId="124DA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329" w:type="pct"/>
            <w:tcBorders>
              <w:tl2br w:val="nil"/>
              <w:tr2bl w:val="nil"/>
            </w:tcBorders>
            <w:shd w:val="clear" w:color="auto" w:fill="auto"/>
            <w:vAlign w:val="center"/>
          </w:tcPr>
          <w:p w14:paraId="64E4E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9443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254" w:type="pct"/>
            <w:vMerge w:val="restart"/>
            <w:tcBorders>
              <w:tl2br w:val="nil"/>
              <w:tr2bl w:val="nil"/>
            </w:tcBorders>
            <w:shd w:val="clear" w:color="auto" w:fill="auto"/>
            <w:vAlign w:val="center"/>
          </w:tcPr>
          <w:p w14:paraId="416D5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38" w:type="pct"/>
            <w:vMerge w:val="restart"/>
            <w:tcBorders>
              <w:tl2br w:val="nil"/>
              <w:tr2bl w:val="nil"/>
            </w:tcBorders>
            <w:shd w:val="clear" w:color="auto" w:fill="auto"/>
            <w:vAlign w:val="center"/>
          </w:tcPr>
          <w:p w14:paraId="0C6E2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85" w:type="pct"/>
            <w:vMerge w:val="restart"/>
            <w:tcBorders>
              <w:tl2br w:val="nil"/>
              <w:tr2bl w:val="nil"/>
            </w:tcBorders>
            <w:shd w:val="clear" w:color="auto" w:fill="auto"/>
            <w:vAlign w:val="center"/>
          </w:tcPr>
          <w:p w14:paraId="7F20F3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69" w:type="pct"/>
            <w:tcBorders>
              <w:tl2br w:val="nil"/>
              <w:tr2bl w:val="nil"/>
            </w:tcBorders>
            <w:shd w:val="clear" w:color="auto" w:fill="auto"/>
            <w:vAlign w:val="center"/>
          </w:tcPr>
          <w:p w14:paraId="796EB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暖气改造项目</w:t>
            </w:r>
          </w:p>
        </w:tc>
        <w:tc>
          <w:tcPr>
            <w:tcW w:w="355" w:type="pct"/>
            <w:tcBorders>
              <w:tl2br w:val="nil"/>
              <w:tr2bl w:val="nil"/>
            </w:tcBorders>
            <w:shd w:val="clear" w:color="auto" w:fill="auto"/>
            <w:vAlign w:val="center"/>
          </w:tcPr>
          <w:p w14:paraId="6C67F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&gt;=1个</w:t>
            </w:r>
          </w:p>
        </w:tc>
        <w:tc>
          <w:tcPr>
            <w:tcW w:w="332" w:type="pct"/>
            <w:tcBorders>
              <w:tl2br w:val="nil"/>
              <w:tr2bl w:val="nil"/>
            </w:tcBorders>
            <w:shd w:val="clear" w:color="auto" w:fill="auto"/>
            <w:vAlign w:val="center"/>
          </w:tcPr>
          <w:p w14:paraId="1868B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57250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77A53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pct"/>
            <w:tcBorders>
              <w:tl2br w:val="nil"/>
              <w:tr2bl w:val="nil"/>
            </w:tcBorders>
            <w:shd w:val="clear" w:color="auto" w:fill="auto"/>
            <w:vAlign w:val="center"/>
          </w:tcPr>
          <w:p w14:paraId="227A0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1C622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2774AE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395" w:type="pct"/>
            <w:tcBorders>
              <w:tl2br w:val="nil"/>
              <w:tr2bl w:val="nil"/>
            </w:tcBorders>
            <w:shd w:val="clear" w:color="auto" w:fill="auto"/>
            <w:vAlign w:val="center"/>
          </w:tcPr>
          <w:p w14:paraId="547DE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6F24F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29" w:type="pct"/>
            <w:tcBorders>
              <w:tl2br w:val="nil"/>
              <w:tr2bl w:val="nil"/>
            </w:tcBorders>
            <w:shd w:val="clear" w:color="auto" w:fill="auto"/>
            <w:vAlign w:val="center"/>
          </w:tcPr>
          <w:p w14:paraId="7FE5F454">
            <w:pPr>
              <w:jc w:val="center"/>
              <w:rPr>
                <w:rFonts w:hint="eastAsia" w:ascii="宋体" w:hAnsi="宋体" w:eastAsia="宋体" w:cs="宋体"/>
                <w:i w:val="0"/>
                <w:iCs w:val="0"/>
                <w:color w:val="000000"/>
                <w:sz w:val="20"/>
                <w:szCs w:val="20"/>
                <w:u w:val="none"/>
              </w:rPr>
            </w:pPr>
          </w:p>
        </w:tc>
      </w:tr>
      <w:tr w14:paraId="6F17E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19D4C636">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3AC8A8AB">
            <w:pPr>
              <w:jc w:val="center"/>
              <w:rPr>
                <w:rFonts w:hint="eastAsia" w:ascii="宋体" w:hAnsi="宋体" w:eastAsia="宋体" w:cs="宋体"/>
                <w:i w:val="0"/>
                <w:iCs w:val="0"/>
                <w:color w:val="000000"/>
                <w:sz w:val="20"/>
                <w:szCs w:val="20"/>
                <w:u w:val="none"/>
              </w:rPr>
            </w:pPr>
          </w:p>
        </w:tc>
        <w:tc>
          <w:tcPr>
            <w:tcW w:w="385" w:type="pct"/>
            <w:vMerge w:val="continue"/>
            <w:tcBorders>
              <w:tl2br w:val="nil"/>
              <w:tr2bl w:val="nil"/>
            </w:tcBorders>
            <w:shd w:val="clear" w:color="auto" w:fill="auto"/>
            <w:vAlign w:val="center"/>
          </w:tcPr>
          <w:p w14:paraId="6F01B2D0">
            <w:pPr>
              <w:jc w:val="center"/>
              <w:rPr>
                <w:rFonts w:hint="eastAsia" w:ascii="宋体" w:hAnsi="宋体" w:eastAsia="宋体" w:cs="宋体"/>
                <w:i w:val="0"/>
                <w:iCs w:val="0"/>
                <w:color w:val="000000"/>
                <w:sz w:val="20"/>
                <w:szCs w:val="20"/>
                <w:u w:val="none"/>
              </w:rPr>
            </w:pPr>
          </w:p>
        </w:tc>
        <w:tc>
          <w:tcPr>
            <w:tcW w:w="469" w:type="pct"/>
            <w:tcBorders>
              <w:tl2br w:val="nil"/>
              <w:tr2bl w:val="nil"/>
            </w:tcBorders>
            <w:shd w:val="clear" w:color="auto" w:fill="auto"/>
            <w:vAlign w:val="center"/>
          </w:tcPr>
          <w:p w14:paraId="27937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教育教学日常开展学生人数</w:t>
            </w:r>
          </w:p>
        </w:tc>
        <w:tc>
          <w:tcPr>
            <w:tcW w:w="355" w:type="pct"/>
            <w:tcBorders>
              <w:tl2br w:val="nil"/>
              <w:tr2bl w:val="nil"/>
            </w:tcBorders>
            <w:shd w:val="clear" w:color="auto" w:fill="auto"/>
            <w:vAlign w:val="center"/>
          </w:tcPr>
          <w:p w14:paraId="04C0A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&gt;=277人</w:t>
            </w:r>
          </w:p>
        </w:tc>
        <w:tc>
          <w:tcPr>
            <w:tcW w:w="332" w:type="pct"/>
            <w:tcBorders>
              <w:tl2br w:val="nil"/>
              <w:tr2bl w:val="nil"/>
            </w:tcBorders>
            <w:shd w:val="clear" w:color="auto" w:fill="auto"/>
            <w:vAlign w:val="center"/>
          </w:tcPr>
          <w:p w14:paraId="19057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208DD0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205BB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pct"/>
            <w:tcBorders>
              <w:tl2br w:val="nil"/>
              <w:tr2bl w:val="nil"/>
            </w:tcBorders>
            <w:shd w:val="clear" w:color="auto" w:fill="auto"/>
            <w:vAlign w:val="center"/>
          </w:tcPr>
          <w:p w14:paraId="2AAC1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225A2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173ED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277人</w:t>
            </w:r>
          </w:p>
        </w:tc>
        <w:tc>
          <w:tcPr>
            <w:tcW w:w="395" w:type="pct"/>
            <w:tcBorders>
              <w:tl2br w:val="nil"/>
              <w:tr2bl w:val="nil"/>
            </w:tcBorders>
            <w:shd w:val="clear" w:color="auto" w:fill="auto"/>
            <w:vAlign w:val="center"/>
          </w:tcPr>
          <w:p w14:paraId="2230B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1" w:type="pct"/>
            <w:tcBorders>
              <w:tl2br w:val="nil"/>
              <w:tr2bl w:val="nil"/>
            </w:tcBorders>
            <w:shd w:val="clear" w:color="auto" w:fill="auto"/>
            <w:vAlign w:val="center"/>
          </w:tcPr>
          <w:p w14:paraId="524ED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29" w:type="pct"/>
            <w:tcBorders>
              <w:tl2br w:val="nil"/>
              <w:tr2bl w:val="nil"/>
            </w:tcBorders>
            <w:shd w:val="clear" w:color="auto" w:fill="auto"/>
            <w:vAlign w:val="center"/>
          </w:tcPr>
          <w:p w14:paraId="2371B8C0">
            <w:pPr>
              <w:jc w:val="center"/>
              <w:rPr>
                <w:rFonts w:hint="eastAsia" w:ascii="宋体" w:hAnsi="宋体" w:eastAsia="宋体" w:cs="宋体"/>
                <w:i w:val="0"/>
                <w:iCs w:val="0"/>
                <w:color w:val="000000"/>
                <w:sz w:val="20"/>
                <w:szCs w:val="20"/>
                <w:u w:val="none"/>
              </w:rPr>
            </w:pPr>
          </w:p>
        </w:tc>
      </w:tr>
      <w:tr w14:paraId="37DF4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76B82DBF">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6135882E">
            <w:pPr>
              <w:jc w:val="center"/>
              <w:rPr>
                <w:rFonts w:hint="eastAsia" w:ascii="宋体" w:hAnsi="宋体" w:eastAsia="宋体" w:cs="宋体"/>
                <w:i w:val="0"/>
                <w:iCs w:val="0"/>
                <w:color w:val="000000"/>
                <w:sz w:val="20"/>
                <w:szCs w:val="20"/>
                <w:u w:val="none"/>
              </w:rPr>
            </w:pPr>
          </w:p>
        </w:tc>
        <w:tc>
          <w:tcPr>
            <w:tcW w:w="385" w:type="pct"/>
            <w:vMerge w:val="restart"/>
            <w:tcBorders>
              <w:tl2br w:val="nil"/>
              <w:tr2bl w:val="nil"/>
            </w:tcBorders>
            <w:shd w:val="clear" w:color="auto" w:fill="auto"/>
            <w:vAlign w:val="center"/>
          </w:tcPr>
          <w:p w14:paraId="1875C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69" w:type="pct"/>
            <w:tcBorders>
              <w:tl2br w:val="nil"/>
              <w:tr2bl w:val="nil"/>
            </w:tcBorders>
            <w:shd w:val="clear" w:color="auto" w:fill="auto"/>
            <w:vAlign w:val="center"/>
          </w:tcPr>
          <w:p w14:paraId="65E91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355" w:type="pct"/>
            <w:tcBorders>
              <w:tl2br w:val="nil"/>
              <w:tr2bl w:val="nil"/>
            </w:tcBorders>
            <w:shd w:val="clear" w:color="auto" w:fill="auto"/>
            <w:vAlign w:val="center"/>
          </w:tcPr>
          <w:p w14:paraId="7E040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2" w:type="pct"/>
            <w:tcBorders>
              <w:tl2br w:val="nil"/>
              <w:tr2bl w:val="nil"/>
            </w:tcBorders>
            <w:shd w:val="clear" w:color="auto" w:fill="auto"/>
            <w:vAlign w:val="center"/>
          </w:tcPr>
          <w:p w14:paraId="11D6F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65C99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368FF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pct"/>
            <w:tcBorders>
              <w:tl2br w:val="nil"/>
              <w:tr2bl w:val="nil"/>
            </w:tcBorders>
            <w:shd w:val="clear" w:color="auto" w:fill="auto"/>
            <w:vAlign w:val="center"/>
          </w:tcPr>
          <w:p w14:paraId="7E36F9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6212E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6E109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16945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0EFBF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29" w:type="pct"/>
            <w:tcBorders>
              <w:tl2br w:val="nil"/>
              <w:tr2bl w:val="nil"/>
            </w:tcBorders>
            <w:shd w:val="clear" w:color="auto" w:fill="auto"/>
            <w:vAlign w:val="center"/>
          </w:tcPr>
          <w:p w14:paraId="3CB3AAFB">
            <w:pPr>
              <w:jc w:val="center"/>
              <w:rPr>
                <w:rFonts w:hint="eastAsia" w:ascii="宋体" w:hAnsi="宋体" w:eastAsia="宋体" w:cs="宋体"/>
                <w:i w:val="0"/>
                <w:iCs w:val="0"/>
                <w:color w:val="000000"/>
                <w:sz w:val="20"/>
                <w:szCs w:val="20"/>
                <w:u w:val="none"/>
              </w:rPr>
            </w:pPr>
          </w:p>
        </w:tc>
      </w:tr>
      <w:tr w14:paraId="65A48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4DE9BF8F">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5808E9C2">
            <w:pPr>
              <w:jc w:val="center"/>
              <w:rPr>
                <w:rFonts w:hint="eastAsia" w:ascii="宋体" w:hAnsi="宋体" w:eastAsia="宋体" w:cs="宋体"/>
                <w:i w:val="0"/>
                <w:iCs w:val="0"/>
                <w:color w:val="000000"/>
                <w:sz w:val="20"/>
                <w:szCs w:val="20"/>
                <w:u w:val="none"/>
              </w:rPr>
            </w:pPr>
          </w:p>
        </w:tc>
        <w:tc>
          <w:tcPr>
            <w:tcW w:w="385" w:type="pct"/>
            <w:vMerge w:val="continue"/>
            <w:tcBorders>
              <w:tl2br w:val="nil"/>
              <w:tr2bl w:val="nil"/>
            </w:tcBorders>
            <w:shd w:val="clear" w:color="auto" w:fill="auto"/>
            <w:vAlign w:val="center"/>
          </w:tcPr>
          <w:p w14:paraId="517FA53A">
            <w:pPr>
              <w:jc w:val="center"/>
              <w:rPr>
                <w:rFonts w:hint="eastAsia" w:ascii="宋体" w:hAnsi="宋体" w:eastAsia="宋体" w:cs="宋体"/>
                <w:i w:val="0"/>
                <w:iCs w:val="0"/>
                <w:color w:val="000000"/>
                <w:sz w:val="20"/>
                <w:szCs w:val="20"/>
                <w:u w:val="none"/>
              </w:rPr>
            </w:pPr>
          </w:p>
        </w:tc>
        <w:tc>
          <w:tcPr>
            <w:tcW w:w="469" w:type="pct"/>
            <w:tcBorders>
              <w:tl2br w:val="nil"/>
              <w:tr2bl w:val="nil"/>
            </w:tcBorders>
            <w:shd w:val="clear" w:color="auto" w:fill="auto"/>
            <w:vAlign w:val="center"/>
          </w:tcPr>
          <w:p w14:paraId="66D7C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日常维修改造质量达标率</w:t>
            </w:r>
          </w:p>
        </w:tc>
        <w:tc>
          <w:tcPr>
            <w:tcW w:w="355" w:type="pct"/>
            <w:tcBorders>
              <w:tl2br w:val="nil"/>
              <w:tr2bl w:val="nil"/>
            </w:tcBorders>
            <w:shd w:val="clear" w:color="auto" w:fill="auto"/>
            <w:vAlign w:val="center"/>
          </w:tcPr>
          <w:p w14:paraId="193FD1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2" w:type="pct"/>
            <w:tcBorders>
              <w:tl2br w:val="nil"/>
              <w:tr2bl w:val="nil"/>
            </w:tcBorders>
            <w:shd w:val="clear" w:color="auto" w:fill="auto"/>
            <w:vAlign w:val="center"/>
          </w:tcPr>
          <w:p w14:paraId="488FE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6FCA3A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71984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pct"/>
            <w:tcBorders>
              <w:tl2br w:val="nil"/>
              <w:tr2bl w:val="nil"/>
            </w:tcBorders>
            <w:shd w:val="clear" w:color="auto" w:fill="auto"/>
            <w:vAlign w:val="center"/>
          </w:tcPr>
          <w:p w14:paraId="65CDA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4668D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5BFC4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2A952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62BE7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29" w:type="pct"/>
            <w:tcBorders>
              <w:tl2br w:val="nil"/>
              <w:tr2bl w:val="nil"/>
            </w:tcBorders>
            <w:shd w:val="clear" w:color="auto" w:fill="auto"/>
            <w:vAlign w:val="center"/>
          </w:tcPr>
          <w:p w14:paraId="35186726">
            <w:pPr>
              <w:jc w:val="center"/>
              <w:rPr>
                <w:rFonts w:hint="eastAsia" w:ascii="宋体" w:hAnsi="宋体" w:eastAsia="宋体" w:cs="宋体"/>
                <w:i w:val="0"/>
                <w:iCs w:val="0"/>
                <w:color w:val="000000"/>
                <w:sz w:val="20"/>
                <w:szCs w:val="20"/>
                <w:u w:val="none"/>
              </w:rPr>
            </w:pPr>
          </w:p>
        </w:tc>
      </w:tr>
      <w:tr w14:paraId="4318B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5362BAA0">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4788A2BB">
            <w:pPr>
              <w:jc w:val="center"/>
              <w:rPr>
                <w:rFonts w:hint="eastAsia" w:ascii="宋体" w:hAnsi="宋体" w:eastAsia="宋体" w:cs="宋体"/>
                <w:i w:val="0"/>
                <w:iCs w:val="0"/>
                <w:color w:val="000000"/>
                <w:sz w:val="20"/>
                <w:szCs w:val="20"/>
                <w:u w:val="none"/>
              </w:rPr>
            </w:pPr>
          </w:p>
        </w:tc>
        <w:tc>
          <w:tcPr>
            <w:tcW w:w="385" w:type="pct"/>
            <w:vMerge w:val="restart"/>
            <w:tcBorders>
              <w:tl2br w:val="nil"/>
              <w:tr2bl w:val="nil"/>
            </w:tcBorders>
            <w:shd w:val="clear" w:color="auto" w:fill="auto"/>
            <w:vAlign w:val="center"/>
          </w:tcPr>
          <w:p w14:paraId="5B2BE6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69" w:type="pct"/>
            <w:tcBorders>
              <w:tl2br w:val="nil"/>
              <w:tr2bl w:val="nil"/>
            </w:tcBorders>
            <w:shd w:val="clear" w:color="auto" w:fill="auto"/>
            <w:vAlign w:val="center"/>
          </w:tcPr>
          <w:p w14:paraId="51239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工程完工率</w:t>
            </w:r>
          </w:p>
        </w:tc>
        <w:tc>
          <w:tcPr>
            <w:tcW w:w="355" w:type="pct"/>
            <w:tcBorders>
              <w:tl2br w:val="nil"/>
              <w:tr2bl w:val="nil"/>
            </w:tcBorders>
            <w:shd w:val="clear" w:color="auto" w:fill="auto"/>
            <w:vAlign w:val="center"/>
          </w:tcPr>
          <w:p w14:paraId="4DC3D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2" w:type="pct"/>
            <w:tcBorders>
              <w:tl2br w:val="nil"/>
              <w:tr2bl w:val="nil"/>
            </w:tcBorders>
            <w:shd w:val="clear" w:color="auto" w:fill="auto"/>
            <w:vAlign w:val="center"/>
          </w:tcPr>
          <w:p w14:paraId="3C301C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55483E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41927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pct"/>
            <w:tcBorders>
              <w:tl2br w:val="nil"/>
              <w:tr2bl w:val="nil"/>
            </w:tcBorders>
            <w:shd w:val="clear" w:color="auto" w:fill="auto"/>
            <w:vAlign w:val="center"/>
          </w:tcPr>
          <w:p w14:paraId="2CC29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71210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03284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3E428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50A77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29" w:type="pct"/>
            <w:tcBorders>
              <w:tl2br w:val="nil"/>
              <w:tr2bl w:val="nil"/>
            </w:tcBorders>
            <w:shd w:val="clear" w:color="auto" w:fill="auto"/>
            <w:vAlign w:val="center"/>
          </w:tcPr>
          <w:p w14:paraId="00AFB4D3">
            <w:pPr>
              <w:jc w:val="center"/>
              <w:rPr>
                <w:rFonts w:hint="eastAsia" w:ascii="宋体" w:hAnsi="宋体" w:eastAsia="宋体" w:cs="宋体"/>
                <w:i w:val="0"/>
                <w:iCs w:val="0"/>
                <w:color w:val="000000"/>
                <w:sz w:val="20"/>
                <w:szCs w:val="20"/>
                <w:u w:val="none"/>
              </w:rPr>
            </w:pPr>
          </w:p>
        </w:tc>
      </w:tr>
      <w:tr w14:paraId="6BE71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6A191571">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503764BD">
            <w:pPr>
              <w:jc w:val="center"/>
              <w:rPr>
                <w:rFonts w:hint="eastAsia" w:ascii="宋体" w:hAnsi="宋体" w:eastAsia="宋体" w:cs="宋体"/>
                <w:i w:val="0"/>
                <w:iCs w:val="0"/>
                <w:color w:val="000000"/>
                <w:sz w:val="20"/>
                <w:szCs w:val="20"/>
                <w:u w:val="none"/>
              </w:rPr>
            </w:pPr>
          </w:p>
        </w:tc>
        <w:tc>
          <w:tcPr>
            <w:tcW w:w="385" w:type="pct"/>
            <w:vMerge w:val="continue"/>
            <w:tcBorders>
              <w:tl2br w:val="nil"/>
              <w:tr2bl w:val="nil"/>
            </w:tcBorders>
            <w:shd w:val="clear" w:color="auto" w:fill="auto"/>
            <w:vAlign w:val="center"/>
          </w:tcPr>
          <w:p w14:paraId="65228F74">
            <w:pPr>
              <w:jc w:val="center"/>
              <w:rPr>
                <w:rFonts w:hint="eastAsia" w:ascii="宋体" w:hAnsi="宋体" w:eastAsia="宋体" w:cs="宋体"/>
                <w:i w:val="0"/>
                <w:iCs w:val="0"/>
                <w:color w:val="000000"/>
                <w:sz w:val="20"/>
                <w:szCs w:val="20"/>
                <w:u w:val="none"/>
              </w:rPr>
            </w:pPr>
          </w:p>
        </w:tc>
        <w:tc>
          <w:tcPr>
            <w:tcW w:w="469" w:type="pct"/>
            <w:tcBorders>
              <w:tl2br w:val="nil"/>
              <w:tr2bl w:val="nil"/>
            </w:tcBorders>
            <w:shd w:val="clear" w:color="auto" w:fill="auto"/>
            <w:vAlign w:val="center"/>
          </w:tcPr>
          <w:p w14:paraId="035151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日常巡查维修及时率</w:t>
            </w:r>
          </w:p>
        </w:tc>
        <w:tc>
          <w:tcPr>
            <w:tcW w:w="355" w:type="pct"/>
            <w:tcBorders>
              <w:tl2br w:val="nil"/>
              <w:tr2bl w:val="nil"/>
            </w:tcBorders>
            <w:shd w:val="clear" w:color="auto" w:fill="auto"/>
            <w:vAlign w:val="center"/>
          </w:tcPr>
          <w:p w14:paraId="25CBD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2" w:type="pct"/>
            <w:tcBorders>
              <w:tl2br w:val="nil"/>
              <w:tr2bl w:val="nil"/>
            </w:tcBorders>
            <w:shd w:val="clear" w:color="auto" w:fill="auto"/>
            <w:vAlign w:val="center"/>
          </w:tcPr>
          <w:p w14:paraId="7FA9B1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3FA1F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3E53A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6" w:type="pct"/>
            <w:tcBorders>
              <w:tl2br w:val="nil"/>
              <w:tr2bl w:val="nil"/>
            </w:tcBorders>
            <w:shd w:val="clear" w:color="auto" w:fill="auto"/>
            <w:vAlign w:val="center"/>
          </w:tcPr>
          <w:p w14:paraId="27630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1E442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4F2D0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7EB209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1C391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29" w:type="pct"/>
            <w:tcBorders>
              <w:tl2br w:val="nil"/>
              <w:tr2bl w:val="nil"/>
            </w:tcBorders>
            <w:shd w:val="clear" w:color="auto" w:fill="auto"/>
            <w:vAlign w:val="center"/>
          </w:tcPr>
          <w:p w14:paraId="63ECFC8A">
            <w:pPr>
              <w:jc w:val="center"/>
              <w:rPr>
                <w:rFonts w:hint="eastAsia" w:ascii="宋体" w:hAnsi="宋体" w:eastAsia="宋体" w:cs="宋体"/>
                <w:b/>
                <w:bCs/>
                <w:i w:val="0"/>
                <w:iCs w:val="0"/>
                <w:color w:val="000000"/>
                <w:sz w:val="20"/>
                <w:szCs w:val="20"/>
                <w:u w:val="none"/>
              </w:rPr>
            </w:pPr>
          </w:p>
        </w:tc>
      </w:tr>
      <w:tr w14:paraId="42C81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374F5EE5">
            <w:pPr>
              <w:jc w:val="center"/>
              <w:rPr>
                <w:rFonts w:hint="eastAsia" w:ascii="宋体" w:hAnsi="宋体" w:eastAsia="宋体" w:cs="宋体"/>
                <w:i w:val="0"/>
                <w:iCs w:val="0"/>
                <w:color w:val="000000"/>
                <w:sz w:val="20"/>
                <w:szCs w:val="20"/>
                <w:u w:val="none"/>
              </w:rPr>
            </w:pPr>
          </w:p>
        </w:tc>
        <w:tc>
          <w:tcPr>
            <w:tcW w:w="338" w:type="pct"/>
            <w:tcBorders>
              <w:tl2br w:val="nil"/>
              <w:tr2bl w:val="nil"/>
            </w:tcBorders>
            <w:shd w:val="clear" w:color="auto" w:fill="auto"/>
            <w:vAlign w:val="center"/>
          </w:tcPr>
          <w:p w14:paraId="66B872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85" w:type="pct"/>
            <w:tcBorders>
              <w:tl2br w:val="nil"/>
              <w:tr2bl w:val="nil"/>
            </w:tcBorders>
            <w:shd w:val="clear" w:color="auto" w:fill="auto"/>
            <w:vAlign w:val="center"/>
          </w:tcPr>
          <w:p w14:paraId="2B7D6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469" w:type="pct"/>
            <w:tcBorders>
              <w:tl2br w:val="nil"/>
              <w:tr2bl w:val="nil"/>
            </w:tcBorders>
            <w:shd w:val="clear" w:color="auto" w:fill="auto"/>
            <w:vAlign w:val="center"/>
          </w:tcPr>
          <w:p w14:paraId="7A751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财政专项资金拨款</w:t>
            </w:r>
          </w:p>
        </w:tc>
        <w:tc>
          <w:tcPr>
            <w:tcW w:w="355" w:type="pct"/>
            <w:tcBorders>
              <w:tl2br w:val="nil"/>
              <w:tr2bl w:val="nil"/>
            </w:tcBorders>
            <w:shd w:val="clear" w:color="auto" w:fill="auto"/>
            <w:vAlign w:val="center"/>
          </w:tcPr>
          <w:p w14:paraId="648FE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&lt;=27.48万元</w:t>
            </w:r>
          </w:p>
        </w:tc>
        <w:tc>
          <w:tcPr>
            <w:tcW w:w="332" w:type="pct"/>
            <w:tcBorders>
              <w:tl2br w:val="nil"/>
              <w:tr2bl w:val="nil"/>
            </w:tcBorders>
            <w:shd w:val="clear" w:color="auto" w:fill="auto"/>
            <w:vAlign w:val="center"/>
          </w:tcPr>
          <w:p w14:paraId="4472B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285" w:type="pct"/>
            <w:tcBorders>
              <w:tl2br w:val="nil"/>
              <w:tr2bl w:val="nil"/>
            </w:tcBorders>
            <w:shd w:val="clear" w:color="auto" w:fill="auto"/>
            <w:vAlign w:val="center"/>
          </w:tcPr>
          <w:p w14:paraId="4D138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01448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16" w:type="pct"/>
            <w:tcBorders>
              <w:tl2br w:val="nil"/>
              <w:tr2bl w:val="nil"/>
            </w:tcBorders>
            <w:shd w:val="clear" w:color="auto" w:fill="auto"/>
            <w:vAlign w:val="center"/>
          </w:tcPr>
          <w:p w14:paraId="242CE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355" w:type="pct"/>
            <w:tcBorders>
              <w:tl2br w:val="nil"/>
              <w:tr2bl w:val="nil"/>
            </w:tcBorders>
            <w:shd w:val="clear" w:color="auto" w:fill="auto"/>
            <w:vAlign w:val="center"/>
          </w:tcPr>
          <w:p w14:paraId="19D9B9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332" w:type="pct"/>
            <w:tcBorders>
              <w:tl2br w:val="nil"/>
              <w:tr2bl w:val="nil"/>
            </w:tcBorders>
            <w:shd w:val="clear" w:color="auto" w:fill="auto"/>
            <w:vAlign w:val="center"/>
          </w:tcPr>
          <w:p w14:paraId="6A168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27.48万元</w:t>
            </w:r>
          </w:p>
        </w:tc>
        <w:tc>
          <w:tcPr>
            <w:tcW w:w="395" w:type="pct"/>
            <w:tcBorders>
              <w:tl2br w:val="nil"/>
              <w:tr2bl w:val="nil"/>
            </w:tcBorders>
            <w:shd w:val="clear" w:color="auto" w:fill="auto"/>
            <w:vAlign w:val="center"/>
          </w:tcPr>
          <w:p w14:paraId="39C32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734AD7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29" w:type="pct"/>
            <w:tcBorders>
              <w:tl2br w:val="nil"/>
              <w:tr2bl w:val="nil"/>
            </w:tcBorders>
            <w:shd w:val="clear" w:color="auto" w:fill="auto"/>
            <w:vAlign w:val="center"/>
          </w:tcPr>
          <w:p w14:paraId="5770921F">
            <w:pPr>
              <w:jc w:val="center"/>
              <w:rPr>
                <w:rFonts w:hint="eastAsia" w:ascii="宋体" w:hAnsi="宋体" w:eastAsia="宋体" w:cs="宋体"/>
                <w:i w:val="0"/>
                <w:iCs w:val="0"/>
                <w:color w:val="000000"/>
                <w:sz w:val="20"/>
                <w:szCs w:val="20"/>
                <w:u w:val="none"/>
              </w:rPr>
            </w:pPr>
          </w:p>
        </w:tc>
      </w:tr>
      <w:tr w14:paraId="20FBF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4926DFB1">
            <w:pPr>
              <w:jc w:val="center"/>
              <w:rPr>
                <w:rFonts w:hint="eastAsia" w:ascii="宋体" w:hAnsi="宋体" w:eastAsia="宋体" w:cs="宋体"/>
                <w:i w:val="0"/>
                <w:iCs w:val="0"/>
                <w:color w:val="000000"/>
                <w:sz w:val="20"/>
                <w:szCs w:val="20"/>
                <w:u w:val="none"/>
              </w:rPr>
            </w:pPr>
          </w:p>
        </w:tc>
        <w:tc>
          <w:tcPr>
            <w:tcW w:w="338" w:type="pct"/>
            <w:vMerge w:val="restart"/>
            <w:tcBorders>
              <w:tl2br w:val="nil"/>
              <w:tr2bl w:val="nil"/>
            </w:tcBorders>
            <w:shd w:val="clear" w:color="auto" w:fill="auto"/>
            <w:vAlign w:val="center"/>
          </w:tcPr>
          <w:p w14:paraId="72C871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85" w:type="pct"/>
            <w:tcBorders>
              <w:tl2br w:val="nil"/>
              <w:tr2bl w:val="nil"/>
            </w:tcBorders>
            <w:shd w:val="clear" w:color="auto" w:fill="auto"/>
            <w:vAlign w:val="center"/>
          </w:tcPr>
          <w:p w14:paraId="58A38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69" w:type="pct"/>
            <w:tcBorders>
              <w:tl2br w:val="nil"/>
              <w:tr2bl w:val="nil"/>
            </w:tcBorders>
            <w:shd w:val="clear" w:color="auto" w:fill="auto"/>
            <w:vAlign w:val="center"/>
          </w:tcPr>
          <w:p w14:paraId="6BEE6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促进学生素质教育</w:t>
            </w:r>
          </w:p>
        </w:tc>
        <w:tc>
          <w:tcPr>
            <w:tcW w:w="355" w:type="pct"/>
            <w:tcBorders>
              <w:tl2br w:val="nil"/>
              <w:tr2bl w:val="nil"/>
            </w:tcBorders>
            <w:shd w:val="clear" w:color="auto" w:fill="auto"/>
            <w:vAlign w:val="center"/>
          </w:tcPr>
          <w:p w14:paraId="499FDB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332" w:type="pct"/>
            <w:tcBorders>
              <w:tl2br w:val="nil"/>
              <w:tr2bl w:val="nil"/>
            </w:tcBorders>
            <w:shd w:val="clear" w:color="auto" w:fill="auto"/>
            <w:vAlign w:val="center"/>
          </w:tcPr>
          <w:p w14:paraId="679363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2E4005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2D535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pct"/>
            <w:tcBorders>
              <w:tl2br w:val="nil"/>
              <w:tr2bl w:val="nil"/>
            </w:tcBorders>
            <w:shd w:val="clear" w:color="auto" w:fill="auto"/>
            <w:vAlign w:val="center"/>
          </w:tcPr>
          <w:p w14:paraId="4079D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355" w:type="pct"/>
            <w:tcBorders>
              <w:tl2br w:val="nil"/>
              <w:tr2bl w:val="nil"/>
            </w:tcBorders>
            <w:shd w:val="clear" w:color="auto" w:fill="auto"/>
            <w:vAlign w:val="center"/>
          </w:tcPr>
          <w:p w14:paraId="182D90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32" w:type="pct"/>
            <w:tcBorders>
              <w:tl2br w:val="nil"/>
              <w:tr2bl w:val="nil"/>
            </w:tcBorders>
            <w:shd w:val="clear" w:color="auto" w:fill="auto"/>
            <w:vAlign w:val="center"/>
          </w:tcPr>
          <w:p w14:paraId="64BD6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0EF24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22BE8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29" w:type="pct"/>
            <w:tcBorders>
              <w:tl2br w:val="nil"/>
              <w:tr2bl w:val="nil"/>
            </w:tcBorders>
            <w:shd w:val="clear" w:color="auto" w:fill="auto"/>
            <w:vAlign w:val="center"/>
          </w:tcPr>
          <w:p w14:paraId="030766F2">
            <w:pPr>
              <w:jc w:val="center"/>
              <w:rPr>
                <w:rFonts w:hint="eastAsia" w:ascii="宋体" w:hAnsi="宋体" w:eastAsia="宋体" w:cs="宋体"/>
                <w:i w:val="0"/>
                <w:iCs w:val="0"/>
                <w:color w:val="000000"/>
                <w:sz w:val="20"/>
                <w:szCs w:val="20"/>
                <w:u w:val="none"/>
              </w:rPr>
            </w:pPr>
          </w:p>
        </w:tc>
      </w:tr>
      <w:tr w14:paraId="38BF8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54" w:type="pct"/>
            <w:vMerge w:val="continue"/>
            <w:tcBorders>
              <w:tl2br w:val="nil"/>
              <w:tr2bl w:val="nil"/>
            </w:tcBorders>
            <w:shd w:val="clear" w:color="auto" w:fill="auto"/>
            <w:vAlign w:val="center"/>
          </w:tcPr>
          <w:p w14:paraId="15EC6053">
            <w:pPr>
              <w:jc w:val="center"/>
              <w:rPr>
                <w:rFonts w:hint="eastAsia" w:ascii="宋体" w:hAnsi="宋体" w:eastAsia="宋体" w:cs="宋体"/>
                <w:i w:val="0"/>
                <w:iCs w:val="0"/>
                <w:color w:val="000000"/>
                <w:sz w:val="20"/>
                <w:szCs w:val="20"/>
                <w:u w:val="none"/>
              </w:rPr>
            </w:pPr>
          </w:p>
        </w:tc>
        <w:tc>
          <w:tcPr>
            <w:tcW w:w="338" w:type="pct"/>
            <w:vMerge w:val="continue"/>
            <w:tcBorders>
              <w:tl2br w:val="nil"/>
              <w:tr2bl w:val="nil"/>
            </w:tcBorders>
            <w:shd w:val="clear" w:color="auto" w:fill="auto"/>
            <w:vAlign w:val="center"/>
          </w:tcPr>
          <w:p w14:paraId="665812B3">
            <w:pPr>
              <w:jc w:val="center"/>
              <w:rPr>
                <w:rFonts w:hint="eastAsia" w:ascii="宋体" w:hAnsi="宋体" w:eastAsia="宋体" w:cs="宋体"/>
                <w:i w:val="0"/>
                <w:iCs w:val="0"/>
                <w:color w:val="000000"/>
                <w:sz w:val="20"/>
                <w:szCs w:val="20"/>
                <w:u w:val="none"/>
              </w:rPr>
            </w:pPr>
          </w:p>
        </w:tc>
        <w:tc>
          <w:tcPr>
            <w:tcW w:w="385" w:type="pct"/>
            <w:tcBorders>
              <w:tl2br w:val="nil"/>
              <w:tr2bl w:val="nil"/>
            </w:tcBorders>
            <w:shd w:val="clear" w:color="auto" w:fill="auto"/>
            <w:vAlign w:val="center"/>
          </w:tcPr>
          <w:p w14:paraId="7DD10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69" w:type="pct"/>
            <w:tcBorders>
              <w:tl2br w:val="nil"/>
              <w:tr2bl w:val="nil"/>
            </w:tcBorders>
            <w:shd w:val="clear" w:color="auto" w:fill="auto"/>
            <w:vAlign w:val="center"/>
          </w:tcPr>
          <w:p w14:paraId="3224B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保障学校各项工作平稳进行</w:t>
            </w:r>
          </w:p>
        </w:tc>
        <w:tc>
          <w:tcPr>
            <w:tcW w:w="355" w:type="pct"/>
            <w:tcBorders>
              <w:tl2br w:val="nil"/>
              <w:tr2bl w:val="nil"/>
            </w:tcBorders>
            <w:shd w:val="clear" w:color="auto" w:fill="auto"/>
            <w:vAlign w:val="center"/>
          </w:tcPr>
          <w:p w14:paraId="505C2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平稳</w:t>
            </w:r>
          </w:p>
        </w:tc>
        <w:tc>
          <w:tcPr>
            <w:tcW w:w="332" w:type="pct"/>
            <w:tcBorders>
              <w:tl2br w:val="nil"/>
              <w:tr2bl w:val="nil"/>
            </w:tcBorders>
            <w:shd w:val="clear" w:color="auto" w:fill="auto"/>
            <w:vAlign w:val="center"/>
          </w:tcPr>
          <w:p w14:paraId="3DA70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79B34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0612E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pct"/>
            <w:tcBorders>
              <w:tl2br w:val="nil"/>
              <w:tr2bl w:val="nil"/>
            </w:tcBorders>
            <w:shd w:val="clear" w:color="auto" w:fill="auto"/>
            <w:vAlign w:val="center"/>
          </w:tcPr>
          <w:p w14:paraId="06AFC9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355" w:type="pct"/>
            <w:tcBorders>
              <w:tl2br w:val="nil"/>
              <w:tr2bl w:val="nil"/>
            </w:tcBorders>
            <w:shd w:val="clear" w:color="auto" w:fill="auto"/>
            <w:vAlign w:val="center"/>
          </w:tcPr>
          <w:p w14:paraId="388AB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32" w:type="pct"/>
            <w:tcBorders>
              <w:tl2br w:val="nil"/>
              <w:tr2bl w:val="nil"/>
            </w:tcBorders>
            <w:shd w:val="clear" w:color="auto" w:fill="auto"/>
            <w:vAlign w:val="center"/>
          </w:tcPr>
          <w:p w14:paraId="31B87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95" w:type="pct"/>
            <w:tcBorders>
              <w:tl2br w:val="nil"/>
              <w:tr2bl w:val="nil"/>
            </w:tcBorders>
            <w:shd w:val="clear" w:color="auto" w:fill="auto"/>
            <w:vAlign w:val="center"/>
          </w:tcPr>
          <w:p w14:paraId="5240C5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266D43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29" w:type="pct"/>
            <w:tcBorders>
              <w:tl2br w:val="nil"/>
              <w:tr2bl w:val="nil"/>
            </w:tcBorders>
            <w:shd w:val="clear" w:color="auto" w:fill="auto"/>
            <w:vAlign w:val="center"/>
          </w:tcPr>
          <w:p w14:paraId="5A1D6AFE">
            <w:pPr>
              <w:jc w:val="center"/>
              <w:rPr>
                <w:rFonts w:hint="eastAsia" w:ascii="宋体" w:hAnsi="宋体" w:eastAsia="宋体" w:cs="宋体"/>
                <w:i w:val="0"/>
                <w:iCs w:val="0"/>
                <w:color w:val="000000"/>
                <w:sz w:val="20"/>
                <w:szCs w:val="20"/>
                <w:u w:val="none"/>
              </w:rPr>
            </w:pPr>
          </w:p>
        </w:tc>
      </w:tr>
      <w:tr w14:paraId="09EB9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254" w:type="pct"/>
            <w:vMerge w:val="continue"/>
            <w:tcBorders>
              <w:tl2br w:val="nil"/>
              <w:tr2bl w:val="nil"/>
            </w:tcBorders>
            <w:shd w:val="clear" w:color="auto" w:fill="auto"/>
            <w:vAlign w:val="center"/>
          </w:tcPr>
          <w:p w14:paraId="4928D5B4">
            <w:pPr>
              <w:jc w:val="center"/>
              <w:rPr>
                <w:rFonts w:hint="eastAsia" w:ascii="宋体" w:hAnsi="宋体" w:eastAsia="宋体" w:cs="宋体"/>
                <w:i w:val="0"/>
                <w:iCs w:val="0"/>
                <w:color w:val="000000"/>
                <w:sz w:val="20"/>
                <w:szCs w:val="20"/>
                <w:u w:val="none"/>
              </w:rPr>
            </w:pPr>
          </w:p>
        </w:tc>
        <w:tc>
          <w:tcPr>
            <w:tcW w:w="338" w:type="pct"/>
            <w:tcBorders>
              <w:tl2br w:val="nil"/>
              <w:tr2bl w:val="nil"/>
            </w:tcBorders>
            <w:shd w:val="clear" w:color="auto" w:fill="auto"/>
            <w:vAlign w:val="center"/>
          </w:tcPr>
          <w:p w14:paraId="1EB25E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85" w:type="pct"/>
            <w:tcBorders>
              <w:tl2br w:val="nil"/>
              <w:tr2bl w:val="nil"/>
            </w:tcBorders>
            <w:shd w:val="clear" w:color="auto" w:fill="auto"/>
            <w:vAlign w:val="center"/>
          </w:tcPr>
          <w:p w14:paraId="21420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69" w:type="pct"/>
            <w:tcBorders>
              <w:tl2br w:val="nil"/>
              <w:tr2bl w:val="nil"/>
            </w:tcBorders>
            <w:shd w:val="clear" w:color="auto" w:fill="auto"/>
            <w:vAlign w:val="center"/>
          </w:tcPr>
          <w:p w14:paraId="7F45E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学生及家长满意度</w:t>
            </w:r>
          </w:p>
        </w:tc>
        <w:tc>
          <w:tcPr>
            <w:tcW w:w="355" w:type="pct"/>
            <w:tcBorders>
              <w:tl2br w:val="nil"/>
              <w:tr2bl w:val="nil"/>
            </w:tcBorders>
            <w:shd w:val="clear" w:color="auto" w:fill="auto"/>
            <w:vAlign w:val="center"/>
          </w:tcPr>
          <w:p w14:paraId="7AE41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332" w:type="pct"/>
            <w:tcBorders>
              <w:tl2br w:val="nil"/>
              <w:tr2bl w:val="nil"/>
            </w:tcBorders>
            <w:shd w:val="clear" w:color="auto" w:fill="auto"/>
            <w:vAlign w:val="center"/>
          </w:tcPr>
          <w:p w14:paraId="4FA8F9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285" w:type="pct"/>
            <w:tcBorders>
              <w:tl2br w:val="nil"/>
              <w:tr2bl w:val="nil"/>
            </w:tcBorders>
            <w:shd w:val="clear" w:color="auto" w:fill="auto"/>
            <w:vAlign w:val="center"/>
          </w:tcPr>
          <w:p w14:paraId="14E155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7" w:type="pct"/>
            <w:tcBorders>
              <w:tl2br w:val="nil"/>
              <w:tr2bl w:val="nil"/>
            </w:tcBorders>
            <w:shd w:val="clear" w:color="auto" w:fill="auto"/>
            <w:vAlign w:val="center"/>
          </w:tcPr>
          <w:p w14:paraId="61558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16" w:type="pct"/>
            <w:tcBorders>
              <w:tl2br w:val="nil"/>
              <w:tr2bl w:val="nil"/>
            </w:tcBorders>
            <w:shd w:val="clear" w:color="auto" w:fill="auto"/>
            <w:vAlign w:val="center"/>
          </w:tcPr>
          <w:p w14:paraId="44CDB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355" w:type="pct"/>
            <w:tcBorders>
              <w:tl2br w:val="nil"/>
              <w:tr2bl w:val="nil"/>
            </w:tcBorders>
            <w:shd w:val="clear" w:color="auto" w:fill="auto"/>
            <w:vAlign w:val="center"/>
          </w:tcPr>
          <w:p w14:paraId="23290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32" w:type="pct"/>
            <w:tcBorders>
              <w:tl2br w:val="nil"/>
              <w:tr2bl w:val="nil"/>
            </w:tcBorders>
            <w:shd w:val="clear" w:color="auto" w:fill="auto"/>
            <w:vAlign w:val="center"/>
          </w:tcPr>
          <w:p w14:paraId="13E11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95" w:type="pct"/>
            <w:tcBorders>
              <w:tl2br w:val="nil"/>
              <w:tr2bl w:val="nil"/>
            </w:tcBorders>
            <w:shd w:val="clear" w:color="auto" w:fill="auto"/>
            <w:vAlign w:val="center"/>
          </w:tcPr>
          <w:p w14:paraId="74701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1" w:type="pct"/>
            <w:tcBorders>
              <w:tl2br w:val="nil"/>
              <w:tr2bl w:val="nil"/>
            </w:tcBorders>
            <w:shd w:val="clear" w:color="auto" w:fill="auto"/>
            <w:vAlign w:val="center"/>
          </w:tcPr>
          <w:p w14:paraId="2C656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29" w:type="pct"/>
            <w:tcBorders>
              <w:tl2br w:val="nil"/>
              <w:tr2bl w:val="nil"/>
            </w:tcBorders>
            <w:shd w:val="clear" w:color="auto" w:fill="auto"/>
            <w:vAlign w:val="center"/>
          </w:tcPr>
          <w:p w14:paraId="7C18749B">
            <w:pPr>
              <w:rPr>
                <w:rFonts w:hint="eastAsia" w:ascii="宋体" w:hAnsi="宋体" w:eastAsia="宋体" w:cs="宋体"/>
                <w:i w:val="0"/>
                <w:iCs w:val="0"/>
                <w:color w:val="000000"/>
                <w:sz w:val="20"/>
                <w:szCs w:val="20"/>
                <w:u w:val="none"/>
              </w:rPr>
            </w:pPr>
          </w:p>
        </w:tc>
      </w:tr>
      <w:tr w14:paraId="36C82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1448" w:type="pct"/>
            <w:gridSpan w:val="4"/>
            <w:tcBorders>
              <w:tl2br w:val="nil"/>
              <w:tr2bl w:val="nil"/>
            </w:tcBorders>
            <w:shd w:val="clear" w:color="auto" w:fill="auto"/>
            <w:vAlign w:val="center"/>
          </w:tcPr>
          <w:p w14:paraId="47563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355" w:type="pct"/>
            <w:tcBorders>
              <w:tl2br w:val="nil"/>
              <w:tr2bl w:val="nil"/>
            </w:tcBorders>
            <w:shd w:val="clear" w:color="auto" w:fill="auto"/>
            <w:vAlign w:val="center"/>
          </w:tcPr>
          <w:p w14:paraId="25B2DFB5">
            <w:pPr>
              <w:jc w:val="center"/>
              <w:rPr>
                <w:rFonts w:hint="eastAsia" w:ascii="宋体" w:hAnsi="宋体" w:eastAsia="宋体" w:cs="宋体"/>
                <w:i w:val="0"/>
                <w:iCs w:val="0"/>
                <w:color w:val="000000"/>
                <w:sz w:val="20"/>
                <w:szCs w:val="20"/>
                <w:u w:val="none"/>
              </w:rPr>
            </w:pPr>
          </w:p>
        </w:tc>
        <w:tc>
          <w:tcPr>
            <w:tcW w:w="332" w:type="pct"/>
            <w:tcBorders>
              <w:tl2br w:val="nil"/>
              <w:tr2bl w:val="nil"/>
            </w:tcBorders>
            <w:shd w:val="clear" w:color="auto" w:fill="auto"/>
            <w:vAlign w:val="center"/>
          </w:tcPr>
          <w:p w14:paraId="1ECC7849">
            <w:pPr>
              <w:jc w:val="center"/>
              <w:rPr>
                <w:rFonts w:hint="eastAsia" w:ascii="宋体" w:hAnsi="宋体" w:eastAsia="宋体" w:cs="宋体"/>
                <w:b/>
                <w:bCs/>
                <w:i w:val="0"/>
                <w:iCs w:val="0"/>
                <w:color w:val="000000"/>
                <w:sz w:val="20"/>
                <w:szCs w:val="20"/>
                <w:u w:val="none"/>
              </w:rPr>
            </w:pPr>
          </w:p>
        </w:tc>
        <w:tc>
          <w:tcPr>
            <w:tcW w:w="285" w:type="pct"/>
            <w:tcBorders>
              <w:tl2br w:val="nil"/>
              <w:tr2bl w:val="nil"/>
            </w:tcBorders>
            <w:shd w:val="clear" w:color="auto" w:fill="auto"/>
            <w:vAlign w:val="center"/>
          </w:tcPr>
          <w:p w14:paraId="3DE366D3">
            <w:pPr>
              <w:jc w:val="center"/>
              <w:rPr>
                <w:rFonts w:hint="eastAsia" w:ascii="宋体" w:hAnsi="宋体" w:eastAsia="宋体" w:cs="宋体"/>
                <w:i w:val="0"/>
                <w:iCs w:val="0"/>
                <w:color w:val="000000"/>
                <w:sz w:val="20"/>
                <w:szCs w:val="20"/>
                <w:u w:val="none"/>
              </w:rPr>
            </w:pPr>
          </w:p>
        </w:tc>
        <w:tc>
          <w:tcPr>
            <w:tcW w:w="287" w:type="pct"/>
            <w:tcBorders>
              <w:tl2br w:val="nil"/>
              <w:tr2bl w:val="nil"/>
            </w:tcBorders>
            <w:shd w:val="clear" w:color="auto" w:fill="auto"/>
            <w:vAlign w:val="center"/>
          </w:tcPr>
          <w:p w14:paraId="3EDE7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516" w:type="pct"/>
            <w:tcBorders>
              <w:tl2br w:val="nil"/>
              <w:tr2bl w:val="nil"/>
            </w:tcBorders>
            <w:shd w:val="clear" w:color="auto" w:fill="auto"/>
            <w:vAlign w:val="center"/>
          </w:tcPr>
          <w:p w14:paraId="64F29CF5">
            <w:pPr>
              <w:jc w:val="center"/>
              <w:rPr>
                <w:rFonts w:hint="eastAsia" w:ascii="宋体" w:hAnsi="宋体" w:eastAsia="宋体" w:cs="宋体"/>
                <w:i w:val="0"/>
                <w:iCs w:val="0"/>
                <w:color w:val="000000"/>
                <w:sz w:val="20"/>
                <w:szCs w:val="20"/>
                <w:u w:val="none"/>
              </w:rPr>
            </w:pPr>
          </w:p>
        </w:tc>
        <w:tc>
          <w:tcPr>
            <w:tcW w:w="355" w:type="pct"/>
            <w:tcBorders>
              <w:tl2br w:val="nil"/>
              <w:tr2bl w:val="nil"/>
            </w:tcBorders>
            <w:shd w:val="clear" w:color="auto" w:fill="auto"/>
            <w:vAlign w:val="center"/>
          </w:tcPr>
          <w:p w14:paraId="5679A66F">
            <w:pPr>
              <w:jc w:val="center"/>
              <w:rPr>
                <w:rFonts w:hint="eastAsia" w:ascii="宋体" w:hAnsi="宋体" w:eastAsia="宋体" w:cs="宋体"/>
                <w:i w:val="0"/>
                <w:iCs w:val="0"/>
                <w:color w:val="FF0000"/>
                <w:sz w:val="20"/>
                <w:szCs w:val="20"/>
                <w:u w:val="none"/>
              </w:rPr>
            </w:pPr>
          </w:p>
        </w:tc>
        <w:tc>
          <w:tcPr>
            <w:tcW w:w="332" w:type="pct"/>
            <w:tcBorders>
              <w:tl2br w:val="nil"/>
              <w:tr2bl w:val="nil"/>
            </w:tcBorders>
            <w:shd w:val="clear" w:color="auto" w:fill="auto"/>
            <w:vAlign w:val="center"/>
          </w:tcPr>
          <w:p w14:paraId="125E68C1">
            <w:pPr>
              <w:jc w:val="center"/>
              <w:rPr>
                <w:rFonts w:hint="eastAsia" w:ascii="宋体" w:hAnsi="宋体" w:eastAsia="宋体" w:cs="宋体"/>
                <w:i w:val="0"/>
                <w:iCs w:val="0"/>
                <w:color w:val="000000"/>
                <w:sz w:val="20"/>
                <w:szCs w:val="20"/>
                <w:u w:val="none"/>
              </w:rPr>
            </w:pPr>
          </w:p>
        </w:tc>
        <w:tc>
          <w:tcPr>
            <w:tcW w:w="395" w:type="pct"/>
            <w:tcBorders>
              <w:tl2br w:val="nil"/>
              <w:tr2bl w:val="nil"/>
            </w:tcBorders>
            <w:shd w:val="clear" w:color="auto" w:fill="auto"/>
            <w:vAlign w:val="center"/>
          </w:tcPr>
          <w:p w14:paraId="5A1DC3FF">
            <w:pPr>
              <w:jc w:val="center"/>
              <w:rPr>
                <w:rFonts w:hint="eastAsia" w:ascii="宋体" w:hAnsi="宋体" w:eastAsia="宋体" w:cs="宋体"/>
                <w:i w:val="0"/>
                <w:iCs w:val="0"/>
                <w:color w:val="000000"/>
                <w:sz w:val="20"/>
                <w:szCs w:val="20"/>
                <w:u w:val="none"/>
              </w:rPr>
            </w:pPr>
          </w:p>
        </w:tc>
        <w:tc>
          <w:tcPr>
            <w:tcW w:w="361" w:type="pct"/>
            <w:tcBorders>
              <w:tl2br w:val="nil"/>
              <w:tr2bl w:val="nil"/>
            </w:tcBorders>
            <w:shd w:val="clear" w:color="auto" w:fill="auto"/>
            <w:vAlign w:val="center"/>
          </w:tcPr>
          <w:p w14:paraId="249A4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29" w:type="pct"/>
            <w:tcBorders>
              <w:tl2br w:val="nil"/>
              <w:tr2bl w:val="nil"/>
            </w:tcBorders>
            <w:shd w:val="clear" w:color="auto" w:fill="auto"/>
            <w:vAlign w:val="center"/>
          </w:tcPr>
          <w:p w14:paraId="061CC40F">
            <w:pPr>
              <w:rPr>
                <w:rFonts w:hint="eastAsia" w:ascii="宋体" w:hAnsi="宋体" w:eastAsia="宋体" w:cs="宋体"/>
                <w:i w:val="0"/>
                <w:iCs w:val="0"/>
                <w:color w:val="000000"/>
                <w:sz w:val="20"/>
                <w:szCs w:val="20"/>
                <w:u w:val="none"/>
              </w:rPr>
            </w:pPr>
          </w:p>
        </w:tc>
      </w:tr>
    </w:tbl>
    <w:p w14:paraId="59C9DD1A">
      <w:pPr>
        <w:ind w:left="0" w:leftChars="0" w:firstLine="0" w:firstLineChars="0"/>
        <w:rPr>
          <w:rFonts w:hint="eastAsia" w:ascii="宋体" w:hAnsi="宋体" w:eastAsia="宋体" w:cs="宋体"/>
          <w:b/>
          <w:bCs/>
          <w:color w:val="auto"/>
          <w:kern w:val="2"/>
          <w:sz w:val="36"/>
          <w:szCs w:val="28"/>
          <w:highlight w:val="none"/>
          <w:lang w:val="en-US" w:eastAsia="zh-CN" w:bidi="ar-SA"/>
        </w:rPr>
      </w:pPr>
    </w:p>
    <w:p w14:paraId="788CAC4C">
      <w:pPr>
        <w:pStyle w:val="3"/>
        <w:jc w:val="left"/>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6C7CFCC5">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FEF6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F4C4DE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43D5D25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6120513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B0385D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FBE681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7F588EE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77DA17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0EEE9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739C9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80553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A8D4AC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3B72B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529003E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F1FDF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1ACEBB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07AE85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7057F6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9DC02C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2C7F1B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3A76DD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70B4BC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5907F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28DB47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8F27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0DB750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3A0C25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5AFDAE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416932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0958EC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C9C6E4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968995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662163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4E3BCD6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41C0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DE2D984">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3AE9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AC4C5B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4CAE5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77AB747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6713D63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2D01A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3A269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8975B5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E2349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D1E878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0C98F970">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F22FB5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47AB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718BA9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8626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AA931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0A8C68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A84EF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B7A38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C1E60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463E0E7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BF326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8E3E4A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8E412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EC676AE">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266EAB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A299E5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57CF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8FA4F5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32628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960A24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456AF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37354F8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77B7DF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2DD8972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11E19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AF825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26BD95B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7918D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2F42A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436918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DFFE6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25026E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F1C450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9C92C9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1A7F1F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CFECCA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F806B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5E382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14DDD3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376233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DAAAF0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AB78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4AFB2537">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0FF1B4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44670F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02166A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301A35F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1477A6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C2A042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CAEC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03CAB6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E198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FC1ECC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8187E8B">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0CFAF2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1EAF2D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671F14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982B85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5070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157D18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F71B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374521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257BDC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2B40232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C113C1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B2CB9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2FAAD6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260E30B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0FDE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023D7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322B2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2C721B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675C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6FDEC9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6347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240299D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E9578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14D7F45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075856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2511E28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234E17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D5368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C551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74ACFD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2AAA1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650CD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EEEE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C57AA7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5D7A09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9C955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238F5A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498FD9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28FB45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A91E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65C55B1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7A3A77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BE87B2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5F369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6D3ABC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BEA1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599EC0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15DE9C8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05E928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教育教学日常开展学生人数</w:t>
            </w:r>
          </w:p>
        </w:tc>
        <w:tc>
          <w:tcPr>
            <w:tcW w:w="2141" w:type="dxa"/>
            <w:shd w:val="clear" w:color="auto" w:fill="auto"/>
            <w:noWrap w:val="0"/>
            <w:vAlign w:val="center"/>
          </w:tcPr>
          <w:p w14:paraId="3795A95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A52755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AA18A0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92541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E5A600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624D2D7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61E7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D32ABE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6E2BCFC">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DB1CF2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暖气改造项目</w:t>
            </w:r>
          </w:p>
        </w:tc>
        <w:tc>
          <w:tcPr>
            <w:tcW w:w="2141" w:type="dxa"/>
            <w:shd w:val="clear" w:color="auto" w:fill="auto"/>
            <w:noWrap w:val="0"/>
            <w:vAlign w:val="center"/>
          </w:tcPr>
          <w:p w14:paraId="09F494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63D3B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6A908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43FD80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0BEA8F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426239B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37C1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shd w:val="clear" w:color="auto" w:fill="auto"/>
            <w:noWrap w:val="0"/>
            <w:vAlign w:val="center"/>
          </w:tcPr>
          <w:p w14:paraId="116B106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A58113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22D49B9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工程验收合格率</w:t>
            </w:r>
          </w:p>
        </w:tc>
        <w:tc>
          <w:tcPr>
            <w:tcW w:w="2141" w:type="dxa"/>
            <w:shd w:val="clear" w:color="auto" w:fill="auto"/>
            <w:noWrap w:val="0"/>
            <w:vAlign w:val="center"/>
          </w:tcPr>
          <w:p w14:paraId="6418896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E83A5C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47D665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8598CB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614BA94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3F7E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3A36AB7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continue"/>
            <w:shd w:val="clear" w:color="auto" w:fill="auto"/>
            <w:noWrap w:val="0"/>
            <w:vAlign w:val="center"/>
          </w:tcPr>
          <w:p w14:paraId="73A13A67">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87873F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日常维修改造质量达标率</w:t>
            </w:r>
          </w:p>
        </w:tc>
        <w:tc>
          <w:tcPr>
            <w:tcW w:w="2141" w:type="dxa"/>
            <w:shd w:val="clear" w:color="auto" w:fill="auto"/>
            <w:noWrap w:val="0"/>
            <w:vAlign w:val="center"/>
          </w:tcPr>
          <w:p w14:paraId="4DDACB9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7FB6C8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24CAC3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847529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588199A4">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2941D1B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7EC8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D67BBB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9D2534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75EDCF78">
            <w:pPr>
              <w:widowControl/>
              <w:spacing w:line="0" w:lineRule="atLeast"/>
              <w:ind w:left="0" w:leftChars="0"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工程完工率</w:t>
            </w:r>
          </w:p>
        </w:tc>
        <w:tc>
          <w:tcPr>
            <w:tcW w:w="2141" w:type="dxa"/>
            <w:shd w:val="clear" w:color="auto" w:fill="auto"/>
            <w:noWrap w:val="0"/>
            <w:vAlign w:val="center"/>
          </w:tcPr>
          <w:p w14:paraId="10717D9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B1098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73CDD4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667F69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B77B22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3417E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774BD0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C0171DC">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7889D1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日常巡查维修及时率</w:t>
            </w:r>
          </w:p>
        </w:tc>
        <w:tc>
          <w:tcPr>
            <w:tcW w:w="2141" w:type="dxa"/>
            <w:shd w:val="clear" w:color="auto" w:fill="auto"/>
            <w:noWrap w:val="0"/>
            <w:vAlign w:val="center"/>
          </w:tcPr>
          <w:p w14:paraId="4F3553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CC6EA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34AFF6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55910B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EE2E14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975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62F174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3A147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2915B0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财政专项资金拨款</w:t>
            </w:r>
          </w:p>
        </w:tc>
        <w:tc>
          <w:tcPr>
            <w:tcW w:w="2141" w:type="dxa"/>
            <w:shd w:val="clear" w:color="auto" w:fill="auto"/>
            <w:noWrap w:val="0"/>
            <w:vAlign w:val="center"/>
          </w:tcPr>
          <w:p w14:paraId="31E20C8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7CB969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DA185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478044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06CF0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DB49C1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2B890A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EEAF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755751F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14:paraId="563B4A6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项目效益</w:t>
            </w:r>
            <w:r>
              <w:rPr>
                <w:rFonts w:hint="eastAsia" w:ascii="宋体" w:hAnsi="宋体" w:eastAsia="宋体" w:cs="宋体"/>
                <w:color w:val="auto"/>
                <w:kern w:val="0"/>
                <w:sz w:val="22"/>
                <w:szCs w:val="22"/>
                <w:highlight w:val="none"/>
                <w:lang w:val="en-US" w:eastAsia="zh-CN"/>
              </w:rPr>
              <w:t>　</w:t>
            </w:r>
          </w:p>
        </w:tc>
        <w:tc>
          <w:tcPr>
            <w:tcW w:w="820" w:type="dxa"/>
            <w:shd w:val="clear" w:color="auto" w:fill="auto"/>
            <w:noWrap w:val="0"/>
            <w:vAlign w:val="center"/>
          </w:tcPr>
          <w:p w14:paraId="679224F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促进学生素质教育</w:t>
            </w:r>
          </w:p>
        </w:tc>
        <w:tc>
          <w:tcPr>
            <w:tcW w:w="2141" w:type="dxa"/>
            <w:shd w:val="clear" w:color="auto" w:fill="auto"/>
            <w:noWrap w:val="0"/>
            <w:vAlign w:val="center"/>
          </w:tcPr>
          <w:p w14:paraId="7DBF91C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44F533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1B3B03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C595D4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53C4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2955977">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14:paraId="5418974A">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1A79984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保障学校各项工作平稳进行</w:t>
            </w:r>
          </w:p>
        </w:tc>
        <w:tc>
          <w:tcPr>
            <w:tcW w:w="2141" w:type="dxa"/>
            <w:shd w:val="clear" w:color="auto" w:fill="auto"/>
            <w:noWrap w:val="0"/>
            <w:vAlign w:val="center"/>
          </w:tcPr>
          <w:p w14:paraId="455053C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1A245AB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3B734A1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616EE1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19C5F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72343BA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700FAB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BAEB7E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学生及家长满意度</w:t>
            </w:r>
          </w:p>
        </w:tc>
        <w:tc>
          <w:tcPr>
            <w:tcW w:w="2141" w:type="dxa"/>
            <w:shd w:val="clear" w:color="auto" w:fill="auto"/>
            <w:noWrap w:val="0"/>
            <w:vAlign w:val="center"/>
          </w:tcPr>
          <w:p w14:paraId="377B44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39252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547E589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0F5159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3C17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69B014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1959B424">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4EEDD4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08B2324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19AC9168">
      <w:pPr>
        <w:spacing w:line="240" w:lineRule="auto"/>
        <w:ind w:firstLine="0" w:firstLineChars="0"/>
        <w:rPr>
          <w:rFonts w:ascii="Times New Roman" w:hAnsi="Times New Roman" w:eastAsia="仿宋_GB2312" w:cs="Times New Roman"/>
          <w:color w:val="auto"/>
          <w:sz w:val="30"/>
          <w:szCs w:val="24"/>
          <w:highlight w:val="none"/>
        </w:rPr>
      </w:pPr>
    </w:p>
    <w:p w14:paraId="5D9D8E46">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056A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C9FBE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C9FBE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797EF6"/>
    <w:rsid w:val="039C3BA0"/>
    <w:rsid w:val="03A845BB"/>
    <w:rsid w:val="03B45AD1"/>
    <w:rsid w:val="03F62C53"/>
    <w:rsid w:val="03F90AE6"/>
    <w:rsid w:val="04BC2C24"/>
    <w:rsid w:val="04D12EE4"/>
    <w:rsid w:val="04D63993"/>
    <w:rsid w:val="07890F4F"/>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6C4030"/>
    <w:rsid w:val="1CFD1CD4"/>
    <w:rsid w:val="1D265138"/>
    <w:rsid w:val="1D7B6BCA"/>
    <w:rsid w:val="1DA41A79"/>
    <w:rsid w:val="1DF53469"/>
    <w:rsid w:val="1E2F24F2"/>
    <w:rsid w:val="1E58492F"/>
    <w:rsid w:val="1E5B6757"/>
    <w:rsid w:val="1E7B4A91"/>
    <w:rsid w:val="1ED10AC6"/>
    <w:rsid w:val="1F89225F"/>
    <w:rsid w:val="1F900A1F"/>
    <w:rsid w:val="1FC0575D"/>
    <w:rsid w:val="206132C7"/>
    <w:rsid w:val="20A07AEE"/>
    <w:rsid w:val="21B00C1D"/>
    <w:rsid w:val="23031BEB"/>
    <w:rsid w:val="23917691"/>
    <w:rsid w:val="244D65B8"/>
    <w:rsid w:val="245E1E24"/>
    <w:rsid w:val="25AD5E5D"/>
    <w:rsid w:val="2732478D"/>
    <w:rsid w:val="27661469"/>
    <w:rsid w:val="27900EAD"/>
    <w:rsid w:val="279B538A"/>
    <w:rsid w:val="286F545C"/>
    <w:rsid w:val="29314FBC"/>
    <w:rsid w:val="2B05040A"/>
    <w:rsid w:val="2C024B86"/>
    <w:rsid w:val="2C6A39B5"/>
    <w:rsid w:val="2C927671"/>
    <w:rsid w:val="2D54289C"/>
    <w:rsid w:val="2D7C5CD6"/>
    <w:rsid w:val="2E483E7E"/>
    <w:rsid w:val="2E690493"/>
    <w:rsid w:val="2E9854BD"/>
    <w:rsid w:val="2F0D407F"/>
    <w:rsid w:val="2F454B19"/>
    <w:rsid w:val="310224D9"/>
    <w:rsid w:val="31A719EC"/>
    <w:rsid w:val="31B4621C"/>
    <w:rsid w:val="31E3230A"/>
    <w:rsid w:val="330957E0"/>
    <w:rsid w:val="332754E4"/>
    <w:rsid w:val="33356F64"/>
    <w:rsid w:val="33944516"/>
    <w:rsid w:val="33D26FEC"/>
    <w:rsid w:val="34B62907"/>
    <w:rsid w:val="36BD137C"/>
    <w:rsid w:val="374B3E12"/>
    <w:rsid w:val="385D37E7"/>
    <w:rsid w:val="38782EDD"/>
    <w:rsid w:val="3A127B55"/>
    <w:rsid w:val="3A56645E"/>
    <w:rsid w:val="3B23785C"/>
    <w:rsid w:val="3B42664A"/>
    <w:rsid w:val="3C1F309D"/>
    <w:rsid w:val="3D836A4E"/>
    <w:rsid w:val="3EA37E97"/>
    <w:rsid w:val="3FBE0BC5"/>
    <w:rsid w:val="4048103A"/>
    <w:rsid w:val="40736643"/>
    <w:rsid w:val="40D24A7A"/>
    <w:rsid w:val="42621029"/>
    <w:rsid w:val="43213BB0"/>
    <w:rsid w:val="435241E2"/>
    <w:rsid w:val="43975C51"/>
    <w:rsid w:val="439E3FA7"/>
    <w:rsid w:val="4411527C"/>
    <w:rsid w:val="44B32266"/>
    <w:rsid w:val="44FC64F4"/>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3E5375"/>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CB95205"/>
    <w:rsid w:val="5E226FBC"/>
    <w:rsid w:val="5FE72BD2"/>
    <w:rsid w:val="60120613"/>
    <w:rsid w:val="618D5292"/>
    <w:rsid w:val="61BC3ACB"/>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9E53D40"/>
    <w:rsid w:val="6A17429C"/>
    <w:rsid w:val="6A567EA3"/>
    <w:rsid w:val="6A753D90"/>
    <w:rsid w:val="6B4B4368"/>
    <w:rsid w:val="6B79100E"/>
    <w:rsid w:val="6C844C00"/>
    <w:rsid w:val="6D9652EF"/>
    <w:rsid w:val="6DCA4BEF"/>
    <w:rsid w:val="6E10212C"/>
    <w:rsid w:val="6E43561A"/>
    <w:rsid w:val="6E557973"/>
    <w:rsid w:val="6E740080"/>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autoRedefine/>
    <w:qFormat/>
    <w:uiPriority w:val="0"/>
    <w:rPr>
      <w:b/>
      <w:bCs/>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autoRedefine/>
    <w:unhideWhenUsed/>
    <w:qFormat/>
    <w:uiPriority w:val="99"/>
    <w:pPr>
      <w:ind w:firstLine="420" w:firstLineChars="200"/>
    </w:pPr>
  </w:style>
  <w:style w:type="character" w:customStyle="1" w:styleId="20">
    <w:name w:val="font81"/>
    <w:basedOn w:val="12"/>
    <w:autoRedefine/>
    <w:qFormat/>
    <w:uiPriority w:val="0"/>
    <w:rPr>
      <w:rFonts w:ascii="宋体" w:hAnsi="宋体" w:eastAsia="宋体" w:cs="宋体"/>
      <w:color w:val="000000"/>
      <w:sz w:val="20"/>
      <w:szCs w:val="20"/>
      <w:u w:val="none"/>
    </w:rPr>
  </w:style>
  <w:style w:type="character" w:customStyle="1" w:styleId="21">
    <w:name w:val="font2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12741</Words>
  <Characters>13527</Characters>
  <Lines>0</Lines>
  <Paragraphs>0</Paragraphs>
  <TotalTime>33</TotalTime>
  <ScaleCrop>false</ScaleCrop>
  <LinksUpToDate>false</LinksUpToDate>
  <CharactersWithSpaces>13611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2024-10-10T07:44:50Z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BE6BED66682047A6A9C1CF88DA831809_13</vt:lpwstr>
  </property>
</Properties>
</file>