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pacing w:line="360" w:lineRule="auto"/>
        <w:ind w:firstLine="1142" w:firstLineChars="316"/>
        <w:jc w:val="center"/>
        <w:textAlignment w:val="auto"/>
        <w:rPr>
          <w:rFonts w:hint="eastAsia" w:ascii="宋体" w:hAnsi="宋体" w:eastAsia="宋体" w:cs="宋体"/>
          <w:b/>
          <w:bCs/>
          <w:color w:val="auto"/>
          <w:sz w:val="36"/>
          <w:szCs w:val="36"/>
          <w:highlight w:val="none"/>
          <w:shd w:val="clear" w:color="auto" w:fill="auto"/>
        </w:rPr>
      </w:pPr>
      <w:bookmarkStart w:id="88" w:name="_GoBack"/>
      <w:bookmarkEnd w:id="88"/>
    </w:p>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36"/>
          <w:szCs w:val="36"/>
          <w:highlight w:val="none"/>
          <w:shd w:val="clear" w:color="auto" w:fill="auto"/>
        </w:rPr>
      </w:pPr>
    </w:p>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36"/>
          <w:szCs w:val="36"/>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40"/>
          <w:szCs w:val="40"/>
          <w:highlight w:val="none"/>
          <w:shd w:val="clear" w:color="auto" w:fill="auto"/>
        </w:rPr>
      </w:pPr>
      <w:bookmarkStart w:id="0" w:name="_Toc15679"/>
      <w:r>
        <w:rPr>
          <w:rFonts w:hint="eastAsia" w:cs="宋体"/>
          <w:b/>
          <w:bCs/>
          <w:color w:val="auto"/>
          <w:sz w:val="40"/>
          <w:szCs w:val="40"/>
          <w:highlight w:val="none"/>
          <w:shd w:val="clear" w:color="auto" w:fill="auto"/>
          <w:lang w:val="en-US" w:eastAsia="zh-CN"/>
        </w:rPr>
        <w:t>阜康市水源地输水管网建设工程-占地补偿款</w:t>
      </w:r>
      <w:r>
        <w:rPr>
          <w:rFonts w:hint="eastAsia" w:ascii="宋体" w:hAnsi="宋体" w:eastAsia="宋体" w:cs="宋体"/>
          <w:b/>
          <w:bCs/>
          <w:color w:val="auto"/>
          <w:sz w:val="40"/>
          <w:szCs w:val="40"/>
          <w:highlight w:val="none"/>
          <w:shd w:val="clear" w:color="auto" w:fill="auto"/>
          <w:lang w:val="en-US" w:eastAsia="zh-CN"/>
        </w:rPr>
        <w:t>项目</w:t>
      </w:r>
      <w:r>
        <w:rPr>
          <w:rFonts w:hint="eastAsia" w:ascii="宋体" w:hAnsi="宋体" w:eastAsia="宋体" w:cs="宋体"/>
          <w:b/>
          <w:bCs/>
          <w:color w:val="auto"/>
          <w:sz w:val="40"/>
          <w:szCs w:val="40"/>
          <w:highlight w:val="none"/>
          <w:shd w:val="clear" w:color="auto" w:fill="auto"/>
        </w:rPr>
        <w:t>支出绩效评价报告</w:t>
      </w:r>
      <w:bookmarkEnd w:id="0"/>
    </w:p>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auto"/>
          <w:sz w:val="36"/>
          <w:szCs w:val="36"/>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auto"/>
          <w:sz w:val="36"/>
          <w:szCs w:val="36"/>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default" w:ascii="宋体" w:hAnsi="宋体" w:eastAsia="宋体" w:cs="宋体"/>
          <w:b/>
          <w:color w:val="auto"/>
          <w:kern w:val="2"/>
          <w:sz w:val="28"/>
          <w:szCs w:val="28"/>
          <w:highlight w:val="none"/>
          <w:shd w:val="clear" w:color="auto" w:fill="auto"/>
          <w:lang w:val="en-US" w:eastAsia="zh-CN"/>
        </w:rPr>
      </w:pPr>
      <w:r>
        <w:rPr>
          <w:rFonts w:hint="eastAsia" w:ascii="宋体" w:hAnsi="宋体" w:eastAsia="宋体" w:cs="宋体"/>
          <w:b/>
          <w:color w:val="auto"/>
          <w:kern w:val="2"/>
          <w:sz w:val="28"/>
          <w:szCs w:val="28"/>
          <w:highlight w:val="none"/>
          <w:shd w:val="clear" w:color="auto" w:fill="auto"/>
          <w:lang w:val="en-US" w:eastAsia="zh-CN"/>
        </w:rPr>
        <w:t>项目名称：</w:t>
      </w:r>
      <w:r>
        <w:rPr>
          <w:rFonts w:hint="eastAsia" w:cs="宋体"/>
          <w:b/>
          <w:color w:val="auto"/>
          <w:kern w:val="2"/>
          <w:sz w:val="28"/>
          <w:szCs w:val="28"/>
          <w:highlight w:val="none"/>
          <w:shd w:val="clear" w:color="auto" w:fill="auto"/>
          <w:lang w:val="en-US" w:eastAsia="zh-CN"/>
        </w:rPr>
        <w:t>阜康市水源地输水管网建设工程</w:t>
      </w:r>
      <w:r>
        <w:rPr>
          <w:rFonts w:hint="default" w:ascii="宋体" w:hAnsi="宋体" w:eastAsia="宋体" w:cs="宋体"/>
          <w:b/>
          <w:color w:val="auto"/>
          <w:kern w:val="2"/>
          <w:sz w:val="28"/>
          <w:szCs w:val="28"/>
          <w:highlight w:val="none"/>
          <w:shd w:val="clear" w:color="auto" w:fill="auto"/>
          <w:lang w:val="en-US" w:eastAsia="zh-CN"/>
        </w:rPr>
        <w:t>-占地补偿款</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default" w:ascii="宋体" w:hAnsi="宋体" w:eastAsia="宋体" w:cs="宋体"/>
          <w:b/>
          <w:color w:val="auto"/>
          <w:kern w:val="2"/>
          <w:sz w:val="28"/>
          <w:szCs w:val="28"/>
          <w:highlight w:val="none"/>
          <w:shd w:val="clear" w:color="auto" w:fill="auto"/>
          <w:lang w:val="en-US" w:eastAsia="zh-CN"/>
        </w:rPr>
      </w:pPr>
      <w:r>
        <w:rPr>
          <w:rFonts w:hint="eastAsia" w:ascii="宋体" w:hAnsi="宋体" w:eastAsia="宋体" w:cs="宋体"/>
          <w:b/>
          <w:color w:val="auto"/>
          <w:kern w:val="2"/>
          <w:sz w:val="28"/>
          <w:szCs w:val="28"/>
          <w:highlight w:val="none"/>
          <w:shd w:val="clear" w:color="auto" w:fill="auto"/>
          <w:lang w:val="en-US" w:eastAsia="zh-CN"/>
        </w:rPr>
        <w:t>实施单位：</w:t>
      </w:r>
      <w:r>
        <w:rPr>
          <w:rFonts w:hint="eastAsia" w:cs="宋体"/>
          <w:b/>
          <w:color w:val="auto"/>
          <w:kern w:val="2"/>
          <w:sz w:val="28"/>
          <w:szCs w:val="28"/>
          <w:highlight w:val="none"/>
          <w:shd w:val="clear" w:color="auto" w:fill="auto"/>
          <w:lang w:val="en-US" w:eastAsia="zh-CN"/>
        </w:rPr>
        <w:t>阜康市水利局</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default" w:ascii="宋体" w:hAnsi="宋体" w:eastAsia="宋体" w:cs="宋体"/>
          <w:b/>
          <w:color w:val="auto"/>
          <w:kern w:val="2"/>
          <w:sz w:val="28"/>
          <w:szCs w:val="28"/>
          <w:highlight w:val="none"/>
          <w:shd w:val="clear" w:color="auto" w:fill="auto"/>
          <w:lang w:val="en-US" w:eastAsia="zh-CN"/>
        </w:rPr>
      </w:pPr>
      <w:r>
        <w:rPr>
          <w:rFonts w:hint="eastAsia" w:ascii="宋体" w:hAnsi="宋体" w:eastAsia="宋体" w:cs="宋体"/>
          <w:b/>
          <w:color w:val="auto"/>
          <w:kern w:val="2"/>
          <w:sz w:val="28"/>
          <w:szCs w:val="28"/>
          <w:highlight w:val="none"/>
          <w:shd w:val="clear" w:color="auto" w:fill="auto"/>
          <w:lang w:val="en-US" w:eastAsia="zh-CN"/>
        </w:rPr>
        <w:t>主管部门：</w:t>
      </w:r>
      <w:r>
        <w:rPr>
          <w:rFonts w:hint="eastAsia" w:cs="宋体"/>
          <w:b/>
          <w:color w:val="auto"/>
          <w:kern w:val="2"/>
          <w:sz w:val="28"/>
          <w:szCs w:val="28"/>
          <w:highlight w:val="none"/>
          <w:shd w:val="clear" w:color="auto" w:fill="auto"/>
          <w:lang w:val="en-US" w:eastAsia="zh-CN"/>
        </w:rPr>
        <w:t>阜康市水利局</w:t>
      </w:r>
    </w:p>
    <w:p>
      <w:pPr>
        <w:pStyle w:val="10"/>
        <w:outlineLvl w:val="9"/>
        <w:rPr>
          <w:rFonts w:hint="eastAsia" w:ascii="宋体" w:hAnsi="宋体" w:eastAsia="宋体" w:cs="宋体"/>
          <w:b/>
          <w:color w:val="auto"/>
          <w:kern w:val="2"/>
          <w:sz w:val="28"/>
          <w:szCs w:val="28"/>
          <w:highlight w:val="none"/>
          <w:shd w:val="clear" w:color="auto" w:fill="auto"/>
          <w:lang w:val="en-US" w:eastAsia="zh-CN"/>
        </w:rPr>
      </w:pPr>
    </w:p>
    <w:p>
      <w:pPr>
        <w:rPr>
          <w:rFonts w:hint="eastAsia"/>
          <w:color w:val="auto"/>
          <w:highlight w:val="none"/>
          <w:lang w:val="en-US" w:eastAsia="zh-CN"/>
        </w:rPr>
      </w:pPr>
      <w:r>
        <w:rPr>
          <w:rFonts w:hint="eastAsia"/>
          <w:color w:val="auto"/>
          <w:highlight w:val="none"/>
          <w:lang w:val="en-US" w:eastAsia="zh-CN"/>
        </w:rPr>
        <w:br w:type="page"/>
      </w:r>
    </w:p>
    <w:p>
      <w:pPr>
        <w:rPr>
          <w:rFonts w:hint="eastAsia"/>
          <w:color w:val="auto"/>
          <w:highlight w:val="none"/>
          <w:lang w:val="en-US" w:eastAsia="zh-CN"/>
        </w:rPr>
      </w:pPr>
    </w:p>
    <w:sdt>
      <w:sdtPr>
        <w:rPr>
          <w:rFonts w:ascii="宋体" w:hAnsi="宋体" w:eastAsia="宋体" w:cs="宋体"/>
          <w:b/>
          <w:bCs/>
          <w:color w:val="auto"/>
          <w:kern w:val="2"/>
          <w:sz w:val="28"/>
          <w:szCs w:val="40"/>
          <w:highlight w:val="none"/>
          <w:lang w:val="en-US" w:eastAsia="zh-CN" w:bidi="ar-SA"/>
        </w:rPr>
        <w:id w:val="147474046"/>
        <w15:color w:val="DBDBDB"/>
        <w:docPartObj>
          <w:docPartGallery w:val="Table of Contents"/>
          <w:docPartUnique/>
        </w:docPartObj>
      </w:sdtPr>
      <w:sdtEndPr>
        <w:rPr>
          <w:rFonts w:hint="eastAsia" w:ascii="宋体" w:hAnsi="宋体" w:eastAsia="宋体" w:cs="宋体"/>
          <w:b/>
          <w:bCs/>
          <w:color w:val="auto"/>
          <w:kern w:val="2"/>
          <w:sz w:val="28"/>
          <w:szCs w:val="28"/>
          <w:highlight w:val="none"/>
          <w:lang w:val="en-US" w:eastAsia="zh-CN" w:bidi="ar-SA"/>
        </w:rPr>
      </w:sdtEndPr>
      <w:sdtContent>
        <w:p>
          <w:pPr>
            <w:keepNext w:val="0"/>
            <w:keepLines w:val="0"/>
            <w:pageBreakBefore w:val="0"/>
            <w:shd w:val="clea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rPr>
              <w:b/>
              <w:bCs/>
              <w:color w:val="auto"/>
              <w:sz w:val="40"/>
              <w:szCs w:val="40"/>
              <w:highlight w:val="none"/>
            </w:rPr>
          </w:pPr>
          <w:r>
            <w:rPr>
              <w:rFonts w:ascii="宋体" w:hAnsi="宋体" w:eastAsia="宋体"/>
              <w:b/>
              <w:bCs/>
              <w:color w:val="auto"/>
              <w:sz w:val="40"/>
              <w:szCs w:val="40"/>
              <w:highlight w:val="none"/>
            </w:rPr>
            <w:t>目录</w:t>
          </w:r>
        </w:p>
        <w:p>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TOC \o "1-3" \h \u </w:instrText>
          </w:r>
          <w:r>
            <w:rPr>
              <w:rFonts w:hint="eastAsia"/>
              <w:color w:val="auto"/>
              <w:sz w:val="28"/>
              <w:szCs w:val="28"/>
              <w:highlight w:val="none"/>
              <w:lang w:val="en-US" w:eastAsia="zh-CN"/>
            </w:rPr>
            <w:fldChar w:fldCharType="separate"/>
          </w:r>
        </w:p>
        <w:p>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_Toc17540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rPr>
            <w:t>一、基本情况</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_Toc17540 \h </w:instrText>
          </w:r>
          <w:r>
            <w:rPr>
              <w:b/>
              <w:bCs/>
              <w:color w:val="auto"/>
              <w:sz w:val="28"/>
              <w:szCs w:val="28"/>
              <w:highlight w:val="none"/>
            </w:rPr>
            <w:fldChar w:fldCharType="separate"/>
          </w:r>
          <w:r>
            <w:rPr>
              <w:b/>
              <w:bCs/>
              <w:color w:val="auto"/>
              <w:sz w:val="28"/>
              <w:szCs w:val="28"/>
              <w:highlight w:val="none"/>
            </w:rPr>
            <w:t>1</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_Toc18966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color="auto" w:fill="auto"/>
            </w:rPr>
            <w:t>（一）项目概况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_Toc18966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hint="eastAsia"/>
              <w:color w:val="auto"/>
              <w:sz w:val="28"/>
              <w:szCs w:val="28"/>
              <w:highlight w:val="none"/>
              <w:lang w:val="en-US" w:eastAsia="zh-CN"/>
            </w:rPr>
            <w:fldChar w:fldCharType="end"/>
          </w:r>
        </w:p>
        <w:p>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_Toc2879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fill="auto"/>
            </w:rPr>
            <w:t>（二）</w:t>
          </w:r>
          <w:r>
            <w:rPr>
              <w:rFonts w:hint="eastAsia" w:ascii="宋体" w:hAnsi="宋体" w:eastAsia="宋体" w:cs="宋体"/>
              <w:color w:val="auto"/>
              <w:sz w:val="28"/>
              <w:szCs w:val="28"/>
              <w:highlight w:val="none"/>
              <w:shd w:val="clear" w:color="auto" w:fill="auto"/>
            </w:rPr>
            <w:t>项目绩效目标</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_Toc2879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rFonts w:hint="eastAsia"/>
              <w:color w:val="auto"/>
              <w:sz w:val="28"/>
              <w:szCs w:val="28"/>
              <w:highlight w:val="none"/>
              <w:lang w:val="en-US" w:eastAsia="zh-CN"/>
            </w:rPr>
            <w:fldChar w:fldCharType="end"/>
          </w:r>
        </w:p>
        <w:p>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_Toc2549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rPr>
            <w:t>二、绩效评价工作开展情况</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_Toc2549 \h </w:instrText>
          </w:r>
          <w:r>
            <w:rPr>
              <w:b/>
              <w:bCs/>
              <w:color w:val="auto"/>
              <w:sz w:val="28"/>
              <w:szCs w:val="28"/>
              <w:highlight w:val="none"/>
            </w:rPr>
            <w:fldChar w:fldCharType="separate"/>
          </w:r>
          <w:r>
            <w:rPr>
              <w:b/>
              <w:bCs/>
              <w:color w:val="auto"/>
              <w:sz w:val="28"/>
              <w:szCs w:val="28"/>
              <w:highlight w:val="none"/>
            </w:rPr>
            <w:t>4</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_Toc21778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fill="auto"/>
              <w:lang w:eastAsia="zh-CN"/>
            </w:rPr>
            <w:t>（一）</w:t>
          </w:r>
          <w:r>
            <w:rPr>
              <w:rFonts w:hint="eastAsia" w:ascii="宋体" w:hAnsi="宋体" w:eastAsia="宋体" w:cs="宋体"/>
              <w:color w:val="auto"/>
              <w:sz w:val="28"/>
              <w:szCs w:val="28"/>
              <w:highlight w:val="none"/>
              <w:shd w:val="clear" w:color="auto" w:fill="auto"/>
              <w:lang w:eastAsia="zh-CN"/>
            </w:rPr>
            <w:t>绩效评价的目的、对象和范围</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_Toc21778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rFonts w:hint="eastAsia"/>
              <w:color w:val="auto"/>
              <w:sz w:val="28"/>
              <w:szCs w:val="28"/>
              <w:highlight w:val="none"/>
              <w:lang w:val="en-US" w:eastAsia="zh-CN"/>
            </w:rPr>
            <w:fldChar w:fldCharType="end"/>
          </w:r>
        </w:p>
        <w:p>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_Toc15902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fill="auto"/>
              <w:lang w:val="en-US" w:eastAsia="zh-CN"/>
            </w:rPr>
            <w:t>（二）</w:t>
          </w:r>
          <w:r>
            <w:rPr>
              <w:rFonts w:hint="eastAsia" w:ascii="宋体" w:hAnsi="宋体" w:eastAsia="宋体" w:cs="宋体"/>
              <w:color w:val="auto"/>
              <w:sz w:val="28"/>
              <w:szCs w:val="28"/>
              <w:highlight w:val="none"/>
              <w:shd w:val="clear" w:color="auto" w:fill="auto"/>
              <w:lang w:val="en-US" w:eastAsia="zh-CN"/>
            </w:rPr>
            <w:t>绩效评价原则、评价指标体系（附表说明）、评价方法、评价标准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_Toc15902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rFonts w:hint="eastAsia"/>
              <w:color w:val="auto"/>
              <w:sz w:val="28"/>
              <w:szCs w:val="28"/>
              <w:highlight w:val="none"/>
              <w:lang w:val="en-US" w:eastAsia="zh-CN"/>
            </w:rPr>
            <w:fldChar w:fldCharType="end"/>
          </w:r>
        </w:p>
        <w:p>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ind w:left="0" w:leftChars="0" w:firstLine="560" w:firstLineChars="200"/>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_Toc1070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color="auto" w:fill="auto"/>
              <w:lang w:val="en-US" w:eastAsia="zh-CN"/>
            </w:rPr>
            <w:t>（三）绩效评价工作过程</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_Toc1070 \h </w:instrText>
          </w:r>
          <w:r>
            <w:rPr>
              <w:color w:val="auto"/>
              <w:sz w:val="28"/>
              <w:szCs w:val="28"/>
              <w:highlight w:val="none"/>
            </w:rPr>
            <w:fldChar w:fldCharType="separate"/>
          </w:r>
          <w:r>
            <w:rPr>
              <w:color w:val="auto"/>
              <w:sz w:val="28"/>
              <w:szCs w:val="28"/>
              <w:highlight w:val="none"/>
            </w:rPr>
            <w:t>9</w:t>
          </w:r>
          <w:r>
            <w:rPr>
              <w:color w:val="auto"/>
              <w:sz w:val="28"/>
              <w:szCs w:val="28"/>
              <w:highlight w:val="none"/>
            </w:rPr>
            <w:fldChar w:fldCharType="end"/>
          </w:r>
          <w:r>
            <w:rPr>
              <w:rFonts w:hint="eastAsia"/>
              <w:color w:val="auto"/>
              <w:sz w:val="28"/>
              <w:szCs w:val="28"/>
              <w:highlight w:val="none"/>
              <w:lang w:val="en-US" w:eastAsia="zh-CN"/>
            </w:rPr>
            <w:fldChar w:fldCharType="end"/>
          </w:r>
        </w:p>
        <w:p>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_Toc1100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三、</w:t>
          </w:r>
          <w:r>
            <w:rPr>
              <w:rFonts w:hint="eastAsia" w:ascii="宋体" w:hAnsi="宋体" w:eastAsia="宋体" w:cs="宋体"/>
              <w:b/>
              <w:bCs/>
              <w:color w:val="auto"/>
              <w:sz w:val="28"/>
              <w:szCs w:val="28"/>
              <w:highlight w:val="none"/>
              <w:shd w:val="clear" w:color="auto" w:fill="auto"/>
            </w:rPr>
            <w:t>综合评价情况及评价结论</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_Toc1100 \h </w:instrText>
          </w:r>
          <w:r>
            <w:rPr>
              <w:b/>
              <w:bCs/>
              <w:color w:val="auto"/>
              <w:sz w:val="28"/>
              <w:szCs w:val="28"/>
              <w:highlight w:val="none"/>
            </w:rPr>
            <w:fldChar w:fldCharType="separate"/>
          </w:r>
          <w:r>
            <w:rPr>
              <w:b/>
              <w:bCs/>
              <w:color w:val="auto"/>
              <w:sz w:val="28"/>
              <w:szCs w:val="28"/>
              <w:highlight w:val="none"/>
            </w:rPr>
            <w:t>11</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_Toc9421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四、绩效评价指标分析</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_Toc9421 \h </w:instrText>
          </w:r>
          <w:r>
            <w:rPr>
              <w:b/>
              <w:bCs/>
              <w:color w:val="auto"/>
              <w:sz w:val="28"/>
              <w:szCs w:val="28"/>
              <w:highlight w:val="none"/>
            </w:rPr>
            <w:fldChar w:fldCharType="separate"/>
          </w:r>
          <w:r>
            <w:rPr>
              <w:b/>
              <w:bCs/>
              <w:color w:val="auto"/>
              <w:sz w:val="28"/>
              <w:szCs w:val="28"/>
              <w:highlight w:val="none"/>
            </w:rPr>
            <w:t>12</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_Toc15355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color="auto" w:fill="auto"/>
            </w:rPr>
            <w:t>（一）项目决策情况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_Toc15355 \h </w:instrText>
          </w:r>
          <w:r>
            <w:rPr>
              <w:color w:val="auto"/>
              <w:sz w:val="28"/>
              <w:szCs w:val="28"/>
              <w:highlight w:val="none"/>
            </w:rPr>
            <w:fldChar w:fldCharType="separate"/>
          </w:r>
          <w:r>
            <w:rPr>
              <w:color w:val="auto"/>
              <w:sz w:val="28"/>
              <w:szCs w:val="28"/>
              <w:highlight w:val="none"/>
            </w:rPr>
            <w:t>12</w:t>
          </w:r>
          <w:r>
            <w:rPr>
              <w:color w:val="auto"/>
              <w:sz w:val="28"/>
              <w:szCs w:val="28"/>
              <w:highlight w:val="none"/>
            </w:rPr>
            <w:fldChar w:fldCharType="end"/>
          </w:r>
          <w:r>
            <w:rPr>
              <w:rFonts w:hint="eastAsia"/>
              <w:color w:val="auto"/>
              <w:sz w:val="28"/>
              <w:szCs w:val="28"/>
              <w:highlight w:val="none"/>
              <w:lang w:val="en-US" w:eastAsia="zh-CN"/>
            </w:rPr>
            <w:fldChar w:fldCharType="end"/>
          </w:r>
        </w:p>
        <w:p>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_Toc11361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二</w:t>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rPr>
            <w:t>项目过程情况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_Toc11361 \h </w:instrText>
          </w:r>
          <w:r>
            <w:rPr>
              <w:color w:val="auto"/>
              <w:sz w:val="28"/>
              <w:szCs w:val="28"/>
              <w:highlight w:val="none"/>
            </w:rPr>
            <w:fldChar w:fldCharType="separate"/>
          </w:r>
          <w:r>
            <w:rPr>
              <w:color w:val="auto"/>
              <w:sz w:val="28"/>
              <w:szCs w:val="28"/>
              <w:highlight w:val="none"/>
            </w:rPr>
            <w:t>14</w:t>
          </w:r>
          <w:r>
            <w:rPr>
              <w:color w:val="auto"/>
              <w:sz w:val="28"/>
              <w:szCs w:val="28"/>
              <w:highlight w:val="none"/>
            </w:rPr>
            <w:fldChar w:fldCharType="end"/>
          </w:r>
          <w:r>
            <w:rPr>
              <w:rFonts w:hint="eastAsia"/>
              <w:color w:val="auto"/>
              <w:sz w:val="28"/>
              <w:szCs w:val="28"/>
              <w:highlight w:val="none"/>
              <w:lang w:val="en-US" w:eastAsia="zh-CN"/>
            </w:rPr>
            <w:fldChar w:fldCharType="end"/>
          </w:r>
        </w:p>
        <w:p>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_Toc16268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三</w:t>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rPr>
            <w:t>项目产出情况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_Toc16268 \h </w:instrText>
          </w:r>
          <w:r>
            <w:rPr>
              <w:color w:val="auto"/>
              <w:sz w:val="28"/>
              <w:szCs w:val="28"/>
              <w:highlight w:val="none"/>
            </w:rPr>
            <w:fldChar w:fldCharType="separate"/>
          </w:r>
          <w:r>
            <w:rPr>
              <w:color w:val="auto"/>
              <w:sz w:val="28"/>
              <w:szCs w:val="28"/>
              <w:highlight w:val="none"/>
            </w:rPr>
            <w:t>16</w:t>
          </w:r>
          <w:r>
            <w:rPr>
              <w:color w:val="auto"/>
              <w:sz w:val="28"/>
              <w:szCs w:val="28"/>
              <w:highlight w:val="none"/>
            </w:rPr>
            <w:fldChar w:fldCharType="end"/>
          </w:r>
          <w:r>
            <w:rPr>
              <w:rFonts w:hint="eastAsia"/>
              <w:color w:val="auto"/>
              <w:sz w:val="28"/>
              <w:szCs w:val="28"/>
              <w:highlight w:val="none"/>
              <w:lang w:val="en-US" w:eastAsia="zh-CN"/>
            </w:rPr>
            <w:fldChar w:fldCharType="end"/>
          </w:r>
        </w:p>
        <w:p>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_Toc18446 </w:instrText>
          </w:r>
          <w:r>
            <w:rPr>
              <w:rFonts w:hint="eastAsia"/>
              <w:color w:val="auto"/>
              <w:sz w:val="28"/>
              <w:szCs w:val="28"/>
              <w:highlight w:val="none"/>
              <w:lang w:val="en-US" w:eastAsia="zh-CN"/>
            </w:rPr>
            <w:fldChar w:fldCharType="separate"/>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四</w:t>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rPr>
            <w:t>项目效益情况</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_Toc18446 \h </w:instrText>
          </w:r>
          <w:r>
            <w:rPr>
              <w:color w:val="auto"/>
              <w:sz w:val="28"/>
              <w:szCs w:val="28"/>
              <w:highlight w:val="none"/>
            </w:rPr>
            <w:fldChar w:fldCharType="separate"/>
          </w:r>
          <w:r>
            <w:rPr>
              <w:color w:val="auto"/>
              <w:sz w:val="28"/>
              <w:szCs w:val="28"/>
              <w:highlight w:val="none"/>
            </w:rPr>
            <w:t>18</w:t>
          </w:r>
          <w:r>
            <w:rPr>
              <w:color w:val="auto"/>
              <w:sz w:val="28"/>
              <w:szCs w:val="28"/>
              <w:highlight w:val="none"/>
            </w:rPr>
            <w:fldChar w:fldCharType="end"/>
          </w:r>
          <w:r>
            <w:rPr>
              <w:rFonts w:hint="eastAsia"/>
              <w:color w:val="auto"/>
              <w:sz w:val="28"/>
              <w:szCs w:val="28"/>
              <w:highlight w:val="none"/>
              <w:lang w:val="en-US" w:eastAsia="zh-CN"/>
            </w:rPr>
            <w:fldChar w:fldCharType="end"/>
          </w:r>
        </w:p>
        <w:p>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_Toc19962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五、预算执行进度与指标偏差</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_Toc19962 \h </w:instrText>
          </w:r>
          <w:r>
            <w:rPr>
              <w:b/>
              <w:bCs/>
              <w:color w:val="auto"/>
              <w:sz w:val="28"/>
              <w:szCs w:val="28"/>
              <w:highlight w:val="none"/>
            </w:rPr>
            <w:fldChar w:fldCharType="separate"/>
          </w:r>
          <w:r>
            <w:rPr>
              <w:b/>
              <w:bCs/>
              <w:color w:val="auto"/>
              <w:sz w:val="28"/>
              <w:szCs w:val="28"/>
              <w:highlight w:val="none"/>
            </w:rPr>
            <w:t>19</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_Toc29934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六、主要经验及做法、存在的问题及原因分析</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_Toc29934 \h </w:instrText>
          </w:r>
          <w:r>
            <w:rPr>
              <w:b/>
              <w:bCs/>
              <w:color w:val="auto"/>
              <w:sz w:val="28"/>
              <w:szCs w:val="28"/>
              <w:highlight w:val="none"/>
            </w:rPr>
            <w:fldChar w:fldCharType="separate"/>
          </w:r>
          <w:r>
            <w:rPr>
              <w:b/>
              <w:bCs/>
              <w:color w:val="auto"/>
              <w:sz w:val="28"/>
              <w:szCs w:val="28"/>
              <w:highlight w:val="none"/>
            </w:rPr>
            <w:t>20</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_Toc13160 </w:instrText>
          </w:r>
          <w:r>
            <w:rPr>
              <w:rFonts w:hint="eastAsia"/>
              <w:color w:val="auto"/>
              <w:sz w:val="28"/>
              <w:szCs w:val="28"/>
              <w:highlight w:val="none"/>
              <w:lang w:val="en-US" w:eastAsia="zh-CN"/>
            </w:rPr>
            <w:fldChar w:fldCharType="separate"/>
          </w:r>
          <w:r>
            <w:rPr>
              <w:rFonts w:hint="eastAsia"/>
              <w:bCs/>
              <w:color w:val="auto"/>
              <w:sz w:val="28"/>
              <w:szCs w:val="28"/>
              <w:highlight w:val="none"/>
              <w:lang w:eastAsia="zh-CN"/>
            </w:rPr>
            <w:t>（</w:t>
          </w:r>
          <w:r>
            <w:rPr>
              <w:rFonts w:hint="eastAsia"/>
              <w:bCs/>
              <w:color w:val="auto"/>
              <w:sz w:val="28"/>
              <w:szCs w:val="28"/>
              <w:highlight w:val="none"/>
              <w:lang w:val="en-US" w:eastAsia="zh-CN"/>
            </w:rPr>
            <w:t>一</w:t>
          </w:r>
          <w:r>
            <w:rPr>
              <w:rFonts w:hint="eastAsia"/>
              <w:bCs/>
              <w:color w:val="auto"/>
              <w:sz w:val="28"/>
              <w:szCs w:val="28"/>
              <w:highlight w:val="none"/>
              <w:lang w:eastAsia="zh-CN"/>
            </w:rPr>
            <w:t>）</w:t>
          </w:r>
          <w:r>
            <w:rPr>
              <w:rFonts w:hint="eastAsia"/>
              <w:bCs/>
              <w:color w:val="auto"/>
              <w:sz w:val="28"/>
              <w:szCs w:val="28"/>
              <w:highlight w:val="none"/>
            </w:rPr>
            <w:t>主要经验及做法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_Toc13160 \h </w:instrText>
          </w:r>
          <w:r>
            <w:rPr>
              <w:color w:val="auto"/>
              <w:sz w:val="28"/>
              <w:szCs w:val="28"/>
              <w:highlight w:val="none"/>
            </w:rPr>
            <w:fldChar w:fldCharType="separate"/>
          </w:r>
          <w:r>
            <w:rPr>
              <w:color w:val="auto"/>
              <w:sz w:val="28"/>
              <w:szCs w:val="28"/>
              <w:highlight w:val="none"/>
            </w:rPr>
            <w:t>20</w:t>
          </w:r>
          <w:r>
            <w:rPr>
              <w:color w:val="auto"/>
              <w:sz w:val="28"/>
              <w:szCs w:val="28"/>
              <w:highlight w:val="none"/>
            </w:rPr>
            <w:fldChar w:fldCharType="end"/>
          </w:r>
          <w:r>
            <w:rPr>
              <w:rFonts w:hint="eastAsia"/>
              <w:color w:val="auto"/>
              <w:sz w:val="28"/>
              <w:szCs w:val="28"/>
              <w:highlight w:val="none"/>
              <w:lang w:val="en-US" w:eastAsia="zh-CN"/>
            </w:rPr>
            <w:fldChar w:fldCharType="end"/>
          </w:r>
        </w:p>
        <w:p>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r>
            <w:rPr>
              <w:rFonts w:hint="eastAsia"/>
              <w:color w:val="auto"/>
              <w:sz w:val="28"/>
              <w:szCs w:val="28"/>
              <w:highlight w:val="none"/>
              <w:lang w:val="en-US" w:eastAsia="zh-CN"/>
            </w:rPr>
            <w:fldChar w:fldCharType="begin"/>
          </w:r>
          <w:r>
            <w:rPr>
              <w:rFonts w:hint="eastAsia"/>
              <w:color w:val="auto"/>
              <w:sz w:val="28"/>
              <w:szCs w:val="28"/>
              <w:highlight w:val="none"/>
              <w:lang w:val="en-US" w:eastAsia="zh-CN"/>
            </w:rPr>
            <w:instrText xml:space="preserve"> HYPERLINK \l _Toc9582 </w:instrText>
          </w:r>
          <w:r>
            <w:rPr>
              <w:rFonts w:hint="eastAsia"/>
              <w:color w:val="auto"/>
              <w:sz w:val="28"/>
              <w:szCs w:val="28"/>
              <w:highlight w:val="none"/>
              <w:lang w:val="en-US" w:eastAsia="zh-CN"/>
            </w:rPr>
            <w:fldChar w:fldCharType="separate"/>
          </w:r>
          <w:r>
            <w:rPr>
              <w:rFonts w:hint="eastAsia"/>
              <w:bCs/>
              <w:color w:val="auto"/>
              <w:sz w:val="28"/>
              <w:szCs w:val="28"/>
              <w:highlight w:val="none"/>
              <w:lang w:eastAsia="zh-CN"/>
            </w:rPr>
            <w:t>（</w:t>
          </w:r>
          <w:r>
            <w:rPr>
              <w:rFonts w:hint="eastAsia"/>
              <w:bCs/>
              <w:color w:val="auto"/>
              <w:sz w:val="28"/>
              <w:szCs w:val="28"/>
              <w:highlight w:val="none"/>
              <w:lang w:val="en-US" w:eastAsia="zh-CN"/>
            </w:rPr>
            <w:t>二</w:t>
          </w:r>
          <w:r>
            <w:rPr>
              <w:rFonts w:hint="eastAsia"/>
              <w:bCs/>
              <w:color w:val="auto"/>
              <w:sz w:val="28"/>
              <w:szCs w:val="28"/>
              <w:highlight w:val="none"/>
              <w:lang w:eastAsia="zh-CN"/>
            </w:rPr>
            <w:t>）</w:t>
          </w:r>
          <w:r>
            <w:rPr>
              <w:rFonts w:hint="eastAsia"/>
              <w:bCs/>
              <w:color w:val="auto"/>
              <w:sz w:val="28"/>
              <w:szCs w:val="28"/>
              <w:highlight w:val="none"/>
            </w:rPr>
            <w:t>存在的问题及原因分析</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_Toc9582 \h </w:instrText>
          </w:r>
          <w:r>
            <w:rPr>
              <w:color w:val="auto"/>
              <w:sz w:val="28"/>
              <w:szCs w:val="28"/>
              <w:highlight w:val="none"/>
            </w:rPr>
            <w:fldChar w:fldCharType="separate"/>
          </w:r>
          <w:r>
            <w:rPr>
              <w:color w:val="auto"/>
              <w:sz w:val="28"/>
              <w:szCs w:val="28"/>
              <w:highlight w:val="none"/>
            </w:rPr>
            <w:t>20</w:t>
          </w:r>
          <w:r>
            <w:rPr>
              <w:color w:val="auto"/>
              <w:sz w:val="28"/>
              <w:szCs w:val="28"/>
              <w:highlight w:val="none"/>
            </w:rPr>
            <w:fldChar w:fldCharType="end"/>
          </w:r>
          <w:r>
            <w:rPr>
              <w:rFonts w:hint="eastAsia"/>
              <w:color w:val="auto"/>
              <w:sz w:val="28"/>
              <w:szCs w:val="28"/>
              <w:highlight w:val="none"/>
              <w:lang w:val="en-US" w:eastAsia="zh-CN"/>
            </w:rPr>
            <w:fldChar w:fldCharType="end"/>
          </w:r>
        </w:p>
        <w:p>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_Toc5230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七、有关建议</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_Toc5230 \h </w:instrText>
          </w:r>
          <w:r>
            <w:rPr>
              <w:b/>
              <w:bCs/>
              <w:color w:val="auto"/>
              <w:sz w:val="28"/>
              <w:szCs w:val="28"/>
              <w:highlight w:val="none"/>
            </w:rPr>
            <w:fldChar w:fldCharType="separate"/>
          </w:r>
          <w:r>
            <w:rPr>
              <w:b/>
              <w:bCs/>
              <w:color w:val="auto"/>
              <w:sz w:val="28"/>
              <w:szCs w:val="28"/>
              <w:highlight w:val="none"/>
            </w:rPr>
            <w:t>21</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color w:val="auto"/>
              <w:sz w:val="28"/>
              <w:szCs w:val="28"/>
              <w:highlight w:val="none"/>
            </w:rPr>
          </w:pPr>
          <w:r>
            <w:rPr>
              <w:rFonts w:hint="eastAsia"/>
              <w:b/>
              <w:bCs/>
              <w:color w:val="auto"/>
              <w:sz w:val="28"/>
              <w:szCs w:val="28"/>
              <w:highlight w:val="none"/>
              <w:lang w:val="en-US" w:eastAsia="zh-CN"/>
            </w:rPr>
            <w:fldChar w:fldCharType="begin"/>
          </w:r>
          <w:r>
            <w:rPr>
              <w:rFonts w:hint="eastAsia"/>
              <w:b/>
              <w:bCs/>
              <w:color w:val="auto"/>
              <w:sz w:val="28"/>
              <w:szCs w:val="28"/>
              <w:highlight w:val="none"/>
              <w:lang w:val="en-US" w:eastAsia="zh-CN"/>
            </w:rPr>
            <w:instrText xml:space="preserve"> HYPERLINK \l _Toc15618 </w:instrText>
          </w:r>
          <w:r>
            <w:rPr>
              <w:rFonts w:hint="eastAsia"/>
              <w:b/>
              <w:bCs/>
              <w:color w:val="auto"/>
              <w:sz w:val="28"/>
              <w:szCs w:val="28"/>
              <w:highlight w:val="none"/>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八、其他需要说明的问题</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_Toc15618 \h </w:instrText>
          </w:r>
          <w:r>
            <w:rPr>
              <w:b/>
              <w:bCs/>
              <w:color w:val="auto"/>
              <w:sz w:val="28"/>
              <w:szCs w:val="28"/>
              <w:highlight w:val="none"/>
            </w:rPr>
            <w:fldChar w:fldCharType="separate"/>
          </w:r>
          <w:r>
            <w:rPr>
              <w:b/>
              <w:bCs/>
              <w:color w:val="auto"/>
              <w:sz w:val="28"/>
              <w:szCs w:val="28"/>
              <w:highlight w:val="none"/>
            </w:rPr>
            <w:t>20</w:t>
          </w:r>
          <w:r>
            <w:rPr>
              <w:b/>
              <w:bCs/>
              <w:color w:val="auto"/>
              <w:sz w:val="28"/>
              <w:szCs w:val="28"/>
              <w:highlight w:val="none"/>
            </w:rPr>
            <w:fldChar w:fldCharType="end"/>
          </w:r>
          <w:r>
            <w:rPr>
              <w:rFonts w:hint="eastAsia"/>
              <w:b/>
              <w:bCs/>
              <w:color w:val="auto"/>
              <w:sz w:val="28"/>
              <w:szCs w:val="28"/>
              <w:highlight w:val="none"/>
              <w:lang w:val="en-US" w:eastAsia="zh-CN"/>
            </w:rPr>
            <w:fldChar w:fldCharType="end"/>
          </w:r>
        </w:p>
        <w:p>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rPr>
          </w:pPr>
        </w:p>
        <w:p>
          <w:pPr>
            <w:keepNext w:val="0"/>
            <w:keepLines w:val="0"/>
            <w:pageBreakBefore w:val="0"/>
            <w:shd w:val="clear"/>
            <w:kinsoku/>
            <w:wordWrap/>
            <w:overflowPunct/>
            <w:topLinePunct w:val="0"/>
            <w:autoSpaceDE/>
            <w:autoSpaceDN/>
            <w:bidi w:val="0"/>
            <w:adjustRightInd/>
            <w:snapToGrid/>
            <w:spacing w:line="520" w:lineRule="exact"/>
            <w:textAlignment w:val="auto"/>
            <w:rPr>
              <w:rFonts w:hint="eastAsia"/>
              <w:color w:val="auto"/>
              <w:highlight w:val="none"/>
              <w:lang w:val="en-US" w:eastAsia="zh-CN"/>
            </w:rPr>
            <w:sectPr>
              <w:pgSz w:w="11906" w:h="16838"/>
              <w:pgMar w:top="1928" w:right="1531" w:bottom="1701" w:left="1531" w:header="737" w:footer="851" w:gutter="0"/>
              <w:pgBorders>
                <w:top w:val="none" w:sz="0" w:space="0"/>
                <w:left w:val="none" w:sz="0" w:space="0"/>
                <w:bottom w:val="none" w:sz="0" w:space="0"/>
                <w:right w:val="none" w:sz="0" w:space="0"/>
              </w:pgBorders>
              <w:cols w:space="720" w:num="1"/>
              <w:docGrid w:type="lines" w:linePitch="408" w:charSpace="0"/>
            </w:sectPr>
          </w:pPr>
          <w:r>
            <w:rPr>
              <w:rFonts w:hint="eastAsia"/>
              <w:color w:val="auto"/>
              <w:sz w:val="28"/>
              <w:szCs w:val="28"/>
              <w:highlight w:val="none"/>
              <w:lang w:val="en-US" w:eastAsia="zh-CN"/>
            </w:rPr>
            <w:fldChar w:fldCharType="end"/>
          </w:r>
        </w:p>
      </w:sdtContent>
    </w:sdt>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宋体"/>
          <w:b/>
          <w:bCs/>
          <w:color w:val="auto"/>
          <w:sz w:val="36"/>
          <w:szCs w:val="36"/>
          <w:highlight w:val="none"/>
          <w:shd w:val="clear" w:color="auto" w:fill="auto"/>
          <w:lang w:val="en-US" w:eastAsia="zh-CN"/>
        </w:rPr>
      </w:pPr>
      <w:bookmarkStart w:id="1" w:name="_Toc1194"/>
      <w:r>
        <w:rPr>
          <w:rFonts w:hint="eastAsia" w:cs="宋体"/>
          <w:b/>
          <w:bCs/>
          <w:color w:val="auto"/>
          <w:sz w:val="36"/>
          <w:szCs w:val="36"/>
          <w:highlight w:val="none"/>
          <w:shd w:val="clear" w:color="auto" w:fill="auto"/>
          <w:lang w:val="en-US" w:eastAsia="zh-CN"/>
        </w:rPr>
        <w:t>阜康市水源地输水管网建设工程-占地补偿款</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highlight w:val="none"/>
          <w:shd w:val="clear" w:color="auto" w:fill="auto"/>
        </w:rPr>
      </w:pPr>
      <w:r>
        <w:rPr>
          <w:rFonts w:hint="eastAsia" w:ascii="宋体" w:hAnsi="宋体" w:eastAsia="宋体" w:cs="宋体"/>
          <w:b/>
          <w:bCs/>
          <w:color w:val="auto"/>
          <w:sz w:val="36"/>
          <w:szCs w:val="36"/>
          <w:highlight w:val="none"/>
          <w:shd w:val="clear" w:color="auto" w:fill="auto"/>
        </w:rPr>
        <w:t>支出绩效评价报告</w:t>
      </w:r>
      <w:bookmarkEnd w:id="1"/>
    </w:p>
    <w:p>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sz w:val="28"/>
          <w:szCs w:val="28"/>
          <w:highlight w:val="none"/>
          <w:shd w:val="clear" w:color="auto" w:fill="auto"/>
        </w:rPr>
      </w:pPr>
      <w:bookmarkStart w:id="2" w:name="_Toc17540"/>
      <w:r>
        <w:rPr>
          <w:rFonts w:hint="eastAsia" w:ascii="宋体" w:hAnsi="宋体" w:eastAsia="宋体" w:cs="宋体"/>
          <w:b/>
          <w:bCs/>
          <w:color w:val="auto"/>
          <w:sz w:val="28"/>
          <w:szCs w:val="28"/>
          <w:highlight w:val="none"/>
          <w:shd w:val="clear" w:color="auto" w:fill="auto"/>
        </w:rPr>
        <w:t>一、基本情况</w:t>
      </w:r>
      <w:bookmarkEnd w:id="2"/>
    </w:p>
    <w:p>
      <w:pPr>
        <w:pStyle w:val="2"/>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auto"/>
          <w:sz w:val="28"/>
          <w:szCs w:val="28"/>
          <w:highlight w:val="none"/>
          <w:shd w:val="clear" w:color="auto" w:fill="auto"/>
        </w:rPr>
      </w:pPr>
      <w:bookmarkStart w:id="3" w:name="_Toc18966"/>
      <w:r>
        <w:rPr>
          <w:rFonts w:hint="eastAsia" w:ascii="宋体" w:hAnsi="宋体" w:eastAsia="宋体" w:cs="宋体"/>
          <w:color w:val="auto"/>
          <w:sz w:val="28"/>
          <w:szCs w:val="28"/>
          <w:highlight w:val="none"/>
          <w:shd w:val="clear" w:color="auto" w:fill="auto"/>
        </w:rPr>
        <w:t>（一）项目概况</w:t>
      </w:r>
      <w:bookmarkEnd w:id="3"/>
    </w:p>
    <w:p>
      <w:pPr>
        <w:pStyle w:val="4"/>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eastAsia="zh-CN"/>
        </w:rPr>
      </w:pPr>
      <w:bookmarkStart w:id="4" w:name="_Toc5043"/>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rPr>
        <w:t>项目背景</w:t>
      </w:r>
      <w:bookmarkEnd w:id="4"/>
    </w:p>
    <w:p>
      <w:pPr>
        <w:bidi w:val="0"/>
        <w:rPr>
          <w:rFonts w:hint="eastAsia"/>
          <w:color w:val="auto"/>
          <w:sz w:val="28"/>
          <w:szCs w:val="28"/>
          <w:highlight w:val="none"/>
          <w:lang w:val="en-US" w:eastAsia="zh-CN"/>
        </w:rPr>
      </w:pPr>
      <w:r>
        <w:rPr>
          <w:rFonts w:hint="eastAsia"/>
          <w:color w:val="auto"/>
          <w:sz w:val="28"/>
          <w:szCs w:val="28"/>
          <w:highlight w:val="none"/>
        </w:rPr>
        <w:t>昌吉州阜康市水源地输水管网建设工程，取水水源为已建的“500”水库，工程起点接河润水业有限责任公司拟建输水管道，末端接入已建的阜康市第二水厂，工程供水对象为阜康市城镇生活和工业，其中近期为“引水入城”，即将水引入阜康市，承担阜康市城区生活及置换地下水超采</w:t>
      </w:r>
      <w:r>
        <w:rPr>
          <w:rFonts w:hint="eastAsia"/>
          <w:color w:val="auto"/>
          <w:sz w:val="28"/>
          <w:szCs w:val="28"/>
          <w:highlight w:val="none"/>
          <w:lang w:eastAsia="zh-CN"/>
        </w:rPr>
        <w:t>，</w:t>
      </w:r>
      <w:r>
        <w:rPr>
          <w:rFonts w:hint="eastAsia"/>
          <w:color w:val="auto"/>
          <w:sz w:val="28"/>
          <w:szCs w:val="28"/>
          <w:highlight w:val="none"/>
          <w:lang w:val="en-US" w:eastAsia="zh-CN"/>
        </w:rPr>
        <w:t>工程投资6亿元。</w:t>
      </w:r>
      <w:r>
        <w:rPr>
          <w:rFonts w:hint="eastAsia" w:cs="宋体"/>
          <w:color w:val="auto"/>
          <w:sz w:val="28"/>
          <w:szCs w:val="28"/>
          <w:highlight w:val="none"/>
          <w:lang w:val="en-US" w:eastAsia="zh-CN"/>
        </w:rPr>
        <w:t>本章为</w:t>
      </w:r>
      <w:r>
        <w:rPr>
          <w:rFonts w:hint="eastAsia" w:cs="宋体"/>
          <w:color w:val="auto"/>
          <w:sz w:val="28"/>
          <w:szCs w:val="28"/>
          <w:highlight w:val="none"/>
          <w:shd w:val="clear" w:color="auto" w:fill="auto"/>
          <w:lang w:val="en-US" w:eastAsia="zh-CN"/>
        </w:rPr>
        <w:t>阜康市水源地输水管网建设工程-占地补偿款支出绩效考核，年度支出预算162.49万元。</w:t>
      </w:r>
    </w:p>
    <w:p>
      <w:pPr>
        <w:pStyle w:val="4"/>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rPr>
      </w:pPr>
      <w:bookmarkStart w:id="5" w:name="_Toc27343"/>
      <w:r>
        <w:rPr>
          <w:rFonts w:hint="eastAsia" w:ascii="宋体" w:hAnsi="宋体" w:eastAsia="宋体"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rPr>
        <w:t>主要内容及实施情况</w:t>
      </w:r>
      <w:bookmarkEnd w:id="5"/>
    </w:p>
    <w:p>
      <w:pPr>
        <w:bidi w:val="0"/>
        <w:rPr>
          <w:rFonts w:hint="eastAsia"/>
          <w:color w:val="auto"/>
          <w:sz w:val="28"/>
          <w:szCs w:val="28"/>
          <w:highlight w:val="none"/>
          <w:lang w:val="en-US" w:eastAsia="zh-CN"/>
        </w:rPr>
      </w:pPr>
      <w:bookmarkStart w:id="6" w:name="_Toc16592"/>
      <w:bookmarkStart w:id="7" w:name="_Toc1858"/>
      <w:r>
        <w:rPr>
          <w:rFonts w:hint="eastAsia"/>
          <w:b/>
          <w:bCs/>
          <w:color w:val="auto"/>
          <w:sz w:val="28"/>
          <w:szCs w:val="28"/>
          <w:highlight w:val="none"/>
          <w:lang w:val="en-US" w:eastAsia="zh-CN"/>
        </w:rPr>
        <w:t>主要内容：</w:t>
      </w:r>
      <w:r>
        <w:rPr>
          <w:rFonts w:hint="eastAsia"/>
          <w:color w:val="auto"/>
          <w:sz w:val="28"/>
          <w:szCs w:val="28"/>
          <w:highlight w:val="none"/>
          <w:lang w:val="en-US" w:eastAsia="zh-CN"/>
        </w:rPr>
        <w:t>项目总投资6亿元，项目规划从“500”水库调水，通过泵站加压，管道输水，将水引至阜康市配套水厂，年调水量达5000万方。主要建设内容为新建23km输水管道，扬水泵站、调节池及管道配套附属建筑物。</w:t>
      </w:r>
      <w:bookmarkEnd w:id="6"/>
      <w:r>
        <w:rPr>
          <w:rFonts w:hint="eastAsia" w:cs="宋体"/>
          <w:color w:val="auto"/>
          <w:sz w:val="28"/>
          <w:szCs w:val="28"/>
          <w:highlight w:val="none"/>
          <w:lang w:val="en-US" w:eastAsia="zh-CN"/>
        </w:rPr>
        <w:t>本章为</w:t>
      </w:r>
      <w:r>
        <w:rPr>
          <w:rFonts w:hint="eastAsia" w:cs="宋体"/>
          <w:color w:val="auto"/>
          <w:sz w:val="28"/>
          <w:szCs w:val="28"/>
          <w:highlight w:val="none"/>
          <w:shd w:val="clear" w:color="auto" w:fill="auto"/>
          <w:lang w:val="en-US" w:eastAsia="zh-CN"/>
        </w:rPr>
        <w:t>阜康市水源地输水管网建设工程-占地补偿款支出绩效考核，年度支出162.49万元。</w:t>
      </w:r>
    </w:p>
    <w:p>
      <w:pPr>
        <w:bidi w:val="0"/>
        <w:rPr>
          <w:rFonts w:hint="eastAsia"/>
          <w:color w:val="auto"/>
          <w:sz w:val="28"/>
          <w:szCs w:val="28"/>
          <w:highlight w:val="none"/>
          <w:lang w:val="en-US" w:eastAsia="zh-CN"/>
        </w:rPr>
      </w:pPr>
      <w:r>
        <w:rPr>
          <w:rFonts w:hint="eastAsia"/>
          <w:b/>
          <w:bCs/>
          <w:color w:val="auto"/>
          <w:sz w:val="28"/>
          <w:szCs w:val="28"/>
          <w:highlight w:val="none"/>
          <w:lang w:val="en-US" w:eastAsia="zh-CN"/>
        </w:rPr>
        <w:t>组织实施：</w:t>
      </w:r>
      <w:r>
        <w:rPr>
          <w:rFonts w:hint="eastAsia"/>
          <w:color w:val="auto"/>
          <w:sz w:val="28"/>
          <w:szCs w:val="28"/>
          <w:highlight w:val="none"/>
          <w:lang w:val="en-US" w:eastAsia="zh-CN"/>
        </w:rPr>
        <w:t>本项目自2021年11月26日经阜康市人民政府文件批复，确定了项目领导小组，明确了责任分工：组长为赵贤东，副组长为张仕和，项目负责人为,组员为各市政直属部门主要领导。</w:t>
      </w:r>
    </w:p>
    <w:p>
      <w:pPr>
        <w:bidi w:val="0"/>
        <w:rPr>
          <w:rFonts w:hint="default"/>
          <w:color w:val="auto"/>
          <w:sz w:val="28"/>
          <w:szCs w:val="28"/>
          <w:highlight w:val="none"/>
          <w:lang w:val="en-US" w:eastAsia="zh-CN"/>
        </w:rPr>
      </w:pPr>
      <w:r>
        <w:rPr>
          <w:rFonts w:hint="eastAsia"/>
          <w:color w:val="auto"/>
          <w:sz w:val="28"/>
          <w:szCs w:val="28"/>
          <w:highlight w:val="none"/>
          <w:lang w:val="en-US" w:eastAsia="zh-CN"/>
        </w:rPr>
        <w:t>截止2023年10月31日，23km输水管线工程、阀井、镇墩、过洪建筑物、顶管工程、泵站工程、托管桥工程已经全部完（已完工）。目前处于项目试运行期，正在开展验收工作。</w:t>
      </w:r>
    </w:p>
    <w:p>
      <w:pPr>
        <w:pStyle w:val="4"/>
        <w:pageBreakBefore w:val="0"/>
        <w:kinsoku/>
        <w:wordWrap/>
        <w:overflowPunct/>
        <w:topLinePunct w:val="0"/>
        <w:autoSpaceDE/>
        <w:autoSpaceDN/>
        <w:bidi w:val="0"/>
        <w:adjustRightInd/>
        <w:spacing w:line="360" w:lineRule="auto"/>
        <w:ind w:left="0" w:leftChars="0" w:firstLine="562"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3.资金投入和使用情况</w:t>
      </w:r>
      <w:bookmarkEnd w:id="7"/>
    </w:p>
    <w:p>
      <w:pPr>
        <w:keepNext w:val="0"/>
        <w:keepLines w:val="0"/>
        <w:pageBreakBefore w:val="0"/>
        <w:widowControl w:val="0"/>
        <w:kinsoku/>
        <w:wordWrap/>
        <w:overflowPunct/>
        <w:topLinePunct w:val="0"/>
        <w:autoSpaceDE/>
        <w:autoSpaceDN/>
        <w:bidi w:val="0"/>
        <w:adjustRightInd/>
        <w:snapToGrid/>
        <w:spacing w:line="360" w:lineRule="auto"/>
        <w:ind w:left="0" w:leftChars="0" w:firstLine="280" w:firstLineChars="100"/>
        <w:textAlignment w:val="auto"/>
        <w:rPr>
          <w:rFonts w:hint="eastAsia" w:ascii="宋体" w:hAnsi="宋体" w:eastAsia="宋体" w:cs="宋体"/>
          <w:color w:val="auto"/>
          <w:sz w:val="28"/>
          <w:szCs w:val="28"/>
          <w:highlight w:val="none"/>
          <w:shd w:val="clear" w:color="auto" w:fill="auto"/>
        </w:rPr>
      </w:pPr>
      <w:bookmarkStart w:id="8" w:name="_Toc2879"/>
      <w:r>
        <w:rPr>
          <w:rFonts w:hint="eastAsia" w:ascii="宋体" w:hAnsi="宋体" w:eastAsia="宋体" w:cs="宋体"/>
          <w:color w:val="auto"/>
          <w:sz w:val="28"/>
          <w:szCs w:val="28"/>
          <w:highlight w:val="none"/>
          <w:shd w:val="clear" w:color="auto" w:fill="auto"/>
          <w:lang w:val="en-US" w:eastAsia="zh-CN"/>
        </w:rPr>
        <w:t>（1）</w:t>
      </w:r>
      <w:r>
        <w:rPr>
          <w:rFonts w:hint="eastAsia" w:ascii="宋体" w:hAnsi="宋体" w:eastAsia="宋体" w:cs="宋体"/>
          <w:color w:val="auto"/>
          <w:sz w:val="28"/>
          <w:szCs w:val="28"/>
          <w:highlight w:val="none"/>
          <w:shd w:val="clear" w:color="auto" w:fill="auto"/>
        </w:rPr>
        <w:t>项目资金安排落实、总投入等情况分析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80" w:firstLineChars="100"/>
        <w:textAlignment w:val="auto"/>
        <w:rPr>
          <w:rFonts w:hint="eastAsia" w:ascii="宋体" w:hAnsi="宋体" w:eastAsia="宋体" w:cs="宋体"/>
          <w:color w:val="auto"/>
          <w:sz w:val="28"/>
          <w:szCs w:val="28"/>
          <w:highlight w:val="none"/>
          <w:shd w:val="clear" w:color="auto" w:fill="auto"/>
          <w:lang w:val="en-US" w:eastAsia="zh-CN"/>
        </w:rPr>
      </w:pPr>
      <w:r>
        <w:rPr>
          <w:rFonts w:hint="eastAsia" w:cs="宋体"/>
          <w:color w:val="auto"/>
          <w:sz w:val="28"/>
          <w:szCs w:val="28"/>
          <w:highlight w:val="none"/>
          <w:shd w:val="clear" w:color="auto" w:fill="auto"/>
          <w:lang w:val="en-US" w:eastAsia="zh-CN"/>
        </w:rPr>
        <w:t>阜康市水源地输水管网建设工程-占地补偿款</w:t>
      </w:r>
      <w:r>
        <w:rPr>
          <w:rFonts w:hint="eastAsia" w:ascii="宋体" w:hAnsi="宋体" w:eastAsia="宋体" w:cs="宋体"/>
          <w:color w:val="auto"/>
          <w:sz w:val="28"/>
          <w:szCs w:val="28"/>
          <w:highlight w:val="none"/>
          <w:shd w:val="clear" w:color="auto" w:fill="auto"/>
          <w:lang w:val="en-US" w:eastAsia="zh-CN"/>
        </w:rPr>
        <w:t>预算安排总额为</w:t>
      </w:r>
      <w:r>
        <w:rPr>
          <w:rFonts w:hint="eastAsia" w:cs="宋体"/>
          <w:color w:val="auto"/>
          <w:sz w:val="28"/>
          <w:szCs w:val="28"/>
          <w:highlight w:val="none"/>
          <w:shd w:val="clear" w:color="auto" w:fill="auto"/>
          <w:lang w:val="en-US" w:eastAsia="zh-CN"/>
        </w:rPr>
        <w:t>162.49</w:t>
      </w:r>
      <w:r>
        <w:rPr>
          <w:rFonts w:hint="eastAsia" w:ascii="宋体" w:hAnsi="宋体" w:eastAsia="宋体" w:cs="宋体"/>
          <w:color w:val="auto"/>
          <w:sz w:val="28"/>
          <w:szCs w:val="28"/>
          <w:highlight w:val="none"/>
          <w:shd w:val="clear" w:color="auto" w:fill="auto"/>
          <w:lang w:val="en-US" w:eastAsia="zh-CN"/>
        </w:rPr>
        <w:t>万元，其中财政资</w:t>
      </w:r>
      <w:r>
        <w:rPr>
          <w:rFonts w:hint="eastAsia" w:cs="宋体"/>
          <w:color w:val="auto"/>
          <w:sz w:val="28"/>
          <w:szCs w:val="28"/>
          <w:highlight w:val="none"/>
          <w:shd w:val="clear" w:color="auto" w:fill="auto"/>
          <w:lang w:val="en-US" w:eastAsia="zh-CN"/>
        </w:rPr>
        <w:t>金162.49</w:t>
      </w:r>
      <w:r>
        <w:rPr>
          <w:rFonts w:hint="eastAsia" w:ascii="宋体" w:hAnsi="宋体" w:eastAsia="宋体" w:cs="宋体"/>
          <w:color w:val="auto"/>
          <w:sz w:val="28"/>
          <w:szCs w:val="28"/>
          <w:highlight w:val="none"/>
          <w:shd w:val="clear" w:color="auto" w:fill="auto"/>
          <w:lang w:val="en-US" w:eastAsia="zh-CN"/>
        </w:rPr>
        <w:t>万元，其他资金</w:t>
      </w:r>
      <w:r>
        <w:rPr>
          <w:rFonts w:hint="eastAsia" w:cs="宋体"/>
          <w:color w:val="auto"/>
          <w:sz w:val="28"/>
          <w:szCs w:val="28"/>
          <w:highlight w:val="none"/>
          <w:shd w:val="clear" w:color="auto" w:fill="auto"/>
          <w:lang w:val="en-US" w:eastAsia="zh-CN"/>
        </w:rPr>
        <w:t>0</w:t>
      </w:r>
      <w:r>
        <w:rPr>
          <w:rFonts w:hint="eastAsia" w:ascii="宋体" w:hAnsi="宋体" w:eastAsia="宋体" w:cs="宋体"/>
          <w:color w:val="auto"/>
          <w:sz w:val="28"/>
          <w:szCs w:val="28"/>
          <w:highlight w:val="none"/>
          <w:shd w:val="clear" w:color="auto" w:fill="auto"/>
          <w:lang w:val="en-US" w:eastAsia="zh-CN"/>
        </w:rPr>
        <w:t>万元，</w:t>
      </w:r>
      <w:r>
        <w:rPr>
          <w:rFonts w:hint="eastAsia" w:cs="宋体"/>
          <w:color w:val="auto"/>
          <w:sz w:val="28"/>
          <w:szCs w:val="28"/>
          <w:highlight w:val="none"/>
          <w:shd w:val="clear" w:color="auto" w:fill="auto"/>
          <w:lang w:val="en-US" w:eastAsia="zh-CN"/>
        </w:rPr>
        <w:t>2023</w:t>
      </w:r>
      <w:r>
        <w:rPr>
          <w:rFonts w:hint="eastAsia" w:ascii="宋体" w:hAnsi="宋体" w:eastAsia="宋体" w:cs="宋体"/>
          <w:color w:val="auto"/>
          <w:sz w:val="28"/>
          <w:szCs w:val="28"/>
          <w:highlight w:val="none"/>
          <w:shd w:val="clear" w:color="auto" w:fill="auto"/>
          <w:lang w:val="en-US" w:eastAsia="zh-CN"/>
        </w:rPr>
        <w:t>年实际收到预算资金</w:t>
      </w:r>
      <w:r>
        <w:rPr>
          <w:rFonts w:hint="eastAsia" w:cs="宋体"/>
          <w:color w:val="auto"/>
          <w:sz w:val="28"/>
          <w:szCs w:val="28"/>
          <w:highlight w:val="none"/>
          <w:shd w:val="clear" w:color="auto" w:fill="auto"/>
          <w:lang w:val="en-US" w:eastAsia="zh-CN"/>
        </w:rPr>
        <w:t>162.49</w:t>
      </w:r>
      <w:r>
        <w:rPr>
          <w:rFonts w:hint="eastAsia" w:ascii="宋体" w:hAnsi="宋体" w:eastAsia="宋体" w:cs="宋体"/>
          <w:color w:val="auto"/>
          <w:sz w:val="28"/>
          <w:szCs w:val="28"/>
          <w:highlight w:val="none"/>
          <w:shd w:val="clear" w:color="auto" w:fill="auto"/>
          <w:lang w:val="en-US" w:eastAsia="zh-CN"/>
        </w:rPr>
        <w:t>万元，预算资金到位率为</w:t>
      </w:r>
      <w:r>
        <w:rPr>
          <w:rFonts w:hint="eastAsia" w:cs="宋体"/>
          <w:color w:val="auto"/>
          <w:sz w:val="28"/>
          <w:szCs w:val="28"/>
          <w:highlight w:val="none"/>
          <w:shd w:val="clear" w:color="auto" w:fill="auto"/>
          <w:lang w:val="en-US" w:eastAsia="zh-CN"/>
        </w:rPr>
        <w:t>100</w:t>
      </w:r>
      <w:r>
        <w:rPr>
          <w:rFonts w:hint="eastAsia" w:ascii="宋体" w:hAnsi="宋体" w:eastAsia="宋体" w:cs="宋体"/>
          <w:color w:val="auto"/>
          <w:sz w:val="28"/>
          <w:szCs w:val="28"/>
          <w:highlight w:val="none"/>
          <w:shd w:val="clear" w:color="auto" w:fill="auto"/>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272" w:firstLineChars="100"/>
        <w:textAlignment w:val="auto"/>
        <w:rPr>
          <w:rFonts w:hint="eastAsia" w:ascii="宋体" w:hAnsi="宋体" w:eastAsia="宋体" w:cs="宋体"/>
          <w:bCs/>
          <w:color w:val="auto"/>
          <w:spacing w:val="-4"/>
          <w:sz w:val="28"/>
          <w:szCs w:val="28"/>
          <w:highlight w:val="none"/>
          <w:shd w:val="clear" w:color="auto" w:fill="auto"/>
        </w:rPr>
      </w:pPr>
      <w:r>
        <w:rPr>
          <w:rFonts w:hint="eastAsia" w:ascii="宋体" w:hAnsi="宋体" w:eastAsia="宋体" w:cs="宋体"/>
          <w:bCs/>
          <w:color w:val="auto"/>
          <w:spacing w:val="-4"/>
          <w:sz w:val="28"/>
          <w:szCs w:val="28"/>
          <w:highlight w:val="none"/>
          <w:shd w:val="clear" w:color="auto" w:fill="auto"/>
        </w:rPr>
        <w:t>项目资金实际使用情况分析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textAlignment w:val="auto"/>
        <w:rPr>
          <w:rFonts w:hint="default" w:ascii="宋体" w:hAnsi="宋体" w:eastAsia="宋体" w:cs="宋体"/>
          <w:color w:val="auto"/>
          <w:sz w:val="28"/>
          <w:szCs w:val="28"/>
          <w:highlight w:val="none"/>
          <w:shd w:val="clear" w:color="auto" w:fill="auto"/>
          <w:lang w:val="en-US" w:eastAsia="zh-CN"/>
        </w:rPr>
      </w:pPr>
      <w:r>
        <w:rPr>
          <w:rFonts w:hint="eastAsia" w:cs="宋体"/>
          <w:color w:val="auto"/>
          <w:sz w:val="28"/>
          <w:szCs w:val="28"/>
          <w:highlight w:val="none"/>
          <w:shd w:val="clear" w:color="auto" w:fill="auto"/>
          <w:lang w:val="en-US" w:eastAsia="zh-CN"/>
        </w:rPr>
        <w:t>截至2023年12月31日，阜康市水源地输水管网建设工程-占地补偿款</w:t>
      </w:r>
      <w:r>
        <w:rPr>
          <w:rFonts w:hint="eastAsia" w:ascii="宋体" w:hAnsi="宋体" w:eastAsia="宋体" w:cs="宋体"/>
          <w:color w:val="auto"/>
          <w:sz w:val="28"/>
          <w:szCs w:val="28"/>
          <w:highlight w:val="none"/>
          <w:shd w:val="clear" w:color="auto" w:fill="auto"/>
        </w:rPr>
        <w:t>实际支付资金</w:t>
      </w:r>
      <w:r>
        <w:rPr>
          <w:rFonts w:hint="eastAsia" w:cs="宋体"/>
          <w:color w:val="auto"/>
          <w:sz w:val="28"/>
          <w:szCs w:val="28"/>
          <w:highlight w:val="none"/>
          <w:shd w:val="clear" w:color="auto" w:fill="auto"/>
          <w:lang w:val="en-US" w:eastAsia="zh-CN"/>
        </w:rPr>
        <w:t>162.49</w:t>
      </w:r>
      <w:r>
        <w:rPr>
          <w:rFonts w:hint="eastAsia" w:ascii="宋体" w:hAnsi="宋体" w:eastAsia="宋体" w:cs="宋体"/>
          <w:color w:val="auto"/>
          <w:sz w:val="28"/>
          <w:szCs w:val="28"/>
          <w:highlight w:val="none"/>
          <w:shd w:val="clear" w:color="auto" w:fill="auto"/>
        </w:rPr>
        <w:t>万元，预算执行率</w:t>
      </w:r>
      <w:r>
        <w:rPr>
          <w:rFonts w:hint="eastAsia" w:cs="宋体"/>
          <w:color w:val="auto"/>
          <w:sz w:val="28"/>
          <w:szCs w:val="28"/>
          <w:highlight w:val="none"/>
          <w:shd w:val="clear" w:color="auto" w:fill="auto"/>
          <w:lang w:val="en-US" w:eastAsia="zh-CN"/>
        </w:rPr>
        <w:t>100</w:t>
      </w:r>
      <w:r>
        <w:rPr>
          <w:rFonts w:hint="eastAsia" w:ascii="宋体" w:hAnsi="宋体" w:eastAsia="宋体" w:cs="宋体"/>
          <w:color w:val="auto"/>
          <w:sz w:val="28"/>
          <w:szCs w:val="28"/>
          <w:highlight w:val="none"/>
          <w:shd w:val="clear" w:color="auto" w:fill="auto"/>
        </w:rPr>
        <w:t>%</w:t>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rPr>
        <w:t>结</w:t>
      </w:r>
      <w:r>
        <w:rPr>
          <w:rFonts w:hint="eastAsia" w:cs="宋体"/>
          <w:color w:val="auto"/>
          <w:sz w:val="28"/>
          <w:szCs w:val="28"/>
          <w:highlight w:val="none"/>
          <w:shd w:val="clear" w:color="auto" w:fill="auto"/>
          <w:lang w:val="en-US" w:eastAsia="zh-CN"/>
        </w:rPr>
        <w:t>转</w:t>
      </w:r>
      <w:r>
        <w:rPr>
          <w:rFonts w:hint="eastAsia" w:ascii="宋体" w:hAnsi="宋体" w:eastAsia="宋体" w:cs="宋体"/>
          <w:color w:val="auto"/>
          <w:sz w:val="28"/>
          <w:szCs w:val="28"/>
          <w:highlight w:val="none"/>
          <w:shd w:val="clear" w:color="auto" w:fill="auto"/>
          <w:lang w:eastAsia="zh-CN"/>
        </w:rPr>
        <w:t>结余资金</w:t>
      </w:r>
      <w:r>
        <w:rPr>
          <w:rFonts w:hint="eastAsia" w:cs="宋体"/>
          <w:color w:val="auto"/>
          <w:sz w:val="28"/>
          <w:szCs w:val="28"/>
          <w:highlight w:val="none"/>
          <w:shd w:val="clear" w:color="auto" w:fill="auto"/>
          <w:lang w:val="en-US" w:eastAsia="zh-CN"/>
        </w:rPr>
        <w:t>0</w:t>
      </w:r>
      <w:r>
        <w:rPr>
          <w:rFonts w:hint="eastAsia" w:ascii="宋体" w:hAnsi="宋体" w:eastAsia="宋体" w:cs="宋体"/>
          <w:color w:val="auto"/>
          <w:sz w:val="28"/>
          <w:szCs w:val="28"/>
          <w:highlight w:val="none"/>
          <w:shd w:val="clear" w:color="auto" w:fill="auto"/>
          <w:lang w:val="en-US" w:eastAsia="zh-CN"/>
        </w:rPr>
        <w:t>万元。</w:t>
      </w:r>
      <w:r>
        <w:rPr>
          <w:rFonts w:hint="eastAsia" w:ascii="宋体" w:hAnsi="宋体" w:eastAsia="宋体" w:cs="宋体"/>
          <w:color w:val="auto"/>
          <w:sz w:val="28"/>
          <w:szCs w:val="28"/>
          <w:highlight w:val="none"/>
          <w:shd w:val="clear" w:color="auto" w:fill="auto"/>
        </w:rPr>
        <w:t>项目资金主要用于</w:t>
      </w:r>
      <w:r>
        <w:rPr>
          <w:rFonts w:hint="eastAsia" w:ascii="宋体" w:hAnsi="宋体" w:eastAsia="宋体" w:cs="宋体"/>
          <w:color w:val="auto"/>
          <w:sz w:val="28"/>
          <w:szCs w:val="28"/>
          <w:highlight w:val="none"/>
          <w:shd w:val="clear" w:color="auto" w:fill="auto"/>
          <w:lang w:val="en-US" w:eastAsia="zh-CN"/>
        </w:rPr>
        <w:t>工程临时占用地、永久用地补偿费用</w:t>
      </w:r>
      <w:r>
        <w:rPr>
          <w:rFonts w:hint="eastAsia" w:cs="宋体"/>
          <w:color w:val="auto"/>
          <w:sz w:val="28"/>
          <w:szCs w:val="28"/>
          <w:highlight w:val="none"/>
          <w:shd w:val="clear" w:color="auto" w:fill="auto"/>
          <w:lang w:val="en-US" w:eastAsia="zh-CN"/>
        </w:rPr>
        <w:t>。</w:t>
      </w:r>
    </w:p>
    <w:p>
      <w:pPr>
        <w:pStyle w:val="2"/>
        <w:pageBreakBefore w:val="0"/>
        <w:numPr>
          <w:ilvl w:val="0"/>
          <w:numId w:val="2"/>
        </w:numPr>
        <w:kinsoku/>
        <w:wordWrap/>
        <w:overflowPunct/>
        <w:topLinePunct w:val="0"/>
        <w:autoSpaceDE/>
        <w:autoSpaceDN/>
        <w:bidi w:val="0"/>
        <w:adjustRightInd/>
        <w:spacing w:beforeLines="0" w:afterLines="0" w:line="360" w:lineRule="auto"/>
        <w:ind w:left="-404" w:leftChars="0" w:firstLineChars="0"/>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项目绩效目标</w:t>
      </w:r>
      <w:bookmarkEnd w:id="8"/>
    </w:p>
    <w:p>
      <w:pPr>
        <w:pStyle w:val="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shd w:val="clear" w:color="auto" w:fill="auto"/>
          <w:lang w:val="en-US" w:eastAsia="zh-CN"/>
        </w:rPr>
      </w:pPr>
      <w:bookmarkStart w:id="9" w:name="_Toc10047"/>
      <w:bookmarkStart w:id="10" w:name="_Toc4487"/>
      <w:r>
        <w:rPr>
          <w:rFonts w:hint="eastAsia" w:ascii="宋体" w:hAnsi="宋体" w:eastAsia="宋体" w:cs="宋体"/>
          <w:color w:val="auto"/>
          <w:sz w:val="28"/>
          <w:szCs w:val="28"/>
          <w:highlight w:val="none"/>
          <w:shd w:val="clear" w:color="auto" w:fill="auto"/>
          <w:lang w:val="en-US" w:eastAsia="zh-CN"/>
        </w:rPr>
        <w:t>1.总体目标</w:t>
      </w:r>
      <w:bookmarkEnd w:id="9"/>
    </w:p>
    <w:p>
      <w:pPr>
        <w:pStyle w:val="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kern w:val="2"/>
          <w:sz w:val="28"/>
          <w:szCs w:val="28"/>
          <w:highlight w:val="none"/>
          <w:shd w:val="clear" w:color="auto" w:fill="auto"/>
          <w:lang w:val="en-US" w:eastAsia="zh-CN" w:bidi="ar-SA"/>
        </w:rPr>
      </w:pPr>
      <w:r>
        <w:rPr>
          <w:rFonts w:hint="eastAsia" w:ascii="宋体" w:hAnsi="宋体" w:eastAsia="宋体" w:cs="宋体"/>
          <w:b w:val="0"/>
          <w:bCs/>
          <w:color w:val="auto"/>
          <w:kern w:val="2"/>
          <w:sz w:val="28"/>
          <w:szCs w:val="28"/>
          <w:highlight w:val="none"/>
          <w:shd w:val="clear" w:color="auto" w:fill="auto"/>
          <w:lang w:val="en-US" w:eastAsia="zh-CN" w:bidi="ar-SA"/>
        </w:rPr>
        <w:t>水利局主要职能为管理地域水资源、负责防汛抗旱工作、组织协调农田水利基本建设等，实际新建23km输水管道、1座泵站、10.93km配电工程及管道配套建筑物等，根据工程实际，对占用土地开展补偿手续，资金用于本次项目参建单位服务费；项目建成后可有效改善城区周边绿化面积，有效的改善生态环境。</w:t>
      </w:r>
    </w:p>
    <w:p>
      <w:pPr>
        <w:pStyle w:val="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2.阶段性目标</w:t>
      </w:r>
      <w:bookmarkEnd w:id="10"/>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highlight w:val="none"/>
          <w:shd w:val="clear" w:color="auto" w:fill="auto"/>
          <w:lang w:eastAsia="zh-CN"/>
        </w:rPr>
      </w:pPr>
      <w:r>
        <w:rPr>
          <w:rFonts w:hint="eastAsia" w:ascii="宋体" w:hAnsi="宋体" w:eastAsia="宋体" w:cs="宋体"/>
          <w:bCs/>
          <w:color w:val="auto"/>
          <w:highlight w:val="none"/>
          <w:shd w:val="clear" w:color="auto" w:fill="auto"/>
          <w:lang w:eastAsia="zh-CN"/>
        </w:rPr>
        <w:t>根据《预算法</w:t>
      </w:r>
      <w:r>
        <w:rPr>
          <w:rFonts w:hint="eastAsia" w:cs="宋体"/>
          <w:bCs/>
          <w:color w:val="auto"/>
          <w:highlight w:val="none"/>
          <w:shd w:val="clear" w:color="auto" w:fill="auto"/>
          <w:lang w:eastAsia="zh-CN"/>
        </w:rPr>
        <w:t>》《</w:t>
      </w:r>
      <w:r>
        <w:rPr>
          <w:rFonts w:hint="eastAsia" w:ascii="宋体" w:hAnsi="宋体" w:eastAsia="宋体" w:cs="宋体"/>
          <w:bCs/>
          <w:color w:val="auto"/>
          <w:highlight w:val="none"/>
          <w:shd w:val="clear" w:color="auto" w:fill="auto"/>
          <w:lang w:eastAsia="zh-CN"/>
        </w:rPr>
        <w:t>财政支出绩效评价管理暂行办法》（财预〔20</w:t>
      </w:r>
      <w:r>
        <w:rPr>
          <w:rFonts w:hint="eastAsia" w:ascii="宋体" w:hAnsi="宋体" w:eastAsia="宋体" w:cs="宋体"/>
          <w:bCs/>
          <w:color w:val="auto"/>
          <w:highlight w:val="none"/>
          <w:shd w:val="clear" w:color="auto" w:fill="auto"/>
          <w:lang w:val="en-US" w:eastAsia="zh-CN"/>
        </w:rPr>
        <w:t>20</w:t>
      </w:r>
      <w:r>
        <w:rPr>
          <w:rFonts w:hint="eastAsia" w:ascii="宋体" w:hAnsi="宋体" w:eastAsia="宋体" w:cs="宋体"/>
          <w:bCs/>
          <w:color w:val="auto"/>
          <w:highlight w:val="none"/>
          <w:shd w:val="clear" w:color="auto" w:fill="auto"/>
          <w:lang w:eastAsia="zh-CN"/>
        </w:rPr>
        <w:t>〕</w:t>
      </w:r>
      <w:r>
        <w:rPr>
          <w:rFonts w:hint="eastAsia" w:ascii="宋体" w:hAnsi="宋体" w:eastAsia="宋体" w:cs="宋体"/>
          <w:bCs/>
          <w:color w:val="auto"/>
          <w:highlight w:val="none"/>
          <w:shd w:val="clear" w:color="auto" w:fill="auto"/>
          <w:lang w:val="en-US" w:eastAsia="zh-CN"/>
        </w:rPr>
        <w:t>10</w:t>
      </w:r>
      <w:r>
        <w:rPr>
          <w:rFonts w:hint="eastAsia" w:ascii="宋体" w:hAnsi="宋体" w:eastAsia="宋体" w:cs="宋体"/>
          <w:bCs/>
          <w:color w:val="auto"/>
          <w:highlight w:val="none"/>
          <w:shd w:val="clear" w:color="auto" w:fill="auto"/>
          <w:lang w:eastAsia="zh-CN"/>
        </w:rPr>
        <w:t>号）、《自治区党委自治区人民政府关于全面实施预算绩效管理的实施意见》（新党发〔2018〕30号）、</w:t>
      </w:r>
      <w:r>
        <w:rPr>
          <w:rFonts w:hint="eastAsia" w:ascii="宋体" w:hAnsi="宋体" w:eastAsia="宋体" w:cs="宋体"/>
          <w:color w:val="auto"/>
          <w:highlight w:val="none"/>
          <w:shd w:val="clear" w:color="auto" w:fill="auto"/>
        </w:rPr>
        <w:t>《自治区财政支出绩效评价管理暂行办法》</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新财预〔2018〕189号</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等文件</w:t>
      </w:r>
      <w:r>
        <w:rPr>
          <w:rFonts w:hint="eastAsia" w:ascii="宋体" w:hAnsi="宋体" w:eastAsia="宋体" w:cs="宋体"/>
          <w:bCs/>
          <w:color w:val="auto"/>
          <w:highlight w:val="none"/>
          <w:shd w:val="clear" w:color="auto" w:fill="auto"/>
          <w:lang w:eastAsia="zh-CN"/>
        </w:rPr>
        <w:t>的规定，结合项目实施单位的规章制度以及财务相关资料，评价小组对项目绩效目标进行了进一步的完善，完善</w:t>
      </w:r>
      <w:r>
        <w:rPr>
          <w:rFonts w:hint="eastAsia" w:ascii="宋体" w:hAnsi="宋体" w:eastAsia="宋体" w:cs="宋体"/>
          <w:bCs/>
          <w:color w:val="auto"/>
          <w:highlight w:val="none"/>
          <w:shd w:val="clear" w:color="auto" w:fill="auto"/>
          <w:lang w:val="en-US" w:eastAsia="zh-CN"/>
        </w:rPr>
        <w:t>后</w:t>
      </w:r>
      <w:r>
        <w:rPr>
          <w:rFonts w:hint="eastAsia" w:ascii="宋体" w:hAnsi="宋体" w:eastAsia="宋体" w:cs="宋体"/>
          <w:bCs/>
          <w:color w:val="auto"/>
          <w:highlight w:val="none"/>
          <w:shd w:val="clear" w:color="auto" w:fill="auto"/>
          <w:lang w:eastAsia="zh-CN"/>
        </w:rPr>
        <w:t>绩效目标如下：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项目产出</w:t>
      </w:r>
      <w:r>
        <w:rPr>
          <w:rFonts w:hint="eastAsia" w:ascii="宋体" w:hAnsi="宋体" w:eastAsia="宋体" w:cs="宋体"/>
          <w:color w:val="auto"/>
          <w:highlight w:val="none"/>
          <w:shd w:val="clear" w:color="auto" w:fill="auto"/>
          <w:lang w:val="en-US" w:eastAsia="zh-CN"/>
        </w:rPr>
        <w:t>目标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①数量指标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建设管道长度</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为≥23km；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建设泵站数量</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为1座；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建设10kV配电工程</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为=10.93km；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②质量指标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监理服务合格率</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为=100%；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质量检测合格率</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为=100%；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工程进度款审核及风险提示率（审计）</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为=100%；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③</w:t>
      </w:r>
      <w:r>
        <w:rPr>
          <w:rFonts w:hint="eastAsia" w:cs="宋体"/>
          <w:color w:val="auto"/>
          <w:highlight w:val="none"/>
          <w:shd w:val="clear" w:color="auto" w:fill="auto"/>
          <w:lang w:val="en-US" w:eastAsia="zh-CN"/>
        </w:rPr>
        <w:t>时效指标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项目于2023年7月31前试通水</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为=100%；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lang w:val="en-US" w:eastAsia="zh-CN"/>
        </w:rPr>
        <w:t>成本指标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支付10kV配电工程占地补偿费</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为=0.64万元；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支付占用城市绿化林地补偿费</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为=161.85万元；</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rPr>
        <w:t>（</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rPr>
        <w:t>）项目效益</w:t>
      </w:r>
      <w:r>
        <w:rPr>
          <w:rFonts w:hint="eastAsia" w:ascii="宋体" w:hAnsi="宋体" w:eastAsia="宋体" w:cs="宋体"/>
          <w:color w:val="auto"/>
          <w:highlight w:val="none"/>
          <w:shd w:val="clear" w:color="auto" w:fill="auto"/>
          <w:lang w:val="en-US" w:eastAsia="zh-CN"/>
        </w:rPr>
        <w:t>目标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①经济效益指标</w:t>
      </w:r>
    </w:p>
    <w:p>
      <w:pPr>
        <w:pageBreakBefore w:val="0"/>
        <w:widowControl w:val="0"/>
        <w:kinsoku/>
        <w:wordWrap/>
        <w:overflowPunct/>
        <w:topLinePunct w:val="0"/>
        <w:autoSpaceDE/>
        <w:autoSpaceDN/>
        <w:bidi w:val="0"/>
        <w:adjustRightInd/>
        <w:snapToGrid/>
        <w:spacing w:line="360" w:lineRule="auto"/>
        <w:textAlignment w:val="auto"/>
        <w:rPr>
          <w:rFonts w:hint="eastAsia" w:cs="宋体"/>
          <w:color w:val="auto"/>
          <w:highlight w:val="none"/>
          <w:shd w:val="clear" w:color="auto" w:fill="auto"/>
          <w:lang w:val="en-US" w:eastAsia="zh-CN"/>
        </w:rPr>
      </w:pPr>
      <w:r>
        <w:rPr>
          <w:rFonts w:hint="eastAsia" w:cs="宋体"/>
          <w:color w:val="auto"/>
          <w:highlight w:val="none"/>
          <w:shd w:val="clear" w:color="auto" w:fill="auto"/>
          <w:lang w:val="en-US" w:eastAsia="zh-CN"/>
        </w:rPr>
        <w:t>本项目无此项指标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②社会效益指标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缓解阜康市地下水超采问题</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指标，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为</w:t>
      </w:r>
      <w:r>
        <w:rPr>
          <w:rFonts w:hint="eastAsia" w:cs="宋体"/>
          <w:color w:val="auto"/>
          <w:highlight w:val="none"/>
          <w:shd w:val="clear" w:color="auto" w:fill="auto"/>
          <w:lang w:val="en-US" w:eastAsia="zh-CN"/>
        </w:rPr>
        <w:t>缓解</w:t>
      </w:r>
      <w:r>
        <w:rPr>
          <w:rFonts w:hint="eastAsia" w:ascii="宋体" w:hAnsi="宋体" w:eastAsia="宋体" w:cs="宋体"/>
          <w:color w:val="auto"/>
          <w:highlight w:val="none"/>
          <w:shd w:val="clear" w:color="auto" w:fill="auto"/>
          <w:lang w:val="en-US" w:eastAsia="zh-CN"/>
        </w:rPr>
        <w:t>；</w:t>
      </w:r>
    </w:p>
    <w:p>
      <w:pPr>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③</w:t>
      </w:r>
      <w:r>
        <w:rPr>
          <w:rFonts w:hint="eastAsia" w:cs="宋体"/>
          <w:color w:val="auto"/>
          <w:highlight w:val="none"/>
          <w:shd w:val="clear" w:color="auto" w:fill="auto"/>
          <w:lang w:val="en-US" w:eastAsia="zh-CN"/>
        </w:rPr>
        <w:t>生态效益指标</w:t>
      </w:r>
    </w:p>
    <w:p>
      <w:pPr>
        <w:pageBreakBefore w:val="0"/>
        <w:widowControl w:val="0"/>
        <w:kinsoku/>
        <w:wordWrap/>
        <w:overflowPunct/>
        <w:topLinePunct w:val="0"/>
        <w:autoSpaceDE/>
        <w:autoSpaceDN/>
        <w:bidi w:val="0"/>
        <w:adjustRightInd/>
        <w:snapToGrid/>
        <w:spacing w:line="360" w:lineRule="auto"/>
        <w:textAlignment w:val="auto"/>
        <w:rPr>
          <w:rFonts w:hint="eastAsia" w:cs="宋体"/>
          <w:color w:val="auto"/>
          <w:highlight w:val="none"/>
          <w:shd w:val="clear" w:color="auto" w:fill="auto"/>
          <w:lang w:val="en-US" w:eastAsia="zh-CN"/>
        </w:rPr>
      </w:pPr>
      <w:r>
        <w:rPr>
          <w:rFonts w:hint="eastAsia" w:cs="宋体"/>
          <w:color w:val="auto"/>
          <w:highlight w:val="none"/>
          <w:shd w:val="clear" w:color="auto" w:fill="auto"/>
          <w:lang w:val="en-US" w:eastAsia="zh-CN"/>
        </w:rPr>
        <w:t>本项目无此项指标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④可持续影响</w:t>
      </w:r>
    </w:p>
    <w:p>
      <w:pPr>
        <w:pageBreakBefore w:val="0"/>
        <w:widowControl w:val="0"/>
        <w:kinsoku/>
        <w:wordWrap/>
        <w:overflowPunct/>
        <w:topLinePunct w:val="0"/>
        <w:autoSpaceDE/>
        <w:autoSpaceDN/>
        <w:bidi w:val="0"/>
        <w:adjustRightInd/>
        <w:snapToGrid/>
        <w:spacing w:line="360" w:lineRule="auto"/>
        <w:textAlignment w:val="auto"/>
        <w:rPr>
          <w:rFonts w:hint="eastAsia" w:cs="宋体"/>
          <w:color w:val="auto"/>
          <w:highlight w:val="none"/>
          <w:shd w:val="clear" w:color="auto" w:fill="auto"/>
          <w:lang w:val="en-US" w:eastAsia="zh-CN"/>
        </w:rPr>
      </w:pPr>
      <w:r>
        <w:rPr>
          <w:rFonts w:hint="eastAsia" w:cs="宋体"/>
          <w:color w:val="auto"/>
          <w:highlight w:val="none"/>
          <w:shd w:val="clear" w:color="auto" w:fill="auto"/>
          <w:lang w:val="en-US" w:eastAsia="zh-CN"/>
        </w:rPr>
        <w:t>本项目无此项指标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cs="宋体"/>
          <w:color w:val="auto"/>
          <w:highlight w:val="none"/>
          <w:shd w:val="clear" w:color="auto" w:fill="auto"/>
          <w:lang w:val="en-US" w:eastAsia="zh-CN"/>
        </w:rPr>
        <w:t>⑤</w:t>
      </w:r>
      <w:r>
        <w:rPr>
          <w:rFonts w:hint="eastAsia" w:ascii="宋体" w:hAnsi="宋体" w:eastAsia="宋体" w:cs="宋体"/>
          <w:color w:val="auto"/>
          <w:highlight w:val="none"/>
          <w:shd w:val="clear" w:color="auto" w:fill="auto"/>
          <w:lang w:val="en-US" w:eastAsia="zh-CN"/>
        </w:rPr>
        <w:t>满意度指标</w:t>
      </w:r>
    </w:p>
    <w:p>
      <w:pPr>
        <w:pageBreakBefore w:val="0"/>
        <w:widowControl w:val="0"/>
        <w:kinsoku/>
        <w:wordWrap/>
        <w:overflowPunct/>
        <w:topLinePunct w:val="0"/>
        <w:autoSpaceDE/>
        <w:autoSpaceDN/>
        <w:bidi w:val="0"/>
        <w:adjustRightInd/>
        <w:snapToGrid/>
        <w:spacing w:line="360" w:lineRule="auto"/>
        <w:textAlignment w:val="auto"/>
        <w:rPr>
          <w:rFonts w:hint="eastAsia" w:cs="宋体"/>
          <w:color w:val="auto"/>
          <w:highlight w:val="none"/>
          <w:shd w:val="clear" w:color="auto" w:fill="auto"/>
          <w:lang w:val="en-US" w:eastAsia="zh-CN"/>
        </w:rPr>
      </w:pPr>
      <w:bookmarkStart w:id="11" w:name="_Toc2549"/>
      <w:r>
        <w:rPr>
          <w:rFonts w:hint="eastAsia" w:cs="宋体"/>
          <w:color w:val="auto"/>
          <w:highlight w:val="none"/>
          <w:shd w:val="clear" w:color="auto" w:fill="auto"/>
          <w:lang w:val="en-US" w:eastAsia="zh-CN"/>
        </w:rPr>
        <w:t>本项目无此项指标</w:t>
      </w:r>
    </w:p>
    <w:p>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sz w:val="28"/>
          <w:szCs w:val="28"/>
          <w:highlight w:val="none"/>
          <w:shd w:val="clear" w:color="auto" w:fill="auto"/>
          <w:lang w:val="en-US" w:eastAsia="zh-CN"/>
        </w:rPr>
      </w:pPr>
      <w:r>
        <w:rPr>
          <w:rFonts w:hint="eastAsia" w:ascii="宋体" w:hAnsi="宋体" w:eastAsia="宋体" w:cs="宋体"/>
          <w:b/>
          <w:bCs/>
          <w:color w:val="auto"/>
          <w:sz w:val="28"/>
          <w:szCs w:val="28"/>
          <w:highlight w:val="none"/>
          <w:shd w:val="clear" w:color="auto" w:fill="auto"/>
        </w:rPr>
        <w:t>二、绩效评价工作开展情况</w:t>
      </w:r>
      <w:bookmarkEnd w:id="11"/>
    </w:p>
    <w:p>
      <w:pPr>
        <w:pStyle w:val="2"/>
        <w:pageBreakBefore w:val="0"/>
        <w:numPr>
          <w:ilvl w:val="0"/>
          <w:numId w:val="3"/>
        </w:numPr>
        <w:kinsoku/>
        <w:wordWrap/>
        <w:overflowPunct/>
        <w:topLinePunct w:val="0"/>
        <w:autoSpaceDE/>
        <w:autoSpaceDN/>
        <w:bidi w:val="0"/>
        <w:adjustRightInd/>
        <w:spacing w:beforeLines="0" w:beforeAutospacing="0" w:afterLines="0" w:afterAutospacing="0" w:line="360" w:lineRule="auto"/>
        <w:ind w:left="0" w:leftChars="0" w:firstLine="562" w:firstLineChars="200"/>
        <w:jc w:val="both"/>
        <w:textAlignment w:val="auto"/>
        <w:rPr>
          <w:rFonts w:hint="eastAsia" w:ascii="宋体" w:hAnsi="宋体" w:eastAsia="宋体" w:cs="宋体"/>
          <w:color w:val="auto"/>
          <w:sz w:val="28"/>
          <w:szCs w:val="28"/>
          <w:highlight w:val="none"/>
          <w:shd w:val="clear" w:color="auto" w:fill="auto"/>
          <w:lang w:eastAsia="zh-CN"/>
        </w:rPr>
      </w:pPr>
      <w:bookmarkStart w:id="12" w:name="_Toc12868"/>
      <w:bookmarkStart w:id="13" w:name="_Toc22922"/>
      <w:bookmarkStart w:id="14" w:name="_Toc26632"/>
      <w:bookmarkStart w:id="15" w:name="_Toc22169_WPSOffice_Level2"/>
      <w:bookmarkStart w:id="16" w:name="_Toc21664"/>
      <w:bookmarkStart w:id="17" w:name="_Toc5462343"/>
      <w:bookmarkStart w:id="18" w:name="_Toc480473081"/>
      <w:bookmarkStart w:id="19" w:name="_Toc5258"/>
      <w:bookmarkStart w:id="20" w:name="_Toc21778"/>
      <w:r>
        <w:rPr>
          <w:rFonts w:hint="eastAsia" w:ascii="宋体" w:hAnsi="宋体" w:eastAsia="宋体" w:cs="宋体"/>
          <w:color w:val="auto"/>
          <w:sz w:val="28"/>
          <w:szCs w:val="28"/>
          <w:highlight w:val="none"/>
          <w:shd w:val="clear" w:color="auto" w:fill="auto"/>
          <w:lang w:eastAsia="zh-CN"/>
        </w:rPr>
        <w:t>绩效评价的目的</w:t>
      </w:r>
      <w:bookmarkEnd w:id="12"/>
      <w:bookmarkEnd w:id="13"/>
      <w:bookmarkEnd w:id="14"/>
      <w:bookmarkEnd w:id="15"/>
      <w:bookmarkEnd w:id="16"/>
      <w:bookmarkEnd w:id="17"/>
      <w:bookmarkEnd w:id="18"/>
      <w:bookmarkEnd w:id="19"/>
      <w:r>
        <w:rPr>
          <w:rFonts w:hint="eastAsia" w:ascii="宋体" w:hAnsi="宋体" w:eastAsia="宋体" w:cs="宋体"/>
          <w:color w:val="auto"/>
          <w:sz w:val="28"/>
          <w:szCs w:val="28"/>
          <w:highlight w:val="none"/>
          <w:shd w:val="clear" w:color="auto" w:fill="auto"/>
          <w:lang w:eastAsia="zh-CN"/>
        </w:rPr>
        <w:t>、对象和范围</w:t>
      </w:r>
      <w:bookmarkEnd w:id="20"/>
    </w:p>
    <w:p>
      <w:pPr>
        <w:pStyle w:val="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shd w:val="clear" w:color="auto" w:fill="auto"/>
          <w:lang w:val="en-US" w:eastAsia="zh-CN"/>
        </w:rPr>
      </w:pPr>
      <w:bookmarkStart w:id="21" w:name="_Toc15732"/>
      <w:r>
        <w:rPr>
          <w:rFonts w:hint="eastAsia" w:ascii="宋体" w:hAnsi="宋体" w:eastAsia="宋体" w:cs="宋体"/>
          <w:color w:val="auto"/>
          <w:sz w:val="28"/>
          <w:szCs w:val="28"/>
          <w:highlight w:val="none"/>
          <w:shd w:val="clear" w:color="auto" w:fill="auto"/>
          <w:lang w:val="en-US" w:eastAsia="zh-CN"/>
        </w:rPr>
        <w:t>1.</w:t>
      </w:r>
      <w:r>
        <w:rPr>
          <w:rFonts w:hint="eastAsia" w:ascii="宋体" w:hAnsi="宋体" w:eastAsia="宋体" w:cs="宋体"/>
          <w:color w:val="auto"/>
          <w:sz w:val="28"/>
          <w:szCs w:val="28"/>
          <w:highlight w:val="none"/>
          <w:shd w:val="clear" w:color="auto" w:fill="auto"/>
          <w:lang w:eastAsia="zh-CN"/>
        </w:rPr>
        <w:t>绩效评价的目的</w:t>
      </w:r>
      <w:bookmarkEnd w:id="21"/>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为全面了解</w:t>
      </w:r>
      <w:r>
        <w:rPr>
          <w:rFonts w:hint="eastAsia" w:ascii="宋体" w:hAnsi="宋体" w:eastAsia="宋体" w:cs="宋体"/>
          <w:color w:val="auto"/>
          <w:highlight w:val="none"/>
          <w:shd w:val="clear" w:color="auto" w:fill="auto"/>
          <w:lang w:val="en-US" w:eastAsia="zh-CN"/>
        </w:rPr>
        <w:t>该</w:t>
      </w:r>
      <w:r>
        <w:rPr>
          <w:rFonts w:hint="eastAsia" w:ascii="宋体" w:hAnsi="宋体" w:eastAsia="宋体" w:cs="宋体"/>
          <w:color w:val="auto"/>
          <w:highlight w:val="none"/>
          <w:shd w:val="clear" w:color="auto" w:fill="auto"/>
          <w:lang w:eastAsia="zh-CN"/>
        </w:rPr>
        <w:t>项目预算编制合理性、资金使用合规性、项目管理的规范性、</w:t>
      </w:r>
      <w:r>
        <w:rPr>
          <w:rFonts w:hint="eastAsia" w:ascii="宋体" w:hAnsi="宋体" w:eastAsia="宋体" w:cs="宋体"/>
          <w:color w:val="auto"/>
          <w:highlight w:val="none"/>
          <w:shd w:val="clear" w:color="auto" w:fill="auto"/>
          <w:lang w:val="en-US" w:eastAsia="zh-CN"/>
        </w:rPr>
        <w:t>绩效</w:t>
      </w:r>
      <w:r>
        <w:rPr>
          <w:rFonts w:hint="eastAsia" w:ascii="宋体" w:hAnsi="宋体" w:eastAsia="宋体" w:cs="宋体"/>
          <w:color w:val="auto"/>
          <w:highlight w:val="none"/>
          <w:shd w:val="clear" w:color="auto" w:fill="auto"/>
          <w:lang w:eastAsia="zh-CN"/>
        </w:rPr>
        <w:t>目标的实现情况、服务对象的满意度等，通过本次</w:t>
      </w:r>
      <w:r>
        <w:rPr>
          <w:rFonts w:hint="eastAsia" w:ascii="宋体" w:hAnsi="宋体" w:eastAsia="宋体" w:cs="宋体"/>
          <w:color w:val="auto"/>
          <w:highlight w:val="none"/>
          <w:shd w:val="clear" w:color="auto" w:fill="auto"/>
          <w:lang w:val="en-US" w:eastAsia="zh-CN"/>
        </w:rPr>
        <w:t>部门</w:t>
      </w:r>
      <w:r>
        <w:rPr>
          <w:rFonts w:hint="eastAsia" w:ascii="宋体" w:hAnsi="宋体" w:eastAsia="宋体" w:cs="宋体"/>
          <w:color w:val="auto"/>
          <w:highlight w:val="none"/>
          <w:shd w:val="clear" w:color="auto" w:fill="auto"/>
          <w:lang w:eastAsia="zh-CN"/>
        </w:rPr>
        <w:t>绩效评价来总结经验和教训，促进项目成果转化和应用，为今后类似项目的长效管理，提供可行性参考建议。</w:t>
      </w:r>
    </w:p>
    <w:p>
      <w:pPr>
        <w:pStyle w:val="4"/>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val="en-US" w:eastAsia="zh-CN"/>
        </w:rPr>
      </w:pPr>
      <w:bookmarkStart w:id="22" w:name="_Toc30609"/>
      <w:r>
        <w:rPr>
          <w:rFonts w:hint="eastAsia" w:ascii="宋体" w:hAnsi="宋体" w:eastAsia="宋体" w:cs="宋体"/>
          <w:color w:val="auto"/>
          <w:highlight w:val="none"/>
          <w:shd w:val="clear" w:color="auto" w:fill="auto"/>
          <w:lang w:val="en-US" w:eastAsia="zh-CN"/>
        </w:rPr>
        <w:t>2.绩效评价的对象和范围</w:t>
      </w:r>
      <w:bookmarkEnd w:id="22"/>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此次我单位根据</w:t>
      </w:r>
      <w:r>
        <w:rPr>
          <w:rFonts w:hint="eastAsia" w:ascii="宋体" w:hAnsi="宋体" w:eastAsia="宋体" w:cs="宋体"/>
          <w:color w:val="auto"/>
          <w:highlight w:val="none"/>
          <w:shd w:val="clear" w:color="auto" w:fill="auto"/>
        </w:rPr>
        <w:t>《财政支出绩效评价管理暂行办法》（</w:t>
      </w:r>
      <w:r>
        <w:rPr>
          <w:rFonts w:hint="eastAsia" w:ascii="宋体" w:hAnsi="宋体" w:eastAsia="宋体" w:cs="宋体"/>
          <w:color w:val="auto"/>
          <w:highlight w:val="none"/>
          <w:shd w:val="clear" w:color="auto" w:fill="auto"/>
          <w:lang w:eastAsia="zh-CN"/>
        </w:rPr>
        <w:t>财预〔2020〕10号</w:t>
      </w: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val="en-US" w:eastAsia="zh-CN"/>
        </w:rPr>
        <w:t>文件要求对</w:t>
      </w:r>
      <w:r>
        <w:rPr>
          <w:rFonts w:hint="eastAsia" w:cs="宋体"/>
          <w:color w:val="auto"/>
          <w:highlight w:val="none"/>
          <w:shd w:val="clear" w:color="auto" w:fill="auto"/>
          <w:lang w:val="en-US" w:eastAsia="zh-CN"/>
        </w:rPr>
        <w:t>2023</w:t>
      </w:r>
      <w:r>
        <w:rPr>
          <w:rFonts w:hint="eastAsia" w:ascii="宋体" w:hAnsi="宋体" w:eastAsia="宋体" w:cs="宋体"/>
          <w:color w:val="auto"/>
          <w:highlight w:val="none"/>
          <w:shd w:val="clear" w:color="auto" w:fill="auto"/>
          <w:lang w:val="en-US" w:eastAsia="zh-CN"/>
        </w:rPr>
        <w:t>年度我单位实施的阜康市水源地输水管网建设工程-占地补偿款开展部门绩效评价。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本次绩效评价主要围绕项目决策、项目管理、项目产出、项目效益四个维度，对该专项资金的预算编制、项目实施、监督管理、资金支出使用、绩效目标的实现情况以及受益对象的满意度等开展综合评价。</w:t>
      </w:r>
    </w:p>
    <w:p>
      <w:pPr>
        <w:pStyle w:val="2"/>
        <w:pageBreakBefore w:val="0"/>
        <w:numPr>
          <w:ilvl w:val="0"/>
          <w:numId w:val="3"/>
        </w:numPr>
        <w:kinsoku/>
        <w:wordWrap/>
        <w:overflowPunct/>
        <w:topLinePunct w:val="0"/>
        <w:autoSpaceDE/>
        <w:autoSpaceDN/>
        <w:bidi w:val="0"/>
        <w:adjustRightInd/>
        <w:spacing w:beforeLines="0" w:beforeAutospacing="0" w:afterLines="0" w:afterAutospacing="0" w:line="360" w:lineRule="auto"/>
        <w:ind w:left="0" w:leftChars="0" w:firstLine="562" w:firstLineChars="200"/>
        <w:jc w:val="both"/>
        <w:textAlignment w:val="auto"/>
        <w:rPr>
          <w:rFonts w:hint="eastAsia" w:ascii="宋体" w:hAnsi="宋体" w:eastAsia="宋体" w:cs="宋体"/>
          <w:color w:val="auto"/>
          <w:sz w:val="28"/>
          <w:szCs w:val="28"/>
          <w:highlight w:val="none"/>
          <w:shd w:val="clear" w:color="auto" w:fill="auto"/>
          <w:lang w:val="en-US" w:eastAsia="zh-CN"/>
        </w:rPr>
      </w:pPr>
      <w:bookmarkStart w:id="23" w:name="_Toc15902"/>
      <w:r>
        <w:rPr>
          <w:rFonts w:hint="eastAsia" w:ascii="宋体" w:hAnsi="宋体" w:eastAsia="宋体" w:cs="宋体"/>
          <w:color w:val="auto"/>
          <w:sz w:val="28"/>
          <w:szCs w:val="28"/>
          <w:highlight w:val="none"/>
          <w:shd w:val="clear" w:color="auto" w:fill="auto"/>
          <w:lang w:val="en-US" w:eastAsia="zh-CN"/>
        </w:rPr>
        <w:t>绩效评价原则、评价指标体系（附表说明）、评价方法、评价标准</w:t>
      </w:r>
      <w:bookmarkEnd w:id="23"/>
    </w:p>
    <w:p>
      <w:pPr>
        <w:pStyle w:val="4"/>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rPr>
      </w:pPr>
      <w:bookmarkStart w:id="24" w:name="_Toc24506"/>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rPr>
        <w:t>绩效评价原则</w:t>
      </w:r>
      <w:bookmarkEnd w:id="24"/>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依据</w:t>
      </w:r>
      <w:r>
        <w:rPr>
          <w:rFonts w:hint="eastAsia" w:ascii="宋体" w:hAnsi="宋体" w:eastAsia="宋体" w:cs="宋体"/>
          <w:bCs/>
          <w:color w:val="auto"/>
          <w:highlight w:val="none"/>
          <w:shd w:val="clear" w:color="auto" w:fill="auto"/>
          <w:lang w:eastAsia="zh-CN"/>
        </w:rPr>
        <w:t>《财政支出绩效评价管理暂行办法》（财预〔20</w:t>
      </w:r>
      <w:r>
        <w:rPr>
          <w:rFonts w:hint="eastAsia" w:ascii="宋体" w:hAnsi="宋体" w:eastAsia="宋体" w:cs="宋体"/>
          <w:bCs/>
          <w:color w:val="auto"/>
          <w:highlight w:val="none"/>
          <w:shd w:val="clear" w:color="auto" w:fill="auto"/>
          <w:lang w:val="en-US" w:eastAsia="zh-CN"/>
        </w:rPr>
        <w:t>20</w:t>
      </w:r>
      <w:r>
        <w:rPr>
          <w:rFonts w:hint="eastAsia" w:ascii="宋体" w:hAnsi="宋体" w:eastAsia="宋体" w:cs="宋体"/>
          <w:bCs/>
          <w:color w:val="auto"/>
          <w:highlight w:val="none"/>
          <w:shd w:val="clear" w:color="auto" w:fill="auto"/>
          <w:lang w:eastAsia="zh-CN"/>
        </w:rPr>
        <w:t>〕</w:t>
      </w:r>
      <w:r>
        <w:rPr>
          <w:rFonts w:hint="eastAsia" w:ascii="宋体" w:hAnsi="宋体" w:eastAsia="宋体" w:cs="宋体"/>
          <w:bCs/>
          <w:color w:val="auto"/>
          <w:highlight w:val="none"/>
          <w:shd w:val="clear" w:color="auto" w:fill="auto"/>
          <w:lang w:val="en-US" w:eastAsia="zh-CN"/>
        </w:rPr>
        <w:t>10</w:t>
      </w:r>
      <w:r>
        <w:rPr>
          <w:rFonts w:hint="eastAsia" w:ascii="宋体" w:hAnsi="宋体" w:eastAsia="宋体" w:cs="宋体"/>
          <w:bCs/>
          <w:color w:val="auto"/>
          <w:highlight w:val="none"/>
          <w:shd w:val="clear" w:color="auto" w:fill="auto"/>
          <w:lang w:eastAsia="zh-CN"/>
        </w:rPr>
        <w:t>号）</w:t>
      </w:r>
      <w:r>
        <w:rPr>
          <w:rFonts w:hint="eastAsia" w:ascii="宋体" w:hAnsi="宋体" w:eastAsia="宋体" w:cs="宋体"/>
          <w:color w:val="auto"/>
          <w:highlight w:val="none"/>
          <w:shd w:val="clear" w:color="auto" w:fill="auto"/>
          <w:lang w:eastAsia="zh-CN"/>
        </w:rPr>
        <w:t>本次绩效评价秉承科学规范、公正公开、分级分类、绩效相关等原则，按照从投入、过程到产出效果和影响的绩效逻辑路径，结合</w:t>
      </w:r>
      <w:r>
        <w:rPr>
          <w:rFonts w:hint="eastAsia" w:cs="宋体"/>
          <w:color w:val="auto"/>
          <w:highlight w:val="none"/>
          <w:shd w:val="clear" w:color="auto" w:fill="auto"/>
          <w:lang w:val="en-US" w:eastAsia="zh-CN"/>
        </w:rPr>
        <w:t>阜康市水源地输水管网建设工程-占地补偿款</w:t>
      </w:r>
      <w:r>
        <w:rPr>
          <w:rFonts w:hint="eastAsia" w:ascii="宋体" w:hAnsi="宋体" w:eastAsia="宋体" w:cs="宋体"/>
          <w:color w:val="auto"/>
          <w:highlight w:val="none"/>
          <w:shd w:val="clear" w:color="auto" w:fill="auto"/>
          <w:lang w:eastAsia="zh-CN"/>
        </w:rPr>
        <w:t>实际开展情况，运用定量和定性分析相结合的方法，总结经验做法，反思项目实施和管理中的问题，以切实提升财政资金管理的科学化、规范化和精细化水平。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根据以上原则，绩效评价应遵循如下要求：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cs="宋体"/>
          <w:color w:val="auto"/>
          <w:highlight w:val="none"/>
          <w:shd w:val="clear" w:color="auto" w:fill="auto"/>
          <w:lang w:eastAsia="zh-CN"/>
        </w:rPr>
        <w:t>（</w:t>
      </w:r>
      <w:r>
        <w:rPr>
          <w:rFonts w:hint="eastAsia" w:cs="宋体"/>
          <w:color w:val="auto"/>
          <w:highlight w:val="none"/>
          <w:shd w:val="clear" w:color="auto" w:fill="auto"/>
          <w:lang w:val="en-US" w:eastAsia="zh-CN"/>
        </w:rPr>
        <w:t>1</w:t>
      </w:r>
      <w:r>
        <w:rPr>
          <w:rFonts w:hint="eastAsia" w:cs="宋体"/>
          <w:color w:val="auto"/>
          <w:highlight w:val="none"/>
          <w:shd w:val="clear" w:color="auto" w:fill="auto"/>
          <w:lang w:eastAsia="zh-CN"/>
        </w:rPr>
        <w:t>）</w:t>
      </w:r>
      <w:r>
        <w:rPr>
          <w:rFonts w:hint="eastAsia" w:ascii="宋体" w:hAnsi="宋体" w:eastAsia="宋体" w:cs="宋体"/>
          <w:color w:val="auto"/>
          <w:highlight w:val="none"/>
          <w:shd w:val="clear" w:color="auto" w:fill="auto"/>
          <w:lang w:eastAsia="zh-CN"/>
        </w:rPr>
        <w:t>科学公正。绩效评价应当运用科学合理的方法，按照规范的程序，对项目绩效进行客观、公正的反映。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w:t>
      </w:r>
      <w:r>
        <w:rPr>
          <w:rFonts w:hint="eastAsia"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lang w:eastAsia="zh-CN"/>
        </w:rPr>
        <w:t>）统筹兼顾。单位自评、部门评价和财政评价应职责明确，各有侧重，相互衔接。单位自评应由项目单位自主实施，即“谁支出、谁自评”。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w:t>
      </w:r>
      <w:r>
        <w:rPr>
          <w:rFonts w:hint="eastAsia"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lang w:eastAsia="zh-CN"/>
        </w:rPr>
        <w:t>）激励约束。绩效评价结果应与预算安排、政策调整、改进管理实质性挂钩，体现奖优罚劣和激励相容导向，有效要安排、低效要压减、无效要问责。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w:t>
      </w:r>
      <w:r>
        <w:rPr>
          <w:rFonts w:hint="eastAsia" w:cs="宋体"/>
          <w:color w:val="auto"/>
          <w:highlight w:val="none"/>
          <w:shd w:val="clear" w:color="auto" w:fill="auto"/>
          <w:lang w:val="en-US" w:eastAsia="zh-CN"/>
        </w:rPr>
        <w:t>4</w:t>
      </w:r>
      <w:r>
        <w:rPr>
          <w:rFonts w:hint="eastAsia" w:ascii="宋体" w:hAnsi="宋体" w:eastAsia="宋体" w:cs="宋体"/>
          <w:color w:val="auto"/>
          <w:highlight w:val="none"/>
          <w:shd w:val="clear" w:color="auto" w:fill="auto"/>
          <w:lang w:eastAsia="zh-CN"/>
        </w:rPr>
        <w:t>）公开透明。绩效评价结果应依法依规公开，并自觉接受社会监督。</w:t>
      </w:r>
    </w:p>
    <w:p>
      <w:pPr>
        <w:pStyle w:val="4"/>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eastAsia="zh-CN"/>
        </w:rPr>
      </w:pPr>
      <w:bookmarkStart w:id="25" w:name="_Toc428278230"/>
      <w:bookmarkStart w:id="26" w:name="_Toc419984722"/>
      <w:bookmarkStart w:id="27" w:name="_Toc1913"/>
      <w:bookmarkStart w:id="28" w:name="_Toc26131"/>
      <w:bookmarkStart w:id="29" w:name="_Toc24396"/>
      <w:r>
        <w:rPr>
          <w:rFonts w:hint="eastAsia" w:ascii="宋体" w:hAnsi="宋体" w:eastAsia="宋体"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lang w:eastAsia="zh-CN"/>
        </w:rPr>
        <w:t>绩效评价指标体系及绩效评价</w:t>
      </w:r>
      <w:bookmarkEnd w:id="25"/>
      <w:bookmarkEnd w:id="26"/>
      <w:bookmarkEnd w:id="27"/>
      <w:bookmarkEnd w:id="28"/>
      <w:r>
        <w:rPr>
          <w:rFonts w:hint="eastAsia" w:ascii="宋体" w:hAnsi="宋体" w:eastAsia="宋体" w:cs="宋体"/>
          <w:color w:val="auto"/>
          <w:highlight w:val="none"/>
          <w:shd w:val="clear" w:color="auto" w:fill="auto"/>
          <w:lang w:val="en-US" w:eastAsia="zh-CN"/>
        </w:rPr>
        <w:t>标准</w:t>
      </w:r>
      <w:bookmarkEnd w:id="29"/>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我单位</w:t>
      </w:r>
      <w:r>
        <w:rPr>
          <w:rFonts w:hint="eastAsia" w:ascii="宋体" w:hAnsi="宋体" w:eastAsia="宋体" w:cs="宋体"/>
          <w:color w:val="auto"/>
          <w:highlight w:val="none"/>
          <w:shd w:val="clear" w:color="auto" w:fill="auto"/>
          <w:lang w:val="zh-TW" w:eastAsia="zh-TW"/>
        </w:rPr>
        <w:t>根据项目的</w:t>
      </w:r>
      <w:r>
        <w:rPr>
          <w:rFonts w:hint="eastAsia" w:ascii="宋体" w:hAnsi="宋体" w:eastAsia="宋体" w:cs="宋体"/>
          <w:color w:val="auto"/>
          <w:highlight w:val="none"/>
          <w:shd w:val="clear" w:color="auto" w:fill="auto"/>
          <w:lang w:val="en-US" w:eastAsia="zh-CN"/>
        </w:rPr>
        <w:t>实施</w:t>
      </w:r>
      <w:r>
        <w:rPr>
          <w:rFonts w:hint="eastAsia" w:ascii="宋体" w:hAnsi="宋体" w:eastAsia="宋体" w:cs="宋体"/>
          <w:color w:val="auto"/>
          <w:highlight w:val="none"/>
          <w:shd w:val="clear" w:color="auto" w:fill="auto"/>
          <w:lang w:val="zh-TW" w:eastAsia="zh-TW"/>
        </w:rPr>
        <w:t>资料研读及前期调研，结合项目的实际开展情况，最终形成了项目绩效评价指标体系</w:t>
      </w:r>
      <w:r>
        <w:rPr>
          <w:rFonts w:hint="eastAsia" w:ascii="宋体" w:hAnsi="宋体" w:eastAsia="宋体" w:cs="宋体"/>
          <w:color w:val="auto"/>
          <w:highlight w:val="none"/>
          <w:shd w:val="clear" w:color="auto" w:fill="auto"/>
          <w:lang w:val="zh-TW" w:eastAsia="zh-CN"/>
        </w:rPr>
        <w:t>，</w:t>
      </w:r>
      <w:r>
        <w:rPr>
          <w:rFonts w:hint="eastAsia" w:ascii="宋体" w:hAnsi="宋体" w:eastAsia="宋体" w:cs="宋体"/>
          <w:color w:val="auto"/>
          <w:highlight w:val="none"/>
          <w:shd w:val="clear" w:color="auto" w:fill="auto"/>
          <w:lang w:val="en-US" w:eastAsia="zh-CN"/>
        </w:rPr>
        <w:t>指标体系结构如下</w:t>
      </w:r>
      <w:r>
        <w:rPr>
          <w:rFonts w:hint="eastAsia" w:cs="宋体"/>
          <w:b/>
          <w:bCs/>
          <w:color w:val="auto"/>
          <w:highlight w:val="none"/>
          <w:shd w:val="clear" w:color="auto" w:fill="auto"/>
          <w:lang w:val="en-US" w:eastAsia="zh-CN"/>
        </w:rPr>
        <w:t>（详见上传的附件）</w:t>
      </w:r>
      <w:r>
        <w:rPr>
          <w:rFonts w:hint="eastAsia" w:ascii="宋体" w:hAnsi="宋体" w:eastAsia="宋体" w:cs="宋体"/>
          <w:color w:val="auto"/>
          <w:highlight w:val="none"/>
          <w:shd w:val="clear" w:color="auto" w:fill="auto"/>
          <w:lang w:val="en-US" w:eastAsia="zh-CN"/>
        </w:rPr>
        <w:t>：</w:t>
      </w:r>
    </w:p>
    <w:p>
      <w:pPr>
        <w:jc w:val="center"/>
        <w:rPr>
          <w:rFonts w:hint="default"/>
          <w:b/>
          <w:bCs/>
          <w:color w:val="auto"/>
          <w:sz w:val="28"/>
          <w:szCs w:val="28"/>
          <w:highlight w:val="none"/>
          <w:lang w:val="en-US" w:eastAsia="zh-CN"/>
        </w:rPr>
      </w:pPr>
      <w:r>
        <w:rPr>
          <w:rFonts w:hint="eastAsia"/>
          <w:b/>
          <w:bCs/>
          <w:color w:val="auto"/>
          <w:sz w:val="28"/>
          <w:szCs w:val="28"/>
          <w:highlight w:val="none"/>
          <w:lang w:val="zh-TW" w:eastAsia="zh-TW"/>
        </w:rPr>
        <w:t>项目绩效评价指标体系</w:t>
      </w:r>
    </w:p>
    <w:tbl>
      <w:tblPr>
        <w:tblStyle w:val="11"/>
        <w:tblW w:w="867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642"/>
        <w:gridCol w:w="1196"/>
        <w:gridCol w:w="1050"/>
        <w:gridCol w:w="1996"/>
        <w:gridCol w:w="379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70" w:hRule="atLeast"/>
          <w:tblHeader/>
          <w:jc w:val="center"/>
        </w:trPr>
        <w:tc>
          <w:tcPr>
            <w:tcW w:w="642"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一级指标</w:t>
            </w:r>
          </w:p>
        </w:tc>
        <w:tc>
          <w:tcPr>
            <w:tcW w:w="11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二级指标</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三级指标</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指标解释</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指标说明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44" w:hRule="atLeast"/>
          <w:jc w:val="center"/>
        </w:trPr>
        <w:tc>
          <w:tcPr>
            <w:tcW w:w="64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决策</w:t>
            </w:r>
          </w:p>
        </w:tc>
        <w:tc>
          <w:tcPr>
            <w:tcW w:w="119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项目立项</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立项依据</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充分性</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项目立项是否符合法律法规、相关政策、发展规划以及部门职责，用以反映和考核项目立项依据情况。</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①项目立项是否符合国家法律法规、国民经济发展规划和相关政策；</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②项目立项是否符合行业发展规划和政策要求；</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③项目立项是否与部门职责范围相符，属于部门履职所需；</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④项目是否属于公共财政支持范围，是否符合中央、地方事权支出责任划分原则；</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⑤项目是否与相关部门同类项目或部门内部相关项目重复。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94" w:hRule="atLeast"/>
          <w:jc w:val="center"/>
        </w:trPr>
        <w:tc>
          <w:tcPr>
            <w:tcW w:w="642"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立项程序</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规范性</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项目申请、设立过程是否符合相关要求，用以反映和考核项目立项的规范情况。</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①项目是否按照规定的程序申请设立；</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②审批文件、材料是否符合相关要求；</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③事前是否已经过必要的可行性研究、专家论证、风险评估、绩效评估、集体决策。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768" w:hRule="atLeast"/>
          <w:jc w:val="center"/>
        </w:trPr>
        <w:tc>
          <w:tcPr>
            <w:tcW w:w="642"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绩效目标</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绩效目标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合理性</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项目所设定的绩效目标是否依据充分，是否符合客观实际，用以反映和考核项目绩效目标与项目实施的相符情况。</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（如未设定预算绩效目标，也可考核其他工作任务目标）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①项目是否有绩效目标；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②项目绩效目标与实际工作内容是否具有相关性；</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③项目预期产出效益和效果是否符合正常的业绩水平；</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④是否与预算确定的项目投资额或资金量相匹配。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44" w:hRule="atLeast"/>
          <w:jc w:val="center"/>
        </w:trPr>
        <w:tc>
          <w:tcPr>
            <w:tcW w:w="64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绩效指标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明确性</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依据绩效目标设定的绩效指标是否清晰、细化、可衡量等，用以反映和考核项目绩效目标的明细化情况。</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①是否将项目绩效目标细化分解为具体的绩效指标；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②是否通过清晰、可衡量的指标值予以体现；</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③是否与项目目标任务数或计划数相对应。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44" w:hRule="atLeast"/>
          <w:jc w:val="center"/>
        </w:trPr>
        <w:tc>
          <w:tcPr>
            <w:tcW w:w="642"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资金投入</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预算编制</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科学性</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项目预算编制是否经过科学论证、有明确标准，资金额度与年度目标是否相适应，用以反映和考核项目预算编制的科学性、合理性情况。</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①预算编制是否经过科学论证；</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②预算内容与项目内容是否匹配；</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③预算额度测算依据是否充分，是否按照标准编制；</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④预算确定的项目投资额或资金量是否与工作任务相匹配。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177" w:hRule="atLeast"/>
          <w:jc w:val="center"/>
        </w:trPr>
        <w:tc>
          <w:tcPr>
            <w:tcW w:w="64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资金分配</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合理性</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项目预算资金分配是否有测算依据，与补助单位或地方实际是否相适应，用以反映和考核项目预算资金分配的科学性、合理性情况。</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①预算资金分配依据是否充分；</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②资金分配额度是否合理，与项目单位或地方实际是否相适应。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669" w:hRule="atLeast"/>
          <w:jc w:val="center"/>
        </w:trPr>
        <w:tc>
          <w:tcPr>
            <w:tcW w:w="642" w:type="dxa"/>
            <w:vMerge w:val="restart"/>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过程</w:t>
            </w:r>
          </w:p>
        </w:tc>
        <w:tc>
          <w:tcPr>
            <w:tcW w:w="119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资金管理</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资金到位率</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实际到位资金与预算资金的比率，用以反映和考核资金落实情况对项目实施的总体保障程度。</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资金到位率=（实际到位资金/预算资金）×100%。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实际到位资金：一定时期（本年度或项目期）内落实到具体项目的资金。</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预算资金：一定时期（本年度或项目期）内预算安排到具体项目的资金。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120" w:hRule="atLeast"/>
          <w:jc w:val="center"/>
        </w:trPr>
        <w:tc>
          <w:tcPr>
            <w:tcW w:w="642"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预算执行率</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项目预算资金是否按照计划执行，用以反映或考核项目预算执行情况。</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预算执行率=（实际支出资金/实际到位资金）×100%。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实际支出资金：一定时期（本年度或项目期）内项目实际拨付的资金。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494" w:hRule="atLeast"/>
          <w:jc w:val="center"/>
        </w:trPr>
        <w:tc>
          <w:tcPr>
            <w:tcW w:w="64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资金使用</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合规性</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项目资金使用是否符合相关的财务管理制度规定，用以反映和考核项目资金的规范运行情况。</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①是否符合国家财经法规和财务管理制度以及有关专项资金管理办法的规定；</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②资金的拨付是否有完整的审批程序和手续；</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③是否符合项目预算批复或合同规定的用途；</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④是否存在截留、挤占、挪用、虚列支出等情况。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669" w:hRule="atLeast"/>
          <w:jc w:val="center"/>
        </w:trPr>
        <w:tc>
          <w:tcPr>
            <w:tcW w:w="642"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组织实施</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管理制度</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健全性</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项目实施单位的财务和业务管理制度是否健全，用以反映和考核财务和业务管理制度对项目顺利实施的保障情况。</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①是否已制定或具有相应的财务和业务管理制度；</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②财务和业务管理制度是否合法、合规、完整。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219" w:hRule="atLeast"/>
          <w:jc w:val="center"/>
        </w:trPr>
        <w:tc>
          <w:tcPr>
            <w:tcW w:w="64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制度执行</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有效性</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项目实施是否符合相关管理规定，用以反映和考核相关管理制度的有效执行情况。</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①是否遵守相关法律法规和相关管理规定；</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②项目调整及支出调整手续是否完备；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③项目合同书、验收报告、技术鉴定等资料是否齐全并及时归档；</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④项目实施的人员条件、场地设备、信息支撑等是否落实到位。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219" w:hRule="atLeast"/>
          <w:jc w:val="center"/>
        </w:trPr>
        <w:tc>
          <w:tcPr>
            <w:tcW w:w="64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w:t>
            </w:r>
          </w:p>
        </w:tc>
        <w:tc>
          <w:tcPr>
            <w:tcW w:w="11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产出数量</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实际完成率</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项目实施的实际产出数与计划产出数的比率，用以反映和考核项目产出数量目标的实现程度。</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实际完成率=（实际产出数/计划产出数）×100%。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实际产出数：一定时期（本年度或项目期）内项目实际产出的产品或提供的服务数量。</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计划产出数：项目绩效目标确定的在一定时期（本年度或项目期）内计划产出的产品或提供的服务数量。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219" w:hRule="atLeast"/>
          <w:jc w:val="center"/>
        </w:trPr>
        <w:tc>
          <w:tcPr>
            <w:tcW w:w="64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产出质量</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质量达标率</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项目完成的质量达标产出数与实际产出数的比率，用以反映和考核项目产出质量目标的实现程度。</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质量达标率=（质量达标产出数/实际产出数）×100%。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70" w:hRule="atLeast"/>
          <w:jc w:val="center"/>
        </w:trPr>
        <w:tc>
          <w:tcPr>
            <w:tcW w:w="642"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产出时效</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完成及时性</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项目实际完成时间与计划完成时间的比较，用以反映和考核项目产出时效目标的实现程度。</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实际完成时间：项目实施单位完成该项目实际所耗用的时间。</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计划完成时间：按照项目实施计划或相关规定完成该项目所需的时间。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669" w:hRule="atLeast"/>
          <w:jc w:val="center"/>
        </w:trPr>
        <w:tc>
          <w:tcPr>
            <w:tcW w:w="64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产出成本</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成本节约率</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完成项目计划工作目标的实际节约成本与计划成本的比率，用以反映和考核项目的成本节约程度。</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成本节约率=[（计划成本-实际成本）/计划成本]×100%。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实际成本：项目实施单位如期、保质、保量完成既定工作目标实际所耗费的支出。</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计划成本：项目实施单位为完成工作目标计划安排的支出，一般以项目预算为参考。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45" w:hRule="atLeast"/>
          <w:jc w:val="center"/>
        </w:trPr>
        <w:tc>
          <w:tcPr>
            <w:tcW w:w="64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效益</w:t>
            </w:r>
          </w:p>
        </w:tc>
        <w:tc>
          <w:tcPr>
            <w:tcW w:w="119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项目效益</w:t>
            </w: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实施效益</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项目实施所产生的效益。</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项目实施所产生的社会效益、经济效益、生态效益、可持续影响等。可根据项目实际情况有选择地设置和细化。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66" w:hRule="atLeast"/>
          <w:jc w:val="center"/>
        </w:trPr>
        <w:tc>
          <w:tcPr>
            <w:tcW w:w="64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满意度</w:t>
            </w:r>
          </w:p>
        </w:tc>
        <w:tc>
          <w:tcPr>
            <w:tcW w:w="199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社会公众或服务对象对项目实施效果的满意程度。</w:t>
            </w:r>
          </w:p>
        </w:tc>
        <w:tc>
          <w:tcPr>
            <w:tcW w:w="3793"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社会公众或服务对象是指因该项目实施而受到影响的部门（单位）、群体或个人。一般采取社会调查的方式。</w:t>
            </w:r>
          </w:p>
        </w:tc>
      </w:tr>
    </w:tbl>
    <w:p>
      <w:pPr>
        <w:pStyle w:val="4"/>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val="en-US" w:eastAsia="zh-CN"/>
        </w:rPr>
      </w:pPr>
      <w:bookmarkStart w:id="30" w:name="_Toc9941"/>
      <w:r>
        <w:rPr>
          <w:rFonts w:hint="eastAsia" w:ascii="宋体" w:hAnsi="宋体" w:eastAsia="宋体"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rPr>
        <w:t>评价</w:t>
      </w:r>
      <w:r>
        <w:rPr>
          <w:rFonts w:hint="eastAsia" w:ascii="宋体" w:hAnsi="宋体" w:eastAsia="宋体" w:cs="宋体"/>
          <w:color w:val="auto"/>
          <w:highlight w:val="none"/>
          <w:shd w:val="clear" w:color="auto" w:fill="auto"/>
          <w:lang w:val="en-US" w:eastAsia="zh-CN"/>
        </w:rPr>
        <w:t>方法</w:t>
      </w:r>
      <w:bookmarkEnd w:id="30"/>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rPr>
        <w:t>本次绩效评价采用的方法</w:t>
      </w:r>
      <w:r>
        <w:rPr>
          <w:rFonts w:hint="eastAsia" w:cs="宋体"/>
          <w:color w:val="auto"/>
          <w:highlight w:val="none"/>
          <w:shd w:val="clear" w:color="auto" w:fill="auto"/>
          <w:lang w:val="en-US" w:eastAsia="zh-CN"/>
        </w:rPr>
        <w:t>为</w:t>
      </w:r>
      <w:r>
        <w:rPr>
          <w:rFonts w:hint="eastAsia" w:ascii="宋体" w:hAnsi="宋体" w:eastAsia="宋体" w:cs="宋体"/>
          <w:color w:val="auto"/>
          <w:highlight w:val="none"/>
          <w:shd w:val="clear" w:color="auto" w:fill="auto"/>
        </w:rPr>
        <w:t>比较法</w:t>
      </w:r>
      <w:r>
        <w:rPr>
          <w:rFonts w:hint="eastAsia" w:ascii="宋体" w:hAnsi="宋体" w:eastAsia="宋体" w:cs="宋体"/>
          <w:color w:val="auto"/>
          <w:highlight w:val="none"/>
          <w:shd w:val="clear" w:color="auto" w:fill="auto"/>
          <w:lang w:eastAsia="zh-CN"/>
        </w:rPr>
        <w:t>、因素分析法、公众评判法</w:t>
      </w:r>
      <w:r>
        <w:rPr>
          <w:rFonts w:hint="eastAsia" w:ascii="宋体" w:hAnsi="宋体" w:eastAsia="宋体" w:cs="宋体"/>
          <w:color w:val="auto"/>
          <w:highlight w:val="none"/>
          <w:shd w:val="clear" w:color="auto" w:fill="auto"/>
          <w:lang w:val="en-US" w:eastAsia="zh-CN"/>
        </w:rPr>
        <w:t>对项目绩效目标</w:t>
      </w:r>
      <w:r>
        <w:rPr>
          <w:rFonts w:hint="eastAsia" w:cs="宋体"/>
          <w:color w:val="auto"/>
          <w:highlight w:val="none"/>
          <w:shd w:val="clear" w:color="auto" w:fill="auto"/>
          <w:lang w:val="en-US" w:eastAsia="zh-CN"/>
        </w:rPr>
        <w:t>预期目标值</w:t>
      </w:r>
      <w:r>
        <w:rPr>
          <w:rFonts w:hint="eastAsia" w:ascii="宋体" w:hAnsi="宋体" w:eastAsia="宋体" w:cs="宋体"/>
          <w:color w:val="auto"/>
          <w:highlight w:val="none"/>
          <w:shd w:val="clear" w:color="auto" w:fill="auto"/>
          <w:lang w:val="en-US" w:eastAsia="zh-CN"/>
        </w:rPr>
        <w:t>与实施情况进行比较，以及采取公众问卷及抽样调查等方式进行评判的方法对</w:t>
      </w:r>
      <w:r>
        <w:rPr>
          <w:rFonts w:hint="eastAsia" w:cs="宋体"/>
          <w:color w:val="auto"/>
          <w:highlight w:val="none"/>
          <w:shd w:val="clear" w:color="auto" w:fill="auto"/>
          <w:lang w:val="en-US" w:eastAsia="zh-CN"/>
        </w:rPr>
        <w:t>阜康市水源地输水管网建设工程-占地补偿款</w:t>
      </w:r>
      <w:r>
        <w:rPr>
          <w:rFonts w:hint="eastAsia" w:ascii="宋体" w:hAnsi="宋体" w:eastAsia="宋体" w:cs="宋体"/>
          <w:color w:val="auto"/>
          <w:highlight w:val="none"/>
          <w:shd w:val="clear" w:color="auto" w:fill="auto"/>
          <w:lang w:val="en-US" w:eastAsia="zh-CN"/>
        </w:rPr>
        <w:t>进行评价。</w:t>
      </w:r>
    </w:p>
    <w:p>
      <w:pPr>
        <w:pStyle w:val="4"/>
        <w:rPr>
          <w:rFonts w:hint="default" w:ascii="宋体" w:hAnsi="宋体" w:eastAsia="宋体" w:cs="宋体"/>
          <w:color w:val="auto"/>
          <w:highlight w:val="none"/>
          <w:shd w:val="clear" w:color="auto" w:fill="auto"/>
          <w:lang w:val="en-US" w:eastAsia="zh-CN"/>
        </w:rPr>
      </w:pPr>
      <w:bookmarkStart w:id="31" w:name="_Toc25391"/>
      <w:r>
        <w:rPr>
          <w:rFonts w:hint="eastAsia" w:ascii="宋体" w:hAnsi="宋体" w:eastAsia="宋体" w:cs="宋体"/>
          <w:color w:val="auto"/>
          <w:highlight w:val="none"/>
          <w:shd w:val="clear" w:color="auto" w:fill="auto"/>
          <w:lang w:val="en-US" w:eastAsia="zh-CN"/>
        </w:rPr>
        <w:t>4.评价标准</w:t>
      </w:r>
      <w:bookmarkEnd w:id="3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（1）计划标准。指以预先制定的目标、计划、预算、定额等作为评价标准。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（2）行业标准。指参照国家公布的行业指标数据制定的评价标准。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（3）历史标准。指参照历史数据制定的评价标准，为体现绩效改进的原则，在可实现的条件下应当确定相对较高的评价标准。</w:t>
      </w:r>
    </w:p>
    <w:p>
      <w:pPr>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（4）财政部门和预算部门确认或认可的其他标准。</w:t>
      </w:r>
    </w:p>
    <w:p>
      <w:pPr>
        <w:pStyle w:val="4"/>
        <w:outlineLvl w:val="1"/>
        <w:rPr>
          <w:rFonts w:hint="default" w:ascii="宋体" w:hAnsi="宋体" w:eastAsia="宋体" w:cs="宋体"/>
          <w:color w:val="auto"/>
          <w:highlight w:val="none"/>
          <w:shd w:val="clear" w:color="auto" w:fill="auto"/>
          <w:lang w:val="en-US" w:eastAsia="zh-CN"/>
        </w:rPr>
      </w:pPr>
      <w:bookmarkStart w:id="32" w:name="_Toc1070"/>
      <w:r>
        <w:rPr>
          <w:rFonts w:hint="eastAsia" w:ascii="宋体" w:hAnsi="宋体" w:eastAsia="宋体" w:cs="宋体"/>
          <w:color w:val="auto"/>
          <w:highlight w:val="none"/>
          <w:shd w:val="clear" w:color="auto" w:fill="auto"/>
          <w:lang w:val="en-US" w:eastAsia="zh-CN"/>
        </w:rPr>
        <w:t>（三）绩效评价工作过程</w:t>
      </w:r>
      <w:bookmarkEnd w:id="32"/>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color w:val="auto"/>
          <w:highlight w:val="none"/>
          <w:shd w:val="clear" w:color="auto" w:fill="auto"/>
          <w:lang w:val="en-US" w:eastAsia="zh-CN"/>
        </w:rPr>
      </w:pPr>
      <w:bookmarkStart w:id="33" w:name="_Toc12862"/>
      <w:r>
        <w:rPr>
          <w:rFonts w:hint="eastAsia" w:ascii="宋体" w:hAnsi="宋体" w:eastAsia="宋体" w:cs="宋体"/>
          <w:color w:val="auto"/>
          <w:highlight w:val="none"/>
          <w:shd w:val="clear" w:color="auto" w:fill="auto"/>
          <w:lang w:val="en-US" w:eastAsia="zh-CN"/>
        </w:rPr>
        <w:t>1.前期准备</w:t>
      </w:r>
      <w:bookmarkEnd w:id="33"/>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（1）成立绩效评价项目小组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为确保该项目绩效评价的顺利实施，评价机构组建了绩效评价项目小组。项目小组负责建立联络制度、明确评价责任人、制定评价方案、实施具体评价等工作。</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34" w:name="_Toc31571"/>
      <w:r>
        <w:rPr>
          <w:rFonts w:hint="eastAsia" w:ascii="宋体" w:hAnsi="宋体" w:eastAsia="宋体" w:cs="宋体"/>
          <w:b w:val="0"/>
          <w:bCs w:val="0"/>
          <w:color w:val="auto"/>
          <w:kern w:val="2"/>
          <w:sz w:val="28"/>
          <w:szCs w:val="24"/>
          <w:highlight w:val="none"/>
          <w:shd w:val="clear" w:color="auto" w:fill="auto"/>
          <w:lang w:val="en-US" w:eastAsia="zh-CN" w:bidi="ar-SA"/>
        </w:rPr>
        <w:t>（2）开展前期调研</w:t>
      </w:r>
      <w:bookmarkEnd w:id="34"/>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35" w:name="_Toc21240"/>
      <w:r>
        <w:rPr>
          <w:rFonts w:hint="eastAsia" w:ascii="宋体" w:hAnsi="宋体" w:eastAsia="宋体" w:cs="宋体"/>
          <w:b w:val="0"/>
          <w:bCs w:val="0"/>
          <w:color w:val="auto"/>
          <w:kern w:val="2"/>
          <w:sz w:val="28"/>
          <w:szCs w:val="24"/>
          <w:highlight w:val="none"/>
          <w:shd w:val="clear" w:color="auto" w:fill="auto"/>
          <w:lang w:val="en-US" w:eastAsia="zh-CN" w:bidi="ar-SA"/>
        </w:rPr>
        <w:t>绩效评价项目小组依据此次绩效评价受委托内容，对拟评价的项目实施前期调研。通过调研对</w:t>
      </w:r>
      <w:r>
        <w:rPr>
          <w:rFonts w:hint="eastAsia" w:ascii="宋体" w:hAnsi="宋体" w:cs="宋体"/>
          <w:b w:val="0"/>
          <w:bCs w:val="0"/>
          <w:color w:val="auto"/>
          <w:kern w:val="2"/>
          <w:sz w:val="28"/>
          <w:szCs w:val="24"/>
          <w:highlight w:val="none"/>
          <w:shd w:val="clear" w:color="auto" w:fill="auto"/>
          <w:lang w:val="en-US" w:eastAsia="zh-CN" w:bidi="ar-SA"/>
        </w:rPr>
        <w:t>阜康市水源地输水管网建设工程-占地补偿款</w:t>
      </w:r>
      <w:r>
        <w:rPr>
          <w:rFonts w:hint="eastAsia" w:ascii="宋体" w:hAnsi="宋体" w:eastAsia="宋体" w:cs="宋体"/>
          <w:b w:val="0"/>
          <w:bCs w:val="0"/>
          <w:color w:val="auto"/>
          <w:kern w:val="2"/>
          <w:sz w:val="28"/>
          <w:szCs w:val="24"/>
          <w:highlight w:val="none"/>
          <w:shd w:val="clear" w:color="auto" w:fill="auto"/>
          <w:lang w:val="en-US" w:eastAsia="zh-CN" w:bidi="ar-SA"/>
        </w:rPr>
        <w:t>实施内容、目标信息、预算信息以及其他的一些项目基本信息，有了初步了解，为制定绩效评价工作方案做好准备。</w:t>
      </w:r>
      <w:bookmarkEnd w:id="35"/>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36" w:name="_Toc27977"/>
      <w:r>
        <w:rPr>
          <w:rFonts w:hint="eastAsia" w:ascii="宋体" w:hAnsi="宋体" w:eastAsia="宋体" w:cs="宋体"/>
          <w:b w:val="0"/>
          <w:bCs w:val="0"/>
          <w:color w:val="auto"/>
          <w:kern w:val="2"/>
          <w:sz w:val="28"/>
          <w:szCs w:val="24"/>
          <w:highlight w:val="none"/>
          <w:shd w:val="clear" w:color="auto" w:fill="auto"/>
          <w:lang w:val="en-US" w:eastAsia="zh-CN" w:bidi="ar-SA"/>
        </w:rPr>
        <w:t>（3）制订绩效评价工作方案</w:t>
      </w:r>
      <w:bookmarkEnd w:id="36"/>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37" w:name="_Toc19659"/>
      <w:r>
        <w:rPr>
          <w:rFonts w:hint="eastAsia" w:ascii="宋体" w:hAnsi="宋体" w:eastAsia="宋体" w:cs="宋体"/>
          <w:b w:val="0"/>
          <w:bCs w:val="0"/>
          <w:color w:val="auto"/>
          <w:kern w:val="2"/>
          <w:sz w:val="28"/>
          <w:szCs w:val="24"/>
          <w:highlight w:val="none"/>
          <w:shd w:val="clear" w:color="auto" w:fill="auto"/>
          <w:lang w:val="en-US" w:eastAsia="zh-CN" w:bidi="ar-SA"/>
        </w:rPr>
        <w:t>绩效评价项目小组根据有关规定和评价对象的特点以及前期调研收集的一些信息，拟定详细的绩效评价工作方案</w:t>
      </w:r>
      <w:r>
        <w:rPr>
          <w:rFonts w:hint="eastAsia" w:ascii="宋体" w:hAnsi="宋体" w:cs="宋体"/>
          <w:b w:val="0"/>
          <w:bCs w:val="0"/>
          <w:color w:val="auto"/>
          <w:kern w:val="2"/>
          <w:sz w:val="28"/>
          <w:szCs w:val="24"/>
          <w:highlight w:val="none"/>
          <w:shd w:val="clear" w:color="auto" w:fill="auto"/>
          <w:lang w:val="en-US" w:eastAsia="zh-CN" w:bidi="ar-SA"/>
        </w:rPr>
        <w:t>。</w:t>
      </w:r>
      <w:bookmarkEnd w:id="37"/>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2"/>
        <w:rPr>
          <w:rFonts w:hint="eastAsia" w:ascii="宋体" w:hAnsi="宋体" w:eastAsia="宋体" w:cs="宋体"/>
          <w:b w:val="0"/>
          <w:bCs w:val="0"/>
          <w:color w:val="auto"/>
          <w:kern w:val="2"/>
          <w:sz w:val="28"/>
          <w:szCs w:val="24"/>
          <w:highlight w:val="none"/>
          <w:shd w:val="clear" w:color="auto" w:fill="auto"/>
          <w:lang w:val="en-US" w:eastAsia="zh-CN" w:bidi="ar-SA"/>
        </w:rPr>
      </w:pPr>
      <w:bookmarkStart w:id="38" w:name="_Toc11353"/>
      <w:r>
        <w:rPr>
          <w:rFonts w:hint="eastAsia" w:ascii="宋体" w:hAnsi="宋体" w:eastAsia="宋体" w:cs="宋体"/>
          <w:b w:val="0"/>
          <w:bCs w:val="0"/>
          <w:color w:val="auto"/>
          <w:kern w:val="2"/>
          <w:sz w:val="28"/>
          <w:szCs w:val="24"/>
          <w:highlight w:val="none"/>
          <w:shd w:val="clear" w:color="auto" w:fill="auto"/>
          <w:lang w:val="en-US" w:eastAsia="zh-CN" w:bidi="ar-SA"/>
        </w:rPr>
        <w:t>2.具体实施</w:t>
      </w:r>
      <w:bookmarkEnd w:id="38"/>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39" w:name="_Toc14111"/>
      <w:r>
        <w:rPr>
          <w:rFonts w:hint="eastAsia" w:ascii="宋体" w:hAnsi="宋体" w:eastAsia="宋体" w:cs="宋体"/>
          <w:b w:val="0"/>
          <w:bCs w:val="0"/>
          <w:color w:val="auto"/>
          <w:kern w:val="2"/>
          <w:sz w:val="28"/>
          <w:szCs w:val="24"/>
          <w:highlight w:val="none"/>
          <w:shd w:val="clear" w:color="auto" w:fill="auto"/>
          <w:lang w:val="en-US" w:eastAsia="zh-CN" w:bidi="ar-SA"/>
        </w:rPr>
        <w:t>（1）收集基础资料</w:t>
      </w:r>
      <w:bookmarkEnd w:id="39"/>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0" w:name="_Toc28524"/>
      <w:r>
        <w:rPr>
          <w:rFonts w:hint="eastAsia" w:ascii="宋体" w:hAnsi="宋体" w:eastAsia="宋体" w:cs="宋体"/>
          <w:b w:val="0"/>
          <w:bCs w:val="0"/>
          <w:color w:val="auto"/>
          <w:kern w:val="2"/>
          <w:sz w:val="28"/>
          <w:szCs w:val="24"/>
          <w:highlight w:val="none"/>
          <w:shd w:val="clear" w:color="auto" w:fill="auto"/>
          <w:lang w:val="en-US" w:eastAsia="zh-CN" w:bidi="ar-SA"/>
        </w:rPr>
        <w:t>根据评价工作的需要和要求，在前期调研的基础上，通过多种渠道全面收集项目基础信息资料，主要包括：</w:t>
      </w:r>
      <w:bookmarkEnd w:id="40"/>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1" w:name="_Toc32216"/>
      <w:r>
        <w:rPr>
          <w:rFonts w:hint="eastAsia" w:ascii="宋体" w:hAnsi="宋体" w:eastAsia="宋体" w:cs="宋体"/>
          <w:b w:val="0"/>
          <w:bCs w:val="0"/>
          <w:color w:val="auto"/>
          <w:kern w:val="2"/>
          <w:sz w:val="28"/>
          <w:szCs w:val="24"/>
          <w:highlight w:val="none"/>
          <w:shd w:val="clear" w:color="auto" w:fill="auto"/>
          <w:lang w:val="en-US" w:eastAsia="zh-CN" w:bidi="ar-SA"/>
        </w:rPr>
        <w:t>①被评价单位基本概况，如单位职能、事业发展规划、预决算情况、项目立项依据等；</w:t>
      </w:r>
      <w:bookmarkEnd w:id="41"/>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2" w:name="_Toc10505"/>
      <w:r>
        <w:rPr>
          <w:rFonts w:hint="eastAsia" w:ascii="宋体" w:hAnsi="宋体" w:eastAsia="宋体" w:cs="宋体"/>
          <w:b w:val="0"/>
          <w:bCs w:val="0"/>
          <w:color w:val="auto"/>
          <w:kern w:val="2"/>
          <w:sz w:val="28"/>
          <w:szCs w:val="24"/>
          <w:highlight w:val="none"/>
          <w:shd w:val="clear" w:color="auto" w:fill="auto"/>
          <w:lang w:val="en-US" w:eastAsia="zh-CN" w:bidi="ar-SA"/>
        </w:rPr>
        <w:t>②绩效目标及其设立依据和调整情况；</w:t>
      </w:r>
      <w:bookmarkEnd w:id="42"/>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3" w:name="_Toc28365"/>
      <w:r>
        <w:rPr>
          <w:rFonts w:hint="eastAsia" w:ascii="宋体" w:hAnsi="宋体" w:eastAsia="宋体" w:cs="宋体"/>
          <w:b w:val="0"/>
          <w:bCs w:val="0"/>
          <w:color w:val="auto"/>
          <w:kern w:val="2"/>
          <w:sz w:val="28"/>
          <w:szCs w:val="24"/>
          <w:highlight w:val="none"/>
          <w:shd w:val="clear" w:color="auto" w:fill="auto"/>
          <w:lang w:val="en-US" w:eastAsia="zh-CN" w:bidi="ar-SA"/>
        </w:rPr>
        <w:t>③管理措施及组织实施情况；</w:t>
      </w:r>
      <w:bookmarkEnd w:id="43"/>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4" w:name="_Toc10091"/>
      <w:r>
        <w:rPr>
          <w:rFonts w:hint="eastAsia" w:ascii="宋体" w:hAnsi="宋体" w:eastAsia="宋体" w:cs="宋体"/>
          <w:b w:val="0"/>
          <w:bCs w:val="0"/>
          <w:color w:val="auto"/>
          <w:kern w:val="2"/>
          <w:sz w:val="28"/>
          <w:szCs w:val="24"/>
          <w:highlight w:val="none"/>
          <w:shd w:val="clear" w:color="auto" w:fill="auto"/>
          <w:lang w:val="en-US" w:eastAsia="zh-CN" w:bidi="ar-SA"/>
        </w:rPr>
        <w:t>④被评价单位总结分析的绩效目标完成情况及绩效报告；</w:t>
      </w:r>
      <w:bookmarkEnd w:id="44"/>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5" w:name="_Toc1"/>
      <w:r>
        <w:rPr>
          <w:rFonts w:hint="eastAsia" w:ascii="宋体" w:hAnsi="宋体" w:eastAsia="宋体" w:cs="宋体"/>
          <w:b w:val="0"/>
          <w:bCs w:val="0"/>
          <w:color w:val="auto"/>
          <w:kern w:val="2"/>
          <w:sz w:val="28"/>
          <w:szCs w:val="24"/>
          <w:highlight w:val="none"/>
          <w:shd w:val="clear" w:color="auto" w:fill="auto"/>
          <w:lang w:val="en-US" w:eastAsia="zh-CN" w:bidi="ar-SA"/>
        </w:rPr>
        <w:t>⑤与绩效评价相关的计划标准、行业标准、历史标准等；</w:t>
      </w:r>
      <w:bookmarkEnd w:id="45"/>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6" w:name="_Toc20059"/>
      <w:r>
        <w:rPr>
          <w:rFonts w:hint="eastAsia" w:ascii="宋体" w:hAnsi="宋体" w:cs="宋体"/>
          <w:b w:val="0"/>
          <w:bCs w:val="0"/>
          <w:color w:val="auto"/>
          <w:kern w:val="2"/>
          <w:sz w:val="28"/>
          <w:szCs w:val="24"/>
          <w:highlight w:val="none"/>
          <w:shd w:val="clear" w:color="auto" w:fill="auto"/>
          <w:lang w:val="en-US" w:eastAsia="zh-CN" w:bidi="ar-SA"/>
        </w:rPr>
        <w:t>⑥</w:t>
      </w:r>
      <w:r>
        <w:rPr>
          <w:rFonts w:hint="eastAsia" w:ascii="宋体" w:hAnsi="宋体" w:eastAsia="宋体" w:cs="宋体"/>
          <w:b w:val="0"/>
          <w:bCs w:val="0"/>
          <w:color w:val="auto"/>
          <w:kern w:val="2"/>
          <w:sz w:val="28"/>
          <w:szCs w:val="24"/>
          <w:highlight w:val="none"/>
          <w:shd w:val="clear" w:color="auto" w:fill="auto"/>
          <w:lang w:val="en-US" w:eastAsia="zh-CN" w:bidi="ar-SA"/>
        </w:rPr>
        <w:t>其他必要的相关资料等。</w:t>
      </w:r>
      <w:bookmarkEnd w:id="46"/>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7" w:name="_Toc31911"/>
      <w:r>
        <w:rPr>
          <w:rFonts w:hint="eastAsia" w:ascii="宋体" w:hAnsi="宋体" w:eastAsia="宋体" w:cs="宋体"/>
          <w:b w:val="0"/>
          <w:bCs w:val="0"/>
          <w:color w:val="auto"/>
          <w:kern w:val="2"/>
          <w:sz w:val="28"/>
          <w:szCs w:val="24"/>
          <w:highlight w:val="none"/>
          <w:shd w:val="clear" w:color="auto" w:fill="auto"/>
          <w:lang w:val="en-US" w:eastAsia="zh-CN" w:bidi="ar-SA"/>
        </w:rPr>
        <w:t>（2）整理、研读基础资料</w:t>
      </w:r>
      <w:bookmarkEnd w:id="47"/>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48" w:name="_Toc167"/>
      <w:r>
        <w:rPr>
          <w:rFonts w:hint="eastAsia" w:ascii="宋体" w:hAnsi="宋体" w:eastAsia="宋体" w:cs="宋体"/>
          <w:b w:val="0"/>
          <w:bCs w:val="0"/>
          <w:color w:val="auto"/>
          <w:kern w:val="2"/>
          <w:sz w:val="28"/>
          <w:szCs w:val="24"/>
          <w:highlight w:val="none"/>
          <w:shd w:val="clear" w:color="auto" w:fill="auto"/>
          <w:lang w:val="en-US" w:eastAsia="zh-CN" w:bidi="ar-SA"/>
        </w:rPr>
        <w:t>对收集的基础资料进行分类整理、研读，并对所收集的资料进行核实和全面分析。通过基础资料的整理、研读，了解被评价对象的具体情况，分析被评价对象可能存在的问题，根据工作需要确定实地核查的内容，为现场核查做好准备。</w:t>
      </w:r>
      <w:bookmarkEnd w:id="48"/>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2"/>
        <w:rPr>
          <w:rFonts w:hint="default" w:ascii="宋体" w:hAnsi="宋体" w:eastAsia="宋体" w:cs="宋体"/>
          <w:b w:val="0"/>
          <w:bCs w:val="0"/>
          <w:color w:val="auto"/>
          <w:kern w:val="2"/>
          <w:sz w:val="28"/>
          <w:szCs w:val="24"/>
          <w:highlight w:val="none"/>
          <w:shd w:val="clear" w:color="auto" w:fill="auto"/>
          <w:lang w:val="en-US" w:eastAsia="zh-CN" w:bidi="ar-SA"/>
        </w:rPr>
      </w:pPr>
      <w:bookmarkStart w:id="49" w:name="_Toc30513"/>
      <w:r>
        <w:rPr>
          <w:rFonts w:hint="eastAsia" w:ascii="宋体" w:hAnsi="宋体" w:eastAsia="宋体" w:cs="宋体"/>
          <w:b w:val="0"/>
          <w:bCs w:val="0"/>
          <w:color w:val="auto"/>
          <w:kern w:val="2"/>
          <w:sz w:val="28"/>
          <w:szCs w:val="24"/>
          <w:highlight w:val="none"/>
          <w:shd w:val="clear" w:color="auto" w:fill="auto"/>
          <w:lang w:val="en-US" w:eastAsia="zh-CN" w:bidi="ar-SA"/>
        </w:rPr>
        <w:t>3.</w:t>
      </w:r>
      <w:r>
        <w:rPr>
          <w:rFonts w:hint="eastAsia" w:ascii="宋体" w:hAnsi="宋体" w:cs="宋体"/>
          <w:b w:val="0"/>
          <w:bCs w:val="0"/>
          <w:color w:val="auto"/>
          <w:kern w:val="2"/>
          <w:sz w:val="28"/>
          <w:szCs w:val="24"/>
          <w:highlight w:val="none"/>
          <w:shd w:val="clear" w:color="auto" w:fill="auto"/>
          <w:lang w:val="en-US" w:eastAsia="zh-CN" w:bidi="ar-SA"/>
        </w:rPr>
        <w:t>分析评价和撰写报告</w:t>
      </w:r>
      <w:bookmarkEnd w:id="49"/>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8"/>
          <w:highlight w:val="none"/>
          <w:shd w:val="clear" w:color="auto" w:fill="auto"/>
          <w:lang w:val="en-US" w:eastAsia="zh-CN" w:bidi="ar-SA"/>
        </w:rPr>
      </w:pPr>
      <w:bookmarkStart w:id="50" w:name="_Toc15974"/>
      <w:r>
        <w:rPr>
          <w:rFonts w:hint="eastAsia"/>
          <w:b w:val="0"/>
          <w:bCs w:val="0"/>
          <w:color w:val="auto"/>
          <w:sz w:val="28"/>
          <w:szCs w:val="28"/>
          <w:highlight w:val="none"/>
        </w:rPr>
        <w:t>（</w:t>
      </w:r>
      <w:r>
        <w:rPr>
          <w:rFonts w:hint="eastAsia" w:ascii="宋体" w:hAnsi="宋体" w:cs="宋体"/>
          <w:b w:val="0"/>
          <w:bCs w:val="0"/>
          <w:color w:val="auto"/>
          <w:kern w:val="2"/>
          <w:sz w:val="28"/>
          <w:szCs w:val="28"/>
          <w:highlight w:val="none"/>
          <w:shd w:val="clear" w:color="auto" w:fill="auto"/>
          <w:lang w:val="en-US" w:eastAsia="zh-CN" w:bidi="ar-SA"/>
        </w:rPr>
        <w:t>1</w:t>
      </w:r>
      <w:r>
        <w:rPr>
          <w:rFonts w:hint="eastAsia" w:ascii="宋体" w:hAnsi="宋体" w:eastAsia="宋体" w:cs="宋体"/>
          <w:b w:val="0"/>
          <w:bCs w:val="0"/>
          <w:color w:val="auto"/>
          <w:kern w:val="2"/>
          <w:sz w:val="28"/>
          <w:szCs w:val="28"/>
          <w:highlight w:val="none"/>
          <w:shd w:val="clear" w:color="auto" w:fill="auto"/>
          <w:lang w:val="en-US" w:eastAsia="zh-CN" w:bidi="ar-SA"/>
        </w:rPr>
        <w:t>）综合分析评价</w:t>
      </w:r>
      <w:bookmarkEnd w:id="50"/>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8"/>
          <w:highlight w:val="none"/>
          <w:shd w:val="clear" w:color="auto" w:fill="auto"/>
          <w:lang w:val="en-US" w:eastAsia="zh-CN" w:bidi="ar-SA"/>
        </w:rPr>
      </w:pPr>
      <w:bookmarkStart w:id="51" w:name="_Toc4352"/>
      <w:r>
        <w:rPr>
          <w:rFonts w:hint="eastAsia" w:ascii="宋体" w:hAnsi="宋体" w:eastAsia="宋体" w:cs="宋体"/>
          <w:b w:val="0"/>
          <w:bCs w:val="0"/>
          <w:color w:val="auto"/>
          <w:kern w:val="2"/>
          <w:sz w:val="28"/>
          <w:szCs w:val="28"/>
          <w:highlight w:val="none"/>
          <w:shd w:val="clear" w:color="auto" w:fill="auto"/>
          <w:lang w:val="en-US" w:eastAsia="zh-CN" w:bidi="ar-SA"/>
        </w:rPr>
        <w:t>①根据所收集的基础资料，结合现场核查的有关情况，整理出绩效评价所需的项目材料和基础数据。</w:t>
      </w:r>
      <w:bookmarkEnd w:id="51"/>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bCs/>
          <w:color w:val="auto"/>
          <w:kern w:val="2"/>
          <w:sz w:val="28"/>
          <w:szCs w:val="24"/>
          <w:highlight w:val="none"/>
          <w:shd w:val="clear" w:color="auto" w:fill="auto"/>
          <w:lang w:val="en-US" w:eastAsia="zh-CN" w:bidi="ar-SA"/>
        </w:rPr>
      </w:pPr>
      <w:bookmarkStart w:id="52" w:name="_Toc26231"/>
      <w:r>
        <w:rPr>
          <w:rFonts w:hint="eastAsia" w:ascii="宋体" w:hAnsi="宋体" w:eastAsia="宋体" w:cs="宋体"/>
          <w:b w:val="0"/>
          <w:bCs w:val="0"/>
          <w:color w:val="auto"/>
          <w:kern w:val="2"/>
          <w:sz w:val="28"/>
          <w:szCs w:val="28"/>
          <w:highlight w:val="none"/>
          <w:shd w:val="clear" w:color="auto" w:fill="auto"/>
          <w:lang w:val="en-US" w:eastAsia="zh-CN" w:bidi="ar-SA"/>
        </w:rPr>
        <w:t>②将初步评价结论、调整</w:t>
      </w:r>
      <w:r>
        <w:rPr>
          <w:rFonts w:hint="eastAsia" w:ascii="宋体" w:hAnsi="宋体" w:eastAsia="宋体" w:cs="宋体"/>
          <w:b w:val="0"/>
          <w:bCs w:val="0"/>
          <w:color w:val="auto"/>
          <w:kern w:val="2"/>
          <w:sz w:val="28"/>
          <w:szCs w:val="24"/>
          <w:highlight w:val="none"/>
          <w:shd w:val="clear" w:color="auto" w:fill="auto"/>
          <w:lang w:val="en-US" w:eastAsia="zh-CN" w:bidi="ar-SA"/>
        </w:rPr>
        <w:t>事项、专家咨询意见和有关说明等</w:t>
      </w:r>
      <w:r>
        <w:rPr>
          <w:rFonts w:hint="eastAsia" w:ascii="宋体" w:hAnsi="宋体" w:cs="宋体"/>
          <w:b w:val="0"/>
          <w:bCs w:val="0"/>
          <w:color w:val="auto"/>
          <w:kern w:val="2"/>
          <w:sz w:val="28"/>
          <w:szCs w:val="24"/>
          <w:highlight w:val="none"/>
          <w:shd w:val="clear" w:color="auto" w:fill="auto"/>
          <w:lang w:val="en-US" w:eastAsia="zh-CN" w:bidi="ar-SA"/>
        </w:rPr>
        <w:t>提交单位内部讨论</w:t>
      </w:r>
      <w:r>
        <w:rPr>
          <w:rFonts w:hint="eastAsia" w:ascii="宋体" w:hAnsi="宋体" w:eastAsia="宋体" w:cs="宋体"/>
          <w:b w:val="0"/>
          <w:bCs w:val="0"/>
          <w:color w:val="auto"/>
          <w:kern w:val="2"/>
          <w:sz w:val="28"/>
          <w:szCs w:val="24"/>
          <w:highlight w:val="none"/>
          <w:shd w:val="clear" w:color="auto" w:fill="auto"/>
          <w:lang w:val="en-US" w:eastAsia="zh-CN" w:bidi="ar-SA"/>
        </w:rPr>
        <w:t>并征求意见。之后，对所征求的意见及时地进行收集和整理。</w:t>
      </w:r>
      <w:bookmarkEnd w:id="52"/>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53" w:name="_Toc27759"/>
      <w:r>
        <w:rPr>
          <w:rFonts w:hint="eastAsia" w:ascii="宋体" w:hAnsi="宋体" w:eastAsia="宋体" w:cs="宋体"/>
          <w:b w:val="0"/>
          <w:bCs w:val="0"/>
          <w:color w:val="auto"/>
          <w:kern w:val="2"/>
          <w:sz w:val="28"/>
          <w:szCs w:val="24"/>
          <w:highlight w:val="none"/>
          <w:shd w:val="clear" w:color="auto" w:fill="auto"/>
          <w:lang w:val="en-US" w:eastAsia="zh-CN" w:bidi="ar-SA"/>
        </w:rPr>
        <w:t>（</w:t>
      </w:r>
      <w:r>
        <w:rPr>
          <w:rFonts w:hint="eastAsia" w:ascii="宋体" w:hAnsi="宋体" w:cs="宋体"/>
          <w:b w:val="0"/>
          <w:bCs w:val="0"/>
          <w:color w:val="auto"/>
          <w:kern w:val="2"/>
          <w:sz w:val="28"/>
          <w:szCs w:val="24"/>
          <w:highlight w:val="none"/>
          <w:shd w:val="clear" w:color="auto" w:fill="auto"/>
          <w:lang w:val="en-US" w:eastAsia="zh-CN" w:bidi="ar-SA"/>
        </w:rPr>
        <w:t>2</w:t>
      </w:r>
      <w:r>
        <w:rPr>
          <w:rFonts w:hint="eastAsia" w:ascii="宋体" w:hAnsi="宋体" w:eastAsia="宋体" w:cs="宋体"/>
          <w:b w:val="0"/>
          <w:bCs w:val="0"/>
          <w:color w:val="auto"/>
          <w:kern w:val="2"/>
          <w:sz w:val="28"/>
          <w:szCs w:val="24"/>
          <w:highlight w:val="none"/>
          <w:shd w:val="clear" w:color="auto" w:fill="auto"/>
          <w:lang w:val="en-US" w:eastAsia="zh-CN" w:bidi="ar-SA"/>
        </w:rPr>
        <w:t>）撰写报告</w:t>
      </w:r>
      <w:bookmarkEnd w:id="53"/>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bookmarkStart w:id="54" w:name="_Toc15579"/>
      <w:r>
        <w:rPr>
          <w:rFonts w:hint="eastAsia" w:ascii="宋体" w:hAnsi="宋体" w:eastAsia="宋体" w:cs="宋体"/>
          <w:b w:val="0"/>
          <w:bCs w:val="0"/>
          <w:color w:val="auto"/>
          <w:kern w:val="2"/>
          <w:sz w:val="28"/>
          <w:szCs w:val="24"/>
          <w:highlight w:val="none"/>
          <w:shd w:val="clear" w:color="auto" w:fill="auto"/>
          <w:lang w:val="en-US" w:eastAsia="zh-CN" w:bidi="ar-SA"/>
        </w:rPr>
        <w:t>绩效评价项目小组依照整理、分析后的项目材料、数据资料，依据评价形成的初步结论，按照既定的格式和内容要求撰写绩效评价初步报告，</w:t>
      </w:r>
      <w:r>
        <w:rPr>
          <w:rFonts w:hint="eastAsia" w:ascii="宋体" w:hAnsi="宋体" w:cs="宋体"/>
          <w:b w:val="0"/>
          <w:bCs w:val="0"/>
          <w:color w:val="auto"/>
          <w:kern w:val="2"/>
          <w:sz w:val="28"/>
          <w:szCs w:val="24"/>
          <w:highlight w:val="none"/>
          <w:shd w:val="clear" w:color="auto" w:fill="auto"/>
          <w:lang w:val="en-US" w:eastAsia="zh-CN" w:bidi="ar-SA"/>
        </w:rPr>
        <w:t>最终</w:t>
      </w:r>
      <w:r>
        <w:rPr>
          <w:rFonts w:hint="eastAsia" w:ascii="宋体" w:hAnsi="宋体" w:eastAsia="宋体" w:cs="宋体"/>
          <w:b w:val="0"/>
          <w:bCs w:val="0"/>
          <w:color w:val="auto"/>
          <w:kern w:val="2"/>
          <w:sz w:val="28"/>
          <w:szCs w:val="24"/>
          <w:highlight w:val="none"/>
          <w:shd w:val="clear" w:color="auto" w:fill="auto"/>
          <w:lang w:val="en-US" w:eastAsia="zh-CN" w:bidi="ar-SA"/>
        </w:rPr>
        <w:t>形成评价结果。</w:t>
      </w:r>
      <w:bookmarkEnd w:id="54"/>
    </w:p>
    <w:p>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sz w:val="28"/>
          <w:szCs w:val="28"/>
          <w:highlight w:val="none"/>
          <w:shd w:val="clear" w:color="auto" w:fill="auto"/>
        </w:rPr>
      </w:pPr>
      <w:bookmarkStart w:id="55" w:name="_Toc1100"/>
      <w:r>
        <w:rPr>
          <w:rFonts w:hint="eastAsia" w:ascii="宋体" w:hAnsi="宋体" w:eastAsia="宋体" w:cs="宋体"/>
          <w:b/>
          <w:bCs/>
          <w:color w:val="auto"/>
          <w:sz w:val="28"/>
          <w:szCs w:val="28"/>
          <w:highlight w:val="none"/>
          <w:shd w:val="clear" w:color="auto" w:fill="auto"/>
          <w:lang w:val="en-US" w:eastAsia="zh-CN"/>
        </w:rPr>
        <w:t>三、</w:t>
      </w:r>
      <w:r>
        <w:rPr>
          <w:rFonts w:hint="eastAsia" w:ascii="宋体" w:hAnsi="宋体" w:eastAsia="宋体" w:cs="宋体"/>
          <w:b/>
          <w:bCs/>
          <w:color w:val="auto"/>
          <w:sz w:val="28"/>
          <w:szCs w:val="28"/>
          <w:highlight w:val="none"/>
          <w:shd w:val="clear" w:color="auto" w:fill="auto"/>
        </w:rPr>
        <w:t>综合评价情况及评价结论</w:t>
      </w:r>
      <w:bookmarkEnd w:id="55"/>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zh-TW" w:eastAsia="zh-TW"/>
        </w:rPr>
      </w:pPr>
      <w:r>
        <w:rPr>
          <w:rFonts w:hint="eastAsia" w:ascii="宋体" w:hAnsi="宋体" w:eastAsia="宋体" w:cs="宋体"/>
          <w:color w:val="auto"/>
          <w:highlight w:val="none"/>
          <w:shd w:val="clear" w:color="auto" w:fill="auto"/>
          <w:lang w:val="en-US" w:eastAsia="zh-CN"/>
        </w:rPr>
        <w:t>此次绩效评价</w:t>
      </w:r>
      <w:r>
        <w:rPr>
          <w:rFonts w:hint="eastAsia" w:ascii="宋体" w:hAnsi="宋体" w:eastAsia="宋体" w:cs="宋体"/>
          <w:color w:val="auto"/>
          <w:highlight w:val="none"/>
          <w:shd w:val="clear" w:color="auto" w:fill="auto"/>
          <w:lang w:val="zh-TW" w:eastAsia="zh-TW"/>
        </w:rPr>
        <w:t>通过组论证的评价指标体系及评分标准，</w:t>
      </w:r>
      <w:r>
        <w:rPr>
          <w:rFonts w:hint="eastAsia" w:ascii="宋体" w:hAnsi="宋体" w:eastAsia="宋体" w:cs="宋体"/>
          <w:color w:val="auto"/>
          <w:highlight w:val="none"/>
          <w:shd w:val="clear" w:color="auto" w:fill="auto"/>
        </w:rPr>
        <w:t>采用的方法比较法</w:t>
      </w:r>
      <w:r>
        <w:rPr>
          <w:rFonts w:hint="eastAsia" w:ascii="宋体" w:hAnsi="宋体" w:eastAsia="宋体" w:cs="宋体"/>
          <w:color w:val="auto"/>
          <w:highlight w:val="none"/>
          <w:shd w:val="clear" w:color="auto" w:fill="auto"/>
          <w:lang w:eastAsia="zh-CN"/>
        </w:rPr>
        <w:t>、因素分析法、公众评判法</w:t>
      </w:r>
      <w:r>
        <w:rPr>
          <w:rFonts w:hint="eastAsia" w:ascii="宋体" w:hAnsi="宋体" w:eastAsia="宋体" w:cs="宋体"/>
          <w:b w:val="0"/>
          <w:bCs w:val="0"/>
          <w:color w:val="auto"/>
          <w:highlight w:val="none"/>
          <w:shd w:val="clear" w:color="auto" w:fill="auto"/>
          <w:lang w:eastAsia="zh-CN"/>
        </w:rPr>
        <w:t>，</w:t>
      </w:r>
      <w:r>
        <w:rPr>
          <w:rFonts w:hint="eastAsia" w:ascii="宋体" w:hAnsi="宋体" w:eastAsia="宋体" w:cs="宋体"/>
          <w:b w:val="0"/>
          <w:bCs w:val="0"/>
          <w:color w:val="auto"/>
          <w:highlight w:val="none"/>
          <w:shd w:val="clear" w:color="auto" w:fill="auto"/>
          <w:lang w:val="zh-TW" w:eastAsia="zh-TW"/>
        </w:rPr>
        <w:t>对</w:t>
      </w:r>
      <w:r>
        <w:rPr>
          <w:rFonts w:hint="eastAsia" w:ascii="宋体" w:hAnsi="宋体" w:eastAsia="宋体" w:cs="宋体"/>
          <w:b w:val="0"/>
          <w:bCs w:val="0"/>
          <w:color w:val="auto"/>
          <w:highlight w:val="none"/>
          <w:shd w:val="clear" w:color="auto" w:fill="auto"/>
          <w:lang w:val="en-US" w:eastAsia="zh-CN"/>
        </w:rPr>
        <w:t>阜康市水源地输水管网建设工程-占地补偿款</w:t>
      </w:r>
      <w:r>
        <w:rPr>
          <w:rFonts w:hint="eastAsia" w:ascii="宋体" w:hAnsi="宋体" w:eastAsia="宋体" w:cs="宋体"/>
          <w:b w:val="0"/>
          <w:bCs w:val="0"/>
          <w:color w:val="auto"/>
          <w:highlight w:val="none"/>
          <w:shd w:val="clear" w:color="auto" w:fill="auto"/>
          <w:lang w:val="zh-TW" w:eastAsia="zh-TW"/>
        </w:rPr>
        <w:t>绩效进行客观评价，最终评分结果：总分为</w:t>
      </w:r>
      <w:r>
        <w:rPr>
          <w:rFonts w:hint="eastAsia" w:cs="宋体"/>
          <w:b w:val="0"/>
          <w:bCs w:val="0"/>
          <w:color w:val="auto"/>
          <w:highlight w:val="none"/>
          <w:shd w:val="clear" w:color="auto" w:fill="auto"/>
          <w:lang w:val="en-US" w:eastAsia="zh-CN"/>
        </w:rPr>
        <w:t>100</w:t>
      </w:r>
      <w:r>
        <w:rPr>
          <w:rFonts w:hint="eastAsia" w:ascii="宋体" w:hAnsi="宋体" w:eastAsia="宋体" w:cs="宋体"/>
          <w:b w:val="0"/>
          <w:bCs w:val="0"/>
          <w:color w:val="auto"/>
          <w:highlight w:val="none"/>
          <w:shd w:val="clear" w:color="auto" w:fill="auto"/>
          <w:lang w:val="zh-TW" w:eastAsia="zh-TW"/>
        </w:rPr>
        <w:t>分，绩效评级为</w:t>
      </w:r>
      <w:r>
        <w:rPr>
          <w:rFonts w:hint="eastAsia" w:ascii="宋体" w:hAnsi="宋体" w:eastAsia="宋体" w:cs="宋体"/>
          <w:color w:val="auto"/>
          <w:highlight w:val="none"/>
          <w:shd w:val="clear" w:color="auto" w:fill="auto"/>
          <w:lang w:val="zh-TW" w:eastAsia="zh-TW"/>
        </w:rPr>
        <w:t>“</w:t>
      </w:r>
      <w:r>
        <w:rPr>
          <w:rFonts w:hint="eastAsia" w:cs="宋体"/>
          <w:color w:val="auto"/>
          <w:highlight w:val="none"/>
          <w:shd w:val="clear" w:color="auto" w:fill="auto"/>
          <w:lang w:val="en-US" w:eastAsia="zh-CN"/>
        </w:rPr>
        <w:t>100</w:t>
      </w:r>
      <w:r>
        <w:rPr>
          <w:rFonts w:hint="eastAsia" w:ascii="宋体" w:hAnsi="宋体" w:eastAsia="宋体" w:cs="宋体"/>
          <w:color w:val="auto"/>
          <w:highlight w:val="none"/>
          <w:shd w:val="clear" w:color="auto" w:fill="auto"/>
          <w:lang w:val="zh-TW" w:eastAsia="zh-TW"/>
        </w:rPr>
        <w:t>”。各部分权重和绩效</w:t>
      </w:r>
      <w:r>
        <w:rPr>
          <w:rFonts w:hint="eastAsia" w:ascii="宋体" w:hAnsi="宋体" w:eastAsia="宋体" w:cs="宋体"/>
          <w:color w:val="auto"/>
          <w:highlight w:val="none"/>
          <w:shd w:val="clear" w:color="auto" w:fill="auto"/>
          <w:lang w:val="en-US" w:eastAsia="zh-CN"/>
        </w:rPr>
        <w:t>汇总</w:t>
      </w:r>
      <w:r>
        <w:rPr>
          <w:rFonts w:hint="eastAsia" w:ascii="宋体" w:hAnsi="宋体" w:eastAsia="宋体" w:cs="宋体"/>
          <w:color w:val="auto"/>
          <w:highlight w:val="none"/>
          <w:shd w:val="clear" w:color="auto" w:fill="auto"/>
          <w:lang w:val="zh-TW" w:eastAsia="zh-TW"/>
        </w:rPr>
        <w:t>分值如下表</w:t>
      </w:r>
      <w:r>
        <w:rPr>
          <w:rFonts w:hint="eastAsia" w:ascii="宋体" w:hAnsi="宋体" w:eastAsia="宋体" w:cs="宋体"/>
          <w:b/>
          <w:bCs/>
          <w:color w:val="auto"/>
          <w:kern w:val="0"/>
          <w:sz w:val="28"/>
          <w:szCs w:val="28"/>
          <w:highlight w:val="none"/>
          <w:shd w:val="clear" w:color="auto" w:fill="auto"/>
          <w:lang w:val="en-US" w:eastAsia="zh-CN"/>
        </w:rPr>
        <w:t>3-1</w:t>
      </w:r>
      <w:r>
        <w:rPr>
          <w:rFonts w:hint="eastAsia" w:ascii="宋体" w:hAnsi="宋体" w:eastAsia="宋体" w:cs="宋体"/>
          <w:color w:val="auto"/>
          <w:highlight w:val="none"/>
          <w:shd w:val="clear" w:color="auto" w:fill="auto"/>
          <w:lang w:val="zh-TW" w:eastAsia="zh-TW"/>
        </w:rPr>
        <w:t>所示</w:t>
      </w:r>
      <w:r>
        <w:rPr>
          <w:rFonts w:hint="eastAsia" w:cs="宋体"/>
          <w:b/>
          <w:bCs/>
          <w:color w:val="auto"/>
          <w:highlight w:val="none"/>
          <w:shd w:val="clear" w:color="auto" w:fill="auto"/>
          <w:lang w:val="zh-TW" w:eastAsia="zh-CN"/>
        </w:rPr>
        <w:t>（</w:t>
      </w:r>
      <w:r>
        <w:rPr>
          <w:rFonts w:hint="eastAsia" w:cs="宋体"/>
          <w:b/>
          <w:bCs/>
          <w:color w:val="auto"/>
          <w:highlight w:val="none"/>
          <w:shd w:val="clear" w:color="auto" w:fill="auto"/>
          <w:lang w:val="en-US" w:eastAsia="zh-CN"/>
        </w:rPr>
        <w:t>详见上传的附件</w:t>
      </w:r>
      <w:r>
        <w:rPr>
          <w:rFonts w:hint="eastAsia" w:cs="宋体"/>
          <w:b/>
          <w:bCs/>
          <w:color w:val="auto"/>
          <w:highlight w:val="none"/>
          <w:shd w:val="clear" w:color="auto" w:fill="auto"/>
          <w:lang w:val="zh-TW" w:eastAsia="zh-CN"/>
        </w:rPr>
        <w:t>）</w:t>
      </w:r>
      <w:r>
        <w:rPr>
          <w:rFonts w:hint="eastAsia" w:ascii="宋体" w:hAnsi="宋体" w:eastAsia="宋体" w:cs="宋体"/>
          <w:color w:val="auto"/>
          <w:highlight w:val="none"/>
          <w:shd w:val="clear" w:color="auto" w:fill="auto"/>
          <w:lang w:val="zh-TW" w:eastAsia="zh-TW"/>
        </w:rPr>
        <w:t>：</w:t>
      </w:r>
    </w:p>
    <w:tbl>
      <w:tblPr>
        <w:tblStyle w:val="11"/>
        <w:tblW w:w="8289" w:type="dxa"/>
        <w:jc w:val="center"/>
        <w:shd w:val="clear" w:color="auto" w:fill="auto"/>
        <w:tblLayout w:type="fixed"/>
        <w:tblCellMar>
          <w:top w:w="0" w:type="dxa"/>
          <w:left w:w="0" w:type="dxa"/>
          <w:bottom w:w="0" w:type="dxa"/>
          <w:right w:w="0" w:type="dxa"/>
        </w:tblCellMar>
      </w:tblPr>
      <w:tblGrid>
        <w:gridCol w:w="1094"/>
        <w:gridCol w:w="1361"/>
        <w:gridCol w:w="1361"/>
        <w:gridCol w:w="1361"/>
        <w:gridCol w:w="1623"/>
        <w:gridCol w:w="1489"/>
      </w:tblGrid>
      <w:tr>
        <w:tblPrEx>
          <w:shd w:val="clear" w:color="auto" w:fill="auto"/>
          <w:tblCellMar>
            <w:top w:w="0" w:type="dxa"/>
            <w:left w:w="0" w:type="dxa"/>
            <w:bottom w:w="0" w:type="dxa"/>
            <w:right w:w="0" w:type="dxa"/>
          </w:tblCellMar>
        </w:tblPrEx>
        <w:trPr>
          <w:trHeight w:val="375" w:hRule="atLeast"/>
          <w:jc w:val="center"/>
        </w:trPr>
        <w:tc>
          <w:tcPr>
            <w:tcW w:w="8289"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b/>
                <w:bCs/>
                <w:color w:val="auto"/>
                <w:kern w:val="0"/>
                <w:sz w:val="28"/>
                <w:szCs w:val="28"/>
                <w:highlight w:val="none"/>
                <w:shd w:val="clear" w:color="auto" w:fill="auto"/>
                <w:lang w:val="en-US" w:eastAsia="zh-CN"/>
              </w:rPr>
              <w:t>表3-1：阜康市水源地输水管网建设工程-占地补偿款得分表</w:t>
            </w:r>
          </w:p>
        </w:tc>
      </w:tr>
      <w:tr>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指标类别</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1.项目决策</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2.过程管理</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3.项目产出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4.项目效益</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合计</w:t>
            </w:r>
          </w:p>
        </w:tc>
      </w:tr>
      <w:tr>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权重</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100</w:t>
            </w:r>
          </w:p>
        </w:tc>
      </w:tr>
      <w:tr>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分值</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p>
        </w:tc>
      </w:tr>
      <w:tr>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得分率</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r>
    </w:tbl>
    <w:p>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sz w:val="28"/>
          <w:szCs w:val="28"/>
          <w:highlight w:val="none"/>
          <w:shd w:val="clear" w:color="auto" w:fill="auto"/>
          <w:lang w:val="en-US" w:eastAsia="zh-CN"/>
        </w:rPr>
      </w:pPr>
      <w:bookmarkStart w:id="56" w:name="_Toc9421"/>
      <w:r>
        <w:rPr>
          <w:rFonts w:hint="eastAsia" w:ascii="宋体" w:hAnsi="宋体" w:eastAsia="宋体" w:cs="宋体"/>
          <w:b/>
          <w:bCs/>
          <w:color w:val="auto"/>
          <w:sz w:val="28"/>
          <w:szCs w:val="28"/>
          <w:highlight w:val="none"/>
          <w:shd w:val="clear" w:color="auto" w:fill="auto"/>
          <w:lang w:val="en-US" w:eastAsia="zh-CN"/>
        </w:rPr>
        <w:t>四、绩效评价指标分析</w:t>
      </w:r>
      <w:bookmarkEnd w:id="56"/>
    </w:p>
    <w:p>
      <w:pPr>
        <w:pStyle w:val="2"/>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auto"/>
          <w:sz w:val="28"/>
          <w:szCs w:val="28"/>
          <w:highlight w:val="none"/>
          <w:shd w:val="clear" w:color="auto" w:fill="auto"/>
        </w:rPr>
      </w:pPr>
      <w:bookmarkStart w:id="57" w:name="_Toc15355"/>
      <w:r>
        <w:rPr>
          <w:rFonts w:hint="eastAsia" w:ascii="宋体" w:hAnsi="宋体" w:eastAsia="宋体" w:cs="宋体"/>
          <w:color w:val="auto"/>
          <w:sz w:val="28"/>
          <w:szCs w:val="28"/>
          <w:highlight w:val="none"/>
          <w:shd w:val="clear" w:color="auto" w:fill="auto"/>
        </w:rPr>
        <w:t>（一）项目决策情况</w:t>
      </w:r>
      <w:bookmarkEnd w:id="57"/>
    </w:p>
    <w:p>
      <w:pPr>
        <w:keepNext w:val="0"/>
        <w:keepLines w:val="0"/>
        <w:pageBreakBefore w:val="0"/>
        <w:widowControl w:val="0"/>
        <w:kinsoku/>
        <w:wordWrap/>
        <w:overflowPunct/>
        <w:topLinePunct w:val="0"/>
        <w:autoSpaceDE/>
        <w:autoSpaceDN/>
        <w:bidi w:val="0"/>
        <w:adjustRightInd/>
        <w:snapToGrid/>
        <w:spacing w:line="360" w:lineRule="auto"/>
        <w:ind w:firstLine="723"/>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项目决策由3个二级指标和6个三级指标构成，权重分20分，实际得分</w:t>
      </w:r>
      <w:r>
        <w:rPr>
          <w:rFonts w:hint="eastAsia" w:cs="宋体"/>
          <w:color w:val="auto"/>
          <w:highlight w:val="none"/>
          <w:shd w:val="clear" w:color="auto" w:fill="auto"/>
          <w:lang w:val="en-US" w:eastAsia="zh-CN"/>
        </w:rPr>
        <w:t>20</w:t>
      </w:r>
      <w:r>
        <w:rPr>
          <w:rFonts w:hint="eastAsia" w:ascii="宋体" w:hAnsi="宋体" w:eastAsia="宋体" w:cs="宋体"/>
          <w:color w:val="auto"/>
          <w:highlight w:val="none"/>
          <w:shd w:val="clear" w:color="auto" w:fill="auto"/>
          <w:lang w:val="en-US" w:eastAsia="zh-CN"/>
        </w:rPr>
        <w:t>分，</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b/>
          <w:bCs/>
          <w:color w:val="auto"/>
          <w:kern w:val="2"/>
          <w:highlight w:val="none"/>
          <w:u w:color="000000"/>
          <w:shd w:val="clear" w:color="auto" w:fill="auto"/>
          <w:lang w:val="en-US" w:eastAsia="zh-CN"/>
        </w:rPr>
        <w:t>4</w:t>
      </w:r>
      <w:r>
        <w:rPr>
          <w:rFonts w:hint="eastAsia" w:ascii="宋体" w:hAnsi="宋体" w:eastAsia="宋体" w:cs="宋体"/>
          <w:b/>
          <w:bCs/>
          <w:color w:val="auto"/>
          <w:kern w:val="2"/>
          <w:highlight w:val="none"/>
          <w:u w:color="000000"/>
          <w:shd w:val="clear" w:color="auto" w:fill="auto"/>
          <w:lang w:eastAsia="zh-CN"/>
        </w:rPr>
        <w:t>-1</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highlight w:val="none"/>
          <w:shd w:val="clear" w:color="auto" w:fill="auto"/>
          <w:lang w:val="zh-TW" w:eastAsia="zh-CN"/>
        </w:rPr>
        <w:t>（</w:t>
      </w:r>
      <w:r>
        <w:rPr>
          <w:rFonts w:hint="eastAsia" w:cs="宋体"/>
          <w:b/>
          <w:bCs/>
          <w:color w:val="auto"/>
          <w:highlight w:val="none"/>
          <w:shd w:val="clear" w:color="auto" w:fill="auto"/>
          <w:lang w:val="en-US" w:eastAsia="zh-CN"/>
        </w:rPr>
        <w:t>详见上传的附件</w:t>
      </w:r>
      <w:r>
        <w:rPr>
          <w:rFonts w:hint="eastAsia" w:cs="宋体"/>
          <w:b/>
          <w:bCs/>
          <w:color w:val="auto"/>
          <w:highlight w:val="none"/>
          <w:shd w:val="clear" w:color="auto" w:fill="auto"/>
          <w:lang w:val="zh-TW" w:eastAsia="zh-CN"/>
        </w:rPr>
        <w:t>）</w:t>
      </w:r>
      <w:r>
        <w:rPr>
          <w:rFonts w:hint="eastAsia" w:ascii="宋体" w:hAnsi="宋体" w:eastAsia="宋体" w:cs="宋体"/>
          <w:color w:val="auto"/>
          <w:highlight w:val="none"/>
          <w:shd w:val="clear" w:color="auto" w:fill="auto"/>
          <w:lang w:val="en-US"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4-1</w:t>
      </w:r>
      <w:r>
        <w:rPr>
          <w:rFonts w:hint="eastAsia" w:ascii="宋体" w:hAnsi="宋体" w:eastAsia="宋体" w:cs="宋体"/>
          <w:b/>
          <w:bCs/>
          <w:color w:val="auto"/>
          <w:kern w:val="0"/>
          <w:sz w:val="28"/>
          <w:szCs w:val="28"/>
          <w:highlight w:val="none"/>
          <w:shd w:val="clear" w:color="auto" w:fill="auto"/>
          <w:lang w:val="zh-TW" w:eastAsia="zh-TW"/>
        </w:rPr>
        <w:t>项目决策指标及分值</w:t>
      </w:r>
    </w:p>
    <w:tbl>
      <w:tblPr>
        <w:tblStyle w:val="11"/>
        <w:tblW w:w="8356" w:type="dxa"/>
        <w:jc w:val="center"/>
        <w:tblLayout w:type="fixed"/>
        <w:tblCellMar>
          <w:top w:w="0" w:type="dxa"/>
          <w:left w:w="0" w:type="dxa"/>
          <w:bottom w:w="0" w:type="dxa"/>
          <w:right w:w="0" w:type="dxa"/>
        </w:tblCellMar>
      </w:tblPr>
      <w:tblGrid>
        <w:gridCol w:w="1065"/>
        <w:gridCol w:w="950"/>
        <w:gridCol w:w="1235"/>
        <w:gridCol w:w="785"/>
        <w:gridCol w:w="3"/>
        <w:gridCol w:w="1848"/>
        <w:gridCol w:w="3"/>
        <w:gridCol w:w="1399"/>
        <w:gridCol w:w="3"/>
        <w:gridCol w:w="1062"/>
        <w:gridCol w:w="3"/>
      </w:tblGrid>
      <w:tr>
        <w:tblPrEx>
          <w:tblCellMar>
            <w:top w:w="0" w:type="dxa"/>
            <w:left w:w="0" w:type="dxa"/>
            <w:bottom w:w="0" w:type="dxa"/>
            <w:right w:w="0" w:type="dxa"/>
          </w:tblCellMar>
        </w:tblPrEx>
        <w:trPr>
          <w:gridAfter w:val="1"/>
          <w:wAfter w:w="3" w:type="dxa"/>
          <w:trHeight w:val="281" w:hRule="atLeast"/>
          <w:tblHeader/>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一级指标</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8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得分</w:t>
            </w:r>
          </w:p>
        </w:tc>
      </w:tr>
      <w:tr>
        <w:tblPrEx>
          <w:tblCellMar>
            <w:top w:w="0" w:type="dxa"/>
            <w:left w:w="0" w:type="dxa"/>
            <w:bottom w:w="0" w:type="dxa"/>
            <w:right w:w="0" w:type="dxa"/>
          </w:tblCellMar>
        </w:tblPrEx>
        <w:trPr>
          <w:gridAfter w:val="1"/>
          <w:wAfter w:w="3" w:type="dxa"/>
          <w:trHeight w:val="184" w:hRule="atLeast"/>
          <w:tblHeader/>
          <w:jc w:val="center"/>
        </w:trPr>
        <w:tc>
          <w:tcPr>
            <w:tcW w:w="1065"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项目决策</w:t>
            </w:r>
          </w:p>
        </w:tc>
        <w:tc>
          <w:tcPr>
            <w:tcW w:w="95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235"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项目立项</w:t>
            </w:r>
          </w:p>
        </w:tc>
        <w:tc>
          <w:tcPr>
            <w:tcW w:w="785"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8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立项依据充分性</w:t>
            </w: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tblPrEx>
          <w:tblCellMar>
            <w:top w:w="0" w:type="dxa"/>
            <w:left w:w="0" w:type="dxa"/>
            <w:bottom w:w="0" w:type="dxa"/>
            <w:right w:w="0" w:type="dxa"/>
          </w:tblCellMar>
        </w:tblPrEx>
        <w:trPr>
          <w:gridAfter w:val="1"/>
          <w:wAfter w:w="3" w:type="dxa"/>
          <w:trHeight w:val="184" w:hRule="atLeast"/>
          <w:tblHeader/>
          <w:jc w:val="center"/>
        </w:trPr>
        <w:tc>
          <w:tcPr>
            <w:tcW w:w="106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5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35"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85"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立项程序规范性</w:t>
            </w: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w:t>
            </w:r>
          </w:p>
        </w:tc>
      </w:tr>
      <w:tr>
        <w:tblPrEx>
          <w:tblCellMar>
            <w:top w:w="0" w:type="dxa"/>
            <w:left w:w="0" w:type="dxa"/>
            <w:bottom w:w="0" w:type="dxa"/>
            <w:right w:w="0" w:type="dxa"/>
          </w:tblCellMar>
        </w:tblPrEx>
        <w:trPr>
          <w:gridAfter w:val="1"/>
          <w:wAfter w:w="3" w:type="dxa"/>
          <w:trHeight w:val="184" w:hRule="atLeast"/>
          <w:tblHeader/>
          <w:jc w:val="center"/>
        </w:trPr>
        <w:tc>
          <w:tcPr>
            <w:tcW w:w="106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5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绩效目标</w:t>
            </w:r>
          </w:p>
        </w:tc>
        <w:tc>
          <w:tcPr>
            <w:tcW w:w="78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w:t>
            </w:r>
          </w:p>
        </w:tc>
        <w:tc>
          <w:tcPr>
            <w:tcW w:w="18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绩效目标合理性</w:t>
            </w: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tblCellMar>
            <w:top w:w="0" w:type="dxa"/>
            <w:left w:w="0" w:type="dxa"/>
            <w:bottom w:w="0" w:type="dxa"/>
            <w:right w:w="0" w:type="dxa"/>
          </w:tblCellMar>
        </w:tblPrEx>
        <w:trPr>
          <w:gridAfter w:val="1"/>
          <w:wAfter w:w="3" w:type="dxa"/>
          <w:trHeight w:val="184" w:hRule="atLeast"/>
          <w:tblHeader/>
          <w:jc w:val="center"/>
        </w:trPr>
        <w:tc>
          <w:tcPr>
            <w:tcW w:w="106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5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绩效指标明确性</w:t>
            </w: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tblCellMar>
            <w:top w:w="0" w:type="dxa"/>
            <w:left w:w="0" w:type="dxa"/>
            <w:bottom w:w="0" w:type="dxa"/>
            <w:right w:w="0" w:type="dxa"/>
          </w:tblCellMar>
        </w:tblPrEx>
        <w:trPr>
          <w:gridAfter w:val="1"/>
          <w:wAfter w:w="3" w:type="dxa"/>
          <w:trHeight w:val="184" w:hRule="atLeast"/>
          <w:tblHeader/>
          <w:jc w:val="center"/>
        </w:trPr>
        <w:tc>
          <w:tcPr>
            <w:tcW w:w="106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5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35"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资金投入</w:t>
            </w:r>
          </w:p>
        </w:tc>
        <w:tc>
          <w:tcPr>
            <w:tcW w:w="785"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8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预算编制科学性</w:t>
            </w: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tblPrEx>
          <w:tblCellMar>
            <w:top w:w="0" w:type="dxa"/>
            <w:left w:w="0" w:type="dxa"/>
            <w:bottom w:w="0" w:type="dxa"/>
            <w:right w:w="0" w:type="dxa"/>
          </w:tblCellMar>
        </w:tblPrEx>
        <w:trPr>
          <w:gridAfter w:val="1"/>
          <w:wAfter w:w="3" w:type="dxa"/>
          <w:trHeight w:val="184" w:hRule="atLeast"/>
          <w:tblHeader/>
          <w:jc w:val="center"/>
        </w:trPr>
        <w:tc>
          <w:tcPr>
            <w:tcW w:w="1065"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5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35"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85"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资金分配合理性</w:t>
            </w: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w:t>
            </w:r>
          </w:p>
        </w:tc>
      </w:tr>
      <w:tr>
        <w:tblPrEx>
          <w:tblCellMar>
            <w:top w:w="0" w:type="dxa"/>
            <w:left w:w="0" w:type="dxa"/>
            <w:bottom w:w="0" w:type="dxa"/>
            <w:right w:w="0" w:type="dxa"/>
          </w:tblCellMar>
        </w:tblPrEx>
        <w:trPr>
          <w:trHeight w:val="189" w:hRule="atLeast"/>
          <w:tblHeader/>
          <w:jc w:val="center"/>
        </w:trPr>
        <w:tc>
          <w:tcPr>
            <w:tcW w:w="325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8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20</w:t>
            </w:r>
          </w:p>
        </w:tc>
      </w:tr>
    </w:tbl>
    <w:p>
      <w:pPr>
        <w:bidi w:val="0"/>
        <w:outlineLvl w:val="2"/>
        <w:rPr>
          <w:rFonts w:hint="default"/>
          <w:b/>
          <w:bCs/>
          <w:color w:val="auto"/>
          <w:highlight w:val="none"/>
          <w:lang w:val="en-US" w:eastAsia="zh-CN"/>
        </w:rPr>
      </w:pPr>
      <w:bookmarkStart w:id="58" w:name="_Toc13522"/>
      <w:r>
        <w:rPr>
          <w:rFonts w:hint="eastAsia"/>
          <w:b/>
          <w:bCs/>
          <w:color w:val="auto"/>
          <w:highlight w:val="none"/>
          <w:lang w:val="en-US" w:eastAsia="zh-CN"/>
        </w:rPr>
        <w:t>1.立项依据充分性</w:t>
      </w:r>
      <w:bookmarkEnd w:id="58"/>
    </w:p>
    <w:p>
      <w:pPr>
        <w:bidi w:val="0"/>
        <w:rPr>
          <w:rFonts w:hint="default"/>
          <w:color w:val="auto"/>
          <w:sz w:val="28"/>
          <w:szCs w:val="28"/>
          <w:highlight w:val="none"/>
          <w:lang w:val="en-US" w:eastAsia="zh-CN"/>
        </w:rPr>
      </w:pPr>
      <w:r>
        <w:rPr>
          <w:rFonts w:hint="eastAsia"/>
          <w:color w:val="auto"/>
          <w:sz w:val="28"/>
          <w:szCs w:val="28"/>
          <w:highlight w:val="none"/>
          <w:lang w:eastAsia="zh-CN"/>
        </w:rPr>
        <w:t>①项目立项符合</w:t>
      </w:r>
      <w:r>
        <w:rPr>
          <w:rFonts w:hint="eastAsia" w:ascii="宋体" w:hAnsi="宋体" w:eastAsia="宋体" w:cs="宋体"/>
          <w:color w:val="auto"/>
          <w:sz w:val="28"/>
          <w:szCs w:val="28"/>
          <w:highlight w:val="none"/>
          <w:lang w:eastAsia="zh-CN"/>
        </w:rPr>
        <w:t>国家法律法规、国民经济发展规划和相关政策</w:t>
      </w:r>
      <w:r>
        <w:rPr>
          <w:rFonts w:hint="eastAsia" w:ascii="宋体" w:hAnsi="宋体" w:eastAsia="宋体" w:cs="宋体"/>
          <w:color w:val="auto"/>
          <w:sz w:val="28"/>
          <w:szCs w:val="28"/>
          <w:highlight w:val="none"/>
          <w:lang w:val="en-US" w:eastAsia="zh-CN"/>
        </w:rPr>
        <w:t>;</w:t>
      </w:r>
      <w:r>
        <w:rPr>
          <w:rFonts w:hint="default"/>
          <w:color w:val="auto"/>
          <w:sz w:val="28"/>
          <w:szCs w:val="28"/>
          <w:highlight w:val="none"/>
          <w:lang w:val="en-US" w:eastAsia="zh-CN"/>
        </w:rPr>
        <w:t>《昌吉州“十四五”水安全保障规划》</w:t>
      </w:r>
      <w:r>
        <w:rPr>
          <w:rFonts w:hint="eastAsia"/>
          <w:color w:val="auto"/>
          <w:sz w:val="28"/>
          <w:szCs w:val="28"/>
          <w:highlight w:val="none"/>
          <w:lang w:val="en-US" w:eastAsia="zh-CN"/>
        </w:rPr>
        <w:t>、</w:t>
      </w:r>
      <w:r>
        <w:rPr>
          <w:rFonts w:hint="default"/>
          <w:color w:val="auto"/>
          <w:sz w:val="28"/>
          <w:szCs w:val="28"/>
          <w:highlight w:val="none"/>
          <w:lang w:val="en-US" w:eastAsia="zh-CN"/>
        </w:rPr>
        <w:t>《昌吉州阜康市“十四五”水利发展(水安全保障)规划》</w:t>
      </w:r>
      <w:r>
        <w:rPr>
          <w:rFonts w:hint="eastAsia"/>
          <w:color w:val="auto"/>
          <w:sz w:val="28"/>
          <w:szCs w:val="28"/>
          <w:highlight w:val="none"/>
          <w:lang w:val="en-US" w:eastAsia="zh-CN"/>
        </w:rPr>
        <w:t>;</w:t>
      </w:r>
    </w:p>
    <w:p>
      <w:pPr>
        <w:bidi w:val="0"/>
        <w:rPr>
          <w:rFonts w:hint="eastAsia"/>
          <w:color w:val="auto"/>
          <w:sz w:val="28"/>
          <w:szCs w:val="28"/>
          <w:highlight w:val="none"/>
          <w:lang w:eastAsia="zh-CN"/>
        </w:rPr>
      </w:pPr>
      <w:r>
        <w:rPr>
          <w:rFonts w:hint="eastAsia"/>
          <w:color w:val="auto"/>
          <w:sz w:val="28"/>
          <w:szCs w:val="28"/>
          <w:highlight w:val="none"/>
          <w:lang w:eastAsia="zh-CN"/>
        </w:rPr>
        <w:t>②项目立项符合</w:t>
      </w:r>
      <w:r>
        <w:rPr>
          <w:rFonts w:hint="eastAsia" w:ascii="宋体" w:hAnsi="宋体" w:eastAsia="宋体" w:cs="宋体"/>
          <w:color w:val="auto"/>
          <w:sz w:val="28"/>
          <w:szCs w:val="28"/>
          <w:highlight w:val="none"/>
          <w:lang w:eastAsia="zh-CN"/>
        </w:rPr>
        <w:t>行业发展规划和政策要求</w:t>
      </w:r>
      <w:r>
        <w:rPr>
          <w:rFonts w:hint="eastAsia" w:ascii="宋体" w:hAnsi="宋体" w:eastAsia="宋体" w:cs="宋体"/>
          <w:color w:val="auto"/>
          <w:sz w:val="28"/>
          <w:szCs w:val="28"/>
          <w:highlight w:val="none"/>
          <w:lang w:val="en-US" w:eastAsia="zh-CN"/>
        </w:rPr>
        <w:t>;</w:t>
      </w:r>
      <w:r>
        <w:rPr>
          <w:rFonts w:hint="default"/>
          <w:color w:val="auto"/>
          <w:sz w:val="28"/>
          <w:szCs w:val="28"/>
          <w:highlight w:val="none"/>
          <w:lang w:val="en-US" w:eastAsia="zh-CN"/>
        </w:rPr>
        <w:t>《昌吉州阜康市“十四五”水利发展(水安全保障)规划》</w:t>
      </w:r>
      <w:r>
        <w:rPr>
          <w:rFonts w:hint="eastAsia"/>
          <w:color w:val="auto"/>
          <w:sz w:val="28"/>
          <w:szCs w:val="28"/>
          <w:highlight w:val="none"/>
          <w:lang w:eastAsia="zh-CN"/>
        </w:rPr>
        <w:t>；</w:t>
      </w:r>
    </w:p>
    <w:p>
      <w:pPr>
        <w:bidi w:val="0"/>
        <w:rPr>
          <w:rFonts w:hint="eastAsia" w:ascii="宋体" w:hAnsi="宋体" w:eastAsia="宋体" w:cs="宋体"/>
          <w:color w:val="auto"/>
          <w:sz w:val="28"/>
          <w:szCs w:val="28"/>
          <w:highlight w:val="none"/>
          <w:lang w:val="en-US" w:eastAsia="zh-CN"/>
        </w:rPr>
      </w:pPr>
      <w:r>
        <w:rPr>
          <w:rFonts w:hint="eastAsia"/>
          <w:color w:val="auto"/>
          <w:sz w:val="28"/>
          <w:szCs w:val="28"/>
          <w:highlight w:val="none"/>
          <w:lang w:eastAsia="zh-CN"/>
        </w:rPr>
        <w:t>③项目立项与部门职责范围相符，属于部门履职所需；</w:t>
      </w:r>
      <w:r>
        <w:rPr>
          <w:rFonts w:hint="eastAsia"/>
          <w:color w:val="auto"/>
          <w:sz w:val="28"/>
          <w:szCs w:val="28"/>
          <w:highlight w:val="none"/>
          <w:lang w:val="en-US" w:eastAsia="zh-CN"/>
        </w:rPr>
        <w:t>其中本项目涉及水利局职责范围为</w:t>
      </w:r>
      <w:r>
        <w:rPr>
          <w:rFonts w:hint="eastAsia" w:ascii="宋体" w:hAnsi="宋体" w:eastAsia="宋体" w:cs="宋体"/>
          <w:color w:val="auto"/>
          <w:sz w:val="28"/>
          <w:szCs w:val="28"/>
          <w:highlight w:val="none"/>
          <w:lang w:val="en-US" w:eastAsia="zh-CN"/>
        </w:rPr>
        <w:t>“水资源的管理与保护。负责水资源的合理开发、利用和保护，包括地表水、地下水、再生水等。包括制定水资源的中长期供求计划，实施</w:t>
      </w:r>
      <w:r>
        <w:rPr>
          <w:rFonts w:hint="default" w:ascii="宋体" w:hAnsi="宋体" w:eastAsia="宋体" w:cs="宋体"/>
          <w:color w:val="auto"/>
          <w:sz w:val="28"/>
          <w:szCs w:val="28"/>
          <w:highlight w:val="none"/>
          <w:lang w:val="en-US" w:eastAsia="zh-CN"/>
        </w:rPr>
        <w:fldChar w:fldCharType="begin"/>
      </w:r>
      <w:r>
        <w:rPr>
          <w:rFonts w:hint="default" w:ascii="宋体" w:hAnsi="宋体" w:eastAsia="宋体" w:cs="宋体"/>
          <w:color w:val="auto"/>
          <w:sz w:val="28"/>
          <w:szCs w:val="28"/>
          <w:highlight w:val="none"/>
          <w:lang w:val="en-US" w:eastAsia="zh-CN"/>
        </w:rPr>
        <w:instrText xml:space="preserve"> HYPERLINK "https://www.baidu.com/s?rsv_idx=1&amp;tn=62095104_26_oem_dg&amp;wd=%E5%8F%96%E6%B0%B4%E8%AE%B8%E5%8F%AF%E5%88%B6%E5%BA%A6&amp;fenlei=256&amp;usm=2&amp;ie=utf-8&amp;rsv_pq=c3f9a4e500123944&amp;oq=%E6%B0%B4%E5%88%A9%E5%B1%80%E8%81%8C%E8%B4%A3%E8%8C%83%E5%9B%B4&amp;rsv_t=18f0+2TcFDlfpkyFxy/cylTV1owVzoXz23BJ+fTjtj9TBaIjrQA5RBYU340L/r/BgnRm5H32J5BH&amp;sa=re_dqa_zy&amp;icon=1" \t "https://www.baidu.com/_self" </w:instrText>
      </w:r>
      <w:r>
        <w:rPr>
          <w:rFonts w:hint="default" w:ascii="宋体" w:hAnsi="宋体" w:eastAsia="宋体" w:cs="宋体"/>
          <w:color w:val="auto"/>
          <w:sz w:val="28"/>
          <w:szCs w:val="28"/>
          <w:highlight w:val="none"/>
          <w:lang w:val="en-US" w:eastAsia="zh-CN"/>
        </w:rPr>
        <w:fldChar w:fldCharType="separate"/>
      </w:r>
      <w:r>
        <w:rPr>
          <w:rFonts w:hint="default" w:ascii="宋体" w:hAnsi="宋体" w:eastAsia="宋体" w:cs="宋体"/>
          <w:color w:val="auto"/>
          <w:sz w:val="28"/>
          <w:szCs w:val="28"/>
          <w:highlight w:val="none"/>
          <w:lang w:val="en-US" w:eastAsia="zh-CN"/>
        </w:rPr>
        <w:t>取水许可制度</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fldChar w:fldCharType="end"/>
      </w:r>
      <w:r>
        <w:rPr>
          <w:rFonts w:hint="default" w:ascii="宋体" w:hAnsi="宋体" w:eastAsia="宋体" w:cs="宋体"/>
          <w:color w:val="auto"/>
          <w:sz w:val="28"/>
          <w:szCs w:val="28"/>
          <w:highlight w:val="none"/>
          <w:lang w:val="en-US" w:eastAsia="zh-CN"/>
        </w:rPr>
        <w:t>，监测和控制水域污染，保护饮用水水源等</w:t>
      </w:r>
      <w:r>
        <w:rPr>
          <w:rFonts w:hint="eastAsia" w:ascii="宋体" w:hAnsi="宋体" w:eastAsia="宋体" w:cs="宋体"/>
          <w:color w:val="auto"/>
          <w:sz w:val="28"/>
          <w:szCs w:val="28"/>
          <w:highlight w:val="none"/>
          <w:lang w:val="en-US" w:eastAsia="zh-CN"/>
        </w:rPr>
        <w:t>”。</w:t>
      </w:r>
    </w:p>
    <w:p>
      <w:pPr>
        <w:bidi w:val="0"/>
        <w:rPr>
          <w:rFonts w:hint="eastAsia"/>
          <w:color w:val="auto"/>
          <w:sz w:val="28"/>
          <w:szCs w:val="28"/>
          <w:highlight w:val="none"/>
          <w:lang w:eastAsia="zh-CN"/>
        </w:rPr>
      </w:pPr>
      <w:r>
        <w:rPr>
          <w:rFonts w:hint="eastAsia"/>
          <w:color w:val="auto"/>
          <w:sz w:val="28"/>
          <w:szCs w:val="28"/>
          <w:highlight w:val="none"/>
          <w:lang w:eastAsia="zh-CN"/>
        </w:rPr>
        <w:t>④项目属于公共财政支持范围，符合中央、地方事权支出责任划分原则；</w:t>
      </w:r>
    </w:p>
    <w:p>
      <w:pPr>
        <w:bidi w:val="0"/>
        <w:rPr>
          <w:rFonts w:hint="eastAsia"/>
          <w:color w:val="auto"/>
          <w:sz w:val="28"/>
          <w:szCs w:val="28"/>
          <w:highlight w:val="none"/>
          <w:lang w:eastAsia="zh-CN"/>
        </w:rPr>
      </w:pPr>
      <w:r>
        <w:rPr>
          <w:rFonts w:hint="eastAsia"/>
          <w:color w:val="auto"/>
          <w:sz w:val="28"/>
          <w:szCs w:val="28"/>
          <w:highlight w:val="none"/>
          <w:lang w:eastAsia="zh-CN"/>
        </w:rPr>
        <w:t>⑤项目与相关部门同类项目或部门内部相关项目</w:t>
      </w:r>
      <w:r>
        <w:rPr>
          <w:rFonts w:hint="eastAsia"/>
          <w:color w:val="auto"/>
          <w:sz w:val="28"/>
          <w:szCs w:val="28"/>
          <w:highlight w:val="none"/>
          <w:lang w:val="en-US" w:eastAsia="zh-CN"/>
        </w:rPr>
        <w:t>不</w:t>
      </w:r>
      <w:r>
        <w:rPr>
          <w:rFonts w:hint="eastAsia"/>
          <w:color w:val="auto"/>
          <w:sz w:val="28"/>
          <w:szCs w:val="28"/>
          <w:highlight w:val="none"/>
          <w:lang w:eastAsia="zh-CN"/>
        </w:rPr>
        <w:t>重复。</w:t>
      </w:r>
    </w:p>
    <w:p>
      <w:pPr>
        <w:bidi w:val="0"/>
        <w:rPr>
          <w:rFonts w:hint="default"/>
          <w:color w:val="auto"/>
          <w:sz w:val="28"/>
          <w:szCs w:val="28"/>
          <w:highlight w:val="none"/>
          <w:lang w:val="en-US" w:eastAsia="zh-CN"/>
        </w:rPr>
      </w:pPr>
      <w:r>
        <w:rPr>
          <w:rFonts w:hint="eastAsia"/>
          <w:b/>
          <w:bCs/>
          <w:color w:val="auto"/>
          <w:sz w:val="28"/>
          <w:szCs w:val="28"/>
          <w:highlight w:val="none"/>
          <w:lang w:val="en-US" w:eastAsia="zh-CN"/>
        </w:rPr>
        <w:t>综上，该项指标满分2分，得分2分。</w:t>
      </w:r>
    </w:p>
    <w:p>
      <w:pPr>
        <w:bidi w:val="0"/>
        <w:outlineLvl w:val="2"/>
        <w:rPr>
          <w:rFonts w:hint="default"/>
          <w:b/>
          <w:bCs/>
          <w:color w:val="auto"/>
          <w:sz w:val="28"/>
          <w:szCs w:val="28"/>
          <w:highlight w:val="none"/>
          <w:lang w:val="en-US" w:eastAsia="zh-CN"/>
        </w:rPr>
      </w:pPr>
      <w:bookmarkStart w:id="59" w:name="_Toc21976"/>
      <w:r>
        <w:rPr>
          <w:rFonts w:hint="eastAsia"/>
          <w:b/>
          <w:bCs/>
          <w:color w:val="auto"/>
          <w:sz w:val="28"/>
          <w:szCs w:val="28"/>
          <w:highlight w:val="none"/>
          <w:lang w:val="en-US" w:eastAsia="zh-CN"/>
        </w:rPr>
        <w:t>2.立项程序规范性</w:t>
      </w:r>
      <w:bookmarkEnd w:id="59"/>
    </w:p>
    <w:p>
      <w:pPr>
        <w:bidi w:val="0"/>
        <w:rPr>
          <w:rFonts w:hint="eastAsia"/>
          <w:color w:val="auto"/>
          <w:sz w:val="28"/>
          <w:szCs w:val="28"/>
          <w:highlight w:val="none"/>
          <w:lang w:eastAsia="zh-CN"/>
        </w:rPr>
      </w:pPr>
      <w:r>
        <w:rPr>
          <w:rFonts w:hint="eastAsia"/>
          <w:color w:val="auto"/>
          <w:sz w:val="28"/>
          <w:szCs w:val="28"/>
          <w:highlight w:val="none"/>
          <w:lang w:eastAsia="zh-CN"/>
        </w:rPr>
        <w:t>①项目按照规定的程序申请设立；</w:t>
      </w:r>
    </w:p>
    <w:p>
      <w:pPr>
        <w:bidi w:val="0"/>
        <w:rPr>
          <w:rFonts w:hint="eastAsia"/>
          <w:color w:val="auto"/>
          <w:sz w:val="28"/>
          <w:szCs w:val="28"/>
          <w:highlight w:val="none"/>
          <w:lang w:eastAsia="zh-CN"/>
        </w:rPr>
      </w:pPr>
      <w:r>
        <w:rPr>
          <w:rFonts w:hint="eastAsia"/>
          <w:color w:val="auto"/>
          <w:sz w:val="28"/>
          <w:szCs w:val="28"/>
          <w:highlight w:val="none"/>
          <w:lang w:eastAsia="zh-CN"/>
        </w:rPr>
        <w:t>②审批文件、材料符合相关要求；</w:t>
      </w:r>
    </w:p>
    <w:p>
      <w:pPr>
        <w:bidi w:val="0"/>
        <w:rPr>
          <w:rFonts w:hint="eastAsia" w:eastAsia="宋体"/>
          <w:color w:val="auto"/>
          <w:sz w:val="28"/>
          <w:szCs w:val="28"/>
          <w:highlight w:val="none"/>
          <w:lang w:val="en-US" w:eastAsia="zh-CN"/>
        </w:rPr>
      </w:pPr>
      <w:r>
        <w:rPr>
          <w:rFonts w:hint="eastAsia"/>
          <w:color w:val="auto"/>
          <w:sz w:val="28"/>
          <w:szCs w:val="28"/>
          <w:highlight w:val="none"/>
          <w:lang w:eastAsia="zh-CN"/>
        </w:rPr>
        <w:t>③事前经</w:t>
      </w:r>
      <w:r>
        <w:rPr>
          <w:rFonts w:hint="eastAsia" w:ascii="宋体" w:hAnsi="宋体" w:eastAsia="宋体" w:cs="宋体"/>
          <w:color w:val="auto"/>
          <w:sz w:val="28"/>
          <w:szCs w:val="28"/>
          <w:highlight w:val="none"/>
          <w:lang w:eastAsia="zh-CN"/>
        </w:rPr>
        <w:t>过事前经过必要的可行性研究</w:t>
      </w:r>
      <w:r>
        <w:rPr>
          <w:rFonts w:hint="eastAsia"/>
          <w:color w:val="auto"/>
          <w:sz w:val="28"/>
          <w:szCs w:val="28"/>
          <w:highlight w:val="none"/>
          <w:lang w:eastAsia="zh-CN"/>
        </w:rPr>
        <w:t>、专家论证《</w:t>
      </w:r>
      <w:r>
        <w:rPr>
          <w:rFonts w:hint="eastAsia"/>
          <w:color w:val="auto"/>
          <w:sz w:val="28"/>
          <w:szCs w:val="28"/>
          <w:highlight w:val="none"/>
          <w:lang w:val="en-US" w:eastAsia="zh-CN"/>
        </w:rPr>
        <w:t>昌吉州阜康市水源地输水管网建设工程可行性研究报告</w:t>
      </w:r>
      <w:r>
        <w:rPr>
          <w:rFonts w:hint="eastAsia"/>
          <w:color w:val="auto"/>
          <w:sz w:val="28"/>
          <w:szCs w:val="28"/>
          <w:highlight w:val="none"/>
          <w:lang w:eastAsia="zh-CN"/>
        </w:rPr>
        <w:t>》</w:t>
      </w:r>
      <w:r>
        <w:rPr>
          <w:rFonts w:hint="eastAsia"/>
          <w:color w:val="auto"/>
          <w:sz w:val="28"/>
          <w:szCs w:val="28"/>
          <w:highlight w:val="none"/>
          <w:lang w:val="en-US" w:eastAsia="zh-CN"/>
        </w:rPr>
        <w:t>技术审查意见（昌水技审【2022】10号）</w:t>
      </w:r>
      <w:r>
        <w:rPr>
          <w:rFonts w:hint="eastAsia"/>
          <w:color w:val="auto"/>
          <w:sz w:val="28"/>
          <w:szCs w:val="28"/>
          <w:highlight w:val="none"/>
          <w:lang w:eastAsia="zh-CN"/>
        </w:rPr>
        <w:t>；风险评估、绩效评估《</w:t>
      </w:r>
      <w:r>
        <w:rPr>
          <w:rFonts w:hint="eastAsia"/>
          <w:color w:val="auto"/>
          <w:sz w:val="28"/>
          <w:szCs w:val="28"/>
          <w:highlight w:val="none"/>
          <w:lang w:val="en-US" w:eastAsia="zh-CN"/>
        </w:rPr>
        <w:t>新疆维吾尔自治区昌吉回族自治州阜康市水源地输水管网建设工程事前绩效评估报告</w:t>
      </w:r>
      <w:r>
        <w:rPr>
          <w:rFonts w:hint="eastAsia"/>
          <w:color w:val="auto"/>
          <w:sz w:val="28"/>
          <w:szCs w:val="28"/>
          <w:highlight w:val="none"/>
          <w:lang w:eastAsia="zh-CN"/>
        </w:rPr>
        <w:t>》；集体决策《</w:t>
      </w:r>
      <w:r>
        <w:rPr>
          <w:rFonts w:hint="eastAsia"/>
          <w:color w:val="auto"/>
          <w:sz w:val="28"/>
          <w:szCs w:val="28"/>
          <w:highlight w:val="none"/>
          <w:lang w:val="en-US" w:eastAsia="zh-CN"/>
        </w:rPr>
        <w:t>阜康市“引水入城”工作领导小组第二次会议纪要</w:t>
      </w:r>
      <w:r>
        <w:rPr>
          <w:rFonts w:hint="eastAsia"/>
          <w:color w:val="auto"/>
          <w:sz w:val="28"/>
          <w:szCs w:val="28"/>
          <w:highlight w:val="none"/>
          <w:lang w:eastAsia="zh-CN"/>
        </w:rPr>
        <w:t>》（</w:t>
      </w:r>
      <w:r>
        <w:rPr>
          <w:rFonts w:hint="eastAsia"/>
          <w:color w:val="auto"/>
          <w:sz w:val="28"/>
          <w:szCs w:val="28"/>
          <w:highlight w:val="none"/>
          <w:lang w:val="en-US" w:eastAsia="zh-CN"/>
        </w:rPr>
        <w:t>阜引水办【2022】1号</w:t>
      </w:r>
      <w:r>
        <w:rPr>
          <w:rFonts w:hint="eastAsia"/>
          <w:color w:val="auto"/>
          <w:sz w:val="28"/>
          <w:szCs w:val="28"/>
          <w:highlight w:val="none"/>
          <w:lang w:eastAsia="zh-CN"/>
        </w:rPr>
        <w:t>）。</w:t>
      </w:r>
    </w:p>
    <w:p>
      <w:pPr>
        <w:bidi w:val="0"/>
        <w:rPr>
          <w:rFonts w:hint="eastAsia"/>
          <w:color w:val="auto"/>
          <w:highlight w:val="none"/>
          <w:lang w:eastAsia="zh-CN"/>
        </w:rPr>
      </w:pPr>
      <w:r>
        <w:rPr>
          <w:rFonts w:hint="eastAsia"/>
          <w:b/>
          <w:bCs/>
          <w:color w:val="auto"/>
          <w:highlight w:val="none"/>
          <w:lang w:val="en-US" w:eastAsia="zh-CN"/>
        </w:rPr>
        <w:t>综上，该项指标满分3分，得分3分。</w:t>
      </w:r>
    </w:p>
    <w:p>
      <w:pPr>
        <w:bidi w:val="0"/>
        <w:outlineLvl w:val="2"/>
        <w:rPr>
          <w:rFonts w:hint="default"/>
          <w:b/>
          <w:bCs/>
          <w:color w:val="auto"/>
          <w:highlight w:val="none"/>
          <w:lang w:val="en-US" w:eastAsia="zh-CN"/>
        </w:rPr>
      </w:pPr>
      <w:bookmarkStart w:id="60" w:name="_Toc15382"/>
      <w:r>
        <w:rPr>
          <w:rFonts w:hint="eastAsia"/>
          <w:b/>
          <w:bCs/>
          <w:color w:val="auto"/>
          <w:highlight w:val="none"/>
          <w:lang w:val="en-US" w:eastAsia="zh-CN"/>
        </w:rPr>
        <w:t>3.绩效目标合理性</w:t>
      </w:r>
      <w:bookmarkEnd w:id="60"/>
    </w:p>
    <w:p>
      <w:pPr>
        <w:bidi w:val="0"/>
        <w:rPr>
          <w:rFonts w:hint="eastAsia"/>
          <w:color w:val="auto"/>
          <w:highlight w:val="none"/>
          <w:lang w:eastAsia="zh-CN"/>
        </w:rPr>
      </w:pPr>
      <w:r>
        <w:rPr>
          <w:rFonts w:hint="eastAsia"/>
          <w:color w:val="auto"/>
          <w:highlight w:val="none"/>
          <w:lang w:eastAsia="zh-CN"/>
        </w:rPr>
        <w:t>①项目有绩效目标；</w:t>
      </w:r>
    </w:p>
    <w:p>
      <w:pPr>
        <w:bidi w:val="0"/>
        <w:rPr>
          <w:rFonts w:hint="eastAsia"/>
          <w:color w:val="auto"/>
          <w:highlight w:val="none"/>
          <w:lang w:eastAsia="zh-CN"/>
        </w:rPr>
      </w:pPr>
      <w:r>
        <w:rPr>
          <w:rFonts w:hint="eastAsia"/>
          <w:color w:val="auto"/>
          <w:highlight w:val="none"/>
          <w:lang w:eastAsia="zh-CN"/>
        </w:rPr>
        <w:t>②项目绩效目标与实际工作内容具有相关性；</w:t>
      </w:r>
    </w:p>
    <w:p>
      <w:pPr>
        <w:bidi w:val="0"/>
        <w:rPr>
          <w:rFonts w:hint="eastAsia"/>
          <w:color w:val="auto"/>
          <w:highlight w:val="none"/>
          <w:lang w:eastAsia="zh-CN"/>
        </w:rPr>
      </w:pPr>
      <w:r>
        <w:rPr>
          <w:rFonts w:hint="eastAsia"/>
          <w:color w:val="auto"/>
          <w:highlight w:val="none"/>
          <w:lang w:eastAsia="zh-CN"/>
        </w:rPr>
        <w:t>③项目预期产出效益和效果符合正常的业绩水平；</w:t>
      </w:r>
    </w:p>
    <w:p>
      <w:pPr>
        <w:bidi w:val="0"/>
        <w:rPr>
          <w:rFonts w:hint="eastAsia"/>
          <w:color w:val="auto"/>
          <w:highlight w:val="none"/>
          <w:lang w:eastAsia="zh-CN"/>
        </w:rPr>
      </w:pPr>
      <w:r>
        <w:rPr>
          <w:rFonts w:hint="eastAsia"/>
          <w:color w:val="auto"/>
          <w:highlight w:val="none"/>
          <w:lang w:eastAsia="zh-CN"/>
        </w:rPr>
        <w:t>④与预算确定的项目投资额或资金量相匹配。</w:t>
      </w:r>
    </w:p>
    <w:p>
      <w:pPr>
        <w:bidi w:val="0"/>
        <w:rPr>
          <w:rFonts w:hint="eastAsia"/>
          <w:color w:val="auto"/>
          <w:highlight w:val="none"/>
          <w:lang w:eastAsia="zh-CN"/>
        </w:rPr>
      </w:pPr>
      <w:r>
        <w:rPr>
          <w:rFonts w:hint="eastAsia"/>
          <w:b/>
          <w:bCs/>
          <w:color w:val="auto"/>
          <w:highlight w:val="none"/>
          <w:lang w:val="en-US" w:eastAsia="zh-CN"/>
        </w:rPr>
        <w:t>综上，该项指标满分5分，得分5分。</w:t>
      </w:r>
    </w:p>
    <w:p>
      <w:pPr>
        <w:bidi w:val="0"/>
        <w:outlineLvl w:val="2"/>
        <w:rPr>
          <w:rFonts w:hint="default"/>
          <w:b/>
          <w:bCs/>
          <w:color w:val="auto"/>
          <w:highlight w:val="none"/>
          <w:lang w:val="en-US" w:eastAsia="zh-CN"/>
        </w:rPr>
      </w:pPr>
      <w:bookmarkStart w:id="61" w:name="_Toc10650"/>
      <w:r>
        <w:rPr>
          <w:rFonts w:hint="eastAsia"/>
          <w:b/>
          <w:bCs/>
          <w:color w:val="auto"/>
          <w:highlight w:val="none"/>
          <w:lang w:val="en-US" w:eastAsia="zh-CN"/>
        </w:rPr>
        <w:t>4.绩效指标明确性</w:t>
      </w:r>
      <w:bookmarkEnd w:id="61"/>
    </w:p>
    <w:p>
      <w:pPr>
        <w:bidi w:val="0"/>
        <w:rPr>
          <w:rFonts w:hint="default"/>
          <w:color w:val="auto"/>
          <w:sz w:val="28"/>
          <w:szCs w:val="28"/>
          <w:highlight w:val="none"/>
          <w:lang w:val="en-US" w:eastAsia="zh-CN"/>
        </w:rPr>
      </w:pPr>
      <w:r>
        <w:rPr>
          <w:rFonts w:hint="eastAsia"/>
          <w:color w:val="auto"/>
          <w:sz w:val="28"/>
          <w:szCs w:val="28"/>
          <w:highlight w:val="none"/>
          <w:lang w:eastAsia="zh-CN"/>
        </w:rPr>
        <w:t>①</w:t>
      </w:r>
      <w:r>
        <w:rPr>
          <w:rFonts w:hint="eastAsia"/>
          <w:color w:val="auto"/>
          <w:sz w:val="28"/>
          <w:szCs w:val="28"/>
          <w:highlight w:val="none"/>
          <w:lang w:val="en-US" w:eastAsia="zh-CN"/>
        </w:rPr>
        <w:t>本</w:t>
      </w:r>
      <w:r>
        <w:rPr>
          <w:rFonts w:hint="eastAsia"/>
          <w:color w:val="auto"/>
          <w:sz w:val="28"/>
          <w:szCs w:val="28"/>
          <w:highlight w:val="none"/>
          <w:lang w:eastAsia="zh-CN"/>
        </w:rPr>
        <w:t>项目绩效目标细化</w:t>
      </w:r>
      <w:r>
        <w:rPr>
          <w:rFonts w:hint="eastAsia"/>
          <w:color w:val="auto"/>
          <w:sz w:val="28"/>
          <w:szCs w:val="28"/>
          <w:highlight w:val="none"/>
          <w:lang w:val="en-US" w:eastAsia="zh-CN"/>
        </w:rPr>
        <w:t>分为4个一级指标，5个二级指标，10个三级指标。</w:t>
      </w:r>
    </w:p>
    <w:p>
      <w:pPr>
        <w:bidi w:val="0"/>
        <w:rPr>
          <w:rFonts w:hint="eastAsia"/>
          <w:color w:val="auto"/>
          <w:sz w:val="28"/>
          <w:szCs w:val="28"/>
          <w:highlight w:val="none"/>
          <w:lang w:eastAsia="zh-CN"/>
        </w:rPr>
      </w:pPr>
      <w:r>
        <w:rPr>
          <w:rFonts w:hint="eastAsia"/>
          <w:color w:val="auto"/>
          <w:sz w:val="28"/>
          <w:szCs w:val="28"/>
          <w:highlight w:val="none"/>
          <w:lang w:eastAsia="zh-CN"/>
        </w:rPr>
        <w:t>②</w:t>
      </w:r>
      <w:r>
        <w:rPr>
          <w:rFonts w:hint="eastAsia"/>
          <w:color w:val="auto"/>
          <w:sz w:val="28"/>
          <w:szCs w:val="28"/>
          <w:highlight w:val="none"/>
          <w:lang w:val="en-US" w:eastAsia="zh-CN"/>
        </w:rPr>
        <w:t>本项目</w:t>
      </w:r>
      <w:r>
        <w:rPr>
          <w:rFonts w:hint="eastAsia"/>
          <w:color w:val="auto"/>
          <w:sz w:val="28"/>
          <w:szCs w:val="28"/>
          <w:highlight w:val="none"/>
          <w:lang w:eastAsia="zh-CN"/>
        </w:rPr>
        <w:t>指标值</w:t>
      </w:r>
      <w:r>
        <w:rPr>
          <w:rFonts w:hint="eastAsia"/>
          <w:color w:val="auto"/>
          <w:sz w:val="28"/>
          <w:szCs w:val="28"/>
          <w:highlight w:val="none"/>
          <w:lang w:val="en-US" w:eastAsia="zh-CN"/>
        </w:rPr>
        <w:t>细化分10个三级指标，其中9个定量数值指标，2个定性指标，量化率达到90%</w:t>
      </w:r>
      <w:r>
        <w:rPr>
          <w:rFonts w:hint="eastAsia"/>
          <w:color w:val="auto"/>
          <w:sz w:val="28"/>
          <w:szCs w:val="28"/>
          <w:highlight w:val="none"/>
          <w:lang w:eastAsia="zh-CN"/>
        </w:rPr>
        <w:t>；</w:t>
      </w:r>
    </w:p>
    <w:p>
      <w:pPr>
        <w:bidi w:val="0"/>
        <w:rPr>
          <w:rFonts w:hint="eastAsia"/>
          <w:color w:val="auto"/>
          <w:sz w:val="28"/>
          <w:szCs w:val="28"/>
          <w:highlight w:val="none"/>
          <w:lang w:eastAsia="zh-CN"/>
        </w:rPr>
      </w:pPr>
      <w:r>
        <w:rPr>
          <w:rFonts w:hint="eastAsia"/>
          <w:color w:val="auto"/>
          <w:sz w:val="28"/>
          <w:szCs w:val="28"/>
          <w:highlight w:val="none"/>
          <w:lang w:eastAsia="zh-CN"/>
        </w:rPr>
        <w:t>③与项目目标任务数或计划数相对应。</w:t>
      </w:r>
    </w:p>
    <w:p>
      <w:pPr>
        <w:bidi w:val="0"/>
        <w:rPr>
          <w:rFonts w:hint="eastAsia"/>
          <w:color w:val="auto"/>
          <w:highlight w:val="none"/>
          <w:lang w:eastAsia="zh-CN"/>
        </w:rPr>
      </w:pPr>
      <w:r>
        <w:rPr>
          <w:rFonts w:hint="eastAsia"/>
          <w:b/>
          <w:bCs/>
          <w:color w:val="auto"/>
          <w:highlight w:val="none"/>
          <w:lang w:val="en-US" w:eastAsia="zh-CN"/>
        </w:rPr>
        <w:t>综上，该项指标满分5分，得分5分。</w:t>
      </w:r>
    </w:p>
    <w:p>
      <w:pPr>
        <w:bidi w:val="0"/>
        <w:outlineLvl w:val="2"/>
        <w:rPr>
          <w:rFonts w:hint="default"/>
          <w:b/>
          <w:bCs/>
          <w:color w:val="auto"/>
          <w:highlight w:val="none"/>
          <w:lang w:val="en-US" w:eastAsia="zh-CN"/>
        </w:rPr>
      </w:pPr>
      <w:bookmarkStart w:id="62" w:name="_Toc19401"/>
      <w:r>
        <w:rPr>
          <w:rFonts w:hint="eastAsia"/>
          <w:b/>
          <w:bCs/>
          <w:color w:val="auto"/>
          <w:highlight w:val="none"/>
          <w:lang w:val="en-US" w:eastAsia="zh-CN"/>
        </w:rPr>
        <w:t>5.预算编制科学性</w:t>
      </w:r>
      <w:bookmarkEnd w:id="62"/>
    </w:p>
    <w:p>
      <w:pPr>
        <w:bidi w:val="0"/>
        <w:rPr>
          <w:rFonts w:hint="eastAsia"/>
          <w:color w:val="auto"/>
          <w:highlight w:val="none"/>
          <w:lang w:eastAsia="zh-CN"/>
        </w:rPr>
      </w:pPr>
      <w:r>
        <w:rPr>
          <w:rFonts w:hint="eastAsia"/>
          <w:color w:val="auto"/>
          <w:highlight w:val="none"/>
          <w:lang w:eastAsia="zh-CN"/>
        </w:rPr>
        <w:t>①预算编制经过科学论证；</w:t>
      </w:r>
    </w:p>
    <w:p>
      <w:pPr>
        <w:bidi w:val="0"/>
        <w:rPr>
          <w:rFonts w:hint="eastAsia"/>
          <w:color w:val="auto"/>
          <w:highlight w:val="none"/>
          <w:lang w:eastAsia="zh-CN"/>
        </w:rPr>
      </w:pPr>
      <w:r>
        <w:rPr>
          <w:rFonts w:hint="eastAsia"/>
          <w:color w:val="auto"/>
          <w:highlight w:val="none"/>
          <w:lang w:eastAsia="zh-CN"/>
        </w:rPr>
        <w:t>②预算内容与项目内容匹配；</w:t>
      </w:r>
    </w:p>
    <w:p>
      <w:pPr>
        <w:bidi w:val="0"/>
        <w:rPr>
          <w:rFonts w:hint="eastAsia"/>
          <w:color w:val="auto"/>
          <w:highlight w:val="none"/>
          <w:lang w:eastAsia="zh-CN"/>
        </w:rPr>
      </w:pPr>
      <w:r>
        <w:rPr>
          <w:rFonts w:hint="eastAsia"/>
          <w:color w:val="auto"/>
          <w:highlight w:val="none"/>
          <w:lang w:eastAsia="zh-CN"/>
        </w:rPr>
        <w:t>③预算额度测算依据充分，按照标准编制；</w:t>
      </w:r>
    </w:p>
    <w:p>
      <w:pPr>
        <w:bidi w:val="0"/>
        <w:rPr>
          <w:rFonts w:hint="eastAsia"/>
          <w:color w:val="auto"/>
          <w:highlight w:val="none"/>
          <w:lang w:eastAsia="zh-CN"/>
        </w:rPr>
      </w:pPr>
      <w:r>
        <w:rPr>
          <w:rFonts w:hint="eastAsia"/>
          <w:color w:val="auto"/>
          <w:highlight w:val="none"/>
          <w:lang w:eastAsia="zh-CN"/>
        </w:rPr>
        <w:t>④预算确定的项目投资额或资金量与工作任务相匹配。</w:t>
      </w:r>
    </w:p>
    <w:p>
      <w:pPr>
        <w:bidi w:val="0"/>
        <w:rPr>
          <w:rFonts w:hint="eastAsia"/>
          <w:color w:val="auto"/>
          <w:highlight w:val="none"/>
          <w:lang w:eastAsia="zh-CN"/>
        </w:rPr>
      </w:pPr>
      <w:r>
        <w:rPr>
          <w:rFonts w:hint="eastAsia"/>
          <w:b/>
          <w:bCs/>
          <w:color w:val="auto"/>
          <w:highlight w:val="none"/>
          <w:lang w:val="en-US" w:eastAsia="zh-CN"/>
        </w:rPr>
        <w:t>综上，该项指标满分2分，得分2分。</w:t>
      </w:r>
    </w:p>
    <w:p>
      <w:pPr>
        <w:bidi w:val="0"/>
        <w:outlineLvl w:val="2"/>
        <w:rPr>
          <w:rFonts w:hint="default"/>
          <w:b/>
          <w:bCs/>
          <w:color w:val="auto"/>
          <w:highlight w:val="none"/>
          <w:lang w:val="en-US" w:eastAsia="zh-CN"/>
        </w:rPr>
      </w:pPr>
      <w:bookmarkStart w:id="63" w:name="_Toc697"/>
      <w:r>
        <w:rPr>
          <w:rFonts w:hint="eastAsia"/>
          <w:b/>
          <w:bCs/>
          <w:color w:val="auto"/>
          <w:highlight w:val="none"/>
          <w:lang w:val="en-US" w:eastAsia="zh-CN"/>
        </w:rPr>
        <w:t>6.资金分配合理性</w:t>
      </w:r>
      <w:bookmarkEnd w:id="63"/>
    </w:p>
    <w:p>
      <w:pPr>
        <w:bidi w:val="0"/>
        <w:rPr>
          <w:rFonts w:hint="eastAsia"/>
          <w:color w:val="auto"/>
          <w:highlight w:val="none"/>
          <w:lang w:eastAsia="zh-CN"/>
        </w:rPr>
      </w:pPr>
      <w:r>
        <w:rPr>
          <w:rFonts w:hint="eastAsia"/>
          <w:color w:val="auto"/>
          <w:highlight w:val="none"/>
          <w:lang w:eastAsia="zh-CN"/>
        </w:rPr>
        <w:t>①预算资金分配依据充分；</w:t>
      </w:r>
    </w:p>
    <w:p>
      <w:pPr>
        <w:bidi w:val="0"/>
        <w:rPr>
          <w:rFonts w:hint="eastAsia"/>
          <w:color w:val="auto"/>
          <w:highlight w:val="none"/>
          <w:lang w:eastAsia="zh-CN"/>
        </w:rPr>
      </w:pPr>
      <w:r>
        <w:rPr>
          <w:rFonts w:hint="eastAsia"/>
          <w:color w:val="auto"/>
          <w:highlight w:val="none"/>
          <w:lang w:eastAsia="zh-CN"/>
        </w:rPr>
        <w:t>②资金分配额度合理，与项目单位或地方实际相适应。</w:t>
      </w:r>
    </w:p>
    <w:p>
      <w:pPr>
        <w:bidi w:val="0"/>
        <w:rPr>
          <w:rFonts w:hint="eastAsia"/>
          <w:color w:val="auto"/>
          <w:highlight w:val="none"/>
          <w:lang w:eastAsia="zh-CN"/>
        </w:rPr>
      </w:pPr>
      <w:r>
        <w:rPr>
          <w:rFonts w:hint="eastAsia"/>
          <w:b/>
          <w:bCs/>
          <w:color w:val="auto"/>
          <w:highlight w:val="none"/>
          <w:lang w:val="en-US" w:eastAsia="zh-CN"/>
        </w:rPr>
        <w:t>综上，该项指标满分3分，得分3分。</w:t>
      </w:r>
    </w:p>
    <w:p>
      <w:pPr>
        <w:pStyle w:val="2"/>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auto"/>
          <w:sz w:val="28"/>
          <w:szCs w:val="28"/>
          <w:highlight w:val="none"/>
          <w:shd w:val="clear" w:color="auto" w:fill="auto"/>
        </w:rPr>
      </w:pPr>
      <w:bookmarkStart w:id="64" w:name="_Toc11361"/>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二</w:t>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rPr>
        <w:t>项目过程情况</w:t>
      </w:r>
      <w:bookmarkEnd w:id="64"/>
    </w:p>
    <w:p>
      <w:pPr>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rPr>
        <w:t>过程</w:t>
      </w:r>
      <w:r>
        <w:rPr>
          <w:rFonts w:hint="eastAsia" w:ascii="宋体" w:hAnsi="宋体" w:eastAsia="宋体" w:cs="宋体"/>
          <w:color w:val="auto"/>
          <w:kern w:val="2"/>
          <w:highlight w:val="none"/>
          <w:u w:color="000000"/>
          <w:shd w:val="clear" w:color="auto" w:fill="auto"/>
          <w:lang w:eastAsia="zh-CN"/>
        </w:rPr>
        <w:t>管理</w:t>
      </w:r>
      <w:r>
        <w:rPr>
          <w:rFonts w:hint="eastAsia" w:ascii="宋体" w:hAnsi="宋体" w:eastAsia="宋体" w:cs="宋体"/>
          <w:color w:val="auto"/>
          <w:kern w:val="2"/>
          <w:highlight w:val="none"/>
          <w:u w:color="000000"/>
          <w:shd w:val="clear" w:color="auto" w:fill="auto"/>
          <w:lang w:val="zh-TW" w:eastAsia="zh-TW"/>
        </w:rPr>
        <w:t>类指标由</w:t>
      </w:r>
      <w:r>
        <w:rPr>
          <w:rFonts w:hint="eastAsia" w:ascii="宋体" w:hAnsi="宋体" w:eastAsia="宋体" w:cs="宋体"/>
          <w:color w:val="auto"/>
          <w:kern w:val="2"/>
          <w:highlight w:val="none"/>
          <w:u w:color="000000"/>
          <w:shd w:val="clear" w:color="auto" w:fill="auto"/>
          <w:lang w:eastAsia="zh-CN"/>
        </w:rPr>
        <w:t>2</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ascii="宋体" w:hAnsi="宋体" w:eastAsia="宋体" w:cs="宋体"/>
          <w:color w:val="auto"/>
          <w:kern w:val="2"/>
          <w:highlight w:val="none"/>
          <w:u w:color="000000"/>
          <w:shd w:val="clear" w:color="auto" w:fill="auto"/>
          <w:lang w:val="en-US" w:eastAsia="zh-CN"/>
        </w:rPr>
        <w:t>5</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20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19.5</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-2</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4-2</w:t>
      </w:r>
      <w:r>
        <w:rPr>
          <w:rFonts w:hint="eastAsia" w:ascii="宋体" w:hAnsi="宋体" w:eastAsia="宋体" w:cs="宋体"/>
          <w:b/>
          <w:bCs/>
          <w:color w:val="auto"/>
          <w:kern w:val="0"/>
          <w:sz w:val="28"/>
          <w:szCs w:val="28"/>
          <w:highlight w:val="none"/>
          <w:shd w:val="clear" w:color="auto" w:fill="auto"/>
          <w:lang w:val="zh-TW" w:eastAsia="zh-TW"/>
        </w:rPr>
        <w:t>项目</w:t>
      </w:r>
      <w:r>
        <w:rPr>
          <w:rFonts w:hint="eastAsia" w:ascii="宋体" w:hAnsi="宋体" w:eastAsia="宋体" w:cs="宋体"/>
          <w:b/>
          <w:bCs/>
          <w:color w:val="auto"/>
          <w:kern w:val="0"/>
          <w:sz w:val="28"/>
          <w:szCs w:val="28"/>
          <w:highlight w:val="none"/>
          <w:shd w:val="clear" w:color="auto" w:fill="auto"/>
          <w:lang w:val="zh-TW" w:eastAsia="zh-CN"/>
        </w:rPr>
        <w:t>管理</w:t>
      </w:r>
      <w:r>
        <w:rPr>
          <w:rFonts w:hint="eastAsia" w:ascii="宋体" w:hAnsi="宋体" w:eastAsia="宋体" w:cs="宋体"/>
          <w:b/>
          <w:bCs/>
          <w:color w:val="auto"/>
          <w:kern w:val="0"/>
          <w:sz w:val="28"/>
          <w:szCs w:val="28"/>
          <w:highlight w:val="none"/>
          <w:shd w:val="clear" w:color="auto" w:fill="auto"/>
          <w:lang w:val="zh-TW" w:eastAsia="zh-TW"/>
        </w:rPr>
        <w:t>指标及分值</w:t>
      </w:r>
      <w:r>
        <w:rPr>
          <w:rFonts w:hint="eastAsia" w:ascii="宋体" w:hAnsi="宋体" w:eastAsia="宋体" w:cs="宋体"/>
          <w:b/>
          <w:bCs/>
          <w:color w:val="auto"/>
          <w:kern w:val="0"/>
          <w:sz w:val="28"/>
          <w:szCs w:val="28"/>
          <w:highlight w:val="none"/>
          <w:shd w:val="clear" w:color="auto" w:fill="auto"/>
          <w:lang w:val="en-US" w:eastAsia="zh-CN"/>
        </w:rPr>
        <w:t>情况</w:t>
      </w:r>
    </w:p>
    <w:tbl>
      <w:tblPr>
        <w:tblStyle w:val="11"/>
        <w:tblW w:w="8317" w:type="dxa"/>
        <w:jc w:val="center"/>
        <w:tblLayout w:type="fixed"/>
        <w:tblCellMar>
          <w:top w:w="0" w:type="dxa"/>
          <w:left w:w="0" w:type="dxa"/>
          <w:bottom w:w="0" w:type="dxa"/>
          <w:right w:w="0" w:type="dxa"/>
        </w:tblCellMar>
      </w:tblPr>
      <w:tblGrid>
        <w:gridCol w:w="1182"/>
        <w:gridCol w:w="738"/>
        <w:gridCol w:w="1248"/>
        <w:gridCol w:w="1176"/>
        <w:gridCol w:w="1833"/>
        <w:gridCol w:w="987"/>
        <w:gridCol w:w="1153"/>
      </w:tblGrid>
      <w:tr>
        <w:tblPrEx>
          <w:tblCellMar>
            <w:top w:w="0" w:type="dxa"/>
            <w:left w:w="0" w:type="dxa"/>
            <w:bottom w:w="0" w:type="dxa"/>
            <w:right w:w="0" w:type="dxa"/>
          </w:tblCellMar>
        </w:tblPrEx>
        <w:trPr>
          <w:trHeight w:val="272" w:hRule="atLeast"/>
          <w:tblHeader/>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一级指标</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得分</w:t>
            </w:r>
          </w:p>
        </w:tc>
      </w:tr>
      <w:tr>
        <w:tblPrEx>
          <w:tblCellMar>
            <w:top w:w="0" w:type="dxa"/>
            <w:left w:w="0" w:type="dxa"/>
            <w:bottom w:w="0" w:type="dxa"/>
            <w:right w:w="0" w:type="dxa"/>
          </w:tblCellMar>
        </w:tblPrEx>
        <w:trPr>
          <w:trHeight w:val="23" w:hRule="atLeast"/>
          <w:jc w:val="center"/>
        </w:trPr>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过程管理</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资金管理</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12</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资金到位率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预算执行率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资金使用合规性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组织实施</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8</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管理制度健全性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制度执行有效性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3.5</w:t>
            </w:r>
          </w:p>
        </w:tc>
      </w:tr>
      <w:tr>
        <w:tblPrEx>
          <w:tblCellMar>
            <w:top w:w="0" w:type="dxa"/>
            <w:left w:w="0" w:type="dxa"/>
            <w:bottom w:w="0" w:type="dxa"/>
            <w:right w:w="0" w:type="dxa"/>
          </w:tblCellMar>
        </w:tblPrEx>
        <w:trPr>
          <w:trHeight w:val="23" w:hRule="atLeast"/>
          <w:jc w:val="center"/>
        </w:trPr>
        <w:tc>
          <w:tcPr>
            <w:tcW w:w="316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19.5</w:t>
            </w:r>
          </w:p>
        </w:tc>
      </w:tr>
    </w:tbl>
    <w:p>
      <w:pPr>
        <w:bidi w:val="0"/>
        <w:outlineLvl w:val="2"/>
        <w:rPr>
          <w:rFonts w:hint="default"/>
          <w:b/>
          <w:bCs/>
          <w:color w:val="auto"/>
          <w:highlight w:val="none"/>
          <w:lang w:val="en-US" w:eastAsia="zh-CN"/>
        </w:rPr>
      </w:pPr>
      <w:bookmarkStart w:id="65" w:name="_Toc3886"/>
      <w:r>
        <w:rPr>
          <w:rFonts w:hint="eastAsia"/>
          <w:b/>
          <w:bCs/>
          <w:color w:val="auto"/>
          <w:highlight w:val="none"/>
          <w:lang w:val="en-US" w:eastAsia="zh-CN"/>
        </w:rPr>
        <w:t>1.资金到位率</w:t>
      </w:r>
      <w:bookmarkEnd w:id="65"/>
    </w:p>
    <w:p>
      <w:pPr>
        <w:bidi w:val="0"/>
        <w:rPr>
          <w:rFonts w:hint="default"/>
          <w:b/>
          <w:bCs/>
          <w:color w:val="auto"/>
          <w:highlight w:val="none"/>
          <w:lang w:val="en-US" w:eastAsia="zh-CN"/>
        </w:rPr>
      </w:pPr>
      <w:r>
        <w:rPr>
          <w:rFonts w:hint="eastAsia"/>
          <w:color w:val="auto"/>
          <w:highlight w:val="none"/>
          <w:lang w:eastAsia="zh-CN"/>
        </w:rPr>
        <w:t>资金到位率=（</w:t>
      </w:r>
      <w:r>
        <w:rPr>
          <w:rFonts w:hint="eastAsia"/>
          <w:color w:val="auto"/>
          <w:highlight w:val="none"/>
          <w:lang w:val="en-US" w:eastAsia="zh-CN"/>
        </w:rPr>
        <w:t>162.49万元</w:t>
      </w:r>
      <w:r>
        <w:rPr>
          <w:rFonts w:hint="eastAsia"/>
          <w:color w:val="auto"/>
          <w:highlight w:val="none"/>
          <w:lang w:eastAsia="zh-CN"/>
        </w:rPr>
        <w:t>/</w:t>
      </w:r>
      <w:r>
        <w:rPr>
          <w:rFonts w:hint="eastAsia"/>
          <w:color w:val="auto"/>
          <w:highlight w:val="none"/>
          <w:lang w:val="en-US" w:eastAsia="zh-CN"/>
        </w:rPr>
        <w:t>162.49万元</w:t>
      </w:r>
      <w:r>
        <w:rPr>
          <w:rFonts w:hint="eastAsia"/>
          <w:color w:val="auto"/>
          <w:highlight w:val="none"/>
          <w:lang w:eastAsia="zh-CN"/>
        </w:rPr>
        <w:t>）×10</w:t>
      </w:r>
      <w:r>
        <w:rPr>
          <w:rFonts w:hint="eastAsia" w:ascii="宋体" w:hAnsi="宋体" w:eastAsia="宋体" w:cs="宋体"/>
          <w:color w:val="auto"/>
          <w:highlight w:val="none"/>
          <w:lang w:val="en-US" w:eastAsia="zh-CN"/>
        </w:rPr>
        <w:t>0%=100%</w:t>
      </w:r>
    </w:p>
    <w:p>
      <w:pPr>
        <w:bidi w:val="0"/>
        <w:rPr>
          <w:rFonts w:hint="eastAsia"/>
          <w:color w:val="auto"/>
          <w:highlight w:val="none"/>
          <w:lang w:eastAsia="zh-CN"/>
        </w:rPr>
      </w:pPr>
      <w:r>
        <w:rPr>
          <w:rFonts w:hint="eastAsia"/>
          <w:b/>
          <w:bCs/>
          <w:color w:val="auto"/>
          <w:highlight w:val="none"/>
          <w:lang w:val="en-US" w:eastAsia="zh-CN"/>
        </w:rPr>
        <w:t>综上，该项指标满分4分，得分4分。</w:t>
      </w:r>
    </w:p>
    <w:p>
      <w:pPr>
        <w:bidi w:val="0"/>
        <w:outlineLvl w:val="2"/>
        <w:rPr>
          <w:rFonts w:hint="default"/>
          <w:b/>
          <w:bCs/>
          <w:color w:val="auto"/>
          <w:highlight w:val="none"/>
          <w:lang w:val="en-US" w:eastAsia="zh-CN"/>
        </w:rPr>
      </w:pPr>
      <w:bookmarkStart w:id="66" w:name="_Toc9705"/>
      <w:r>
        <w:rPr>
          <w:rFonts w:hint="eastAsia"/>
          <w:b/>
          <w:bCs/>
          <w:color w:val="auto"/>
          <w:highlight w:val="none"/>
          <w:lang w:val="en-US" w:eastAsia="zh-CN"/>
        </w:rPr>
        <w:t>2.预算执行率</w:t>
      </w:r>
      <w:bookmarkEnd w:id="66"/>
    </w:p>
    <w:p>
      <w:pPr>
        <w:bidi w:val="0"/>
        <w:rPr>
          <w:rFonts w:hint="default"/>
          <w:color w:val="auto"/>
          <w:highlight w:val="none"/>
          <w:lang w:val="en-US" w:eastAsia="zh-CN"/>
        </w:rPr>
      </w:pPr>
      <w:r>
        <w:rPr>
          <w:rFonts w:hint="eastAsia"/>
          <w:color w:val="auto"/>
          <w:highlight w:val="none"/>
          <w:lang w:eastAsia="zh-CN"/>
        </w:rPr>
        <w:t>预算执行率=（</w:t>
      </w:r>
      <w:r>
        <w:rPr>
          <w:rFonts w:hint="eastAsia"/>
          <w:color w:val="auto"/>
          <w:highlight w:val="none"/>
          <w:lang w:val="en-US" w:eastAsia="zh-CN"/>
        </w:rPr>
        <w:t>162.49万元</w:t>
      </w:r>
      <w:r>
        <w:rPr>
          <w:rFonts w:hint="eastAsia"/>
          <w:color w:val="auto"/>
          <w:highlight w:val="none"/>
          <w:lang w:eastAsia="zh-CN"/>
        </w:rPr>
        <w:t>/</w:t>
      </w:r>
      <w:r>
        <w:rPr>
          <w:rFonts w:hint="eastAsia"/>
          <w:color w:val="auto"/>
          <w:highlight w:val="none"/>
          <w:lang w:val="en-US" w:eastAsia="zh-CN"/>
        </w:rPr>
        <w:t>162.49万元</w:t>
      </w:r>
      <w:r>
        <w:rPr>
          <w:rFonts w:hint="eastAsia" w:ascii="宋体" w:hAnsi="宋体" w:eastAsia="宋体" w:cs="宋体"/>
          <w:color w:val="auto"/>
          <w:highlight w:val="none"/>
          <w:lang w:val="en-US" w:eastAsia="zh-CN"/>
        </w:rPr>
        <w:t>）×100%=100%</w:t>
      </w:r>
    </w:p>
    <w:p>
      <w:pPr>
        <w:bidi w:val="0"/>
        <w:rPr>
          <w:rFonts w:hint="eastAsia"/>
          <w:color w:val="auto"/>
          <w:highlight w:val="none"/>
          <w:lang w:eastAsia="zh-CN"/>
        </w:rPr>
      </w:pPr>
      <w:r>
        <w:rPr>
          <w:rFonts w:hint="eastAsia"/>
          <w:b/>
          <w:bCs/>
          <w:color w:val="auto"/>
          <w:highlight w:val="none"/>
          <w:lang w:val="en-US" w:eastAsia="zh-CN"/>
        </w:rPr>
        <w:t>综上，该项指标满分4分，得分4分。</w:t>
      </w:r>
    </w:p>
    <w:p>
      <w:pPr>
        <w:bidi w:val="0"/>
        <w:outlineLvl w:val="2"/>
        <w:rPr>
          <w:rFonts w:hint="default"/>
          <w:b/>
          <w:bCs/>
          <w:color w:val="auto"/>
          <w:highlight w:val="none"/>
          <w:lang w:val="en-US" w:eastAsia="zh-CN"/>
        </w:rPr>
      </w:pPr>
      <w:bookmarkStart w:id="67" w:name="_Toc18691"/>
      <w:r>
        <w:rPr>
          <w:rFonts w:hint="eastAsia"/>
          <w:b/>
          <w:bCs/>
          <w:color w:val="auto"/>
          <w:highlight w:val="none"/>
          <w:lang w:val="en-US" w:eastAsia="zh-CN"/>
        </w:rPr>
        <w:t>3.资金使用合规性</w:t>
      </w:r>
      <w:bookmarkEnd w:id="67"/>
    </w:p>
    <w:p>
      <w:pPr>
        <w:bidi w:val="0"/>
        <w:rPr>
          <w:rFonts w:hint="eastAsia"/>
          <w:color w:val="auto"/>
          <w:highlight w:val="none"/>
          <w:lang w:eastAsia="zh-CN"/>
        </w:rPr>
      </w:pPr>
      <w:r>
        <w:rPr>
          <w:rFonts w:hint="eastAsia"/>
          <w:color w:val="auto"/>
          <w:highlight w:val="none"/>
          <w:lang w:eastAsia="zh-CN"/>
        </w:rPr>
        <w:t>①符合</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阜康市水利局财务执行规范准则</w:t>
      </w:r>
      <w:r>
        <w:rPr>
          <w:rFonts w:hint="eastAsia" w:ascii="宋体" w:hAnsi="宋体" w:eastAsia="宋体" w:cs="宋体"/>
          <w:color w:val="auto"/>
          <w:highlight w:val="none"/>
          <w:lang w:eastAsia="zh-CN"/>
        </w:rPr>
        <w:t>》</w:t>
      </w:r>
      <w:r>
        <w:rPr>
          <w:rFonts w:hint="eastAsia"/>
          <w:color w:val="auto"/>
          <w:highlight w:val="none"/>
          <w:lang w:eastAsia="zh-CN"/>
        </w:rPr>
        <w:t>及有关专项资金管理办法的规定；</w:t>
      </w:r>
    </w:p>
    <w:p>
      <w:pPr>
        <w:bidi w:val="0"/>
        <w:rPr>
          <w:rFonts w:hint="eastAsia"/>
          <w:color w:val="auto"/>
          <w:highlight w:val="none"/>
          <w:lang w:eastAsia="zh-CN"/>
        </w:rPr>
      </w:pPr>
      <w:r>
        <w:rPr>
          <w:rFonts w:hint="eastAsia"/>
          <w:color w:val="auto"/>
          <w:highlight w:val="none"/>
          <w:lang w:eastAsia="zh-CN"/>
        </w:rPr>
        <w:t>②资金的拨付有完整的审批程序和手续；</w:t>
      </w:r>
    </w:p>
    <w:p>
      <w:pPr>
        <w:bidi w:val="0"/>
        <w:rPr>
          <w:rFonts w:hint="eastAsia"/>
          <w:color w:val="auto"/>
          <w:highlight w:val="none"/>
          <w:lang w:eastAsia="zh-CN"/>
        </w:rPr>
      </w:pPr>
      <w:r>
        <w:rPr>
          <w:rFonts w:hint="eastAsia"/>
          <w:color w:val="auto"/>
          <w:highlight w:val="none"/>
          <w:lang w:eastAsia="zh-CN"/>
        </w:rPr>
        <w:t>③符合项目预算批复或合同规定的用途；</w:t>
      </w:r>
    </w:p>
    <w:p>
      <w:pPr>
        <w:bidi w:val="0"/>
        <w:rPr>
          <w:rFonts w:hint="eastAsia"/>
          <w:color w:val="auto"/>
          <w:highlight w:val="none"/>
          <w:lang w:eastAsia="zh-CN"/>
        </w:rPr>
      </w:pPr>
      <w:r>
        <w:rPr>
          <w:rFonts w:hint="eastAsia"/>
          <w:color w:val="auto"/>
          <w:highlight w:val="none"/>
          <w:lang w:eastAsia="zh-CN"/>
        </w:rPr>
        <w:t>④</w:t>
      </w:r>
      <w:r>
        <w:rPr>
          <w:rFonts w:hint="eastAsia"/>
          <w:color w:val="auto"/>
          <w:highlight w:val="none"/>
          <w:lang w:val="en-US" w:eastAsia="zh-CN"/>
        </w:rPr>
        <w:t>不</w:t>
      </w:r>
      <w:r>
        <w:rPr>
          <w:rFonts w:hint="eastAsia"/>
          <w:color w:val="auto"/>
          <w:highlight w:val="none"/>
          <w:lang w:eastAsia="zh-CN"/>
        </w:rPr>
        <w:t>存在截留、挤占、挪用、虚列支出等情况。</w:t>
      </w:r>
    </w:p>
    <w:p>
      <w:pPr>
        <w:bidi w:val="0"/>
        <w:rPr>
          <w:rFonts w:hint="eastAsia"/>
          <w:color w:val="auto"/>
          <w:highlight w:val="none"/>
          <w:lang w:eastAsia="zh-CN"/>
        </w:rPr>
      </w:pPr>
      <w:r>
        <w:rPr>
          <w:rFonts w:hint="eastAsia"/>
          <w:b/>
          <w:bCs/>
          <w:color w:val="auto"/>
          <w:highlight w:val="none"/>
          <w:lang w:val="en-US" w:eastAsia="zh-CN"/>
        </w:rPr>
        <w:t>综上，该项指标满分4分，得分4分。</w:t>
      </w:r>
    </w:p>
    <w:p>
      <w:pPr>
        <w:numPr>
          <w:ilvl w:val="0"/>
          <w:numId w:val="0"/>
        </w:numPr>
        <w:bidi w:val="0"/>
        <w:ind w:firstLine="562" w:firstLineChars="200"/>
        <w:rPr>
          <w:rFonts w:hint="eastAsia"/>
          <w:b/>
          <w:bCs/>
          <w:color w:val="auto"/>
          <w:highlight w:val="none"/>
          <w:lang w:val="en-US" w:eastAsia="zh-CN"/>
        </w:rPr>
      </w:pPr>
      <w:r>
        <w:rPr>
          <w:rFonts w:hint="eastAsia"/>
          <w:b/>
          <w:bCs/>
          <w:color w:val="auto"/>
          <w:highlight w:val="none"/>
          <w:lang w:val="en-US" w:eastAsia="zh-CN"/>
        </w:rPr>
        <w:t>4.管理制度健全性</w:t>
      </w:r>
    </w:p>
    <w:p>
      <w:pPr>
        <w:numPr>
          <w:ilvl w:val="0"/>
          <w:numId w:val="0"/>
        </w:numPr>
        <w:bidi w:val="0"/>
        <w:ind w:firstLine="560" w:firstLineChars="200"/>
        <w:rPr>
          <w:rFonts w:hint="eastAsia" w:ascii="宋体" w:hAnsi="宋体" w:eastAsia="宋体" w:cs="宋体"/>
          <w:color w:val="auto"/>
          <w:highlight w:val="none"/>
          <w:lang w:eastAsia="zh-CN"/>
        </w:rPr>
      </w:pPr>
      <w:r>
        <w:rPr>
          <w:rFonts w:hint="eastAsia"/>
          <w:color w:val="auto"/>
          <w:highlight w:val="none"/>
          <w:lang w:eastAsia="zh-CN"/>
        </w:rPr>
        <w:t>①已制定或具有相应的财务和业务管理制度；</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阜康市水利局财务执行规范准则</w:t>
      </w:r>
      <w:r>
        <w:rPr>
          <w:rFonts w:hint="eastAsia" w:ascii="宋体" w:hAnsi="宋体" w:eastAsia="宋体" w:cs="宋体"/>
          <w:color w:val="auto"/>
          <w:highlight w:val="none"/>
          <w:lang w:eastAsia="zh-CN"/>
        </w:rPr>
        <w:t>》</w:t>
      </w:r>
    </w:p>
    <w:p>
      <w:pPr>
        <w:bidi w:val="0"/>
        <w:rPr>
          <w:rFonts w:hint="eastAsia"/>
          <w:color w:val="auto"/>
          <w:highlight w:val="none"/>
          <w:lang w:eastAsia="zh-CN"/>
        </w:rPr>
      </w:pPr>
      <w:r>
        <w:rPr>
          <w:rFonts w:hint="eastAsia"/>
          <w:color w:val="auto"/>
          <w:highlight w:val="none"/>
          <w:lang w:eastAsia="zh-CN"/>
        </w:rPr>
        <w:t>②财务和业务管理制度合法、合规、完整。</w:t>
      </w:r>
    </w:p>
    <w:p>
      <w:pPr>
        <w:bidi w:val="0"/>
        <w:rPr>
          <w:rFonts w:hint="eastAsia"/>
          <w:color w:val="auto"/>
          <w:highlight w:val="none"/>
          <w:lang w:eastAsia="zh-CN"/>
        </w:rPr>
      </w:pPr>
      <w:r>
        <w:rPr>
          <w:rFonts w:hint="eastAsia"/>
          <w:b/>
          <w:bCs/>
          <w:color w:val="auto"/>
          <w:highlight w:val="none"/>
          <w:lang w:val="en-US" w:eastAsia="zh-CN"/>
        </w:rPr>
        <w:t>综上，该项指标满分4分，得分4分。</w:t>
      </w:r>
    </w:p>
    <w:p>
      <w:pPr>
        <w:bidi w:val="0"/>
        <w:ind w:left="1403" w:leftChars="200" w:hanging="843" w:hangingChars="300"/>
        <w:outlineLvl w:val="2"/>
        <w:rPr>
          <w:rFonts w:hint="eastAsia"/>
          <w:b/>
          <w:bCs/>
          <w:color w:val="auto"/>
          <w:highlight w:val="none"/>
          <w:lang w:val="en-US" w:eastAsia="zh-CN"/>
        </w:rPr>
      </w:pPr>
      <w:bookmarkStart w:id="68" w:name="_Toc31684"/>
      <w:r>
        <w:rPr>
          <w:rFonts w:hint="eastAsia"/>
          <w:b/>
          <w:bCs/>
          <w:color w:val="auto"/>
          <w:highlight w:val="none"/>
          <w:lang w:val="en-US" w:eastAsia="zh-CN"/>
        </w:rPr>
        <w:t>5.制度执行有效性</w:t>
      </w:r>
      <w:bookmarkEnd w:id="68"/>
    </w:p>
    <w:p>
      <w:pPr>
        <w:bidi w:val="0"/>
        <w:rPr>
          <w:rFonts w:hint="eastAsia"/>
          <w:color w:val="auto"/>
          <w:sz w:val="28"/>
          <w:szCs w:val="28"/>
          <w:highlight w:val="none"/>
          <w:lang w:eastAsia="zh-CN"/>
        </w:rPr>
      </w:pPr>
      <w:r>
        <w:rPr>
          <w:rFonts w:hint="eastAsia"/>
          <w:color w:val="auto"/>
          <w:sz w:val="28"/>
          <w:szCs w:val="28"/>
          <w:highlight w:val="none"/>
          <w:lang w:eastAsia="zh-CN"/>
        </w:rPr>
        <w:t>①遵守相关法律法规和相关管理规定；</w:t>
      </w:r>
    </w:p>
    <w:p>
      <w:pPr>
        <w:bidi w:val="0"/>
        <w:rPr>
          <w:rFonts w:hint="eastAsia"/>
          <w:color w:val="auto"/>
          <w:sz w:val="28"/>
          <w:szCs w:val="28"/>
          <w:highlight w:val="none"/>
          <w:lang w:eastAsia="zh-CN"/>
        </w:rPr>
      </w:pPr>
      <w:r>
        <w:rPr>
          <w:rFonts w:hint="eastAsia"/>
          <w:color w:val="auto"/>
          <w:sz w:val="28"/>
          <w:szCs w:val="28"/>
          <w:highlight w:val="none"/>
          <w:lang w:eastAsia="zh-CN"/>
        </w:rPr>
        <w:t>②项目</w:t>
      </w:r>
      <w:r>
        <w:rPr>
          <w:rFonts w:hint="eastAsia"/>
          <w:color w:val="auto"/>
          <w:sz w:val="28"/>
          <w:szCs w:val="28"/>
          <w:highlight w:val="none"/>
          <w:lang w:val="en-US" w:eastAsia="zh-CN"/>
        </w:rPr>
        <w:t>无</w:t>
      </w:r>
      <w:r>
        <w:rPr>
          <w:rFonts w:hint="eastAsia"/>
          <w:color w:val="auto"/>
          <w:sz w:val="28"/>
          <w:szCs w:val="28"/>
          <w:highlight w:val="none"/>
          <w:lang w:eastAsia="zh-CN"/>
        </w:rPr>
        <w:t>调整及支出调整手续；</w:t>
      </w:r>
    </w:p>
    <w:p>
      <w:pPr>
        <w:bidi w:val="0"/>
        <w:ind w:left="0" w:leftChars="0" w:firstLine="560" w:firstLineChars="200"/>
        <w:rPr>
          <w:rFonts w:hint="eastAsia"/>
          <w:color w:val="auto"/>
          <w:sz w:val="28"/>
          <w:szCs w:val="28"/>
          <w:highlight w:val="none"/>
          <w:lang w:eastAsia="zh-CN"/>
        </w:rPr>
      </w:pPr>
      <w:r>
        <w:rPr>
          <w:rFonts w:hint="eastAsia"/>
          <w:color w:val="auto"/>
          <w:sz w:val="28"/>
          <w:szCs w:val="28"/>
          <w:highlight w:val="none"/>
          <w:lang w:eastAsia="zh-CN"/>
        </w:rPr>
        <w:t>③项目合同书</w:t>
      </w:r>
      <w:r>
        <w:rPr>
          <w:rFonts w:hint="eastAsia"/>
          <w:color w:val="auto"/>
          <w:sz w:val="28"/>
          <w:szCs w:val="28"/>
          <w:highlight w:val="none"/>
          <w:lang w:val="en-US" w:eastAsia="zh-CN"/>
        </w:rPr>
        <w:t>已签订《昌吉州阜康市水源地输水管网建设工程施工标段合同协议书（合同编号：FK-SYDSSG-SG-2022）》，验收工作正在开展中，</w:t>
      </w:r>
      <w:r>
        <w:rPr>
          <w:rFonts w:hint="eastAsia"/>
          <w:color w:val="auto"/>
          <w:sz w:val="28"/>
          <w:szCs w:val="28"/>
          <w:highlight w:val="none"/>
          <w:lang w:eastAsia="zh-CN"/>
        </w:rPr>
        <w:t>验收报告、技术鉴定</w:t>
      </w:r>
      <w:r>
        <w:rPr>
          <w:rFonts w:hint="eastAsia"/>
          <w:color w:val="auto"/>
          <w:sz w:val="28"/>
          <w:szCs w:val="28"/>
          <w:highlight w:val="none"/>
          <w:lang w:val="en-US" w:eastAsia="zh-CN"/>
        </w:rPr>
        <w:t>待竣工验收完成后及时归档</w:t>
      </w:r>
      <w:r>
        <w:rPr>
          <w:rFonts w:hint="eastAsia"/>
          <w:color w:val="auto"/>
          <w:sz w:val="28"/>
          <w:szCs w:val="28"/>
          <w:highlight w:val="none"/>
          <w:lang w:eastAsia="zh-CN"/>
        </w:rPr>
        <w:t>；</w:t>
      </w:r>
    </w:p>
    <w:p>
      <w:pPr>
        <w:bidi w:val="0"/>
        <w:rPr>
          <w:rFonts w:hint="eastAsia"/>
          <w:color w:val="auto"/>
          <w:sz w:val="28"/>
          <w:szCs w:val="28"/>
          <w:highlight w:val="none"/>
          <w:lang w:eastAsia="zh-CN"/>
        </w:rPr>
      </w:pPr>
      <w:r>
        <w:rPr>
          <w:rFonts w:hint="eastAsia"/>
          <w:color w:val="auto"/>
          <w:sz w:val="28"/>
          <w:szCs w:val="28"/>
          <w:highlight w:val="none"/>
          <w:lang w:eastAsia="zh-CN"/>
        </w:rPr>
        <w:t>④项目实施</w:t>
      </w:r>
      <w:r>
        <w:rPr>
          <w:rFonts w:hint="eastAsia"/>
          <w:color w:val="auto"/>
          <w:sz w:val="28"/>
          <w:szCs w:val="28"/>
          <w:highlight w:val="none"/>
          <w:lang w:val="en-US" w:eastAsia="zh-CN"/>
        </w:rPr>
        <w:t>前，阜康市水利局成立“引水入城”工程项目管理处，配备9名（业主）在编在岗人员对工程进行全方面建设管理；</w:t>
      </w:r>
      <w:r>
        <w:rPr>
          <w:rFonts w:hint="eastAsia"/>
          <w:color w:val="auto"/>
          <w:sz w:val="28"/>
          <w:szCs w:val="28"/>
          <w:highlight w:val="none"/>
          <w:shd w:val="clear"/>
          <w:lang w:val="en-US" w:eastAsia="zh-CN"/>
        </w:rPr>
        <w:t>为有效推进工程各进度节点，特将项目管理处办公地点设立在阜康市老林业局3楼4楼，办公设备、实验室等所需资源配备齐全；各行业专家、技术人员配备齐全，其中聘请教授级专家1名，项目经理1名，技术总工1名等专业技术人员；各参建单位派驻监管、现场服务人员共计27名，保障项目顺利实施。</w:t>
      </w:r>
    </w:p>
    <w:p>
      <w:pPr>
        <w:bidi w:val="0"/>
        <w:rPr>
          <w:rFonts w:hint="eastAsia"/>
          <w:color w:val="auto"/>
          <w:highlight w:val="none"/>
          <w:lang w:eastAsia="zh-CN"/>
        </w:rPr>
      </w:pPr>
      <w:r>
        <w:rPr>
          <w:rFonts w:hint="eastAsia"/>
          <w:b/>
          <w:bCs/>
          <w:color w:val="auto"/>
          <w:highlight w:val="none"/>
          <w:lang w:val="en-US" w:eastAsia="zh-CN"/>
        </w:rPr>
        <w:t>综上，该项指标满分4分，得分4分。</w:t>
      </w:r>
    </w:p>
    <w:p>
      <w:pPr>
        <w:pStyle w:val="2"/>
        <w:pageBreakBefore w:val="0"/>
        <w:numPr>
          <w:ilvl w:val="0"/>
          <w:numId w:val="0"/>
        </w:numPr>
        <w:kinsoku/>
        <w:wordWrap/>
        <w:overflowPunct/>
        <w:topLinePunct w:val="0"/>
        <w:autoSpaceDE/>
        <w:autoSpaceDN/>
        <w:bidi w:val="0"/>
        <w:adjustRightInd/>
        <w:spacing w:beforeLines="0" w:afterLines="0" w:line="360" w:lineRule="auto"/>
        <w:ind w:leftChars="200"/>
        <w:textAlignment w:val="auto"/>
        <w:rPr>
          <w:rFonts w:hint="eastAsia" w:ascii="宋体" w:hAnsi="宋体" w:eastAsia="宋体" w:cs="宋体"/>
          <w:color w:val="auto"/>
          <w:sz w:val="28"/>
          <w:szCs w:val="28"/>
          <w:highlight w:val="none"/>
          <w:shd w:val="clear" w:color="auto" w:fill="auto"/>
        </w:rPr>
      </w:pPr>
      <w:bookmarkStart w:id="69" w:name="_Toc16268"/>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三</w:t>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rPr>
        <w:t>项目产出情况</w:t>
      </w:r>
      <w:bookmarkEnd w:id="69"/>
    </w:p>
    <w:p>
      <w:pPr>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lang w:val="en-US" w:eastAsia="zh-CN"/>
        </w:rPr>
        <w:t>产出</w:t>
      </w:r>
      <w:r>
        <w:rPr>
          <w:rFonts w:hint="eastAsia" w:ascii="宋体" w:hAnsi="宋体" w:eastAsia="宋体" w:cs="宋体"/>
          <w:color w:val="auto"/>
          <w:kern w:val="2"/>
          <w:highlight w:val="none"/>
          <w:u w:color="000000"/>
          <w:shd w:val="clear" w:color="auto" w:fill="auto"/>
          <w:lang w:val="zh-TW" w:eastAsia="zh-TW"/>
        </w:rPr>
        <w:t>类指标由</w:t>
      </w:r>
      <w:r>
        <w:rPr>
          <w:rFonts w:hint="eastAsia" w:cs="宋体"/>
          <w:color w:val="auto"/>
          <w:kern w:val="2"/>
          <w:highlight w:val="none"/>
          <w:u w:color="000000"/>
          <w:shd w:val="clear" w:color="auto" w:fill="auto"/>
          <w:lang w:val="en-US" w:eastAsia="zh-CN"/>
        </w:rPr>
        <w:t>3</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cs="宋体"/>
          <w:color w:val="auto"/>
          <w:kern w:val="2"/>
          <w:highlight w:val="none"/>
          <w:u w:color="000000"/>
          <w:shd w:val="clear" w:color="auto" w:fill="auto"/>
          <w:lang w:val="en-US" w:eastAsia="zh-CN"/>
        </w:rPr>
        <w:t>7</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w:t>
      </w:r>
      <w:r>
        <w:rPr>
          <w:rFonts w:hint="eastAsia" w:ascii="宋体" w:hAnsi="宋体" w:eastAsia="宋体" w:cs="宋体"/>
          <w:color w:val="auto"/>
          <w:kern w:val="2"/>
          <w:highlight w:val="none"/>
          <w:u w:color="000000"/>
          <w:shd w:val="clear" w:color="auto" w:fill="auto"/>
          <w:lang w:val="en-US" w:eastAsia="zh-CN"/>
        </w:rPr>
        <w:t>3</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4-3项目产出</w:t>
      </w:r>
      <w:r>
        <w:rPr>
          <w:rFonts w:hint="eastAsia" w:ascii="宋体" w:hAnsi="宋体" w:eastAsia="宋体" w:cs="宋体"/>
          <w:b/>
          <w:bCs/>
          <w:color w:val="auto"/>
          <w:kern w:val="0"/>
          <w:sz w:val="28"/>
          <w:szCs w:val="28"/>
          <w:highlight w:val="none"/>
          <w:shd w:val="clear" w:color="auto" w:fill="auto"/>
          <w:lang w:val="zh-TW" w:eastAsia="zh-TW"/>
        </w:rPr>
        <w:t>指标及分值</w:t>
      </w:r>
      <w:r>
        <w:rPr>
          <w:rFonts w:hint="eastAsia" w:ascii="宋体" w:hAnsi="宋体" w:eastAsia="宋体" w:cs="宋体"/>
          <w:b/>
          <w:bCs/>
          <w:color w:val="auto"/>
          <w:kern w:val="0"/>
          <w:sz w:val="28"/>
          <w:szCs w:val="28"/>
          <w:highlight w:val="none"/>
          <w:shd w:val="clear" w:color="auto" w:fill="auto"/>
          <w:lang w:val="en-US" w:eastAsia="zh-CN"/>
        </w:rPr>
        <w:t>情况</w:t>
      </w:r>
    </w:p>
    <w:tbl>
      <w:tblPr>
        <w:tblStyle w:val="11"/>
        <w:tblW w:w="8197" w:type="dxa"/>
        <w:tblInd w:w="0" w:type="dxa"/>
        <w:shd w:val="clear" w:color="auto" w:fill="auto"/>
        <w:tblLayout w:type="fixed"/>
        <w:tblCellMar>
          <w:top w:w="0" w:type="dxa"/>
          <w:left w:w="0" w:type="dxa"/>
          <w:bottom w:w="0" w:type="dxa"/>
          <w:right w:w="0" w:type="dxa"/>
        </w:tblCellMar>
      </w:tblPr>
      <w:tblGrid>
        <w:gridCol w:w="634"/>
        <w:gridCol w:w="928"/>
        <w:gridCol w:w="2644"/>
        <w:gridCol w:w="1437"/>
        <w:gridCol w:w="558"/>
        <w:gridCol w:w="1365"/>
        <w:gridCol w:w="631"/>
      </w:tblGrid>
      <w:tr>
        <w:tblPrEx>
          <w:shd w:val="clear" w:color="auto" w:fill="auto"/>
          <w:tblCellMar>
            <w:top w:w="0" w:type="dxa"/>
            <w:left w:w="0" w:type="dxa"/>
            <w:bottom w:w="0" w:type="dxa"/>
            <w:right w:w="0" w:type="dxa"/>
          </w:tblCellMar>
        </w:tblPrEx>
        <w:trPr>
          <w:trHeight w:val="750"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一级指标</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年度指标值</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标杆分值</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全年实际完成值</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指标得分</w:t>
            </w:r>
          </w:p>
        </w:tc>
      </w:tr>
      <w:tr>
        <w:tblPrEx>
          <w:shd w:val="clear" w:color="auto" w:fill="auto"/>
          <w:tblCellMar>
            <w:top w:w="0" w:type="dxa"/>
            <w:left w:w="0" w:type="dxa"/>
            <w:bottom w:w="0" w:type="dxa"/>
            <w:right w:w="0" w:type="dxa"/>
          </w:tblCellMar>
        </w:tblPrEx>
        <w:trPr>
          <w:trHeight w:val="415" w:hRule="atLeast"/>
        </w:trPr>
        <w:tc>
          <w:tcPr>
            <w:tcW w:w="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产出</w:t>
            </w:r>
          </w:p>
        </w:tc>
        <w:tc>
          <w:tcPr>
            <w:tcW w:w="9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数量指标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建设管道长度</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≥23km</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23km</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shd w:val="clear" w:color="auto" w:fill="auto"/>
          <w:tblCellMar>
            <w:top w:w="0" w:type="dxa"/>
            <w:left w:w="0" w:type="dxa"/>
            <w:bottom w:w="0" w:type="dxa"/>
            <w:right w:w="0" w:type="dxa"/>
          </w:tblCellMar>
        </w:tblPrEx>
        <w:trPr>
          <w:trHeight w:val="415"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建设泵站数量</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1座</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1座</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shd w:val="clear" w:color="auto" w:fill="auto"/>
          <w:tblCellMar>
            <w:top w:w="0" w:type="dxa"/>
            <w:left w:w="0" w:type="dxa"/>
            <w:bottom w:w="0" w:type="dxa"/>
            <w:right w:w="0" w:type="dxa"/>
          </w:tblCellMar>
        </w:tblPrEx>
        <w:trPr>
          <w:trHeight w:val="415"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建设10kV配电工程</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=10.93km</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2.5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10.93km</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2.5</w:t>
            </w:r>
          </w:p>
        </w:tc>
      </w:tr>
      <w:tr>
        <w:tblPrEx>
          <w:shd w:val="clear" w:color="auto" w:fill="auto"/>
          <w:tblCellMar>
            <w:top w:w="0" w:type="dxa"/>
            <w:left w:w="0" w:type="dxa"/>
            <w:bottom w:w="0" w:type="dxa"/>
            <w:right w:w="0" w:type="dxa"/>
          </w:tblCellMar>
        </w:tblPrEx>
        <w:trPr>
          <w:trHeight w:val="39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质量指标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监理服务合格率</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≤15%</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2.5</w:t>
            </w:r>
          </w:p>
        </w:tc>
      </w:tr>
      <w:tr>
        <w:tblPrEx>
          <w:shd w:val="clear" w:color="auto" w:fill="auto"/>
          <w:tblCellMar>
            <w:top w:w="0" w:type="dxa"/>
            <w:left w:w="0" w:type="dxa"/>
            <w:bottom w:w="0" w:type="dxa"/>
            <w:right w:w="0" w:type="dxa"/>
          </w:tblCellMar>
        </w:tblPrEx>
        <w:trPr>
          <w:trHeight w:val="39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质量检测合格率</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2.5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2.5</w:t>
            </w:r>
          </w:p>
        </w:tc>
      </w:tr>
      <w:tr>
        <w:tblPrEx>
          <w:shd w:val="clear" w:color="auto" w:fill="auto"/>
          <w:tblCellMar>
            <w:top w:w="0" w:type="dxa"/>
            <w:left w:w="0" w:type="dxa"/>
            <w:bottom w:w="0" w:type="dxa"/>
            <w:right w:w="0" w:type="dxa"/>
          </w:tblCellMar>
        </w:tblPrEx>
        <w:trPr>
          <w:trHeight w:val="39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工程进度款审核及风险提示率（审计）</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2.5</w:t>
            </w:r>
          </w:p>
        </w:tc>
      </w:tr>
      <w:tr>
        <w:tblPrEx>
          <w:shd w:val="clear" w:color="auto" w:fill="auto"/>
          <w:tblCellMar>
            <w:top w:w="0" w:type="dxa"/>
            <w:left w:w="0" w:type="dxa"/>
            <w:bottom w:w="0" w:type="dxa"/>
            <w:right w:w="0" w:type="dxa"/>
          </w:tblCellMar>
        </w:tblPrEx>
        <w:trPr>
          <w:trHeight w:val="41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时效指标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项目于2023年7月31前试通水</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2.5</w:t>
            </w:r>
          </w:p>
        </w:tc>
      </w:tr>
      <w:tr>
        <w:tblPrEx>
          <w:tblCellMar>
            <w:top w:w="0" w:type="dxa"/>
            <w:left w:w="0" w:type="dxa"/>
            <w:bottom w:w="0" w:type="dxa"/>
            <w:right w:w="0" w:type="dxa"/>
          </w:tblCellMar>
        </w:tblPrEx>
        <w:trPr>
          <w:trHeight w:val="428" w:hRule="atLeast"/>
        </w:trPr>
        <w:tc>
          <w:tcPr>
            <w:tcW w:w="63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成本指标</w:t>
            </w:r>
          </w:p>
        </w:tc>
        <w:tc>
          <w:tcPr>
            <w:tcW w:w="9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经济成本指标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支付10kV配电工程占地补偿费</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=0.64万元</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0.64万元</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2.5</w:t>
            </w:r>
          </w:p>
        </w:tc>
      </w:tr>
      <w:tr>
        <w:tblPrEx>
          <w:tblCellMar>
            <w:top w:w="0" w:type="dxa"/>
            <w:left w:w="0" w:type="dxa"/>
            <w:bottom w:w="0" w:type="dxa"/>
            <w:right w:w="0" w:type="dxa"/>
          </w:tblCellMar>
        </w:tblPrEx>
        <w:trPr>
          <w:trHeight w:val="428" w:hRule="atLeast"/>
        </w:trPr>
        <w:tc>
          <w:tcPr>
            <w:tcW w:w="63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支付占用城市绿化林地补偿费</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=161.85万元</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161.85万元</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2.5</w:t>
            </w:r>
          </w:p>
        </w:tc>
      </w:tr>
      <w:tr>
        <w:tblPrEx>
          <w:tblCellMar>
            <w:top w:w="0" w:type="dxa"/>
            <w:left w:w="0" w:type="dxa"/>
            <w:bottom w:w="0" w:type="dxa"/>
            <w:right w:w="0" w:type="dxa"/>
          </w:tblCellMar>
        </w:tblPrEx>
        <w:trPr>
          <w:trHeight w:val="428"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效益指标</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社会效益指标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缓解阜康市地下水超采问题</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缓解</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2.5</w:t>
            </w:r>
          </w:p>
        </w:tc>
      </w:tr>
      <w:tr>
        <w:tblPrEx>
          <w:tblCellMar>
            <w:top w:w="0" w:type="dxa"/>
            <w:left w:w="0" w:type="dxa"/>
            <w:bottom w:w="0" w:type="dxa"/>
            <w:right w:w="0" w:type="dxa"/>
          </w:tblCellMar>
        </w:tblPrEx>
        <w:trPr>
          <w:trHeight w:val="403" w:hRule="atLeast"/>
        </w:trPr>
        <w:tc>
          <w:tcPr>
            <w:tcW w:w="56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r>
    </w:tbl>
    <w:p>
      <w:pPr>
        <w:bidi w:val="0"/>
        <w:outlineLvl w:val="2"/>
        <w:rPr>
          <w:rFonts w:hint="eastAsia"/>
          <w:b/>
          <w:bCs/>
          <w:color w:val="auto"/>
          <w:highlight w:val="none"/>
          <w:lang w:val="en-US" w:eastAsia="zh-CN"/>
        </w:rPr>
      </w:pPr>
      <w:bookmarkStart w:id="70" w:name="_Toc11067"/>
      <w:r>
        <w:rPr>
          <w:rFonts w:hint="eastAsia"/>
          <w:b/>
          <w:bCs/>
          <w:color w:val="auto"/>
          <w:highlight w:val="none"/>
          <w:lang w:val="en-US" w:eastAsia="zh-CN"/>
        </w:rPr>
        <w:t>1.项目完成数量</w:t>
      </w:r>
      <w:bookmarkEnd w:id="70"/>
    </w:p>
    <w:p>
      <w:pPr>
        <w:bidi w:val="0"/>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建设管道长度</w:t>
      </w:r>
      <w:r>
        <w:rPr>
          <w:rFonts w:hint="eastAsia"/>
          <w:color w:val="auto"/>
          <w:highlight w:val="none"/>
          <w:lang w:eastAsia="zh-CN"/>
        </w:rPr>
        <w:t>”</w:t>
      </w:r>
      <w:r>
        <w:rPr>
          <w:rFonts w:hint="eastAsia"/>
          <w:color w:val="auto"/>
          <w:highlight w:val="none"/>
          <w:lang w:val="en-US" w:eastAsia="zh-CN"/>
        </w:rPr>
        <w:t>指标，预期目标值为≥23km，实际完成为23km。实际完成率100%。</w:t>
      </w:r>
    </w:p>
    <w:p>
      <w:pPr>
        <w:bidi w:val="0"/>
        <w:rPr>
          <w:rFonts w:hint="eastAsia"/>
          <w:color w:val="auto"/>
          <w:highlight w:val="none"/>
          <w:lang w:val="en-US" w:eastAsia="zh-CN"/>
        </w:rPr>
      </w:pPr>
      <w:r>
        <w:rPr>
          <w:rFonts w:hint="eastAsia"/>
          <w:b/>
          <w:bCs/>
          <w:color w:val="auto"/>
          <w:highlight w:val="none"/>
          <w:lang w:val="en-US" w:eastAsia="zh-CN"/>
        </w:rPr>
        <w:t>综上，该项指标满分5分，得分5分。</w:t>
      </w:r>
    </w:p>
    <w:p>
      <w:pPr>
        <w:bidi w:val="0"/>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建设泵站数量</w:t>
      </w:r>
      <w:r>
        <w:rPr>
          <w:rFonts w:hint="eastAsia"/>
          <w:color w:val="auto"/>
          <w:highlight w:val="none"/>
          <w:lang w:eastAsia="zh-CN"/>
        </w:rPr>
        <w:t>”</w:t>
      </w:r>
      <w:r>
        <w:rPr>
          <w:rFonts w:hint="eastAsia"/>
          <w:color w:val="auto"/>
          <w:highlight w:val="none"/>
          <w:lang w:val="en-US" w:eastAsia="zh-CN"/>
        </w:rPr>
        <w:t>指标，预期目标值为1座，实际完成为1座。实际完成率100%。</w:t>
      </w:r>
    </w:p>
    <w:p>
      <w:pPr>
        <w:bidi w:val="0"/>
        <w:rPr>
          <w:rFonts w:hint="eastAsia"/>
          <w:color w:val="auto"/>
          <w:highlight w:val="none"/>
          <w:lang w:val="en-US" w:eastAsia="zh-CN"/>
        </w:rPr>
      </w:pPr>
      <w:r>
        <w:rPr>
          <w:rFonts w:hint="eastAsia"/>
          <w:b/>
          <w:bCs/>
          <w:color w:val="auto"/>
          <w:highlight w:val="none"/>
          <w:lang w:val="en-US" w:eastAsia="zh-CN"/>
        </w:rPr>
        <w:t>综上，该项指标满分5分，得分5分。</w:t>
      </w:r>
    </w:p>
    <w:p>
      <w:pPr>
        <w:bidi w:val="0"/>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建设10kV配电工程</w:t>
      </w:r>
      <w:r>
        <w:rPr>
          <w:rFonts w:hint="eastAsia"/>
          <w:color w:val="auto"/>
          <w:highlight w:val="none"/>
          <w:lang w:eastAsia="zh-CN"/>
        </w:rPr>
        <w:t>”</w:t>
      </w:r>
      <w:r>
        <w:rPr>
          <w:rFonts w:hint="eastAsia"/>
          <w:color w:val="auto"/>
          <w:highlight w:val="none"/>
          <w:lang w:val="en-US" w:eastAsia="zh-CN"/>
        </w:rPr>
        <w:t>指标，预期目标值为10.93km，实际完成为10.93km。实际完成率100%。</w:t>
      </w:r>
    </w:p>
    <w:p>
      <w:pPr>
        <w:bidi w:val="0"/>
        <w:rPr>
          <w:rFonts w:hint="eastAsia"/>
          <w:color w:val="auto"/>
          <w:highlight w:val="none"/>
          <w:lang w:eastAsia="zh-CN"/>
        </w:rPr>
      </w:pPr>
      <w:r>
        <w:rPr>
          <w:rFonts w:hint="eastAsia"/>
          <w:b/>
          <w:bCs/>
          <w:color w:val="auto"/>
          <w:highlight w:val="none"/>
          <w:lang w:val="en-US" w:eastAsia="zh-CN"/>
        </w:rPr>
        <w:t>综上，该项指标满分2.5分，得分2.5分。</w:t>
      </w:r>
    </w:p>
    <w:p>
      <w:pPr>
        <w:bidi w:val="0"/>
        <w:outlineLvl w:val="2"/>
        <w:rPr>
          <w:rFonts w:hint="default"/>
          <w:b/>
          <w:bCs/>
          <w:color w:val="auto"/>
          <w:highlight w:val="none"/>
          <w:lang w:val="en-US" w:eastAsia="zh-CN"/>
        </w:rPr>
      </w:pPr>
      <w:bookmarkStart w:id="71" w:name="_Toc31739"/>
      <w:r>
        <w:rPr>
          <w:rFonts w:hint="eastAsia"/>
          <w:b/>
          <w:bCs/>
          <w:color w:val="auto"/>
          <w:highlight w:val="none"/>
          <w:lang w:val="en-US" w:eastAsia="zh-CN"/>
        </w:rPr>
        <w:t>2.项目完成质量</w:t>
      </w:r>
      <w:bookmarkEnd w:id="71"/>
    </w:p>
    <w:p>
      <w:pPr>
        <w:bidi w:val="0"/>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监理服务合格率</w:t>
      </w:r>
      <w:r>
        <w:rPr>
          <w:rFonts w:hint="eastAsia"/>
          <w:color w:val="auto"/>
          <w:highlight w:val="none"/>
          <w:lang w:eastAsia="zh-CN"/>
        </w:rPr>
        <w:t>”</w:t>
      </w:r>
      <w:r>
        <w:rPr>
          <w:rFonts w:hint="eastAsia"/>
          <w:color w:val="auto"/>
          <w:highlight w:val="none"/>
          <w:lang w:val="en-US" w:eastAsia="zh-CN"/>
        </w:rPr>
        <w:t>指标，预期目标值为=100%，实际完成为100%。</w:t>
      </w:r>
    </w:p>
    <w:p>
      <w:pPr>
        <w:bidi w:val="0"/>
        <w:rPr>
          <w:rFonts w:hint="eastAsia"/>
          <w:color w:val="auto"/>
          <w:highlight w:val="none"/>
          <w:lang w:val="en-US" w:eastAsia="zh-CN"/>
        </w:rPr>
      </w:pPr>
      <w:r>
        <w:rPr>
          <w:rFonts w:hint="eastAsia"/>
          <w:b/>
          <w:bCs/>
          <w:color w:val="auto"/>
          <w:highlight w:val="none"/>
          <w:lang w:val="en-US" w:eastAsia="zh-CN"/>
        </w:rPr>
        <w:t>综上，该项指标满分2.5分，得分2.5分。</w:t>
      </w:r>
    </w:p>
    <w:p>
      <w:pPr>
        <w:bidi w:val="0"/>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质量检测合格率</w:t>
      </w:r>
      <w:r>
        <w:rPr>
          <w:rFonts w:hint="eastAsia"/>
          <w:color w:val="auto"/>
          <w:highlight w:val="none"/>
          <w:lang w:eastAsia="zh-CN"/>
        </w:rPr>
        <w:t>”</w:t>
      </w:r>
      <w:r>
        <w:rPr>
          <w:rFonts w:hint="eastAsia"/>
          <w:color w:val="auto"/>
          <w:highlight w:val="none"/>
          <w:lang w:val="en-US" w:eastAsia="zh-CN"/>
        </w:rPr>
        <w:t>指标，预期目标值为=100%，实际完成为100%。</w:t>
      </w:r>
    </w:p>
    <w:p>
      <w:pPr>
        <w:bidi w:val="0"/>
        <w:rPr>
          <w:rFonts w:hint="eastAsia"/>
          <w:color w:val="auto"/>
          <w:highlight w:val="none"/>
          <w:lang w:val="en-US" w:eastAsia="zh-CN"/>
        </w:rPr>
      </w:pPr>
      <w:r>
        <w:rPr>
          <w:rFonts w:hint="eastAsia"/>
          <w:b/>
          <w:bCs/>
          <w:color w:val="auto"/>
          <w:highlight w:val="none"/>
          <w:lang w:val="en-US" w:eastAsia="zh-CN"/>
        </w:rPr>
        <w:t>综上，该项指标满分2.5分，得分2.5分。</w:t>
      </w:r>
    </w:p>
    <w:p>
      <w:pPr>
        <w:bidi w:val="0"/>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工程进度款审核及风险提示率（审计）</w:t>
      </w:r>
      <w:r>
        <w:rPr>
          <w:rFonts w:hint="eastAsia"/>
          <w:color w:val="auto"/>
          <w:highlight w:val="none"/>
          <w:lang w:eastAsia="zh-CN"/>
        </w:rPr>
        <w:t>”</w:t>
      </w:r>
      <w:r>
        <w:rPr>
          <w:rFonts w:hint="eastAsia"/>
          <w:color w:val="auto"/>
          <w:highlight w:val="none"/>
          <w:lang w:val="en-US" w:eastAsia="zh-CN"/>
        </w:rPr>
        <w:t>指标，预期目标值为=100%，实际完成为100%。</w:t>
      </w:r>
    </w:p>
    <w:p>
      <w:pPr>
        <w:bidi w:val="0"/>
        <w:rPr>
          <w:rFonts w:hint="eastAsia"/>
          <w:color w:val="auto"/>
          <w:highlight w:val="none"/>
          <w:lang w:val="en-US" w:eastAsia="zh-CN"/>
        </w:rPr>
      </w:pPr>
      <w:r>
        <w:rPr>
          <w:rFonts w:hint="eastAsia"/>
          <w:b/>
          <w:bCs/>
          <w:color w:val="auto"/>
          <w:highlight w:val="none"/>
          <w:lang w:val="en-US" w:eastAsia="zh-CN"/>
        </w:rPr>
        <w:t>综上，该项指标满分2.5分，得分2.5分。</w:t>
      </w:r>
    </w:p>
    <w:p>
      <w:pPr>
        <w:bidi w:val="0"/>
        <w:outlineLvl w:val="2"/>
        <w:rPr>
          <w:rFonts w:hint="default"/>
          <w:b/>
          <w:bCs/>
          <w:color w:val="auto"/>
          <w:highlight w:val="none"/>
          <w:lang w:val="en-US" w:eastAsia="zh-CN"/>
        </w:rPr>
      </w:pPr>
      <w:bookmarkStart w:id="72" w:name="_Toc18307"/>
      <w:r>
        <w:rPr>
          <w:rFonts w:hint="eastAsia"/>
          <w:b/>
          <w:bCs/>
          <w:color w:val="auto"/>
          <w:highlight w:val="none"/>
          <w:lang w:val="en-US" w:eastAsia="zh-CN"/>
        </w:rPr>
        <w:t>3.项目完成时效</w:t>
      </w:r>
      <w:bookmarkEnd w:id="72"/>
    </w:p>
    <w:p>
      <w:pPr>
        <w:bidi w:val="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项目于2023年7月31前试通水</w:t>
      </w:r>
      <w:r>
        <w:rPr>
          <w:rFonts w:hint="eastAsia"/>
          <w:color w:val="auto"/>
          <w:highlight w:val="none"/>
          <w:lang w:eastAsia="zh-CN"/>
        </w:rPr>
        <w:t>”</w:t>
      </w:r>
      <w:r>
        <w:rPr>
          <w:rFonts w:hint="eastAsia"/>
          <w:color w:val="auto"/>
          <w:highlight w:val="none"/>
          <w:lang w:val="en-US" w:eastAsia="zh-CN"/>
        </w:rPr>
        <w:t>指标，预期目标值为=100%，实际完成为100%。</w:t>
      </w:r>
    </w:p>
    <w:p>
      <w:pPr>
        <w:bidi w:val="0"/>
        <w:rPr>
          <w:rFonts w:hint="eastAsia"/>
          <w:color w:val="auto"/>
          <w:highlight w:val="none"/>
          <w:lang w:eastAsia="zh-CN"/>
        </w:rPr>
      </w:pPr>
      <w:r>
        <w:rPr>
          <w:rFonts w:hint="eastAsia"/>
          <w:b/>
          <w:bCs/>
          <w:color w:val="auto"/>
          <w:highlight w:val="none"/>
          <w:lang w:val="en-US" w:eastAsia="zh-CN"/>
        </w:rPr>
        <w:t>综上，该项指标满分2.5分，得分2.5分。</w:t>
      </w:r>
    </w:p>
    <w:p>
      <w:pPr>
        <w:bidi w:val="0"/>
        <w:outlineLvl w:val="2"/>
        <w:rPr>
          <w:rFonts w:hint="default"/>
          <w:b/>
          <w:bCs/>
          <w:color w:val="auto"/>
          <w:highlight w:val="none"/>
          <w:lang w:val="en-US" w:eastAsia="zh-CN"/>
        </w:rPr>
      </w:pPr>
      <w:bookmarkStart w:id="73" w:name="_Toc32765"/>
      <w:r>
        <w:rPr>
          <w:rFonts w:hint="eastAsia"/>
          <w:b/>
          <w:bCs/>
          <w:color w:val="auto"/>
          <w:highlight w:val="none"/>
          <w:lang w:val="en-US" w:eastAsia="zh-CN"/>
        </w:rPr>
        <w:t>4.项目完成成本</w:t>
      </w:r>
      <w:bookmarkEnd w:id="73"/>
    </w:p>
    <w:p>
      <w:pPr>
        <w:bidi w:val="0"/>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支付10kV配电工程占地补偿费</w:t>
      </w:r>
      <w:r>
        <w:rPr>
          <w:rFonts w:hint="eastAsia"/>
          <w:color w:val="auto"/>
          <w:highlight w:val="none"/>
          <w:lang w:eastAsia="zh-CN"/>
        </w:rPr>
        <w:t>”</w:t>
      </w:r>
      <w:r>
        <w:rPr>
          <w:rFonts w:hint="eastAsia"/>
          <w:color w:val="auto"/>
          <w:highlight w:val="none"/>
          <w:lang w:val="en-US" w:eastAsia="zh-CN"/>
        </w:rPr>
        <w:t>指标，预期目标值为=0.64万元，实际完成为0.64万元。实际完成率100%。</w:t>
      </w:r>
    </w:p>
    <w:p>
      <w:pPr>
        <w:bidi w:val="0"/>
        <w:rPr>
          <w:rFonts w:hint="eastAsia"/>
          <w:color w:val="auto"/>
          <w:highlight w:val="none"/>
          <w:lang w:val="en-US" w:eastAsia="zh-CN"/>
        </w:rPr>
      </w:pPr>
      <w:r>
        <w:rPr>
          <w:rFonts w:hint="eastAsia"/>
          <w:b/>
          <w:bCs/>
          <w:color w:val="auto"/>
          <w:highlight w:val="none"/>
          <w:lang w:val="en-US" w:eastAsia="zh-CN"/>
        </w:rPr>
        <w:t>综上，该项指标满分2.5分，得分2.5分。</w:t>
      </w:r>
    </w:p>
    <w:p>
      <w:pPr>
        <w:bidi w:val="0"/>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支付占用城市绿化林地补偿费</w:t>
      </w:r>
      <w:r>
        <w:rPr>
          <w:rFonts w:hint="eastAsia"/>
          <w:color w:val="auto"/>
          <w:highlight w:val="none"/>
          <w:lang w:eastAsia="zh-CN"/>
        </w:rPr>
        <w:t>”</w:t>
      </w:r>
      <w:r>
        <w:rPr>
          <w:rFonts w:hint="eastAsia"/>
          <w:color w:val="auto"/>
          <w:highlight w:val="none"/>
          <w:lang w:val="en-US" w:eastAsia="zh-CN"/>
        </w:rPr>
        <w:t>指标，预期目标值为=161.85万元，实际完成为161.85万元。实际完成率100%。</w:t>
      </w:r>
    </w:p>
    <w:p>
      <w:pPr>
        <w:bidi w:val="0"/>
        <w:rPr>
          <w:rFonts w:hint="eastAsia"/>
          <w:color w:val="auto"/>
          <w:highlight w:val="none"/>
          <w:lang w:val="en-US" w:eastAsia="zh-CN"/>
        </w:rPr>
      </w:pPr>
      <w:bookmarkStart w:id="74" w:name="_Toc18446"/>
      <w:r>
        <w:rPr>
          <w:rFonts w:hint="eastAsia"/>
          <w:b/>
          <w:bCs/>
          <w:color w:val="auto"/>
          <w:highlight w:val="none"/>
          <w:lang w:val="en-US" w:eastAsia="zh-CN"/>
        </w:rPr>
        <w:t>综上，该项指标满分2.5分，得分2.5分。</w:t>
      </w:r>
    </w:p>
    <w:p>
      <w:pPr>
        <w:pStyle w:val="2"/>
        <w:pageBreakBefore w:val="0"/>
        <w:numPr>
          <w:ilvl w:val="0"/>
          <w:numId w:val="0"/>
        </w:numPr>
        <w:kinsoku/>
        <w:wordWrap/>
        <w:overflowPunct/>
        <w:topLinePunct w:val="0"/>
        <w:autoSpaceDE/>
        <w:autoSpaceDN/>
        <w:bidi w:val="0"/>
        <w:adjustRightInd/>
        <w:spacing w:beforeLines="0" w:afterLines="0" w:line="360" w:lineRule="auto"/>
        <w:ind w:leftChars="200"/>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lang w:val="en-US" w:eastAsia="zh-CN"/>
        </w:rPr>
        <w:t>4.</w:t>
      </w:r>
      <w:r>
        <w:rPr>
          <w:rFonts w:hint="eastAsia" w:ascii="宋体" w:hAnsi="宋体" w:eastAsia="宋体" w:cs="宋体"/>
          <w:color w:val="auto"/>
          <w:sz w:val="28"/>
          <w:szCs w:val="28"/>
          <w:highlight w:val="none"/>
          <w:shd w:val="clear" w:color="auto" w:fill="auto"/>
        </w:rPr>
        <w:t>项目效益情况</w:t>
      </w:r>
      <w:bookmarkEnd w:id="74"/>
    </w:p>
    <w:p>
      <w:pPr>
        <w:pageBreakBefore w:val="0"/>
        <w:widowControl w:val="0"/>
        <w:kinsoku/>
        <w:wordWrap/>
        <w:overflowPunct/>
        <w:topLinePunct w:val="0"/>
        <w:autoSpaceDE/>
        <w:autoSpaceDN/>
        <w:bidi w:val="0"/>
        <w:adjustRightInd/>
        <w:spacing w:line="360" w:lineRule="auto"/>
        <w:ind w:firstLine="560"/>
        <w:jc w:val="left"/>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lang w:val="en-US" w:eastAsia="zh-CN"/>
        </w:rPr>
        <w:t>产出</w:t>
      </w:r>
      <w:r>
        <w:rPr>
          <w:rFonts w:hint="eastAsia" w:ascii="宋体" w:hAnsi="宋体" w:eastAsia="宋体" w:cs="宋体"/>
          <w:color w:val="auto"/>
          <w:kern w:val="2"/>
          <w:highlight w:val="none"/>
          <w:u w:color="000000"/>
          <w:shd w:val="clear" w:color="auto" w:fill="auto"/>
          <w:lang w:val="zh-TW" w:eastAsia="zh-TW"/>
        </w:rPr>
        <w:t>类指标由</w:t>
      </w:r>
      <w:r>
        <w:rPr>
          <w:rFonts w:hint="eastAsia" w:cs="宋体"/>
          <w:color w:val="auto"/>
          <w:kern w:val="2"/>
          <w:highlight w:val="none"/>
          <w:u w:color="000000"/>
          <w:shd w:val="clear" w:color="auto" w:fill="auto"/>
          <w:lang w:val="en-US" w:eastAsia="zh-CN"/>
        </w:rPr>
        <w:t>2</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cs="宋体"/>
          <w:color w:val="auto"/>
          <w:kern w:val="2"/>
          <w:highlight w:val="none"/>
          <w:u w:color="000000"/>
          <w:shd w:val="clear" w:color="auto" w:fill="auto"/>
          <w:lang w:val="en-US" w:eastAsia="zh-CN"/>
        </w:rPr>
        <w:t>2</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w:t>
      </w:r>
      <w:r>
        <w:rPr>
          <w:rFonts w:hint="eastAsia" w:cs="宋体"/>
          <w:color w:val="auto"/>
          <w:kern w:val="2"/>
          <w:highlight w:val="none"/>
          <w:u w:color="000000"/>
          <w:shd w:val="clear" w:color="auto" w:fill="auto"/>
          <w:lang w:val="en-US"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val="zh-TW" w:eastAsia="zh-TW"/>
        </w:rPr>
        <w:t>所示</w:t>
      </w:r>
      <w:r>
        <w:rPr>
          <w:rFonts w:hint="eastAsia" w:cs="宋体"/>
          <w:b/>
          <w:bCs/>
          <w:color w:val="auto"/>
          <w:kern w:val="2"/>
          <w:highlight w:val="none"/>
          <w:u w:color="000000"/>
          <w:shd w:val="clear" w:color="auto" w:fill="auto"/>
          <w:lang w:val="zh-TW" w:eastAsia="zh-CN"/>
        </w:rPr>
        <w:t>（</w:t>
      </w:r>
      <w:r>
        <w:rPr>
          <w:rFonts w:hint="eastAsia" w:cs="宋体"/>
          <w:b/>
          <w:bCs/>
          <w:color w:val="auto"/>
          <w:kern w:val="2"/>
          <w:highlight w:val="none"/>
          <w:u w:color="000000"/>
          <w:shd w:val="clear" w:color="auto" w:fill="auto"/>
          <w:lang w:val="en-US" w:eastAsia="zh-CN"/>
        </w:rPr>
        <w:t>详见上传的附件</w:t>
      </w:r>
      <w:r>
        <w:rPr>
          <w:rFonts w:hint="eastAsia" w:cs="宋体"/>
          <w:b/>
          <w:bCs/>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w:t>
      </w:r>
    </w:p>
    <w:p>
      <w:pPr>
        <w:pageBreakBefore w:val="0"/>
        <w:widowControl w:val="0"/>
        <w:kinsoku/>
        <w:wordWrap/>
        <w:overflowPunct/>
        <w:topLinePunct w:val="0"/>
        <w:autoSpaceDE/>
        <w:autoSpaceDN/>
        <w:bidi w:val="0"/>
        <w:adjustRightInd/>
        <w:spacing w:line="360" w:lineRule="auto"/>
        <w:ind w:firstLine="56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4-4项目效益</w:t>
      </w:r>
      <w:r>
        <w:rPr>
          <w:rFonts w:hint="eastAsia" w:ascii="宋体" w:hAnsi="宋体" w:eastAsia="宋体" w:cs="宋体"/>
          <w:b/>
          <w:bCs/>
          <w:color w:val="auto"/>
          <w:kern w:val="0"/>
          <w:sz w:val="28"/>
          <w:szCs w:val="28"/>
          <w:highlight w:val="none"/>
          <w:shd w:val="clear" w:color="auto" w:fill="auto"/>
          <w:lang w:val="zh-TW" w:eastAsia="zh-TW"/>
        </w:rPr>
        <w:t>指标及分值</w:t>
      </w:r>
      <w:r>
        <w:rPr>
          <w:rFonts w:hint="eastAsia" w:ascii="宋体" w:hAnsi="宋体" w:eastAsia="宋体" w:cs="宋体"/>
          <w:b/>
          <w:bCs/>
          <w:color w:val="auto"/>
          <w:kern w:val="0"/>
          <w:sz w:val="28"/>
          <w:szCs w:val="28"/>
          <w:highlight w:val="none"/>
          <w:shd w:val="clear" w:color="auto" w:fill="auto"/>
          <w:lang w:val="en-US" w:eastAsia="zh-CN"/>
        </w:rPr>
        <w:t>情况</w:t>
      </w:r>
    </w:p>
    <w:tbl>
      <w:tblPr>
        <w:tblStyle w:val="11"/>
        <w:tblW w:w="8372" w:type="dxa"/>
        <w:jc w:val="center"/>
        <w:shd w:val="clear" w:color="auto" w:fill="auto"/>
        <w:tblLayout w:type="fixed"/>
        <w:tblCellMar>
          <w:top w:w="0" w:type="dxa"/>
          <w:left w:w="0" w:type="dxa"/>
          <w:bottom w:w="0" w:type="dxa"/>
          <w:right w:w="0" w:type="dxa"/>
        </w:tblCellMar>
      </w:tblPr>
      <w:tblGrid>
        <w:gridCol w:w="685"/>
        <w:gridCol w:w="1725"/>
        <w:gridCol w:w="2744"/>
        <w:gridCol w:w="870"/>
        <w:gridCol w:w="645"/>
        <w:gridCol w:w="1050"/>
        <w:gridCol w:w="653"/>
      </w:tblGrid>
      <w:tr>
        <w:tblPrEx>
          <w:shd w:val="clear" w:color="auto" w:fill="auto"/>
          <w:tblCellMar>
            <w:top w:w="0" w:type="dxa"/>
            <w:left w:w="0" w:type="dxa"/>
            <w:bottom w:w="0" w:type="dxa"/>
            <w:right w:w="0" w:type="dxa"/>
          </w:tblCellMar>
        </w:tblPrEx>
        <w:trPr>
          <w:trHeight w:val="816" w:hRule="atLeast"/>
          <w:jc w:val="center"/>
        </w:trPr>
        <w:tc>
          <w:tcPr>
            <w:tcW w:w="6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指标</w:t>
            </w:r>
          </w:p>
        </w:tc>
        <w:tc>
          <w:tcPr>
            <w:tcW w:w="17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年度指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标值</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标杆</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全年实</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际完成值</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指标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得分</w:t>
            </w:r>
          </w:p>
        </w:tc>
      </w:tr>
      <w:tr>
        <w:tblPrEx>
          <w:shd w:val="clear" w:color="auto" w:fill="auto"/>
          <w:tblCellMar>
            <w:top w:w="0" w:type="dxa"/>
            <w:left w:w="0" w:type="dxa"/>
            <w:bottom w:w="0" w:type="dxa"/>
            <w:right w:w="0" w:type="dxa"/>
          </w:tblCellMar>
        </w:tblPrEx>
        <w:trPr>
          <w:trHeight w:val="436" w:hRule="atLeast"/>
          <w:jc w:val="center"/>
        </w:trPr>
        <w:tc>
          <w:tcPr>
            <w:tcW w:w="685" w:type="dxa"/>
            <w:vMerge w:val="restart"/>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效益</w:t>
            </w:r>
          </w:p>
        </w:tc>
        <w:tc>
          <w:tcPr>
            <w:tcW w:w="1725"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经济效益指标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r>
      <w:tr>
        <w:tblPrEx>
          <w:shd w:val="clear" w:color="auto" w:fill="auto"/>
          <w:tblCellMar>
            <w:top w:w="0" w:type="dxa"/>
            <w:left w:w="0" w:type="dxa"/>
            <w:bottom w:w="0" w:type="dxa"/>
            <w:right w:w="0" w:type="dxa"/>
          </w:tblCellMar>
        </w:tblPrEx>
        <w:trPr>
          <w:trHeight w:val="436" w:hRule="atLeast"/>
          <w:jc w:val="center"/>
        </w:trPr>
        <w:tc>
          <w:tcPr>
            <w:tcW w:w="685"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社会效益指标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缓解阜康市地下水超采问题</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缓解</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15</w:t>
            </w:r>
          </w:p>
        </w:tc>
      </w:tr>
      <w:tr>
        <w:tblPrEx>
          <w:shd w:val="clear" w:color="auto" w:fill="auto"/>
          <w:tblCellMar>
            <w:top w:w="0" w:type="dxa"/>
            <w:left w:w="0" w:type="dxa"/>
            <w:bottom w:w="0" w:type="dxa"/>
            <w:right w:w="0" w:type="dxa"/>
          </w:tblCellMar>
        </w:tblPrEx>
        <w:trPr>
          <w:trHeight w:val="436" w:hRule="atLeast"/>
          <w:jc w:val="center"/>
        </w:trPr>
        <w:tc>
          <w:tcPr>
            <w:tcW w:w="685"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生态效益指标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r>
      <w:tr>
        <w:tblPrEx>
          <w:shd w:val="clear" w:color="auto" w:fill="auto"/>
          <w:tblCellMar>
            <w:top w:w="0" w:type="dxa"/>
            <w:left w:w="0" w:type="dxa"/>
            <w:bottom w:w="0" w:type="dxa"/>
            <w:right w:w="0" w:type="dxa"/>
          </w:tblCellMar>
        </w:tblPrEx>
        <w:trPr>
          <w:trHeight w:val="418" w:hRule="atLeast"/>
          <w:jc w:val="center"/>
        </w:trPr>
        <w:tc>
          <w:tcPr>
            <w:tcW w:w="685"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可持续影响指标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r>
      <w:tr>
        <w:tblPrEx>
          <w:tblCellMar>
            <w:top w:w="0" w:type="dxa"/>
            <w:left w:w="0" w:type="dxa"/>
            <w:bottom w:w="0" w:type="dxa"/>
            <w:right w:w="0" w:type="dxa"/>
          </w:tblCellMar>
        </w:tblPrEx>
        <w:trPr>
          <w:trHeight w:val="436" w:hRule="atLeast"/>
          <w:jc w:val="center"/>
        </w:trPr>
        <w:tc>
          <w:tcPr>
            <w:tcW w:w="685" w:type="dxa"/>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满意度指标</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市民用水满意度</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≥95</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15</w:t>
            </w:r>
          </w:p>
        </w:tc>
      </w:tr>
      <w:tr>
        <w:tblPrEx>
          <w:tblCellMar>
            <w:top w:w="0" w:type="dxa"/>
            <w:left w:w="0" w:type="dxa"/>
            <w:bottom w:w="0" w:type="dxa"/>
            <w:right w:w="0" w:type="dxa"/>
          </w:tblCellMar>
        </w:tblPrEx>
        <w:trPr>
          <w:trHeight w:val="469" w:hRule="atLeast"/>
          <w:jc w:val="center"/>
        </w:trPr>
        <w:tc>
          <w:tcPr>
            <w:tcW w:w="602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r>
    </w:tbl>
    <w:p>
      <w:pPr>
        <w:bidi w:val="0"/>
        <w:outlineLvl w:val="2"/>
        <w:rPr>
          <w:rFonts w:hint="default"/>
          <w:b/>
          <w:bCs/>
          <w:color w:val="auto"/>
          <w:highlight w:val="none"/>
          <w:lang w:val="en-US" w:eastAsia="zh-CN"/>
        </w:rPr>
      </w:pPr>
      <w:bookmarkStart w:id="75" w:name="_Toc8010"/>
      <w:r>
        <w:rPr>
          <w:rFonts w:hint="eastAsia"/>
          <w:b/>
          <w:bCs/>
          <w:color w:val="auto"/>
          <w:highlight w:val="none"/>
          <w:lang w:val="en-US" w:eastAsia="zh-CN"/>
        </w:rPr>
        <w:t>1.经济效益指标</w:t>
      </w:r>
      <w:bookmarkEnd w:id="75"/>
    </w:p>
    <w:p>
      <w:pPr>
        <w:bidi w:val="0"/>
        <w:rPr>
          <w:rFonts w:hint="eastAsia"/>
          <w:color w:val="auto"/>
          <w:sz w:val="28"/>
          <w:szCs w:val="28"/>
          <w:highlight w:val="none"/>
          <w:lang w:val="en-US" w:eastAsia="zh-CN"/>
        </w:rPr>
      </w:pPr>
      <w:r>
        <w:rPr>
          <w:rFonts w:hint="eastAsia"/>
          <w:color w:val="auto"/>
          <w:sz w:val="28"/>
          <w:szCs w:val="28"/>
          <w:highlight w:val="none"/>
          <w:lang w:val="en-US" w:eastAsia="zh-CN"/>
        </w:rPr>
        <w:t>本项目无此项指标</w:t>
      </w:r>
    </w:p>
    <w:p>
      <w:pPr>
        <w:bidi w:val="0"/>
        <w:outlineLvl w:val="2"/>
        <w:rPr>
          <w:rFonts w:hint="eastAsia"/>
          <w:b/>
          <w:bCs/>
          <w:color w:val="auto"/>
          <w:highlight w:val="none"/>
          <w:lang w:val="en-US" w:eastAsia="zh-CN"/>
        </w:rPr>
      </w:pPr>
      <w:bookmarkStart w:id="76" w:name="_Toc27006"/>
      <w:r>
        <w:rPr>
          <w:rFonts w:hint="eastAsia"/>
          <w:b/>
          <w:bCs/>
          <w:color w:val="auto"/>
          <w:highlight w:val="none"/>
          <w:lang w:val="en-US" w:eastAsia="zh-CN"/>
        </w:rPr>
        <w:t>2.社会效益指标</w:t>
      </w:r>
      <w:bookmarkEnd w:id="76"/>
    </w:p>
    <w:p>
      <w:pPr>
        <w:bidi w:val="0"/>
        <w:rPr>
          <w:rFonts w:hint="eastAsia"/>
          <w:b w:val="0"/>
          <w:bCs w:val="0"/>
          <w:color w:val="auto"/>
          <w:sz w:val="28"/>
          <w:szCs w:val="28"/>
          <w:highlight w:val="none"/>
          <w:lang w:val="en-US" w:eastAsia="zh-CN"/>
        </w:rPr>
      </w:pPr>
      <w:r>
        <w:rPr>
          <w:rFonts w:hint="eastAsia"/>
          <w:color w:val="auto"/>
          <w:sz w:val="28"/>
          <w:szCs w:val="28"/>
          <w:highlight w:val="none"/>
          <w:lang w:eastAsia="zh-CN"/>
        </w:rPr>
        <w:t>“</w:t>
      </w:r>
      <w:r>
        <w:rPr>
          <w:rFonts w:hint="eastAsia"/>
          <w:color w:val="auto"/>
          <w:sz w:val="28"/>
          <w:szCs w:val="28"/>
          <w:highlight w:val="none"/>
          <w:lang w:val="en-US" w:eastAsia="zh-CN"/>
        </w:rPr>
        <w:t>缓解阜康市地下水超采问题</w:t>
      </w:r>
      <w:r>
        <w:rPr>
          <w:rFonts w:hint="eastAsia"/>
          <w:color w:val="auto"/>
          <w:sz w:val="28"/>
          <w:szCs w:val="28"/>
          <w:highlight w:val="none"/>
          <w:lang w:eastAsia="zh-CN"/>
        </w:rPr>
        <w:t>”</w:t>
      </w:r>
      <w:r>
        <w:rPr>
          <w:rFonts w:hint="eastAsia"/>
          <w:color w:val="auto"/>
          <w:sz w:val="28"/>
          <w:szCs w:val="28"/>
          <w:highlight w:val="none"/>
          <w:lang w:val="en-US" w:eastAsia="zh-CN"/>
        </w:rPr>
        <w:t>指标，预期目标值为有效改善，实际完成为100%。</w:t>
      </w:r>
    </w:p>
    <w:p>
      <w:pPr>
        <w:bidi w:val="0"/>
        <w:rPr>
          <w:rFonts w:hint="default"/>
          <w:b w:val="0"/>
          <w:bCs w:val="0"/>
          <w:color w:val="auto"/>
          <w:sz w:val="28"/>
          <w:szCs w:val="28"/>
          <w:highlight w:val="none"/>
          <w:lang w:val="en-US" w:eastAsia="zh-CN"/>
        </w:rPr>
      </w:pPr>
      <w:r>
        <w:rPr>
          <w:rFonts w:hint="eastAsia"/>
          <w:b w:val="0"/>
          <w:bCs w:val="0"/>
          <w:color w:val="auto"/>
          <w:sz w:val="28"/>
          <w:szCs w:val="28"/>
          <w:highlight w:val="none"/>
          <w:lang w:val="en-US" w:eastAsia="zh-CN"/>
        </w:rPr>
        <w:t>通过项目的实施，引入2000万方客水向阜康市城镇生活用水提供保障，有效缓解了阜康市地下水超采问题。</w:t>
      </w:r>
    </w:p>
    <w:p>
      <w:pPr>
        <w:bidi w:val="0"/>
        <w:rPr>
          <w:rFonts w:hint="eastAsia"/>
          <w:color w:val="auto"/>
          <w:highlight w:val="none"/>
          <w:lang w:val="en-US" w:eastAsia="zh-CN"/>
        </w:rPr>
      </w:pPr>
      <w:r>
        <w:rPr>
          <w:rFonts w:hint="eastAsia"/>
          <w:b/>
          <w:bCs/>
          <w:color w:val="auto"/>
          <w:highlight w:val="none"/>
          <w:lang w:val="en-US" w:eastAsia="zh-CN"/>
        </w:rPr>
        <w:t>综上，该项指标满分15分，得分15分。</w:t>
      </w:r>
    </w:p>
    <w:p>
      <w:pPr>
        <w:bidi w:val="0"/>
        <w:outlineLvl w:val="2"/>
        <w:rPr>
          <w:rFonts w:hint="eastAsia"/>
          <w:color w:val="auto"/>
          <w:highlight w:val="none"/>
          <w:lang w:val="en-US" w:eastAsia="zh-CN"/>
        </w:rPr>
      </w:pPr>
      <w:bookmarkStart w:id="77" w:name="_Toc23106"/>
      <w:r>
        <w:rPr>
          <w:rFonts w:hint="eastAsia"/>
          <w:b/>
          <w:bCs/>
          <w:color w:val="auto"/>
          <w:highlight w:val="none"/>
          <w:lang w:val="en-US" w:eastAsia="zh-CN"/>
        </w:rPr>
        <w:t>3.生态效益指标</w:t>
      </w:r>
      <w:bookmarkEnd w:id="77"/>
    </w:p>
    <w:p>
      <w:pPr>
        <w:bidi w:val="0"/>
        <w:rPr>
          <w:rFonts w:hint="eastAsia"/>
          <w:color w:val="auto"/>
          <w:sz w:val="28"/>
          <w:szCs w:val="28"/>
          <w:highlight w:val="none"/>
          <w:lang w:val="en-US" w:eastAsia="zh-CN"/>
        </w:rPr>
      </w:pPr>
      <w:bookmarkStart w:id="78" w:name="_Toc3271"/>
      <w:r>
        <w:rPr>
          <w:rFonts w:hint="eastAsia"/>
          <w:color w:val="auto"/>
          <w:sz w:val="28"/>
          <w:szCs w:val="28"/>
          <w:highlight w:val="none"/>
          <w:lang w:val="en-US" w:eastAsia="zh-CN"/>
        </w:rPr>
        <w:t>本项目无此项指标</w:t>
      </w:r>
    </w:p>
    <w:p>
      <w:pPr>
        <w:numPr>
          <w:ilvl w:val="0"/>
          <w:numId w:val="0"/>
        </w:numPr>
        <w:bidi w:val="0"/>
        <w:ind w:firstLine="562" w:firstLineChars="200"/>
        <w:outlineLvl w:val="2"/>
        <w:rPr>
          <w:rFonts w:hint="eastAsia" w:ascii="宋体" w:hAnsi="宋体" w:eastAsia="宋体" w:cs="宋体"/>
          <w:b w:val="0"/>
          <w:bCs w:val="0"/>
          <w:color w:val="auto"/>
          <w:sz w:val="28"/>
          <w:szCs w:val="28"/>
          <w:highlight w:val="none"/>
          <w:lang w:val="en-US" w:eastAsia="zh-CN"/>
        </w:rPr>
      </w:pPr>
      <w:r>
        <w:rPr>
          <w:rFonts w:hint="eastAsia"/>
          <w:b/>
          <w:bCs/>
          <w:color w:val="auto"/>
          <w:sz w:val="28"/>
          <w:szCs w:val="28"/>
          <w:highlight w:val="none"/>
          <w:lang w:val="en-US" w:eastAsia="zh-CN"/>
        </w:rPr>
        <w:t>4.满意度指标</w:t>
      </w:r>
      <w:bookmarkEnd w:id="78"/>
      <w:bookmarkStart w:id="79" w:name="_Toc19962"/>
    </w:p>
    <w:p>
      <w:pPr>
        <w:numPr>
          <w:ilvl w:val="0"/>
          <w:numId w:val="0"/>
        </w:numPr>
        <w:bidi w:val="0"/>
        <w:ind w:firstLine="560" w:firstLineChars="200"/>
        <w:outlineLvl w:val="2"/>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“市民用水满意度”指标，预期目标值为≥95，实际完成为100%。</w:t>
      </w:r>
    </w:p>
    <w:p>
      <w:pPr>
        <w:bidi w:val="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通过项目的实施，引入2000万方客水向阜康市城镇生活用水提供保障，有效缓解了阜康市城镇、绿化用水矛盾问题，为居民用水提供了保障。</w:t>
      </w:r>
    </w:p>
    <w:p>
      <w:pPr>
        <w:bidi w:val="0"/>
        <w:rPr>
          <w:rFonts w:hint="default"/>
          <w:color w:val="auto"/>
          <w:highlight w:val="none"/>
          <w:lang w:val="en-US" w:eastAsia="zh-CN"/>
        </w:rPr>
      </w:pPr>
      <w:r>
        <w:rPr>
          <w:rFonts w:hint="eastAsia"/>
          <w:b/>
          <w:bCs/>
          <w:color w:val="auto"/>
          <w:highlight w:val="none"/>
          <w:lang w:val="en-US" w:eastAsia="zh-CN"/>
        </w:rPr>
        <w:t>综上，该项指标满分15分，得分15分。</w:t>
      </w:r>
    </w:p>
    <w:p>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sz w:val="28"/>
          <w:szCs w:val="28"/>
          <w:highlight w:val="none"/>
          <w:shd w:val="clear" w:color="auto" w:fill="auto"/>
          <w:lang w:val="en-US" w:eastAsia="zh-CN"/>
        </w:rPr>
      </w:pPr>
      <w:r>
        <w:rPr>
          <w:rFonts w:hint="eastAsia" w:ascii="宋体" w:hAnsi="宋体" w:eastAsia="宋体" w:cs="宋体"/>
          <w:b/>
          <w:bCs/>
          <w:color w:val="auto"/>
          <w:sz w:val="28"/>
          <w:szCs w:val="28"/>
          <w:highlight w:val="none"/>
          <w:shd w:val="clear" w:color="auto" w:fill="auto"/>
          <w:lang w:val="en-US" w:eastAsia="zh-CN"/>
        </w:rPr>
        <w:t>五、预算执行进度与指标偏差</w:t>
      </w:r>
      <w:bookmarkEnd w:id="79"/>
    </w:p>
    <w:p>
      <w:pPr>
        <w:bidi w:val="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该</w:t>
      </w:r>
      <w:r>
        <w:rPr>
          <w:rFonts w:hint="eastAsia" w:ascii="宋体" w:hAnsi="宋体" w:eastAsia="宋体" w:cs="宋体"/>
          <w:color w:val="auto"/>
          <w:sz w:val="28"/>
          <w:szCs w:val="28"/>
          <w:highlight w:val="none"/>
          <w:lang w:eastAsia="zh-CN"/>
        </w:rPr>
        <w:t>项目预算资金总额为</w:t>
      </w:r>
      <w:r>
        <w:rPr>
          <w:rFonts w:hint="eastAsia" w:ascii="宋体" w:hAnsi="宋体" w:eastAsia="宋体" w:cs="宋体"/>
          <w:color w:val="auto"/>
          <w:sz w:val="28"/>
          <w:szCs w:val="28"/>
          <w:highlight w:val="none"/>
          <w:lang w:val="en-US" w:eastAsia="zh-CN"/>
        </w:rPr>
        <w:t>162.49万元，全年执行数为162.49万元，预算执行率为100%，</w:t>
      </w:r>
      <w:r>
        <w:rPr>
          <w:rFonts w:hint="eastAsia" w:ascii="宋体" w:hAnsi="宋体" w:eastAsia="宋体" w:cs="宋体"/>
          <w:color w:val="auto"/>
          <w:sz w:val="28"/>
          <w:szCs w:val="28"/>
          <w:highlight w:val="none"/>
          <w:lang w:eastAsia="zh-CN"/>
        </w:rPr>
        <w:t>总体完成率为</w:t>
      </w:r>
      <w:r>
        <w:rPr>
          <w:rFonts w:hint="eastAsia" w:ascii="宋体" w:hAnsi="宋体" w:eastAsia="宋体" w:cs="宋体"/>
          <w:color w:val="auto"/>
          <w:sz w:val="28"/>
          <w:szCs w:val="28"/>
          <w:highlight w:val="none"/>
          <w:lang w:val="en-US" w:eastAsia="zh-CN"/>
        </w:rPr>
        <w:t>100</w:t>
      </w:r>
      <w:r>
        <w:rPr>
          <w:rFonts w:hint="eastAsia" w:ascii="宋体" w:hAnsi="宋体" w:eastAsia="宋体" w:cs="宋体"/>
          <w:color w:val="auto"/>
          <w:sz w:val="28"/>
          <w:szCs w:val="28"/>
          <w:highlight w:val="none"/>
          <w:lang w:val="zh-TW" w:eastAsia="zh-TW"/>
        </w:rPr>
        <w:t>%。</w:t>
      </w:r>
      <w:r>
        <w:rPr>
          <w:rFonts w:hint="eastAsia" w:ascii="宋体" w:hAnsi="宋体" w:eastAsia="宋体" w:cs="宋体"/>
          <w:color w:val="auto"/>
          <w:sz w:val="28"/>
          <w:szCs w:val="28"/>
          <w:highlight w:val="none"/>
          <w:lang w:val="en-US" w:eastAsia="zh-CN"/>
        </w:rPr>
        <w:t>预算执行率与总体完成率之间的偏差为0%，无</w:t>
      </w:r>
      <w:r>
        <w:rPr>
          <w:rFonts w:hint="eastAsia" w:ascii="宋体" w:hAnsi="宋体" w:eastAsia="宋体" w:cs="宋体"/>
          <w:color w:val="auto"/>
          <w:sz w:val="28"/>
          <w:szCs w:val="28"/>
          <w:highlight w:val="none"/>
          <w:lang w:eastAsia="zh-CN"/>
        </w:rPr>
        <w:t>偏差。</w:t>
      </w:r>
    </w:p>
    <w:p>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sz w:val="28"/>
          <w:szCs w:val="28"/>
          <w:highlight w:val="none"/>
          <w:shd w:val="clear" w:color="auto" w:fill="auto"/>
          <w:lang w:val="en-US" w:eastAsia="zh-CN"/>
        </w:rPr>
      </w:pPr>
      <w:bookmarkStart w:id="80" w:name="_Toc29934"/>
      <w:r>
        <w:rPr>
          <w:rFonts w:hint="eastAsia" w:ascii="宋体" w:hAnsi="宋体" w:eastAsia="宋体" w:cs="宋体"/>
          <w:b/>
          <w:bCs/>
          <w:color w:val="auto"/>
          <w:sz w:val="28"/>
          <w:szCs w:val="28"/>
          <w:highlight w:val="none"/>
          <w:shd w:val="clear" w:color="auto" w:fill="auto"/>
          <w:lang w:val="en-US" w:eastAsia="zh-CN"/>
        </w:rPr>
        <w:t>六、主要经验及做法、存在的问题及原因分析</w:t>
      </w:r>
      <w:bookmarkEnd w:id="80"/>
    </w:p>
    <w:p>
      <w:pPr>
        <w:numPr>
          <w:ilvl w:val="0"/>
          <w:numId w:val="0"/>
        </w:numPr>
        <w:bidi w:val="0"/>
        <w:ind w:left="560" w:leftChars="0"/>
        <w:outlineLvl w:val="1"/>
        <w:rPr>
          <w:rFonts w:hint="eastAsia"/>
          <w:b/>
          <w:bCs/>
          <w:color w:val="auto"/>
          <w:sz w:val="28"/>
          <w:szCs w:val="28"/>
          <w:highlight w:val="none"/>
          <w:lang w:eastAsia="zh-CN"/>
        </w:rPr>
      </w:pPr>
      <w:bookmarkStart w:id="81" w:name="_Toc13160"/>
      <w:bookmarkStart w:id="82" w:name="_Toc1921"/>
      <w:bookmarkStart w:id="83" w:name="_Toc28290"/>
      <w:r>
        <w:rPr>
          <w:rFonts w:hint="eastAsia"/>
          <w:b/>
          <w:bCs/>
          <w:color w:val="auto"/>
          <w:sz w:val="28"/>
          <w:szCs w:val="28"/>
          <w:highlight w:val="none"/>
          <w:lang w:eastAsia="zh-CN"/>
        </w:rPr>
        <w:t>（</w:t>
      </w:r>
      <w:r>
        <w:rPr>
          <w:rFonts w:hint="eastAsia"/>
          <w:b/>
          <w:bCs/>
          <w:color w:val="auto"/>
          <w:sz w:val="28"/>
          <w:szCs w:val="28"/>
          <w:highlight w:val="none"/>
          <w:lang w:val="en-US" w:eastAsia="zh-CN"/>
        </w:rPr>
        <w:t>一</w:t>
      </w:r>
      <w:r>
        <w:rPr>
          <w:rFonts w:hint="eastAsia"/>
          <w:b/>
          <w:bCs/>
          <w:color w:val="auto"/>
          <w:sz w:val="28"/>
          <w:szCs w:val="28"/>
          <w:highlight w:val="none"/>
          <w:lang w:eastAsia="zh-CN"/>
        </w:rPr>
        <w:t>）</w:t>
      </w:r>
      <w:r>
        <w:rPr>
          <w:rFonts w:hint="eastAsia"/>
          <w:b/>
          <w:bCs/>
          <w:color w:val="auto"/>
          <w:sz w:val="28"/>
          <w:szCs w:val="28"/>
          <w:highlight w:val="none"/>
        </w:rPr>
        <w:t>主要经验及做法</w:t>
      </w:r>
      <w:bookmarkEnd w:id="81"/>
    </w:p>
    <w:bookmarkEnd w:id="82"/>
    <w:bookmarkEnd w:id="83"/>
    <w:p>
      <w:pPr>
        <w:bidi w:val="0"/>
        <w:rPr>
          <w:rFonts w:hint="eastAsia"/>
          <w:color w:val="auto"/>
          <w:sz w:val="28"/>
          <w:szCs w:val="28"/>
          <w:highlight w:val="none"/>
          <w:lang w:eastAsia="zh-CN"/>
        </w:rPr>
      </w:pPr>
      <w:bookmarkStart w:id="84" w:name="_Toc9582"/>
      <w:r>
        <w:rPr>
          <w:rFonts w:hint="eastAsia"/>
          <w:color w:val="auto"/>
          <w:sz w:val="28"/>
          <w:szCs w:val="28"/>
          <w:highlight w:val="none"/>
          <w:lang w:eastAsia="zh-CN"/>
        </w:rPr>
        <w:t>阜康市水源地输水管网建设工程-占地补偿款20</w:t>
      </w:r>
      <w:r>
        <w:rPr>
          <w:rFonts w:hint="eastAsia"/>
          <w:color w:val="auto"/>
          <w:sz w:val="28"/>
          <w:szCs w:val="28"/>
          <w:highlight w:val="none"/>
          <w:lang w:val="en-US" w:eastAsia="zh-CN"/>
        </w:rPr>
        <w:t>23</w:t>
      </w:r>
      <w:r>
        <w:rPr>
          <w:rFonts w:hint="eastAsia"/>
          <w:color w:val="auto"/>
          <w:sz w:val="28"/>
          <w:szCs w:val="28"/>
          <w:highlight w:val="none"/>
          <w:lang w:eastAsia="zh-CN"/>
        </w:rPr>
        <w:t>年预算</w:t>
      </w:r>
      <w:r>
        <w:rPr>
          <w:rFonts w:hint="eastAsia"/>
          <w:color w:val="auto"/>
          <w:sz w:val="28"/>
          <w:szCs w:val="28"/>
          <w:highlight w:val="none"/>
          <w:lang w:val="en-US" w:eastAsia="zh-CN"/>
        </w:rPr>
        <w:t>数</w:t>
      </w:r>
      <w:r>
        <w:rPr>
          <w:rFonts w:hint="eastAsia"/>
          <w:color w:val="auto"/>
          <w:sz w:val="28"/>
          <w:szCs w:val="28"/>
          <w:highlight w:val="none"/>
          <w:lang w:eastAsia="zh-CN"/>
        </w:rPr>
        <w:t>为</w:t>
      </w:r>
      <w:r>
        <w:rPr>
          <w:rFonts w:hint="eastAsia"/>
          <w:color w:val="auto"/>
          <w:sz w:val="28"/>
          <w:szCs w:val="28"/>
          <w:highlight w:val="none"/>
          <w:lang w:val="en-US" w:eastAsia="zh-CN"/>
        </w:rPr>
        <w:t>162.49</w:t>
      </w:r>
      <w:r>
        <w:rPr>
          <w:rFonts w:hint="eastAsia"/>
          <w:color w:val="auto"/>
          <w:sz w:val="28"/>
          <w:szCs w:val="28"/>
          <w:highlight w:val="none"/>
          <w:lang w:eastAsia="zh-CN"/>
        </w:rPr>
        <w:t>万元，</w:t>
      </w:r>
      <w:r>
        <w:rPr>
          <w:rFonts w:hint="eastAsia"/>
          <w:color w:val="auto"/>
          <w:sz w:val="28"/>
          <w:szCs w:val="28"/>
          <w:highlight w:val="none"/>
          <w:lang w:val="en-US" w:eastAsia="zh-CN"/>
        </w:rPr>
        <w:t>截至2023年12月31日共</w:t>
      </w:r>
      <w:r>
        <w:rPr>
          <w:rFonts w:hint="eastAsia"/>
          <w:color w:val="auto"/>
          <w:sz w:val="28"/>
          <w:szCs w:val="28"/>
          <w:highlight w:val="none"/>
          <w:lang w:eastAsia="zh-CN"/>
        </w:rPr>
        <w:t>支出</w:t>
      </w:r>
      <w:r>
        <w:rPr>
          <w:rFonts w:hint="eastAsia"/>
          <w:color w:val="auto"/>
          <w:sz w:val="28"/>
          <w:szCs w:val="28"/>
          <w:highlight w:val="none"/>
          <w:lang w:val="en-US" w:eastAsia="zh-CN"/>
        </w:rPr>
        <w:t>162.49</w:t>
      </w:r>
      <w:r>
        <w:rPr>
          <w:rFonts w:hint="eastAsia"/>
          <w:color w:val="auto"/>
          <w:sz w:val="28"/>
          <w:szCs w:val="28"/>
          <w:highlight w:val="none"/>
          <w:lang w:eastAsia="zh-CN"/>
        </w:rPr>
        <w:t>万元，预算</w:t>
      </w:r>
      <w:r>
        <w:rPr>
          <w:rFonts w:hint="eastAsia"/>
          <w:color w:val="auto"/>
          <w:sz w:val="28"/>
          <w:szCs w:val="28"/>
          <w:highlight w:val="none"/>
          <w:lang w:val="en-US" w:eastAsia="zh-CN"/>
        </w:rPr>
        <w:t>执行</w:t>
      </w:r>
      <w:r>
        <w:rPr>
          <w:rFonts w:hint="eastAsia"/>
          <w:color w:val="auto"/>
          <w:sz w:val="28"/>
          <w:szCs w:val="28"/>
          <w:highlight w:val="none"/>
          <w:lang w:eastAsia="zh-CN"/>
        </w:rPr>
        <w:t>率为</w:t>
      </w:r>
      <w:r>
        <w:rPr>
          <w:rFonts w:hint="eastAsia"/>
          <w:color w:val="auto"/>
          <w:sz w:val="28"/>
          <w:szCs w:val="28"/>
          <w:highlight w:val="none"/>
          <w:lang w:val="en-US" w:eastAsia="zh-CN"/>
        </w:rPr>
        <w:t>100</w:t>
      </w:r>
      <w:r>
        <w:rPr>
          <w:rFonts w:hint="eastAsia"/>
          <w:color w:val="auto"/>
          <w:sz w:val="28"/>
          <w:szCs w:val="28"/>
          <w:highlight w:val="none"/>
          <w:lang w:eastAsia="zh-CN"/>
        </w:rPr>
        <w:t>%。</w:t>
      </w:r>
    </w:p>
    <w:p>
      <w:pPr>
        <w:bidi w:val="0"/>
        <w:rPr>
          <w:rFonts w:hint="eastAsia"/>
          <w:color w:val="auto"/>
          <w:sz w:val="28"/>
          <w:szCs w:val="28"/>
          <w:highlight w:val="none"/>
          <w:lang w:eastAsia="zh-CN"/>
        </w:rPr>
      </w:pPr>
      <w:r>
        <w:rPr>
          <w:rFonts w:hint="eastAsia"/>
          <w:color w:val="auto"/>
          <w:sz w:val="28"/>
          <w:szCs w:val="28"/>
          <w:highlight w:val="none"/>
          <w:lang w:val="en-US" w:eastAsia="zh-CN"/>
        </w:rPr>
        <w:t>阜康市水利局</w:t>
      </w:r>
      <w:r>
        <w:rPr>
          <w:rFonts w:hint="eastAsia"/>
          <w:color w:val="auto"/>
          <w:sz w:val="28"/>
          <w:szCs w:val="28"/>
          <w:highlight w:val="none"/>
          <w:lang w:eastAsia="zh-CN"/>
        </w:rPr>
        <w:t>建立健全了预算管理规章制度，各部门严格按照预算编制的原则和要求做好当年预算编制工作，在预算绩效管理工作中，做到合理安排各项资金，重点保障基本支出，按轻重缓急顺序原则，优先安排了</w:t>
      </w:r>
      <w:r>
        <w:rPr>
          <w:rFonts w:hint="eastAsia"/>
          <w:color w:val="auto"/>
          <w:sz w:val="28"/>
          <w:szCs w:val="28"/>
          <w:highlight w:val="none"/>
          <w:lang w:val="en-US" w:eastAsia="zh-CN"/>
        </w:rPr>
        <w:t>阜康市水利局</w:t>
      </w:r>
      <w:r>
        <w:rPr>
          <w:rFonts w:hint="eastAsia"/>
          <w:color w:val="auto"/>
          <w:sz w:val="28"/>
          <w:szCs w:val="28"/>
          <w:highlight w:val="none"/>
          <w:lang w:eastAsia="zh-CN"/>
        </w:rPr>
        <w:t>事业发展中关系民生与稳定的项目，切实优化资源配置，提高了资金使用的效率和效果。</w:t>
      </w:r>
    </w:p>
    <w:p>
      <w:pPr>
        <w:bidi w:val="0"/>
        <w:outlineLvl w:val="1"/>
        <w:rPr>
          <w:rFonts w:hint="eastAsia"/>
          <w:b/>
          <w:bCs/>
          <w:color w:val="auto"/>
          <w:highlight w:val="none"/>
          <w:lang w:eastAsia="zh-CN"/>
        </w:rPr>
      </w:pPr>
      <w:r>
        <w:rPr>
          <w:rFonts w:hint="eastAsia"/>
          <w:b/>
          <w:bCs/>
          <w:color w:val="auto"/>
          <w:highlight w:val="none"/>
          <w:lang w:eastAsia="zh-CN"/>
        </w:rPr>
        <w:t>（</w:t>
      </w:r>
      <w:r>
        <w:rPr>
          <w:rFonts w:hint="eastAsia"/>
          <w:b/>
          <w:bCs/>
          <w:color w:val="auto"/>
          <w:highlight w:val="none"/>
          <w:lang w:val="en-US" w:eastAsia="zh-CN"/>
        </w:rPr>
        <w:t>二</w:t>
      </w:r>
      <w:r>
        <w:rPr>
          <w:rFonts w:hint="eastAsia"/>
          <w:b/>
          <w:bCs/>
          <w:color w:val="auto"/>
          <w:highlight w:val="none"/>
          <w:lang w:eastAsia="zh-CN"/>
        </w:rPr>
        <w:t>）</w:t>
      </w:r>
      <w:r>
        <w:rPr>
          <w:rFonts w:hint="eastAsia"/>
          <w:b/>
          <w:bCs/>
          <w:color w:val="auto"/>
          <w:highlight w:val="none"/>
        </w:rPr>
        <w:t>存在的问题及原因分析</w:t>
      </w:r>
      <w:bookmarkEnd w:id="84"/>
    </w:p>
    <w:p>
      <w:pPr>
        <w:bidi w:val="0"/>
        <w:rPr>
          <w:rFonts w:hint="default" w:ascii="宋体" w:hAnsi="宋体" w:eastAsia="宋体" w:cs="宋体"/>
          <w:color w:val="auto"/>
          <w:sz w:val="28"/>
          <w:szCs w:val="28"/>
          <w:highlight w:val="none"/>
          <w:lang w:val="en-US" w:eastAsia="zh-CN"/>
        </w:rPr>
      </w:pPr>
      <w:bookmarkStart w:id="85" w:name="_Toc15618"/>
      <w:r>
        <w:rPr>
          <w:rFonts w:hint="eastAsia" w:ascii="宋体" w:hAnsi="宋体" w:eastAsia="宋体" w:cs="宋体"/>
          <w:color w:val="auto"/>
          <w:sz w:val="28"/>
          <w:szCs w:val="28"/>
          <w:highlight w:val="none"/>
          <w:lang w:val="en-US" w:eastAsia="zh-CN"/>
        </w:rPr>
        <w:t>1.前期设计现场勘察工作不扎实，</w:t>
      </w:r>
      <w:r>
        <w:rPr>
          <w:rFonts w:hint="eastAsia" w:cs="宋体"/>
          <w:color w:val="auto"/>
          <w:sz w:val="28"/>
          <w:szCs w:val="28"/>
          <w:highlight w:val="none"/>
          <w:lang w:val="en-US" w:eastAsia="zh-CN"/>
        </w:rPr>
        <w:t>在</w:t>
      </w:r>
      <w:r>
        <w:rPr>
          <w:rFonts w:hint="eastAsia" w:ascii="宋体" w:hAnsi="宋体" w:eastAsia="宋体" w:cs="宋体"/>
          <w:color w:val="auto"/>
          <w:sz w:val="28"/>
          <w:szCs w:val="28"/>
          <w:highlight w:val="none"/>
          <w:lang w:val="en-US" w:eastAsia="zh-CN"/>
        </w:rPr>
        <w:t>施工期间</w:t>
      </w:r>
      <w:r>
        <w:rPr>
          <w:rFonts w:hint="eastAsia" w:cs="宋体"/>
          <w:color w:val="auto"/>
          <w:sz w:val="28"/>
          <w:szCs w:val="28"/>
          <w:highlight w:val="none"/>
          <w:lang w:val="en-US" w:eastAsia="zh-CN"/>
        </w:rPr>
        <w:t>遇到的问题较多，容易造成部分工程设计变更，导致资源浪费。</w:t>
      </w:r>
    </w:p>
    <w:p>
      <w:pPr>
        <w:pStyle w:val="2"/>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宋体" w:hAnsi="宋体" w:eastAsia="宋体" w:cs="宋体"/>
          <w:b w:val="0"/>
          <w:color w:val="auto"/>
          <w:kern w:val="2"/>
          <w:sz w:val="28"/>
          <w:szCs w:val="28"/>
          <w:highlight w:val="none"/>
          <w:lang w:val="en-US" w:eastAsia="zh-CN" w:bidi="ar-SA"/>
        </w:rPr>
      </w:pPr>
      <w:r>
        <w:rPr>
          <w:rFonts w:hint="eastAsia" w:ascii="宋体" w:hAnsi="宋体" w:eastAsia="宋体" w:cs="宋体"/>
          <w:b w:val="0"/>
          <w:color w:val="auto"/>
          <w:kern w:val="2"/>
          <w:sz w:val="28"/>
          <w:szCs w:val="28"/>
          <w:highlight w:val="none"/>
          <w:lang w:val="en-US" w:eastAsia="zh-CN" w:bidi="ar-SA"/>
        </w:rPr>
        <w:t>2.</w:t>
      </w:r>
      <w:r>
        <w:rPr>
          <w:rFonts w:hint="default" w:ascii="宋体" w:hAnsi="宋体" w:eastAsia="宋体" w:cs="宋体"/>
          <w:b w:val="0"/>
          <w:color w:val="auto"/>
          <w:kern w:val="2"/>
          <w:sz w:val="28"/>
          <w:szCs w:val="28"/>
          <w:highlight w:val="none"/>
          <w:lang w:val="en-US" w:eastAsia="zh-CN" w:bidi="ar-SA"/>
        </w:rPr>
        <w:t>阜康市水源地输水管网建设工程于2022年7月开工建设，</w:t>
      </w:r>
      <w:r>
        <w:rPr>
          <w:rFonts w:hint="eastAsia" w:ascii="宋体" w:hAnsi="宋体" w:eastAsia="宋体" w:cs="宋体"/>
          <w:b w:val="0"/>
          <w:color w:val="auto"/>
          <w:kern w:val="2"/>
          <w:sz w:val="28"/>
          <w:szCs w:val="28"/>
          <w:highlight w:val="none"/>
          <w:lang w:val="en-US" w:eastAsia="zh-CN" w:bidi="ar-SA"/>
        </w:rPr>
        <w:t>截至目前</w:t>
      </w:r>
      <w:r>
        <w:rPr>
          <w:rFonts w:hint="default" w:ascii="宋体" w:hAnsi="宋体" w:eastAsia="宋体" w:cs="宋体"/>
          <w:b w:val="0"/>
          <w:color w:val="auto"/>
          <w:kern w:val="2"/>
          <w:sz w:val="28"/>
          <w:szCs w:val="28"/>
          <w:highlight w:val="none"/>
          <w:lang w:val="en-US" w:eastAsia="zh-CN" w:bidi="ar-SA"/>
        </w:rPr>
        <w:t>工程已进入关键阶段，但管理费用尚未到位</w:t>
      </w:r>
      <w:r>
        <w:rPr>
          <w:rFonts w:hint="eastAsia" w:ascii="宋体" w:hAnsi="宋体" w:eastAsia="宋体" w:cs="宋体"/>
          <w:b w:val="0"/>
          <w:color w:val="auto"/>
          <w:kern w:val="2"/>
          <w:sz w:val="28"/>
          <w:szCs w:val="28"/>
          <w:highlight w:val="none"/>
          <w:lang w:val="en-US" w:eastAsia="zh-CN" w:bidi="ar-SA"/>
        </w:rPr>
        <w:t>，使项目管理建设单位人员安全防护、交通、后勤等工作未能得到有效保障。</w:t>
      </w:r>
    </w:p>
    <w:p>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sz w:val="28"/>
          <w:szCs w:val="28"/>
          <w:highlight w:val="none"/>
          <w:shd w:val="clear" w:color="auto" w:fill="auto"/>
          <w:lang w:val="en-US" w:eastAsia="zh-CN"/>
        </w:rPr>
      </w:pPr>
      <w:bookmarkStart w:id="86" w:name="_Toc5230"/>
      <w:r>
        <w:rPr>
          <w:rFonts w:hint="eastAsia" w:ascii="宋体" w:hAnsi="宋体" w:eastAsia="宋体" w:cs="宋体"/>
          <w:b/>
          <w:bCs/>
          <w:color w:val="auto"/>
          <w:sz w:val="28"/>
          <w:szCs w:val="28"/>
          <w:highlight w:val="none"/>
          <w:shd w:val="clear" w:color="auto" w:fill="auto"/>
          <w:lang w:val="en-US" w:eastAsia="zh-CN"/>
        </w:rPr>
        <w:t>七、有关建议</w:t>
      </w:r>
      <w:bookmarkEnd w:id="86"/>
    </w:p>
    <w:p>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1.做好前期调研：在项目决策前，应对政务服务和公共资源交易现状进行全面调研，充分了解相关部门、企业和社会公众的需求和期望。</w:t>
      </w:r>
    </w:p>
    <w:p>
      <w:pPr>
        <w:rPr>
          <w:rFonts w:hint="default"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2.</w:t>
      </w:r>
      <w:r>
        <w:rPr>
          <w:rFonts w:hint="eastAsia" w:cs="宋体"/>
          <w:color w:val="auto"/>
          <w:kern w:val="2"/>
          <w:sz w:val="28"/>
          <w:szCs w:val="28"/>
          <w:highlight w:val="none"/>
          <w:lang w:val="en-US" w:eastAsia="zh-CN" w:bidi="ar-SA"/>
        </w:rPr>
        <w:t>在项目开工建设前，积极协调相关单位落实好建设管理资金，使现场管理人员提供后勤保障，在各项关键阶段施工时能够提高工作效率，从而提高工程质量、安全等方面工作。</w:t>
      </w:r>
    </w:p>
    <w:p>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sz w:val="28"/>
          <w:szCs w:val="28"/>
          <w:highlight w:val="none"/>
          <w:shd w:val="clear" w:color="auto" w:fill="auto"/>
          <w:lang w:val="en-US" w:eastAsia="zh-CN"/>
        </w:rPr>
      </w:pPr>
      <w:r>
        <w:rPr>
          <w:rFonts w:hint="eastAsia" w:ascii="宋体" w:hAnsi="宋体" w:eastAsia="宋体" w:cs="宋体"/>
          <w:b/>
          <w:bCs/>
          <w:color w:val="auto"/>
          <w:sz w:val="28"/>
          <w:szCs w:val="28"/>
          <w:highlight w:val="none"/>
          <w:shd w:val="clear" w:color="auto" w:fill="auto"/>
          <w:lang w:val="en-US" w:eastAsia="zh-CN"/>
        </w:rPr>
        <w:t>八、其他需要说明的问题</w:t>
      </w:r>
      <w:bookmarkEnd w:id="85"/>
    </w:p>
    <w:p>
      <w:pPr>
        <w:bidi w:val="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无其他需要说明的问题。</w:t>
      </w:r>
    </w:p>
    <w:p>
      <w:pPr>
        <w:pageBreakBefore w:val="0"/>
        <w:kinsoku/>
        <w:wordWrap/>
        <w:overflowPunct/>
        <w:topLinePunct w:val="0"/>
        <w:autoSpaceDE/>
        <w:autoSpaceDN/>
        <w:bidi w:val="0"/>
        <w:adjustRightInd/>
        <w:spacing w:line="360" w:lineRule="auto"/>
        <w:textAlignment w:val="auto"/>
        <w:rPr>
          <w:rFonts w:hint="eastAsia" w:cs="宋体"/>
          <w:color w:val="auto"/>
          <w:highlight w:val="none"/>
          <w:shd w:val="clear" w:color="auto" w:fill="auto"/>
          <w:lang w:val="en-US" w:eastAsia="zh-CN"/>
        </w:rPr>
      </w:pPr>
    </w:p>
    <w:p>
      <w:pPr>
        <w:ind w:left="0" w:leftChars="0" w:firstLine="0" w:firstLineChars="0"/>
        <w:rPr>
          <w:rFonts w:hint="eastAsia" w:ascii="宋体" w:hAnsi="宋体" w:eastAsia="宋体" w:cs="宋体"/>
          <w:b/>
          <w:bCs/>
          <w:color w:val="auto"/>
          <w:highlight w:val="none"/>
          <w:shd w:val="clear" w:color="auto" w:fill="auto"/>
          <w:lang w:val="en-US" w:eastAsia="zh-CN"/>
        </w:rPr>
        <w:sectPr>
          <w:footerReference r:id="rId5" w:type="default"/>
          <w:pgSz w:w="11906" w:h="16838"/>
          <w:pgMar w:top="2098" w:right="1474" w:bottom="1984" w:left="1587" w:header="737" w:footer="851" w:gutter="0"/>
          <w:pgBorders>
            <w:top w:val="none" w:sz="0" w:space="0"/>
            <w:left w:val="none" w:sz="0" w:space="0"/>
            <w:bottom w:val="none" w:sz="0" w:space="0"/>
            <w:right w:val="none" w:sz="0" w:space="0"/>
          </w:pgBorders>
          <w:pgNumType w:fmt="decimal" w:start="1"/>
          <w:cols w:space="720" w:num="1"/>
          <w:docGrid w:type="lines" w:linePitch="408" w:charSpace="0"/>
        </w:sectPr>
      </w:pPr>
    </w:p>
    <w:p>
      <w:pPr>
        <w:ind w:left="0" w:leftChars="0" w:firstLine="0" w:firstLineChars="0"/>
        <w:rPr>
          <w:rFonts w:hint="eastAsia" w:ascii="宋体" w:hAnsi="宋体" w:eastAsia="宋体" w:cs="宋体"/>
          <w:b/>
          <w:bCs/>
          <w:color w:val="auto"/>
          <w:highlight w:val="none"/>
          <w:shd w:val="clear" w:color="auto" w:fill="auto"/>
          <w:lang w:val="en-US" w:eastAsia="zh-CN"/>
        </w:rPr>
      </w:pPr>
      <w:r>
        <w:rPr>
          <w:rFonts w:hint="eastAsia" w:ascii="宋体" w:hAnsi="宋体" w:eastAsia="宋体" w:cs="宋体"/>
          <w:b/>
          <w:bCs/>
          <w:color w:val="auto"/>
          <w:highlight w:val="none"/>
          <w:shd w:val="clear" w:color="auto" w:fill="auto"/>
          <w:lang w:val="en-US" w:eastAsia="zh-CN"/>
        </w:rPr>
        <w:t>附件一、项目支出绩效自评表</w:t>
      </w:r>
    </w:p>
    <w:tbl>
      <w:tblPr>
        <w:tblStyle w:val="1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93"/>
        <w:gridCol w:w="694"/>
        <w:gridCol w:w="719"/>
        <w:gridCol w:w="1439"/>
        <w:gridCol w:w="964"/>
        <w:gridCol w:w="814"/>
        <w:gridCol w:w="700"/>
        <w:gridCol w:w="726"/>
        <w:gridCol w:w="788"/>
        <w:gridCol w:w="909"/>
        <w:gridCol w:w="930"/>
        <w:gridCol w:w="943"/>
        <w:gridCol w:w="876"/>
        <w:gridCol w:w="17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0" w:hRule="atLeast"/>
        </w:trPr>
        <w:tc>
          <w:tcPr>
            <w:tcW w:w="12972" w:type="dxa"/>
            <w:gridSpan w:val="14"/>
            <w:tcBorders>
              <w:top w:val="nil"/>
              <w:left w:val="nil"/>
              <w:bottom w:val="nil"/>
              <w:right w:val="nil"/>
              <w:tl2br w:val="nil"/>
              <w:tr2bl w:val="nil"/>
            </w:tcBorders>
            <w:shd w:val="clear" w:color="auto" w:fill="auto"/>
            <w:vAlign w:val="center"/>
          </w:tcPr>
          <w:p>
            <w:pPr>
              <w:keepNext w:val="0"/>
              <w:keepLines w:val="0"/>
              <w:widowControl/>
              <w:suppressLineNumbers w:val="0"/>
              <w:ind w:firstLine="803" w:firstLineChars="200"/>
              <w:jc w:val="center"/>
              <w:textAlignment w:val="center"/>
              <w:rPr>
                <w:rFonts w:ascii="华文中宋" w:hAnsi="华文中宋" w:eastAsia="华文中宋" w:cs="华文中宋"/>
                <w:b/>
                <w:bCs/>
                <w:i w:val="0"/>
                <w:iCs w:val="0"/>
                <w:color w:val="000000"/>
                <w:sz w:val="40"/>
                <w:szCs w:val="40"/>
                <w:u w:val="none"/>
              </w:rPr>
            </w:pPr>
            <w:r>
              <w:rPr>
                <w:rFonts w:hint="eastAsia" w:ascii="华文中宋" w:hAnsi="华文中宋" w:eastAsia="华文中宋" w:cs="华文中宋"/>
                <w:b/>
                <w:bCs/>
                <w:i w:val="0"/>
                <w:iCs w:val="0"/>
                <w:color w:val="000000"/>
                <w:kern w:val="0"/>
                <w:sz w:val="40"/>
                <w:szCs w:val="40"/>
                <w:u w:val="none"/>
                <w:lang w:val="en-US" w:eastAsia="zh-CN" w:bidi="ar"/>
              </w:rPr>
              <w:t>项目支出绩效自评表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0" w:hRule="atLeast"/>
        </w:trPr>
        <w:tc>
          <w:tcPr>
            <w:tcW w:w="12972" w:type="dxa"/>
            <w:gridSpan w:val="14"/>
            <w:tcBorders>
              <w:top w:val="nil"/>
              <w:left w:val="nil"/>
              <w:bottom w:val="single" w:color="auto" w:sz="4" w:space="0"/>
              <w:right w:val="nil"/>
              <w:tl2br w:val="nil"/>
              <w:tr2bl w:val="nil"/>
            </w:tcBorders>
            <w:shd w:val="clear" w:color="auto" w:fill="auto"/>
            <w:vAlign w:val="center"/>
          </w:tcPr>
          <w:p>
            <w:pPr>
              <w:keepNext w:val="0"/>
              <w:keepLines w:val="0"/>
              <w:widowControl/>
              <w:suppressLineNumbers w:val="0"/>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1387" w:type="dxa"/>
            <w:gridSpan w:val="2"/>
            <w:tcBorders>
              <w:top w:val="single" w:color="auto" w:sz="4" w:space="0"/>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585" w:type="dxa"/>
            <w:gridSpan w:val="12"/>
            <w:tcBorders>
              <w:top w:val="single" w:color="auto" w:sz="4" w:space="0"/>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阜康市水源地输水管网建设工程-占地补偿款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1387"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4636" w:type="dxa"/>
            <w:gridSpan w:val="5"/>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阜康市水利局</w:t>
            </w:r>
          </w:p>
        </w:tc>
        <w:tc>
          <w:tcPr>
            <w:tcW w:w="1514"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5435" w:type="dxa"/>
            <w:gridSpan w:val="5"/>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阜康市水利局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1387" w:type="dxa"/>
            <w:gridSpan w:val="2"/>
            <w:vMerge w:val="restart"/>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158"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资金来源</w:t>
            </w:r>
          </w:p>
        </w:tc>
        <w:tc>
          <w:tcPr>
            <w:tcW w:w="96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1514"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514"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1839"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分值权重</w:t>
            </w:r>
          </w:p>
        </w:tc>
        <w:tc>
          <w:tcPr>
            <w:tcW w:w="1819"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w:t>
            </w:r>
          </w:p>
        </w:tc>
        <w:tc>
          <w:tcPr>
            <w:tcW w:w="1777"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1387" w:type="dxa"/>
            <w:gridSpan w:val="2"/>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58"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96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162.49 </w:t>
            </w:r>
          </w:p>
        </w:tc>
        <w:tc>
          <w:tcPr>
            <w:tcW w:w="1514"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162.49 </w:t>
            </w:r>
          </w:p>
        </w:tc>
        <w:tc>
          <w:tcPr>
            <w:tcW w:w="1514"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162.49 </w:t>
            </w:r>
          </w:p>
        </w:tc>
        <w:tc>
          <w:tcPr>
            <w:tcW w:w="1839"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19"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777"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1387" w:type="dxa"/>
            <w:gridSpan w:val="2"/>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58"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其中：当年财政拨款</w:t>
            </w:r>
          </w:p>
        </w:tc>
        <w:tc>
          <w:tcPr>
            <w:tcW w:w="96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162.49 </w:t>
            </w:r>
          </w:p>
        </w:tc>
        <w:tc>
          <w:tcPr>
            <w:tcW w:w="1514"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162.49 </w:t>
            </w:r>
          </w:p>
        </w:tc>
        <w:tc>
          <w:tcPr>
            <w:tcW w:w="1514"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162.49 </w:t>
            </w:r>
          </w:p>
        </w:tc>
        <w:tc>
          <w:tcPr>
            <w:tcW w:w="1839"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9"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7"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trPr>
        <w:tc>
          <w:tcPr>
            <w:tcW w:w="1387" w:type="dxa"/>
            <w:gridSpan w:val="2"/>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58"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96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14"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14"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839"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19" w:type="dxa"/>
            <w:gridSpan w:val="2"/>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77"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rPr>
        <w:tc>
          <w:tcPr>
            <w:tcW w:w="693" w:type="dxa"/>
            <w:vMerge w:val="restart"/>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6844" w:type="dxa"/>
            <w:gridSpan w:val="8"/>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5435" w:type="dxa"/>
            <w:gridSpan w:val="5"/>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440" w:hRule="atLeast"/>
        </w:trPr>
        <w:tc>
          <w:tcPr>
            <w:tcW w:w="69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844" w:type="dxa"/>
            <w:gridSpan w:val="8"/>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局主要职能为管理地域水资源、负责防汛抗旱工作、组织协调农田水利基本建设等，实际新建23km输水管道、1座泵站、10.93km配电工程及管道配套建筑物等，根据工程实际，对占用土地开展补偿手续，资金用于本次项目参建单位服务费；项目建成后可有效改善城区周边绿化面积，有效的改善生态环境。</w:t>
            </w:r>
          </w:p>
        </w:tc>
        <w:tc>
          <w:tcPr>
            <w:tcW w:w="5435" w:type="dxa"/>
            <w:gridSpan w:val="5"/>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至2023年12月31日，本项目建设建设内容已全部完成，已全额占地补偿费用162.49万元，完成产出指标中建设管道长度23km、建设1座泵站、建设10kV配电工程10.93km、监理服务合格率、质量检测合格率达到100%、工程进度款审核及风险提示率（审计）、项目于2023年7月31日达到试通水条件，使客水引入阜康市，达到逐步缓解地下水超采及有效改善城区周边绿化面积效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693"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719"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439"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96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81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指标值设置依据</w:t>
            </w:r>
          </w:p>
        </w:tc>
        <w:tc>
          <w:tcPr>
            <w:tcW w:w="70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上年完成值</w:t>
            </w:r>
          </w:p>
        </w:tc>
        <w:tc>
          <w:tcPr>
            <w:tcW w:w="726"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指标分值权重</w:t>
            </w:r>
          </w:p>
        </w:tc>
        <w:tc>
          <w:tcPr>
            <w:tcW w:w="788"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指标赋分规则</w:t>
            </w:r>
          </w:p>
        </w:tc>
        <w:tc>
          <w:tcPr>
            <w:tcW w:w="909"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佐证资料</w:t>
            </w:r>
          </w:p>
        </w:tc>
        <w:tc>
          <w:tcPr>
            <w:tcW w:w="93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指标实际完成值</w:t>
            </w:r>
          </w:p>
        </w:tc>
        <w:tc>
          <w:tcPr>
            <w:tcW w:w="943"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完成率</w:t>
            </w:r>
          </w:p>
        </w:tc>
        <w:tc>
          <w:tcPr>
            <w:tcW w:w="876"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指标得分</w:t>
            </w:r>
          </w:p>
        </w:tc>
        <w:tc>
          <w:tcPr>
            <w:tcW w:w="1777"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80" w:hRule="atLeast"/>
        </w:trPr>
        <w:tc>
          <w:tcPr>
            <w:tcW w:w="693" w:type="dxa"/>
            <w:vMerge w:val="restart"/>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694" w:type="dxa"/>
            <w:vMerge w:val="restart"/>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19" w:type="dxa"/>
            <w:vMerge w:val="restart"/>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39"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建设管道长度</w:t>
            </w:r>
          </w:p>
        </w:tc>
        <w:tc>
          <w:tcPr>
            <w:tcW w:w="96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≥23km</w:t>
            </w:r>
          </w:p>
        </w:tc>
        <w:tc>
          <w:tcPr>
            <w:tcW w:w="81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0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26"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8"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909"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93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23km</w:t>
            </w:r>
          </w:p>
        </w:tc>
        <w:tc>
          <w:tcPr>
            <w:tcW w:w="943"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76"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10</w:t>
            </w:r>
          </w:p>
        </w:tc>
        <w:tc>
          <w:tcPr>
            <w:tcW w:w="1777"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00" w:hRule="atLeast"/>
        </w:trPr>
        <w:tc>
          <w:tcPr>
            <w:tcW w:w="69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9"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39"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建设泵站数量</w:t>
            </w:r>
          </w:p>
        </w:tc>
        <w:tc>
          <w:tcPr>
            <w:tcW w:w="96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1座</w:t>
            </w:r>
          </w:p>
        </w:tc>
        <w:tc>
          <w:tcPr>
            <w:tcW w:w="81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0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26"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88"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909"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93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1座</w:t>
            </w:r>
          </w:p>
        </w:tc>
        <w:tc>
          <w:tcPr>
            <w:tcW w:w="943"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76"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5</w:t>
            </w:r>
          </w:p>
        </w:tc>
        <w:tc>
          <w:tcPr>
            <w:tcW w:w="1777"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00" w:hRule="atLeast"/>
        </w:trPr>
        <w:tc>
          <w:tcPr>
            <w:tcW w:w="69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9"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39"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建设10kV配电工程</w:t>
            </w:r>
          </w:p>
        </w:tc>
        <w:tc>
          <w:tcPr>
            <w:tcW w:w="96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=10.93km</w:t>
            </w:r>
          </w:p>
        </w:tc>
        <w:tc>
          <w:tcPr>
            <w:tcW w:w="81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0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26"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88"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909"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93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10.93km</w:t>
            </w:r>
          </w:p>
        </w:tc>
        <w:tc>
          <w:tcPr>
            <w:tcW w:w="943"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76"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5</w:t>
            </w:r>
          </w:p>
        </w:tc>
        <w:tc>
          <w:tcPr>
            <w:tcW w:w="1777"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00" w:hRule="atLeast"/>
        </w:trPr>
        <w:tc>
          <w:tcPr>
            <w:tcW w:w="69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9" w:type="dxa"/>
            <w:vMerge w:val="restart"/>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39"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监理服务合格率</w:t>
            </w:r>
          </w:p>
        </w:tc>
        <w:tc>
          <w:tcPr>
            <w:tcW w:w="96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1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0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26"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88"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909"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93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43"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76"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5</w:t>
            </w:r>
          </w:p>
        </w:tc>
        <w:tc>
          <w:tcPr>
            <w:tcW w:w="1777"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40" w:hRule="atLeast"/>
        </w:trPr>
        <w:tc>
          <w:tcPr>
            <w:tcW w:w="69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9"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39"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质量检测合格率</w:t>
            </w:r>
          </w:p>
        </w:tc>
        <w:tc>
          <w:tcPr>
            <w:tcW w:w="96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1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0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26"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88"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909"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93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43"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76"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5</w:t>
            </w:r>
          </w:p>
        </w:tc>
        <w:tc>
          <w:tcPr>
            <w:tcW w:w="1777" w:type="dxa"/>
            <w:tcBorders>
              <w:tl2br w:val="nil"/>
              <w:tr2bl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40" w:hRule="atLeast"/>
        </w:trPr>
        <w:tc>
          <w:tcPr>
            <w:tcW w:w="69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9"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39"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工程进度款审核及风险提示率（审计）</w:t>
            </w:r>
          </w:p>
        </w:tc>
        <w:tc>
          <w:tcPr>
            <w:tcW w:w="96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1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0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26"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88"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909"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93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43"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76"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5</w:t>
            </w:r>
          </w:p>
        </w:tc>
        <w:tc>
          <w:tcPr>
            <w:tcW w:w="1777" w:type="dxa"/>
            <w:tcBorders>
              <w:tl2br w:val="nil"/>
              <w:tr2bl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40" w:hRule="atLeast"/>
        </w:trPr>
        <w:tc>
          <w:tcPr>
            <w:tcW w:w="69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9"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39"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项目于2023年7月31前试通水</w:t>
            </w:r>
          </w:p>
        </w:tc>
        <w:tc>
          <w:tcPr>
            <w:tcW w:w="96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1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0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26"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88"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909"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93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43"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76"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5</w:t>
            </w:r>
          </w:p>
        </w:tc>
        <w:tc>
          <w:tcPr>
            <w:tcW w:w="1777" w:type="dxa"/>
            <w:tcBorders>
              <w:tl2br w:val="nil"/>
              <w:tr2bl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40" w:hRule="atLeast"/>
        </w:trPr>
        <w:tc>
          <w:tcPr>
            <w:tcW w:w="69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4" w:type="dxa"/>
            <w:vMerge w:val="restart"/>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719" w:type="dxa"/>
            <w:vMerge w:val="restart"/>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439"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支付10kV配电工程占地补偿费</w:t>
            </w:r>
          </w:p>
        </w:tc>
        <w:tc>
          <w:tcPr>
            <w:tcW w:w="96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=0.64万元</w:t>
            </w:r>
          </w:p>
        </w:tc>
        <w:tc>
          <w:tcPr>
            <w:tcW w:w="81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预算支出标准</w:t>
            </w:r>
          </w:p>
        </w:tc>
        <w:tc>
          <w:tcPr>
            <w:tcW w:w="70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26"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8"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直接赋分</w:t>
            </w:r>
          </w:p>
        </w:tc>
        <w:tc>
          <w:tcPr>
            <w:tcW w:w="909"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原始凭证</w:t>
            </w:r>
          </w:p>
        </w:tc>
        <w:tc>
          <w:tcPr>
            <w:tcW w:w="93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0.64万元</w:t>
            </w:r>
          </w:p>
        </w:tc>
        <w:tc>
          <w:tcPr>
            <w:tcW w:w="943"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76"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10</w:t>
            </w:r>
          </w:p>
        </w:tc>
        <w:tc>
          <w:tcPr>
            <w:tcW w:w="1777"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80" w:hRule="atLeast"/>
        </w:trPr>
        <w:tc>
          <w:tcPr>
            <w:tcW w:w="69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4"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9"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39"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支付占用城市绿化林地补偿费</w:t>
            </w:r>
          </w:p>
        </w:tc>
        <w:tc>
          <w:tcPr>
            <w:tcW w:w="96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=161.85万元</w:t>
            </w:r>
          </w:p>
        </w:tc>
        <w:tc>
          <w:tcPr>
            <w:tcW w:w="81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预算支出标准</w:t>
            </w:r>
          </w:p>
        </w:tc>
        <w:tc>
          <w:tcPr>
            <w:tcW w:w="70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26"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8"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直接赋分</w:t>
            </w:r>
          </w:p>
        </w:tc>
        <w:tc>
          <w:tcPr>
            <w:tcW w:w="909"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原始凭证</w:t>
            </w:r>
          </w:p>
        </w:tc>
        <w:tc>
          <w:tcPr>
            <w:tcW w:w="93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161.85万元</w:t>
            </w:r>
          </w:p>
        </w:tc>
        <w:tc>
          <w:tcPr>
            <w:tcW w:w="943"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76"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10</w:t>
            </w:r>
          </w:p>
        </w:tc>
        <w:tc>
          <w:tcPr>
            <w:tcW w:w="1777"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20" w:hRule="atLeast"/>
        </w:trPr>
        <w:tc>
          <w:tcPr>
            <w:tcW w:w="69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719"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39"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缓解阜康市地下水超采问题</w:t>
            </w:r>
          </w:p>
        </w:tc>
        <w:tc>
          <w:tcPr>
            <w:tcW w:w="96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缓解</w:t>
            </w:r>
          </w:p>
        </w:tc>
        <w:tc>
          <w:tcPr>
            <w:tcW w:w="81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0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26"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8"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按评判等级赋分</w:t>
            </w:r>
          </w:p>
        </w:tc>
        <w:tc>
          <w:tcPr>
            <w:tcW w:w="909"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说明材料</w:t>
            </w:r>
          </w:p>
        </w:tc>
        <w:tc>
          <w:tcPr>
            <w:tcW w:w="93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43"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76"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30</w:t>
            </w:r>
          </w:p>
        </w:tc>
        <w:tc>
          <w:tcPr>
            <w:tcW w:w="1777"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trPr>
        <w:tc>
          <w:tcPr>
            <w:tcW w:w="69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719"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39"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4"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26"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9"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0"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3"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6" w:type="dxa"/>
            <w:tcBorders>
              <w:tl2br w:val="nil"/>
              <w:tr2bl w:val="nil"/>
            </w:tcBorders>
            <w:shd w:val="clear" w:color="auto" w:fill="auto"/>
            <w:vAlign w:val="center"/>
          </w:tcPr>
          <w:p>
            <w:pPr>
              <w:jc w:val="center"/>
            </w:pPr>
          </w:p>
        </w:tc>
        <w:tc>
          <w:tcPr>
            <w:tcW w:w="1777"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3545" w:type="dxa"/>
            <w:gridSpan w:val="4"/>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964"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4" w:type="dxa"/>
            <w:tcBorders>
              <w:tl2br w:val="nil"/>
              <w:tr2bl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00"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6"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100分</w:t>
            </w:r>
          </w:p>
        </w:tc>
        <w:tc>
          <w:tcPr>
            <w:tcW w:w="78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9"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0"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3"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6" w:type="dxa"/>
            <w:tcBorders>
              <w:tl2br w:val="nil"/>
              <w:tr2bl w:val="nil"/>
            </w:tcBorders>
            <w:shd w:val="clear" w:color="auto" w:fill="auto"/>
            <w:vAlign w:val="center"/>
          </w:tcPr>
          <w:p>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100</w:t>
            </w:r>
          </w:p>
        </w:tc>
        <w:tc>
          <w:tcPr>
            <w:tcW w:w="1777" w:type="dxa"/>
            <w:tcBorders>
              <w:tl2br w:val="nil"/>
              <w:tr2bl w:val="nil"/>
            </w:tcBorders>
            <w:shd w:val="clear" w:color="auto" w:fill="auto"/>
            <w:vAlign w:val="center"/>
          </w:tcPr>
          <w:p>
            <w:pPr>
              <w:rPr>
                <w:rFonts w:hint="eastAsia" w:ascii="宋体" w:hAnsi="宋体" w:eastAsia="宋体" w:cs="宋体"/>
                <w:i w:val="0"/>
                <w:iCs w:val="0"/>
                <w:color w:val="000000"/>
                <w:sz w:val="20"/>
                <w:szCs w:val="20"/>
                <w:u w:val="none"/>
              </w:rPr>
            </w:pPr>
          </w:p>
        </w:tc>
      </w:tr>
    </w:tbl>
    <w:p>
      <w:pPr>
        <w:ind w:left="0" w:leftChars="0" w:firstLine="0" w:firstLineChars="0"/>
        <w:rPr>
          <w:rFonts w:hint="default" w:ascii="宋体" w:hAnsi="宋体" w:eastAsia="宋体" w:cs="宋体"/>
          <w:b/>
          <w:bCs/>
          <w:color w:val="auto"/>
          <w:highlight w:val="none"/>
          <w:shd w:val="clear" w:color="auto" w:fill="auto"/>
          <w:lang w:val="en-US" w:eastAsia="zh-CN"/>
        </w:rPr>
        <w:sectPr>
          <w:pgSz w:w="16838" w:h="11906" w:orient="landscape"/>
          <w:pgMar w:top="1587" w:right="2098" w:bottom="1474" w:left="1984" w:header="737" w:footer="851" w:gutter="0"/>
          <w:pgBorders>
            <w:top w:val="none" w:sz="0" w:space="0"/>
            <w:left w:val="none" w:sz="0" w:space="0"/>
            <w:bottom w:val="none" w:sz="0" w:space="0"/>
            <w:right w:val="none" w:sz="0" w:space="0"/>
          </w:pgBorders>
          <w:pgNumType w:fmt="decimal"/>
          <w:cols w:space="720" w:num="1"/>
          <w:docGrid w:type="lines" w:linePitch="408" w:charSpace="0"/>
        </w:sectPr>
      </w:pPr>
    </w:p>
    <w:p>
      <w:pPr>
        <w:pStyle w:val="3"/>
        <w:pageBreakBefore w:val="0"/>
        <w:numPr>
          <w:ilvl w:val="0"/>
          <w:numId w:val="0"/>
        </w:numPr>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bookmarkStart w:id="87" w:name="_Toc15067"/>
      <w:r>
        <w:rPr>
          <w:rFonts w:hint="eastAsia" w:ascii="宋体" w:hAnsi="宋体" w:eastAsia="宋体" w:cs="宋体"/>
          <w:b/>
          <w:bCs/>
          <w:color w:val="auto"/>
          <w:highlight w:val="none"/>
          <w:shd w:val="clear" w:color="auto" w:fill="auto"/>
          <w:lang w:val="en-US" w:eastAsia="zh-CN"/>
        </w:rPr>
        <w:t>附件二、项目支出绩效评价指标体系打分表</w:t>
      </w:r>
      <w:bookmarkEnd w:id="87"/>
    </w:p>
    <w:tbl>
      <w:tblPr>
        <w:tblStyle w:val="11"/>
        <w:tblW w:w="1392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861"/>
        <w:gridCol w:w="727"/>
        <w:gridCol w:w="820"/>
        <w:gridCol w:w="2141"/>
        <w:gridCol w:w="7821"/>
        <w:gridCol w:w="785"/>
        <w:gridCol w:w="7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tblHeader/>
          <w:jc w:val="center"/>
        </w:trPr>
        <w:tc>
          <w:tcPr>
            <w:tcW w:w="861" w:type="dxa"/>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一级指标</w:t>
            </w:r>
          </w:p>
        </w:tc>
        <w:tc>
          <w:tcPr>
            <w:tcW w:w="727" w:type="dxa"/>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二级指标</w:t>
            </w:r>
          </w:p>
        </w:tc>
        <w:tc>
          <w:tcPr>
            <w:tcW w:w="820" w:type="dxa"/>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三级指标</w:t>
            </w:r>
          </w:p>
        </w:tc>
        <w:tc>
          <w:tcPr>
            <w:tcW w:w="2141" w:type="dxa"/>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指标解释</w:t>
            </w:r>
          </w:p>
        </w:tc>
        <w:tc>
          <w:tcPr>
            <w:tcW w:w="7821" w:type="dxa"/>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指标说明</w:t>
            </w:r>
          </w:p>
        </w:tc>
        <w:tc>
          <w:tcPr>
            <w:tcW w:w="785" w:type="dxa"/>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分值</w:t>
            </w:r>
          </w:p>
        </w:tc>
        <w:tc>
          <w:tcPr>
            <w:tcW w:w="769" w:type="dxa"/>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18" w:hRule="atLeast"/>
          <w:jc w:val="center"/>
        </w:trPr>
        <w:tc>
          <w:tcPr>
            <w:tcW w:w="861" w:type="dxa"/>
            <w:vMerge w:val="restart"/>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决策　</w:t>
            </w:r>
          </w:p>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p>
            <w:pPr>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727" w:type="dxa"/>
            <w:vMerge w:val="restart"/>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项目立项　</w:t>
            </w:r>
          </w:p>
        </w:tc>
        <w:tc>
          <w:tcPr>
            <w:tcW w:w="820" w:type="dxa"/>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立项依据</w:t>
            </w:r>
          </w:p>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充分性</w:t>
            </w:r>
          </w:p>
        </w:tc>
        <w:tc>
          <w:tcPr>
            <w:tcW w:w="2141" w:type="dxa"/>
            <w:tcBorders>
              <w:tl2br w:val="nil"/>
              <w:tr2bl w:val="nil"/>
            </w:tcBorders>
            <w:shd w:val="clear" w:color="auto" w:fill="auto"/>
            <w:noWrap w:val="0"/>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项目立项是否符合法律法规、相关政策、发展规划以及部门职责，用以反映和考核项目立项依据情况。</w:t>
            </w:r>
          </w:p>
        </w:tc>
        <w:tc>
          <w:tcPr>
            <w:tcW w:w="7821" w:type="dxa"/>
            <w:tcBorders>
              <w:tl2br w:val="nil"/>
              <w:tr2bl w:val="nil"/>
            </w:tcBorders>
            <w:shd w:val="clear" w:color="auto" w:fill="auto"/>
            <w:noWrap w:val="0"/>
            <w:vAlign w:val="center"/>
          </w:tcPr>
          <w:p>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①项目立项是否符合国家法律法规、国民经济发展规划和相关政策；</w:t>
            </w:r>
          </w:p>
          <w:p>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②项目立项是否符合行业发展规划和政策要求；</w:t>
            </w:r>
          </w:p>
          <w:p>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③项目立项是否与部门职责范围相符，属于部门履职所需；</w:t>
            </w:r>
          </w:p>
          <w:p>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④项目是否属于公共财政支持范围，是否符合中央、地方事权支出责任划分原则；</w:t>
            </w:r>
          </w:p>
          <w:p>
            <w:pPr>
              <w:widowControl/>
              <w:spacing w:line="0" w:lineRule="atLeast"/>
              <w:ind w:firstLine="0" w:firstLineChars="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⑤项目是否与相关部门同类项目或部门内部相关项目重复。</w:t>
            </w:r>
          </w:p>
        </w:tc>
        <w:tc>
          <w:tcPr>
            <w:tcW w:w="785"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69" w:type="dxa"/>
            <w:tcBorders>
              <w:tl2br w:val="nil"/>
              <w:tr2bl w:val="nil"/>
            </w:tcBorders>
            <w:shd w:val="clear" w:color="auto" w:fill="auto"/>
            <w:noWrap w:val="0"/>
            <w:vAlign w:val="center"/>
          </w:tcPr>
          <w:p>
            <w:pPr>
              <w:widowControl/>
              <w:spacing w:line="0" w:lineRule="atLeast"/>
              <w:ind w:firstLine="0" w:firstLineChars="0"/>
              <w:jc w:val="left"/>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640" w:hRule="atLeast"/>
          <w:jc w:val="center"/>
        </w:trPr>
        <w:tc>
          <w:tcPr>
            <w:tcW w:w="861" w:type="dxa"/>
            <w:vMerge w:val="continue"/>
            <w:tcBorders>
              <w:tl2br w:val="nil"/>
              <w:tr2bl w:val="nil"/>
            </w:tcBorders>
            <w:shd w:val="clear" w:color="auto" w:fill="auto"/>
            <w:noWrap w:val="0"/>
            <w:vAlign w:val="center"/>
          </w:tcPr>
          <w:p>
            <w:pPr>
              <w:spacing w:line="0" w:lineRule="atLeast"/>
              <w:ind w:firstLine="0" w:firstLineChars="0"/>
              <w:jc w:val="center"/>
              <w:rPr>
                <w:rFonts w:ascii="宋体" w:hAnsi="宋体" w:eastAsia="宋体" w:cs="宋体"/>
                <w:color w:val="auto"/>
                <w:kern w:val="0"/>
                <w:sz w:val="22"/>
                <w:szCs w:val="22"/>
                <w:highlight w:val="none"/>
              </w:rPr>
            </w:pPr>
          </w:p>
        </w:tc>
        <w:tc>
          <w:tcPr>
            <w:tcW w:w="727" w:type="dxa"/>
            <w:vMerge w:val="continue"/>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none"/>
              </w:rPr>
            </w:pPr>
          </w:p>
        </w:tc>
        <w:tc>
          <w:tcPr>
            <w:tcW w:w="820" w:type="dxa"/>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立项程序</w:t>
            </w:r>
          </w:p>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规范性</w:t>
            </w:r>
          </w:p>
        </w:tc>
        <w:tc>
          <w:tcPr>
            <w:tcW w:w="2141" w:type="dxa"/>
            <w:tcBorders>
              <w:tl2br w:val="nil"/>
              <w:tr2bl w:val="nil"/>
            </w:tcBorders>
            <w:shd w:val="clear" w:color="auto" w:fill="auto"/>
            <w:noWrap w:val="0"/>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项目申请、设立过程是否符合相关要求，用以反映和考核项目立项的规范情况。</w:t>
            </w:r>
          </w:p>
        </w:tc>
        <w:tc>
          <w:tcPr>
            <w:tcW w:w="7821" w:type="dxa"/>
            <w:tcBorders>
              <w:tl2br w:val="nil"/>
              <w:tr2bl w:val="nil"/>
            </w:tcBorders>
            <w:shd w:val="clear" w:color="auto" w:fill="auto"/>
            <w:noWrap w:val="0"/>
            <w:vAlign w:val="center"/>
          </w:tcPr>
          <w:p>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①项目是否按照规定的程序申请设立；</w:t>
            </w:r>
          </w:p>
          <w:p>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②审批文件、材料是否符合相关要求；</w:t>
            </w:r>
          </w:p>
          <w:p>
            <w:pPr>
              <w:widowControl/>
              <w:spacing w:line="0" w:lineRule="atLeast"/>
              <w:ind w:firstLine="0" w:firstLineChars="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③事前是否已经过必要的可行性研究、专家论证、风险评估、绩效评估、集体决策。</w:t>
            </w:r>
          </w:p>
        </w:tc>
        <w:tc>
          <w:tcPr>
            <w:tcW w:w="785"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69" w:type="dxa"/>
            <w:tcBorders>
              <w:tl2br w:val="nil"/>
              <w:tr2bl w:val="nil"/>
            </w:tcBorders>
            <w:shd w:val="clear" w:color="auto" w:fill="auto"/>
            <w:noWrap w:val="0"/>
            <w:vAlign w:val="center"/>
          </w:tcPr>
          <w:p>
            <w:pPr>
              <w:widowControl/>
              <w:spacing w:line="0" w:lineRule="atLeast"/>
              <w:ind w:firstLine="0" w:firstLineChars="0"/>
              <w:jc w:val="left"/>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19" w:hRule="atLeast"/>
          <w:jc w:val="center"/>
        </w:trPr>
        <w:tc>
          <w:tcPr>
            <w:tcW w:w="861" w:type="dxa"/>
            <w:vMerge w:val="continue"/>
            <w:tcBorders>
              <w:tl2br w:val="nil"/>
              <w:tr2bl w:val="nil"/>
            </w:tcBorders>
            <w:shd w:val="clear" w:color="auto" w:fill="auto"/>
            <w:noWrap w:val="0"/>
            <w:vAlign w:val="center"/>
          </w:tcPr>
          <w:p>
            <w:pPr>
              <w:spacing w:line="0" w:lineRule="atLeast"/>
              <w:ind w:firstLine="0" w:firstLineChars="0"/>
              <w:jc w:val="center"/>
              <w:rPr>
                <w:rFonts w:ascii="宋体" w:hAnsi="宋体" w:eastAsia="宋体" w:cs="宋体"/>
                <w:color w:val="auto"/>
                <w:kern w:val="0"/>
                <w:sz w:val="22"/>
                <w:szCs w:val="22"/>
                <w:highlight w:val="none"/>
              </w:rPr>
            </w:pPr>
          </w:p>
        </w:tc>
        <w:tc>
          <w:tcPr>
            <w:tcW w:w="727" w:type="dxa"/>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绩效目标　</w:t>
            </w:r>
          </w:p>
        </w:tc>
        <w:tc>
          <w:tcPr>
            <w:tcW w:w="820" w:type="dxa"/>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绩效目标</w:t>
            </w:r>
          </w:p>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合理性</w:t>
            </w:r>
          </w:p>
        </w:tc>
        <w:tc>
          <w:tcPr>
            <w:tcW w:w="2141" w:type="dxa"/>
            <w:tcBorders>
              <w:tl2br w:val="nil"/>
              <w:tr2bl w:val="nil"/>
            </w:tcBorders>
            <w:shd w:val="clear" w:color="auto" w:fill="auto"/>
            <w:noWrap w:val="0"/>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项目所设定的绩效目标是否依据充分，是否符合客观实际，用以反映和考核项目绩效目标与项目实施的相符情况。</w:t>
            </w:r>
          </w:p>
        </w:tc>
        <w:tc>
          <w:tcPr>
            <w:tcW w:w="7821" w:type="dxa"/>
            <w:tcBorders>
              <w:tl2br w:val="nil"/>
              <w:tr2bl w:val="nil"/>
            </w:tcBorders>
            <w:shd w:val="clear" w:color="auto" w:fill="auto"/>
            <w:noWrap w:val="0"/>
            <w:vAlign w:val="center"/>
          </w:tcPr>
          <w:p>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（如未设定预算绩效目标，也可考核其他工作任务目标）</w:t>
            </w:r>
          </w:p>
          <w:p>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①项目是否有绩效目标；</w:t>
            </w:r>
          </w:p>
          <w:p>
            <w:pPr>
              <w:widowControl/>
              <w:spacing w:line="0" w:lineRule="atLeast"/>
              <w:ind w:firstLine="0" w:firstLineChars="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②项目绩效目标与实际工作内容是否具有相关性；</w:t>
            </w:r>
          </w:p>
          <w:p>
            <w:pPr>
              <w:widowControl/>
              <w:spacing w:line="0" w:lineRule="atLeast"/>
              <w:ind w:firstLine="0" w:firstLineChars="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③项目预期产出效益和效果是否符合正常的业绩水平；</w:t>
            </w:r>
          </w:p>
          <w:p>
            <w:pPr>
              <w:widowControl/>
              <w:spacing w:line="0" w:lineRule="atLeast"/>
              <w:ind w:firstLine="0" w:firstLineChars="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④是否与预算确定的项目投资额或资金量相匹配。</w:t>
            </w:r>
          </w:p>
        </w:tc>
        <w:tc>
          <w:tcPr>
            <w:tcW w:w="785"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69" w:type="dxa"/>
            <w:tcBorders>
              <w:tl2br w:val="nil"/>
              <w:tr2bl w:val="nil"/>
            </w:tcBorders>
            <w:shd w:val="clear" w:color="auto" w:fill="auto"/>
            <w:noWrap w:val="0"/>
            <w:vAlign w:val="center"/>
          </w:tcPr>
          <w:p>
            <w:pPr>
              <w:widowControl/>
              <w:spacing w:line="0" w:lineRule="atLeast"/>
              <w:ind w:firstLine="0" w:firstLineChars="0"/>
              <w:jc w:val="left"/>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464" w:hRule="atLeast"/>
          <w:jc w:val="center"/>
        </w:trPr>
        <w:tc>
          <w:tcPr>
            <w:tcW w:w="861" w:type="dxa"/>
            <w:vMerge w:val="restart"/>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决策　</w:t>
            </w:r>
          </w:p>
        </w:tc>
        <w:tc>
          <w:tcPr>
            <w:tcW w:w="727" w:type="dxa"/>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绩效目标</w:t>
            </w:r>
          </w:p>
        </w:tc>
        <w:tc>
          <w:tcPr>
            <w:tcW w:w="820" w:type="dxa"/>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绩效指标</w:t>
            </w:r>
          </w:p>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明确性</w:t>
            </w:r>
          </w:p>
        </w:tc>
        <w:tc>
          <w:tcPr>
            <w:tcW w:w="2141" w:type="dxa"/>
            <w:tcBorders>
              <w:tl2br w:val="nil"/>
              <w:tr2bl w:val="nil"/>
            </w:tcBorders>
            <w:shd w:val="clear" w:color="auto" w:fill="auto"/>
            <w:noWrap w:val="0"/>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依据绩效目标设定的绩效指标是否清晰、细化、可衡量等，用以反映和考核项目绩效目标的明细化情况。</w:t>
            </w:r>
          </w:p>
        </w:tc>
        <w:tc>
          <w:tcPr>
            <w:tcW w:w="7821"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①是否将项目绩效目标细化分解为具体的绩效指标；</w:t>
            </w:r>
          </w:p>
          <w:p>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②是否通过清晰、可衡量的指标值予以体现；</w:t>
            </w:r>
          </w:p>
          <w:p>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③是否与项目目标任务数或计划数相对应。</w:t>
            </w:r>
          </w:p>
          <w:p>
            <w:pPr>
              <w:widowControl/>
              <w:spacing w:line="0" w:lineRule="atLeast"/>
              <w:ind w:firstLine="0" w:firstLineChars="0"/>
              <w:rPr>
                <w:rFonts w:hint="eastAsia" w:ascii="宋体" w:hAnsi="宋体" w:eastAsia="宋体" w:cs="宋体"/>
                <w:color w:val="auto"/>
                <w:kern w:val="0"/>
                <w:sz w:val="22"/>
                <w:szCs w:val="22"/>
                <w:highlight w:val="none"/>
                <w:lang w:eastAsia="zh-CN"/>
              </w:rPr>
            </w:pPr>
          </w:p>
        </w:tc>
        <w:tc>
          <w:tcPr>
            <w:tcW w:w="785"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69"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42" w:hRule="atLeast"/>
          <w:jc w:val="center"/>
        </w:trPr>
        <w:tc>
          <w:tcPr>
            <w:tcW w:w="861" w:type="dxa"/>
            <w:vMerge w:val="continue"/>
            <w:tcBorders>
              <w:tl2br w:val="nil"/>
              <w:tr2bl w:val="nil"/>
            </w:tcBorders>
            <w:shd w:val="clear" w:color="auto" w:fill="auto"/>
            <w:noWrap w:val="0"/>
            <w:vAlign w:val="center"/>
          </w:tcPr>
          <w:p>
            <w:pPr>
              <w:spacing w:line="0" w:lineRule="atLeast"/>
              <w:ind w:firstLine="0" w:firstLineChars="0"/>
              <w:jc w:val="center"/>
              <w:rPr>
                <w:rFonts w:ascii="宋体" w:hAnsi="宋体" w:eastAsia="宋体" w:cs="宋体"/>
                <w:color w:val="auto"/>
                <w:kern w:val="0"/>
                <w:sz w:val="22"/>
                <w:szCs w:val="22"/>
                <w:highlight w:val="none"/>
              </w:rPr>
            </w:pPr>
          </w:p>
        </w:tc>
        <w:tc>
          <w:tcPr>
            <w:tcW w:w="727" w:type="dxa"/>
            <w:vMerge w:val="restart"/>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资金投入</w:t>
            </w:r>
          </w:p>
          <w:p>
            <w:pPr>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20" w:type="dxa"/>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预算编制</w:t>
            </w:r>
          </w:p>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科学性</w:t>
            </w:r>
          </w:p>
        </w:tc>
        <w:tc>
          <w:tcPr>
            <w:tcW w:w="2141" w:type="dxa"/>
            <w:tcBorders>
              <w:tl2br w:val="nil"/>
              <w:tr2bl w:val="nil"/>
            </w:tcBorders>
            <w:shd w:val="clear" w:color="auto" w:fill="auto"/>
            <w:noWrap w:val="0"/>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项目预算编制是否经过科学论证、有明确标准，资金额度与年度目标是否相适应，用以反映和考核项目预算编制的科学性、合理性情况。</w:t>
            </w:r>
          </w:p>
        </w:tc>
        <w:tc>
          <w:tcPr>
            <w:tcW w:w="7821"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①预算编制是否经过科学论证；</w:t>
            </w:r>
          </w:p>
          <w:p>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②预算内容与项目内容是否匹配；</w:t>
            </w:r>
          </w:p>
          <w:p>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③预算额度测算依据是否充分，是否按照标准编制；</w:t>
            </w:r>
          </w:p>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④预算确定的项目投资额或资金量是否与工作任务相匹配。</w:t>
            </w:r>
          </w:p>
        </w:tc>
        <w:tc>
          <w:tcPr>
            <w:tcW w:w="785"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69"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06" w:hRule="atLeast"/>
          <w:jc w:val="center"/>
        </w:trPr>
        <w:tc>
          <w:tcPr>
            <w:tcW w:w="861" w:type="dxa"/>
            <w:vMerge w:val="continue"/>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vMerge w:val="continue"/>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none"/>
              </w:rPr>
            </w:pPr>
          </w:p>
        </w:tc>
        <w:tc>
          <w:tcPr>
            <w:tcW w:w="820" w:type="dxa"/>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资金分配</w:t>
            </w:r>
          </w:p>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合理性</w:t>
            </w:r>
          </w:p>
        </w:tc>
        <w:tc>
          <w:tcPr>
            <w:tcW w:w="2141" w:type="dxa"/>
            <w:tcBorders>
              <w:tl2br w:val="nil"/>
              <w:tr2bl w:val="nil"/>
            </w:tcBorders>
            <w:shd w:val="clear" w:color="auto" w:fill="auto"/>
            <w:noWrap w:val="0"/>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项目预算资金分配是否有测算依据，与补助单位或地方实际是否相适应，用以反映和考核项目预算资金分配的科学性、合理性情况。</w:t>
            </w:r>
          </w:p>
        </w:tc>
        <w:tc>
          <w:tcPr>
            <w:tcW w:w="7821"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①预算资金分配依据是否充分；</w:t>
            </w:r>
          </w:p>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②资金分配额度是否合理，与项目单位或地方实际是否相适应。</w:t>
            </w:r>
          </w:p>
        </w:tc>
        <w:tc>
          <w:tcPr>
            <w:tcW w:w="785"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69"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415" w:hRule="atLeast"/>
          <w:jc w:val="center"/>
        </w:trPr>
        <w:tc>
          <w:tcPr>
            <w:tcW w:w="861" w:type="dxa"/>
            <w:vMerge w:val="restart"/>
            <w:tcBorders>
              <w:tl2br w:val="nil"/>
              <w:tr2bl w:val="nil"/>
            </w:tcBorders>
            <w:shd w:val="clear" w:color="auto" w:fill="auto"/>
            <w:noWrap w:val="0"/>
            <w:vAlign w:val="center"/>
          </w:tcPr>
          <w:p>
            <w:pPr>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过程</w:t>
            </w:r>
          </w:p>
        </w:tc>
        <w:tc>
          <w:tcPr>
            <w:tcW w:w="727" w:type="dxa"/>
            <w:vMerge w:val="restart"/>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资金管理</w:t>
            </w:r>
          </w:p>
        </w:tc>
        <w:tc>
          <w:tcPr>
            <w:tcW w:w="820" w:type="dxa"/>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资金到位率</w:t>
            </w:r>
          </w:p>
        </w:tc>
        <w:tc>
          <w:tcPr>
            <w:tcW w:w="2141" w:type="dxa"/>
            <w:tcBorders>
              <w:tl2br w:val="nil"/>
              <w:tr2bl w:val="nil"/>
            </w:tcBorders>
            <w:shd w:val="clear" w:color="auto" w:fill="auto"/>
            <w:noWrap w:val="0"/>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实际到位资金与预算资金的比率，用以反映和考核资金落实情况对项目实施的总体保障程度。</w:t>
            </w:r>
          </w:p>
        </w:tc>
        <w:tc>
          <w:tcPr>
            <w:tcW w:w="7821"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资金到位率=（实际到位资金/预算资金）×100%。</w:t>
            </w:r>
          </w:p>
          <w:p>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实际到位资金：一定时期（本年度或项目期）内落实到具体项目的资金。</w:t>
            </w:r>
          </w:p>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预算资金：一定时期（本年度或项目期）内预算安排到具体项目的资金。</w:t>
            </w:r>
          </w:p>
        </w:tc>
        <w:tc>
          <w:tcPr>
            <w:tcW w:w="785"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20" w:hRule="atLeast"/>
          <w:jc w:val="center"/>
        </w:trPr>
        <w:tc>
          <w:tcPr>
            <w:tcW w:w="861" w:type="dxa"/>
            <w:vMerge w:val="continue"/>
            <w:tcBorders>
              <w:tl2br w:val="nil"/>
              <w:tr2bl w:val="nil"/>
            </w:tcBorders>
            <w:shd w:val="clear" w:color="auto" w:fill="auto"/>
            <w:noWrap w:val="0"/>
            <w:vAlign w:val="center"/>
          </w:tcPr>
          <w:p>
            <w:pPr>
              <w:spacing w:line="0" w:lineRule="atLeast"/>
              <w:ind w:firstLine="0" w:firstLineChars="0"/>
              <w:jc w:val="center"/>
              <w:rPr>
                <w:rFonts w:hint="eastAsia" w:ascii="宋体" w:hAnsi="宋体" w:eastAsia="宋体" w:cs="宋体"/>
                <w:color w:val="auto"/>
                <w:kern w:val="0"/>
                <w:sz w:val="22"/>
                <w:szCs w:val="22"/>
                <w:highlight w:val="none"/>
              </w:rPr>
            </w:pPr>
          </w:p>
        </w:tc>
        <w:tc>
          <w:tcPr>
            <w:tcW w:w="727" w:type="dxa"/>
            <w:vMerge w:val="continue"/>
            <w:tcBorders>
              <w:tl2br w:val="nil"/>
              <w:tr2bl w:val="nil"/>
            </w:tcBorders>
            <w:shd w:val="clear" w:color="auto" w:fill="auto"/>
            <w:noWrap w:val="0"/>
            <w:vAlign w:val="center"/>
          </w:tcPr>
          <w:p>
            <w:pPr>
              <w:spacing w:line="0" w:lineRule="atLeast"/>
              <w:ind w:firstLine="0" w:firstLineChars="0"/>
              <w:jc w:val="center"/>
              <w:rPr>
                <w:rFonts w:hint="eastAsia" w:ascii="宋体" w:hAnsi="宋体" w:eastAsia="宋体" w:cs="宋体"/>
                <w:color w:val="auto"/>
                <w:kern w:val="0"/>
                <w:sz w:val="22"/>
                <w:szCs w:val="22"/>
                <w:highlight w:val="none"/>
              </w:rPr>
            </w:pPr>
          </w:p>
        </w:tc>
        <w:tc>
          <w:tcPr>
            <w:tcW w:w="820" w:type="dxa"/>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预算执行率</w:t>
            </w:r>
          </w:p>
        </w:tc>
        <w:tc>
          <w:tcPr>
            <w:tcW w:w="2141" w:type="dxa"/>
            <w:tcBorders>
              <w:tl2br w:val="nil"/>
              <w:tr2bl w:val="nil"/>
            </w:tcBorders>
            <w:shd w:val="clear" w:color="auto" w:fill="auto"/>
            <w:noWrap w:val="0"/>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项目预算资金是否按照计划执行，用以反映或考核项目预算执行情况。</w:t>
            </w:r>
          </w:p>
        </w:tc>
        <w:tc>
          <w:tcPr>
            <w:tcW w:w="7821"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预算执行率=（实际支出资金/实际到位资金）×100%。</w:t>
            </w:r>
          </w:p>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实际支出资金：一定时期（本年度或项目期）内项目实际拨付的资金。</w:t>
            </w:r>
          </w:p>
        </w:tc>
        <w:tc>
          <w:tcPr>
            <w:tcW w:w="785"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76" w:hRule="atLeast"/>
          <w:jc w:val="center"/>
        </w:trPr>
        <w:tc>
          <w:tcPr>
            <w:tcW w:w="861" w:type="dxa"/>
            <w:vMerge w:val="restart"/>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p>
            <w:pPr>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过程　</w:t>
            </w:r>
          </w:p>
        </w:tc>
        <w:tc>
          <w:tcPr>
            <w:tcW w:w="727" w:type="dxa"/>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资金管理</w:t>
            </w:r>
          </w:p>
        </w:tc>
        <w:tc>
          <w:tcPr>
            <w:tcW w:w="820" w:type="dxa"/>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资金使用</w:t>
            </w:r>
          </w:p>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合规性</w:t>
            </w:r>
          </w:p>
        </w:tc>
        <w:tc>
          <w:tcPr>
            <w:tcW w:w="2141" w:type="dxa"/>
            <w:tcBorders>
              <w:tl2br w:val="nil"/>
              <w:tr2bl w:val="nil"/>
            </w:tcBorders>
            <w:shd w:val="clear" w:color="auto" w:fill="auto"/>
            <w:noWrap w:val="0"/>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项目资金使用是否符合相关的财务管理制度规定，用以反映和考核项目资金的规范运行情况。</w:t>
            </w:r>
          </w:p>
        </w:tc>
        <w:tc>
          <w:tcPr>
            <w:tcW w:w="7821"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①是否符合国家财经法规和财务管理制度以及有关专项资金管理办法的规定；</w:t>
            </w:r>
          </w:p>
          <w:p>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②资金的拨付是否有完整的审批程序和手续；</w:t>
            </w:r>
          </w:p>
          <w:p>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③是否符合项目预算批复或合同规定的用途；</w:t>
            </w:r>
          </w:p>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④是否存在截留、挤占、挪用、虚列支出等情况。</w:t>
            </w:r>
          </w:p>
        </w:tc>
        <w:tc>
          <w:tcPr>
            <w:tcW w:w="785"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97" w:hRule="atLeast"/>
          <w:jc w:val="center"/>
        </w:trPr>
        <w:tc>
          <w:tcPr>
            <w:tcW w:w="861" w:type="dxa"/>
            <w:vMerge w:val="continue"/>
            <w:tcBorders>
              <w:tl2br w:val="nil"/>
              <w:tr2bl w:val="nil"/>
            </w:tcBorders>
            <w:shd w:val="clear" w:color="auto" w:fill="auto"/>
            <w:noWrap w:val="0"/>
            <w:vAlign w:val="center"/>
          </w:tcPr>
          <w:p>
            <w:pPr>
              <w:spacing w:line="0" w:lineRule="atLeast"/>
              <w:ind w:firstLine="0" w:firstLineChars="0"/>
              <w:jc w:val="center"/>
              <w:rPr>
                <w:rFonts w:ascii="宋体" w:hAnsi="宋体" w:eastAsia="宋体" w:cs="宋体"/>
                <w:color w:val="auto"/>
                <w:kern w:val="0"/>
                <w:sz w:val="22"/>
                <w:szCs w:val="22"/>
                <w:highlight w:val="none"/>
              </w:rPr>
            </w:pPr>
          </w:p>
        </w:tc>
        <w:tc>
          <w:tcPr>
            <w:tcW w:w="727" w:type="dxa"/>
            <w:vMerge w:val="restart"/>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组织实施</w:t>
            </w:r>
          </w:p>
          <w:p>
            <w:pPr>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20" w:type="dxa"/>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管理制度</w:t>
            </w:r>
          </w:p>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健全性</w:t>
            </w:r>
          </w:p>
        </w:tc>
        <w:tc>
          <w:tcPr>
            <w:tcW w:w="2141" w:type="dxa"/>
            <w:tcBorders>
              <w:tl2br w:val="nil"/>
              <w:tr2bl w:val="nil"/>
            </w:tcBorders>
            <w:shd w:val="clear" w:color="auto" w:fill="auto"/>
            <w:noWrap w:val="0"/>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项目实施单位的财务和业务管理制度是否健全，用以反映和考核财务和业务管理制度对项目顺利实施的保障情况。</w:t>
            </w:r>
          </w:p>
        </w:tc>
        <w:tc>
          <w:tcPr>
            <w:tcW w:w="7821"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①是否已制定或具有相应的财务和业务管理制度；</w:t>
            </w:r>
          </w:p>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②财务和业务管理制度是否合法、合规、完整。</w:t>
            </w:r>
          </w:p>
        </w:tc>
        <w:tc>
          <w:tcPr>
            <w:tcW w:w="785"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69" w:hRule="atLeast"/>
          <w:jc w:val="center"/>
        </w:trPr>
        <w:tc>
          <w:tcPr>
            <w:tcW w:w="861" w:type="dxa"/>
            <w:vMerge w:val="continue"/>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vMerge w:val="continue"/>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none"/>
              </w:rPr>
            </w:pPr>
          </w:p>
        </w:tc>
        <w:tc>
          <w:tcPr>
            <w:tcW w:w="820" w:type="dxa"/>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制度执行</w:t>
            </w:r>
          </w:p>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有效性</w:t>
            </w:r>
          </w:p>
        </w:tc>
        <w:tc>
          <w:tcPr>
            <w:tcW w:w="2141" w:type="dxa"/>
            <w:tcBorders>
              <w:tl2br w:val="nil"/>
              <w:tr2bl w:val="nil"/>
            </w:tcBorders>
            <w:shd w:val="clear" w:color="auto" w:fill="auto"/>
            <w:noWrap w:val="0"/>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项目实施是否符合相关管理规定，用以反映和考核相关管理制度的有效执行情况。</w:t>
            </w:r>
          </w:p>
        </w:tc>
        <w:tc>
          <w:tcPr>
            <w:tcW w:w="7821"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评价要点：</w:t>
            </w:r>
          </w:p>
          <w:p>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①是否遵守相关法律法规和相关管理规定；</w:t>
            </w:r>
          </w:p>
          <w:p>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②项目调整及支出调整手续是否完备；</w:t>
            </w:r>
          </w:p>
          <w:p>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③项目合同书、验收报告、技术鉴定等资料是否齐全并及时归档；</w:t>
            </w:r>
          </w:p>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④项目实施的人员条件、场地设备、信息支撑等是否落实到位。</w:t>
            </w:r>
          </w:p>
        </w:tc>
        <w:tc>
          <w:tcPr>
            <w:tcW w:w="785"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17" w:hRule="atLeast"/>
          <w:jc w:val="center"/>
        </w:trPr>
        <w:tc>
          <w:tcPr>
            <w:tcW w:w="861" w:type="dxa"/>
            <w:vMerge w:val="restart"/>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产出</w:t>
            </w:r>
            <w:r>
              <w:rPr>
                <w:rFonts w:hint="eastAsia" w:cs="宋体"/>
                <w:color w:val="auto"/>
                <w:kern w:val="0"/>
                <w:sz w:val="22"/>
                <w:szCs w:val="22"/>
                <w:highlight w:val="none"/>
                <w:lang w:val="en-US" w:eastAsia="zh-CN"/>
              </w:rPr>
              <w:t>指标</w:t>
            </w:r>
          </w:p>
        </w:tc>
        <w:tc>
          <w:tcPr>
            <w:tcW w:w="727" w:type="dxa"/>
            <w:vMerge w:val="restart"/>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数量指标</w:t>
            </w:r>
          </w:p>
        </w:tc>
        <w:tc>
          <w:tcPr>
            <w:tcW w:w="820" w:type="dxa"/>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建设管道长度</w:t>
            </w:r>
          </w:p>
        </w:tc>
        <w:tc>
          <w:tcPr>
            <w:tcW w:w="2141" w:type="dxa"/>
            <w:tcBorders>
              <w:tl2br w:val="nil"/>
              <w:tr2bl w:val="nil"/>
            </w:tcBorders>
            <w:shd w:val="clear" w:color="auto" w:fill="auto"/>
            <w:noWrap w:val="0"/>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项目实施的实际产出数与计划产出数的比率，用以反映和考核项目产出数量目标的实现程度。</w:t>
            </w:r>
          </w:p>
        </w:tc>
        <w:tc>
          <w:tcPr>
            <w:tcW w:w="7821"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实际完成率=（实际产出数/计划产出数）×100%。</w:t>
            </w:r>
          </w:p>
          <w:p>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实际产出数：一定时期（本年度或项目期）内项目实际产出的产品或提供的服务数量。</w:t>
            </w:r>
          </w:p>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计划产出数：项目绩效目标确定的在一定时期（本年度或项目期）内计划产出的产品或提供的服务数量。</w:t>
            </w:r>
          </w:p>
        </w:tc>
        <w:tc>
          <w:tcPr>
            <w:tcW w:w="785"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5</w:t>
            </w:r>
          </w:p>
        </w:tc>
        <w:tc>
          <w:tcPr>
            <w:tcW w:w="769"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17" w:hRule="atLeast"/>
          <w:jc w:val="center"/>
        </w:trPr>
        <w:tc>
          <w:tcPr>
            <w:tcW w:w="861" w:type="dxa"/>
            <w:vMerge w:val="continue"/>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p>
        </w:tc>
        <w:tc>
          <w:tcPr>
            <w:tcW w:w="727" w:type="dxa"/>
            <w:vMerge w:val="continue"/>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p>
        </w:tc>
        <w:tc>
          <w:tcPr>
            <w:tcW w:w="820" w:type="dxa"/>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建设泵站数量</w:t>
            </w:r>
          </w:p>
        </w:tc>
        <w:tc>
          <w:tcPr>
            <w:tcW w:w="2141"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项目实施的实际产出数与计划产出数的比率，用以反映和考核项目产出数量目标的实现程度。</w:t>
            </w:r>
          </w:p>
        </w:tc>
        <w:tc>
          <w:tcPr>
            <w:tcW w:w="7821"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实际完成率=（实际产出数/计划产出数）×100%。</w:t>
            </w:r>
          </w:p>
          <w:p>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实际产出数：一定时期（本年度或项目期）内项目实际产出的产品或提供的服务数量。</w:t>
            </w:r>
          </w:p>
          <w:p>
            <w:pPr>
              <w:widowControl/>
              <w:spacing w:line="0" w:lineRule="atLeast"/>
              <w:ind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计划产出数：项目绩效目标确定的在一定时期（本年度或项目期）内计划产出的产品或提供的服务数量。</w:t>
            </w:r>
          </w:p>
        </w:tc>
        <w:tc>
          <w:tcPr>
            <w:tcW w:w="785"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5</w:t>
            </w:r>
          </w:p>
        </w:tc>
        <w:tc>
          <w:tcPr>
            <w:tcW w:w="769"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17" w:hRule="atLeast"/>
          <w:jc w:val="center"/>
        </w:trPr>
        <w:tc>
          <w:tcPr>
            <w:tcW w:w="861" w:type="dxa"/>
            <w:vMerge w:val="continue"/>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p>
        </w:tc>
        <w:tc>
          <w:tcPr>
            <w:tcW w:w="727" w:type="dxa"/>
            <w:vMerge w:val="continue"/>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p>
        </w:tc>
        <w:tc>
          <w:tcPr>
            <w:tcW w:w="820" w:type="dxa"/>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建设10kV配电工程</w:t>
            </w:r>
          </w:p>
        </w:tc>
        <w:tc>
          <w:tcPr>
            <w:tcW w:w="2141"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项目实施的实际产出数与计划产出数的比率，用以反映和考核项目产出数量目标的实现程度。</w:t>
            </w:r>
          </w:p>
        </w:tc>
        <w:tc>
          <w:tcPr>
            <w:tcW w:w="7821"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实际完成率=（实际产出数/计划产出数）×100%。</w:t>
            </w:r>
          </w:p>
          <w:p>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实际产出数：一定时期（本年度或项目期）内项目实际产出的产品或提供的服务数量。</w:t>
            </w:r>
          </w:p>
          <w:p>
            <w:pPr>
              <w:widowControl/>
              <w:spacing w:line="0" w:lineRule="atLeast"/>
              <w:ind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计划产出数：项目绩效目标确定的在一定时期（本年度或项目期）内计划产出的产品或提供的服务数量。</w:t>
            </w:r>
          </w:p>
        </w:tc>
        <w:tc>
          <w:tcPr>
            <w:tcW w:w="785" w:type="dxa"/>
            <w:tcBorders>
              <w:tl2br w:val="nil"/>
              <w:tr2bl w:val="nil"/>
            </w:tcBorders>
            <w:shd w:val="clear" w:color="auto" w:fill="auto"/>
            <w:noWrap w:val="0"/>
            <w:vAlign w:val="center"/>
          </w:tcPr>
          <w:p>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2.5</w:t>
            </w:r>
          </w:p>
        </w:tc>
        <w:tc>
          <w:tcPr>
            <w:tcW w:w="769"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rPr>
            </w:pPr>
            <w:r>
              <w:rPr>
                <w:rFonts w:hint="eastAsia" w:cs="宋体"/>
                <w:color w:val="auto"/>
                <w:kern w:val="0"/>
                <w:sz w:val="22"/>
                <w:szCs w:val="22"/>
                <w:highlight w:val="none"/>
                <w:lang w:val="en-US" w:eastAsia="zh-CN"/>
              </w:rPr>
              <w:t>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18" w:hRule="atLeast"/>
          <w:jc w:val="center"/>
        </w:trPr>
        <w:tc>
          <w:tcPr>
            <w:tcW w:w="861" w:type="dxa"/>
            <w:vMerge w:val="continue"/>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vMerge w:val="restart"/>
            <w:tcBorders>
              <w:tl2br w:val="nil"/>
              <w:tr2bl w:val="nil"/>
            </w:tcBorders>
            <w:shd w:val="clear" w:color="auto" w:fill="auto"/>
            <w:noWrap w:val="0"/>
            <w:vAlign w:val="center"/>
          </w:tcPr>
          <w:p>
            <w:pPr>
              <w:widowControl/>
              <w:spacing w:line="0" w:lineRule="atLeast"/>
              <w:ind w:firstLine="0" w:firstLineChars="0"/>
              <w:jc w:val="center"/>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质量指标</w:t>
            </w:r>
          </w:p>
        </w:tc>
        <w:tc>
          <w:tcPr>
            <w:tcW w:w="820" w:type="dxa"/>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监理服务合格率</w:t>
            </w:r>
          </w:p>
        </w:tc>
        <w:tc>
          <w:tcPr>
            <w:tcW w:w="2141" w:type="dxa"/>
            <w:tcBorders>
              <w:tl2br w:val="nil"/>
              <w:tr2bl w:val="nil"/>
            </w:tcBorders>
            <w:shd w:val="clear" w:color="auto" w:fill="auto"/>
            <w:noWrap w:val="0"/>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项目完成的质量达标产出数与实际产出数的比率，用以反映和考核项目产出质量目标的实现程度。</w:t>
            </w:r>
          </w:p>
        </w:tc>
        <w:tc>
          <w:tcPr>
            <w:tcW w:w="7821"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质量达标率=（质量达标产出数/实际产出数）×100%。</w:t>
            </w:r>
          </w:p>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785"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rPr>
            </w:pPr>
            <w:r>
              <w:rPr>
                <w:rFonts w:hint="eastAsia" w:cs="宋体"/>
                <w:color w:val="auto"/>
                <w:kern w:val="0"/>
                <w:sz w:val="22"/>
                <w:szCs w:val="22"/>
                <w:highlight w:val="none"/>
                <w:lang w:val="en-US" w:eastAsia="zh-CN"/>
              </w:rPr>
              <w:t>2.5</w:t>
            </w:r>
          </w:p>
        </w:tc>
        <w:tc>
          <w:tcPr>
            <w:tcW w:w="769"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rPr>
            </w:pPr>
            <w:r>
              <w:rPr>
                <w:rFonts w:hint="eastAsia" w:cs="宋体"/>
                <w:color w:val="auto"/>
                <w:kern w:val="0"/>
                <w:sz w:val="22"/>
                <w:szCs w:val="22"/>
                <w:highlight w:val="none"/>
                <w:lang w:val="en-US" w:eastAsia="zh-CN"/>
              </w:rPr>
              <w:t>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18" w:hRule="atLeast"/>
          <w:jc w:val="center"/>
        </w:trPr>
        <w:tc>
          <w:tcPr>
            <w:tcW w:w="861" w:type="dxa"/>
            <w:vMerge w:val="continue"/>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p>
        </w:tc>
        <w:tc>
          <w:tcPr>
            <w:tcW w:w="727" w:type="dxa"/>
            <w:vMerge w:val="continue"/>
            <w:tcBorders>
              <w:tl2br w:val="nil"/>
              <w:tr2bl w:val="nil"/>
            </w:tcBorders>
            <w:shd w:val="clear" w:color="auto" w:fill="auto"/>
            <w:noWrap w:val="0"/>
            <w:vAlign w:val="center"/>
          </w:tcPr>
          <w:p>
            <w:pPr>
              <w:widowControl/>
              <w:spacing w:line="0" w:lineRule="atLeast"/>
              <w:ind w:firstLine="0" w:firstLineChars="0"/>
              <w:jc w:val="center"/>
              <w:rPr>
                <w:rFonts w:hint="eastAsia" w:cs="宋体"/>
                <w:color w:val="auto"/>
                <w:kern w:val="0"/>
                <w:sz w:val="22"/>
                <w:szCs w:val="22"/>
                <w:highlight w:val="none"/>
                <w:lang w:val="en-US" w:eastAsia="zh-CN"/>
              </w:rPr>
            </w:pPr>
          </w:p>
        </w:tc>
        <w:tc>
          <w:tcPr>
            <w:tcW w:w="820" w:type="dxa"/>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质量检测合格率</w:t>
            </w:r>
          </w:p>
        </w:tc>
        <w:tc>
          <w:tcPr>
            <w:tcW w:w="2141"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项目完成的质量达标产出数与实际产出数的比率，用以反映和考核项目产出质量目标的实现程度。</w:t>
            </w:r>
          </w:p>
        </w:tc>
        <w:tc>
          <w:tcPr>
            <w:tcW w:w="7821"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质量达标率=（质量达标产出数/实际产出数）×100%。</w:t>
            </w:r>
          </w:p>
          <w:p>
            <w:pPr>
              <w:widowControl/>
              <w:spacing w:line="0" w:lineRule="atLeast"/>
              <w:ind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785"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rPr>
            </w:pPr>
            <w:r>
              <w:rPr>
                <w:rFonts w:hint="eastAsia" w:cs="宋体"/>
                <w:color w:val="auto"/>
                <w:kern w:val="0"/>
                <w:sz w:val="22"/>
                <w:szCs w:val="22"/>
                <w:highlight w:val="none"/>
                <w:lang w:val="en-US" w:eastAsia="zh-CN"/>
              </w:rPr>
              <w:t>2.5</w:t>
            </w:r>
          </w:p>
        </w:tc>
        <w:tc>
          <w:tcPr>
            <w:tcW w:w="769"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rPr>
            </w:pPr>
            <w:r>
              <w:rPr>
                <w:rFonts w:hint="eastAsia" w:cs="宋体"/>
                <w:color w:val="auto"/>
                <w:kern w:val="0"/>
                <w:sz w:val="22"/>
                <w:szCs w:val="22"/>
                <w:highlight w:val="none"/>
                <w:lang w:val="en-US" w:eastAsia="zh-CN"/>
              </w:rPr>
              <w:t>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18" w:hRule="atLeast"/>
          <w:jc w:val="center"/>
        </w:trPr>
        <w:tc>
          <w:tcPr>
            <w:tcW w:w="861" w:type="dxa"/>
            <w:vMerge w:val="continue"/>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p>
        </w:tc>
        <w:tc>
          <w:tcPr>
            <w:tcW w:w="727" w:type="dxa"/>
            <w:vMerge w:val="continue"/>
            <w:tcBorders>
              <w:tl2br w:val="nil"/>
              <w:tr2bl w:val="nil"/>
            </w:tcBorders>
            <w:shd w:val="clear" w:color="auto" w:fill="auto"/>
            <w:noWrap w:val="0"/>
            <w:vAlign w:val="center"/>
          </w:tcPr>
          <w:p>
            <w:pPr>
              <w:widowControl/>
              <w:spacing w:line="0" w:lineRule="atLeast"/>
              <w:ind w:firstLine="0" w:firstLineChars="0"/>
              <w:jc w:val="center"/>
              <w:rPr>
                <w:rFonts w:hint="eastAsia" w:cs="宋体"/>
                <w:color w:val="auto"/>
                <w:kern w:val="0"/>
                <w:sz w:val="22"/>
                <w:szCs w:val="22"/>
                <w:highlight w:val="none"/>
                <w:lang w:val="en-US" w:eastAsia="zh-CN"/>
              </w:rPr>
            </w:pPr>
          </w:p>
        </w:tc>
        <w:tc>
          <w:tcPr>
            <w:tcW w:w="820" w:type="dxa"/>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工程进度款审核及风险提示率（审计）</w:t>
            </w:r>
          </w:p>
        </w:tc>
        <w:tc>
          <w:tcPr>
            <w:tcW w:w="2141"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项目完成的质量达标产出数与实际产出数的比率，用以反映和考核项目产出质量目标的实现程度。</w:t>
            </w:r>
          </w:p>
        </w:tc>
        <w:tc>
          <w:tcPr>
            <w:tcW w:w="7821"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质量达标率=（质量达标产出数/实际产出数）×100%。</w:t>
            </w:r>
          </w:p>
          <w:p>
            <w:pPr>
              <w:widowControl/>
              <w:spacing w:line="0" w:lineRule="atLeast"/>
              <w:ind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785"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rPr>
            </w:pPr>
            <w:r>
              <w:rPr>
                <w:rFonts w:hint="eastAsia" w:cs="宋体"/>
                <w:color w:val="auto"/>
                <w:kern w:val="0"/>
                <w:sz w:val="22"/>
                <w:szCs w:val="22"/>
                <w:highlight w:val="none"/>
                <w:lang w:val="en-US" w:eastAsia="zh-CN"/>
              </w:rPr>
              <w:t>2.5</w:t>
            </w:r>
          </w:p>
        </w:tc>
        <w:tc>
          <w:tcPr>
            <w:tcW w:w="769"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rPr>
            </w:pPr>
            <w:r>
              <w:rPr>
                <w:rFonts w:hint="eastAsia" w:cs="宋体"/>
                <w:color w:val="auto"/>
                <w:kern w:val="0"/>
                <w:sz w:val="22"/>
                <w:szCs w:val="22"/>
                <w:highlight w:val="none"/>
                <w:lang w:val="en-US" w:eastAsia="zh-CN"/>
              </w:rPr>
              <w:t>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0" w:hRule="atLeast"/>
          <w:jc w:val="center"/>
        </w:trPr>
        <w:tc>
          <w:tcPr>
            <w:tcW w:w="861" w:type="dxa"/>
            <w:vMerge w:val="continue"/>
            <w:tcBorders>
              <w:tl2br w:val="nil"/>
              <w:tr2bl w:val="nil"/>
            </w:tcBorders>
            <w:shd w:val="clear" w:color="auto" w:fill="auto"/>
            <w:noWrap w:val="0"/>
            <w:vAlign w:val="center"/>
          </w:tcPr>
          <w:p>
            <w:pPr>
              <w:spacing w:line="0" w:lineRule="atLeast"/>
              <w:ind w:firstLine="0" w:firstLineChars="0"/>
              <w:jc w:val="center"/>
              <w:rPr>
                <w:rFonts w:ascii="宋体" w:hAnsi="宋体" w:eastAsia="宋体" w:cs="宋体"/>
                <w:color w:val="auto"/>
                <w:kern w:val="0"/>
                <w:sz w:val="22"/>
                <w:szCs w:val="22"/>
                <w:highlight w:val="none"/>
              </w:rPr>
            </w:pPr>
          </w:p>
        </w:tc>
        <w:tc>
          <w:tcPr>
            <w:tcW w:w="727" w:type="dxa"/>
            <w:tcBorders>
              <w:tl2br w:val="nil"/>
              <w:tr2bl w:val="nil"/>
            </w:tcBorders>
            <w:shd w:val="clear" w:color="auto" w:fill="auto"/>
            <w:noWrap w:val="0"/>
            <w:vAlign w:val="center"/>
          </w:tcPr>
          <w:p>
            <w:pPr>
              <w:spacing w:line="0" w:lineRule="atLeast"/>
              <w:ind w:firstLine="0" w:firstLineChars="0"/>
              <w:jc w:val="center"/>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时效指标</w:t>
            </w:r>
          </w:p>
        </w:tc>
        <w:tc>
          <w:tcPr>
            <w:tcW w:w="820" w:type="dxa"/>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项目于2023年7月31前试通水</w:t>
            </w:r>
          </w:p>
        </w:tc>
        <w:tc>
          <w:tcPr>
            <w:tcW w:w="2141" w:type="dxa"/>
            <w:tcBorders>
              <w:tl2br w:val="nil"/>
              <w:tr2bl w:val="nil"/>
            </w:tcBorders>
            <w:shd w:val="clear" w:color="auto" w:fill="auto"/>
            <w:noWrap w:val="0"/>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项目实际完成时间与计划完成时间的比较，用以反映和考核项目产出时效目标的实现程度。</w:t>
            </w:r>
          </w:p>
        </w:tc>
        <w:tc>
          <w:tcPr>
            <w:tcW w:w="7821"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实际完成时间：项目实施单位完成该项目实际所耗用的时间。</w:t>
            </w:r>
          </w:p>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计划完成时间：按照项目实施计划或相关规定完成该项目所需的时间。</w:t>
            </w:r>
          </w:p>
        </w:tc>
        <w:tc>
          <w:tcPr>
            <w:tcW w:w="785"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rPr>
            </w:pPr>
            <w:r>
              <w:rPr>
                <w:rFonts w:hint="eastAsia" w:cs="宋体"/>
                <w:color w:val="auto"/>
                <w:kern w:val="0"/>
                <w:sz w:val="22"/>
                <w:szCs w:val="22"/>
                <w:highlight w:val="none"/>
                <w:lang w:val="en-US" w:eastAsia="zh-CN"/>
              </w:rPr>
              <w:t>2.5</w:t>
            </w:r>
          </w:p>
        </w:tc>
        <w:tc>
          <w:tcPr>
            <w:tcW w:w="769"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rPr>
            </w:pPr>
            <w:r>
              <w:rPr>
                <w:rFonts w:hint="eastAsia" w:cs="宋体"/>
                <w:color w:val="auto"/>
                <w:kern w:val="0"/>
                <w:sz w:val="22"/>
                <w:szCs w:val="22"/>
                <w:highlight w:val="none"/>
                <w:lang w:val="en-US" w:eastAsia="zh-CN"/>
              </w:rPr>
              <w:t>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50" w:hRule="atLeast"/>
          <w:jc w:val="center"/>
        </w:trPr>
        <w:tc>
          <w:tcPr>
            <w:tcW w:w="861" w:type="dxa"/>
            <w:vMerge w:val="restart"/>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cs="宋体"/>
                <w:color w:val="auto"/>
                <w:kern w:val="0"/>
                <w:sz w:val="22"/>
                <w:szCs w:val="22"/>
                <w:highlight w:val="none"/>
                <w:lang w:val="en-US" w:eastAsia="zh-CN"/>
              </w:rPr>
              <w:t>成本指标</w:t>
            </w:r>
            <w:r>
              <w:rPr>
                <w:rFonts w:hint="eastAsia" w:ascii="宋体" w:hAnsi="宋体" w:eastAsia="宋体" w:cs="宋体"/>
                <w:color w:val="auto"/>
                <w:kern w:val="0"/>
                <w:sz w:val="22"/>
                <w:szCs w:val="22"/>
                <w:highlight w:val="none"/>
              </w:rPr>
              <w:t>　</w:t>
            </w:r>
          </w:p>
        </w:tc>
        <w:tc>
          <w:tcPr>
            <w:tcW w:w="727" w:type="dxa"/>
            <w:vMerge w:val="restart"/>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cs="宋体"/>
                <w:color w:val="auto"/>
                <w:kern w:val="0"/>
                <w:sz w:val="22"/>
                <w:szCs w:val="22"/>
                <w:highlight w:val="none"/>
                <w:lang w:val="en-US" w:eastAsia="zh-CN"/>
              </w:rPr>
              <w:t>经济成本指标</w:t>
            </w:r>
            <w:r>
              <w:rPr>
                <w:rFonts w:hint="eastAsia" w:ascii="宋体" w:hAnsi="宋体" w:eastAsia="宋体" w:cs="宋体"/>
                <w:color w:val="auto"/>
                <w:kern w:val="0"/>
                <w:sz w:val="22"/>
                <w:szCs w:val="22"/>
                <w:highlight w:val="none"/>
              </w:rPr>
              <w:t>　</w:t>
            </w:r>
          </w:p>
        </w:tc>
        <w:tc>
          <w:tcPr>
            <w:tcW w:w="820" w:type="dxa"/>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支付10kV配电工程占地补偿费</w:t>
            </w:r>
          </w:p>
        </w:tc>
        <w:tc>
          <w:tcPr>
            <w:tcW w:w="2141" w:type="dxa"/>
            <w:tcBorders>
              <w:tl2br w:val="nil"/>
              <w:tr2bl w:val="nil"/>
            </w:tcBorders>
            <w:shd w:val="clear" w:color="auto" w:fill="auto"/>
            <w:noWrap w:val="0"/>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完成项目计划工作目标的实际节约成本与计划成本的比率，用以反映和考核项目的成本节约程度。</w:t>
            </w:r>
          </w:p>
        </w:tc>
        <w:tc>
          <w:tcPr>
            <w:tcW w:w="7821"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lang w:eastAsia="zh-CN"/>
              </w:rPr>
            </w:pPr>
          </w:p>
          <w:p>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成本节约率=[（计划成本-实际成本）/计划成本]×100%。</w:t>
            </w:r>
          </w:p>
          <w:p>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实际成本：项目实施单位如期、保质、保量完成既定工作目标实际所耗费的支出。</w:t>
            </w:r>
          </w:p>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计划成本：项目实施单位为完成工作目标计划安排的支出，一般以项目预算为参考。</w:t>
            </w:r>
          </w:p>
        </w:tc>
        <w:tc>
          <w:tcPr>
            <w:tcW w:w="785"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rPr>
            </w:pPr>
            <w:r>
              <w:rPr>
                <w:rFonts w:hint="eastAsia" w:cs="宋体"/>
                <w:color w:val="auto"/>
                <w:kern w:val="0"/>
                <w:sz w:val="22"/>
                <w:szCs w:val="22"/>
                <w:highlight w:val="none"/>
                <w:lang w:val="en-US" w:eastAsia="zh-CN"/>
              </w:rPr>
              <w:t>2.5</w:t>
            </w:r>
          </w:p>
        </w:tc>
        <w:tc>
          <w:tcPr>
            <w:tcW w:w="769"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rPr>
            </w:pPr>
            <w:r>
              <w:rPr>
                <w:rFonts w:hint="eastAsia" w:cs="宋体"/>
                <w:color w:val="auto"/>
                <w:kern w:val="0"/>
                <w:sz w:val="22"/>
                <w:szCs w:val="22"/>
                <w:highlight w:val="none"/>
                <w:lang w:val="en-US" w:eastAsia="zh-CN"/>
              </w:rPr>
              <w:t>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89" w:hRule="atLeast"/>
          <w:jc w:val="center"/>
        </w:trPr>
        <w:tc>
          <w:tcPr>
            <w:tcW w:w="861" w:type="dxa"/>
            <w:vMerge w:val="continue"/>
            <w:tcBorders>
              <w:tl2br w:val="nil"/>
              <w:tr2bl w:val="nil"/>
            </w:tcBorders>
            <w:shd w:val="clear" w:color="auto" w:fill="auto"/>
            <w:noWrap w:val="0"/>
            <w:vAlign w:val="center"/>
          </w:tcPr>
          <w:p>
            <w:pPr>
              <w:widowControl/>
              <w:spacing w:line="0" w:lineRule="atLeast"/>
              <w:ind w:firstLine="0" w:firstLineChars="0"/>
              <w:jc w:val="center"/>
              <w:rPr>
                <w:rFonts w:hint="eastAsia" w:cs="宋体"/>
                <w:color w:val="auto"/>
                <w:kern w:val="0"/>
                <w:sz w:val="22"/>
                <w:szCs w:val="22"/>
                <w:highlight w:val="none"/>
                <w:lang w:val="en-US" w:eastAsia="zh-CN"/>
              </w:rPr>
            </w:pPr>
          </w:p>
        </w:tc>
        <w:tc>
          <w:tcPr>
            <w:tcW w:w="727" w:type="dxa"/>
            <w:vMerge w:val="continue"/>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p>
        </w:tc>
        <w:tc>
          <w:tcPr>
            <w:tcW w:w="820" w:type="dxa"/>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支付占用城市绿化林地补偿费</w:t>
            </w:r>
          </w:p>
        </w:tc>
        <w:tc>
          <w:tcPr>
            <w:tcW w:w="2141"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完成项目计划工作目标的实际节约成本与计划成本的比率，用以反映和考核项目的成本节约程度。</w:t>
            </w:r>
          </w:p>
        </w:tc>
        <w:tc>
          <w:tcPr>
            <w:tcW w:w="7821"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lang w:eastAsia="zh-CN"/>
              </w:rPr>
            </w:pPr>
          </w:p>
          <w:p>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成本节约率=[（计划成本-实际成本）/计划成本]×100%。</w:t>
            </w:r>
          </w:p>
          <w:p>
            <w:pPr>
              <w:widowControl/>
              <w:spacing w:line="0" w:lineRule="atLeast"/>
              <w:ind w:firstLine="0" w:firstLineChars="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实际成本：项目实施单位如期、保质、保量完成既定工作目标实际所耗费的支出。</w:t>
            </w:r>
          </w:p>
          <w:p>
            <w:pPr>
              <w:widowControl/>
              <w:spacing w:line="0" w:lineRule="atLeast"/>
              <w:ind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计划成本：项目实施单位为完成工作目标计划安排的支出，一般以项目预算为参考。</w:t>
            </w:r>
          </w:p>
        </w:tc>
        <w:tc>
          <w:tcPr>
            <w:tcW w:w="785"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rPr>
            </w:pPr>
            <w:r>
              <w:rPr>
                <w:rFonts w:hint="eastAsia" w:cs="宋体"/>
                <w:color w:val="auto"/>
                <w:kern w:val="0"/>
                <w:sz w:val="22"/>
                <w:szCs w:val="22"/>
                <w:highlight w:val="none"/>
                <w:lang w:val="en-US" w:eastAsia="zh-CN"/>
              </w:rPr>
              <w:t>2.5</w:t>
            </w:r>
          </w:p>
        </w:tc>
        <w:tc>
          <w:tcPr>
            <w:tcW w:w="769"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rPr>
            </w:pPr>
            <w:r>
              <w:rPr>
                <w:rFonts w:hint="eastAsia" w:cs="宋体"/>
                <w:color w:val="auto"/>
                <w:kern w:val="0"/>
                <w:sz w:val="22"/>
                <w:szCs w:val="22"/>
                <w:highlight w:val="none"/>
                <w:lang w:val="en-US" w:eastAsia="zh-CN"/>
              </w:rPr>
              <w:t>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73" w:hRule="atLeast"/>
          <w:jc w:val="center"/>
        </w:trPr>
        <w:tc>
          <w:tcPr>
            <w:tcW w:w="861" w:type="dxa"/>
            <w:vMerge w:val="continue"/>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vMerge w:val="continue"/>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none"/>
              </w:rPr>
            </w:pPr>
          </w:p>
        </w:tc>
        <w:tc>
          <w:tcPr>
            <w:tcW w:w="820" w:type="dxa"/>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满意度</w:t>
            </w:r>
          </w:p>
        </w:tc>
        <w:tc>
          <w:tcPr>
            <w:tcW w:w="2141" w:type="dxa"/>
            <w:tcBorders>
              <w:tl2br w:val="nil"/>
              <w:tr2bl w:val="nil"/>
            </w:tcBorders>
            <w:shd w:val="clear" w:color="auto" w:fill="auto"/>
            <w:noWrap w:val="0"/>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社会公众或服务对象对项目实施效果的满意程度。</w:t>
            </w:r>
          </w:p>
        </w:tc>
        <w:tc>
          <w:tcPr>
            <w:tcW w:w="7821" w:type="dxa"/>
            <w:tcBorders>
              <w:tl2br w:val="nil"/>
              <w:tr2bl w:val="nil"/>
            </w:tcBorders>
            <w:shd w:val="clear" w:color="auto" w:fill="auto"/>
            <w:noWrap w:val="0"/>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社会公众或服务对象是指因该项目实施而受到影响的部门（单位）、群体或个人。一般采取社会调查的方式。</w:t>
            </w:r>
          </w:p>
        </w:tc>
        <w:tc>
          <w:tcPr>
            <w:tcW w:w="785"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rPr>
            </w:pPr>
            <w:r>
              <w:rPr>
                <w:rFonts w:hint="eastAsia" w:cs="宋体"/>
                <w:color w:val="auto"/>
                <w:kern w:val="0"/>
                <w:sz w:val="22"/>
                <w:szCs w:val="22"/>
                <w:highlight w:val="none"/>
                <w:lang w:val="en-US" w:eastAsia="zh-CN"/>
              </w:rPr>
              <w:t>2.5</w:t>
            </w:r>
          </w:p>
        </w:tc>
        <w:tc>
          <w:tcPr>
            <w:tcW w:w="769"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rPr>
            </w:pPr>
            <w:r>
              <w:rPr>
                <w:rFonts w:hint="eastAsia" w:cs="宋体"/>
                <w:color w:val="auto"/>
                <w:kern w:val="0"/>
                <w:sz w:val="22"/>
                <w:szCs w:val="22"/>
                <w:highlight w:val="none"/>
                <w:lang w:val="en-US" w:eastAsia="zh-CN"/>
              </w:rPr>
              <w:t>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137" w:hRule="atLeast"/>
          <w:jc w:val="center"/>
        </w:trPr>
        <w:tc>
          <w:tcPr>
            <w:tcW w:w="861" w:type="dxa"/>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效益指标</w:t>
            </w:r>
          </w:p>
        </w:tc>
        <w:tc>
          <w:tcPr>
            <w:tcW w:w="727" w:type="dxa"/>
            <w:tcBorders>
              <w:tl2br w:val="nil"/>
              <w:tr2bl w:val="nil"/>
            </w:tcBorders>
            <w:shd w:val="clear" w:color="auto" w:fill="auto"/>
            <w:noWrap w:val="0"/>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社会效益指标</w:t>
            </w:r>
          </w:p>
        </w:tc>
        <w:tc>
          <w:tcPr>
            <w:tcW w:w="820" w:type="dxa"/>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缓解阜康市地下水超采问题</w:t>
            </w:r>
          </w:p>
        </w:tc>
        <w:tc>
          <w:tcPr>
            <w:tcW w:w="2141" w:type="dxa"/>
            <w:tcBorders>
              <w:tl2br w:val="nil"/>
              <w:tr2bl w:val="nil"/>
            </w:tcBorders>
            <w:shd w:val="clear" w:color="auto" w:fill="auto"/>
            <w:noWrap w:val="0"/>
            <w:vAlign w:val="center"/>
          </w:tcPr>
          <w:p>
            <w:pPr>
              <w:widowControl/>
              <w:spacing w:line="0" w:lineRule="atLeast"/>
              <w:ind w:firstLine="0" w:firstLineChars="0"/>
              <w:jc w:val="left"/>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项目实施所产生的效益。</w:t>
            </w:r>
          </w:p>
        </w:tc>
        <w:tc>
          <w:tcPr>
            <w:tcW w:w="7821"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项目实施所产生的社会效益、经济效益、生态效益、可持续影响等。可根据项目实际情况有选择地设置和细化。</w:t>
            </w:r>
          </w:p>
        </w:tc>
        <w:tc>
          <w:tcPr>
            <w:tcW w:w="785" w:type="dxa"/>
            <w:tcBorders>
              <w:tl2br w:val="nil"/>
              <w:tr2bl w:val="nil"/>
            </w:tcBorders>
            <w:shd w:val="clear" w:color="auto" w:fill="auto"/>
            <w:noWrap w:val="0"/>
            <w:vAlign w:val="center"/>
          </w:tcPr>
          <w:p>
            <w:pPr>
              <w:widowControl/>
              <w:spacing w:line="0" w:lineRule="atLeast"/>
              <w:ind w:firstLine="0" w:firstLineChars="0"/>
              <w:rPr>
                <w:rFonts w:hint="default" w:ascii="宋体" w:hAnsi="宋体" w:eastAsia="宋体" w:cs="宋体"/>
                <w:color w:val="auto"/>
                <w:kern w:val="0"/>
                <w:sz w:val="22"/>
                <w:szCs w:val="22"/>
                <w:highlight w:val="none"/>
                <w:lang w:val="en-US"/>
              </w:rPr>
            </w:pPr>
            <w:r>
              <w:rPr>
                <w:rFonts w:hint="eastAsia" w:cs="宋体"/>
                <w:color w:val="auto"/>
                <w:kern w:val="0"/>
                <w:sz w:val="22"/>
                <w:szCs w:val="22"/>
                <w:highlight w:val="none"/>
                <w:lang w:val="en-US" w:eastAsia="zh-CN"/>
              </w:rPr>
              <w:t>15</w:t>
            </w:r>
          </w:p>
        </w:tc>
        <w:tc>
          <w:tcPr>
            <w:tcW w:w="769" w:type="dxa"/>
            <w:tcBorders>
              <w:tl2br w:val="nil"/>
              <w:tr2bl w:val="nil"/>
            </w:tcBorders>
            <w:shd w:val="clear" w:color="auto" w:fill="auto"/>
            <w:noWrap w:val="0"/>
            <w:vAlign w:val="center"/>
          </w:tcPr>
          <w:p>
            <w:pPr>
              <w:widowControl/>
              <w:spacing w:line="0" w:lineRule="atLeast"/>
              <w:ind w:firstLine="0" w:firstLineChars="0"/>
              <w:rPr>
                <w:rFonts w:hint="default" w:ascii="宋体" w:hAnsi="宋体" w:eastAsia="宋体" w:cs="宋体"/>
                <w:color w:val="auto"/>
                <w:kern w:val="0"/>
                <w:sz w:val="22"/>
                <w:szCs w:val="22"/>
                <w:highlight w:val="none"/>
                <w:lang w:val="en-US"/>
              </w:rPr>
            </w:pPr>
            <w:r>
              <w:rPr>
                <w:rFonts w:hint="eastAsia" w:cs="宋体"/>
                <w:color w:val="auto"/>
                <w:kern w:val="0"/>
                <w:sz w:val="22"/>
                <w:szCs w:val="22"/>
                <w:highlight w:val="none"/>
                <w:lang w:val="en-US" w:eastAsia="zh-CN"/>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18" w:hRule="atLeast"/>
          <w:jc w:val="center"/>
        </w:trPr>
        <w:tc>
          <w:tcPr>
            <w:tcW w:w="861" w:type="dxa"/>
            <w:tcBorders>
              <w:tl2br w:val="nil"/>
              <w:tr2bl w:val="nil"/>
            </w:tcBorders>
            <w:shd w:val="clear" w:color="auto" w:fill="auto"/>
            <w:noWrap w:val="0"/>
            <w:vAlign w:val="center"/>
          </w:tcPr>
          <w:p>
            <w:pPr>
              <w:widowControl/>
              <w:spacing w:line="0" w:lineRule="atLeast"/>
              <w:ind w:firstLine="0" w:firstLineChars="0"/>
              <w:jc w:val="center"/>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满意度指标</w:t>
            </w:r>
          </w:p>
        </w:tc>
        <w:tc>
          <w:tcPr>
            <w:tcW w:w="727" w:type="dxa"/>
            <w:tcBorders>
              <w:tl2br w:val="nil"/>
              <w:tr2bl w:val="nil"/>
            </w:tcBorders>
            <w:shd w:val="clear" w:color="auto" w:fill="auto"/>
            <w:noWrap w:val="0"/>
            <w:vAlign w:val="center"/>
          </w:tcPr>
          <w:p>
            <w:pPr>
              <w:widowControl/>
              <w:spacing w:line="0" w:lineRule="atLeast"/>
              <w:ind w:firstLine="0" w:firstLineChars="0"/>
              <w:jc w:val="center"/>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满意度指标</w:t>
            </w:r>
          </w:p>
        </w:tc>
        <w:tc>
          <w:tcPr>
            <w:tcW w:w="820" w:type="dxa"/>
            <w:tcBorders>
              <w:tl2br w:val="nil"/>
              <w:tr2bl w:val="nil"/>
            </w:tcBorders>
            <w:shd w:val="clear" w:color="auto" w:fill="auto"/>
            <w:noWrap w:val="0"/>
            <w:vAlign w:val="center"/>
          </w:tcPr>
          <w:p>
            <w:pPr>
              <w:widowControl/>
              <w:spacing w:line="0" w:lineRule="atLeast"/>
              <w:ind w:firstLine="0" w:firstLineChars="0"/>
              <w:jc w:val="both"/>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市民用水满意度</w:t>
            </w:r>
          </w:p>
        </w:tc>
        <w:tc>
          <w:tcPr>
            <w:tcW w:w="2141"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rPr>
              <w:t>社会公众或服务对象对项目实施效果的满意程度。</w:t>
            </w:r>
          </w:p>
        </w:tc>
        <w:tc>
          <w:tcPr>
            <w:tcW w:w="7821" w:type="dxa"/>
            <w:tcBorders>
              <w:tl2br w:val="nil"/>
              <w:tr2bl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rPr>
              <w:t>社会公众或服务对象是指因该项目实施而受到影响的部门（单位）、群体或个人。一般采取社会调查的方式。</w:t>
            </w:r>
          </w:p>
        </w:tc>
        <w:tc>
          <w:tcPr>
            <w:tcW w:w="785" w:type="dxa"/>
            <w:tcBorders>
              <w:tl2br w:val="nil"/>
              <w:tr2bl w:val="nil"/>
            </w:tcBorders>
            <w:shd w:val="clear" w:color="auto" w:fill="auto"/>
            <w:noWrap w:val="0"/>
            <w:vAlign w:val="center"/>
          </w:tcPr>
          <w:p>
            <w:pPr>
              <w:widowControl/>
              <w:spacing w:line="0" w:lineRule="atLeast"/>
              <w:ind w:firstLine="0" w:firstLineChars="0"/>
              <w:rPr>
                <w:rFonts w:hint="default" w:cs="宋体"/>
                <w:color w:val="auto"/>
                <w:kern w:val="0"/>
                <w:sz w:val="22"/>
                <w:szCs w:val="22"/>
                <w:highlight w:val="none"/>
                <w:lang w:val="en-US" w:eastAsia="zh-CN"/>
              </w:rPr>
            </w:pPr>
            <w:r>
              <w:rPr>
                <w:rFonts w:hint="eastAsia" w:cs="宋体"/>
                <w:color w:val="auto"/>
                <w:kern w:val="0"/>
                <w:sz w:val="22"/>
                <w:szCs w:val="22"/>
                <w:highlight w:val="none"/>
                <w:lang w:val="en-US" w:eastAsia="zh-CN"/>
              </w:rPr>
              <w:t>15</w:t>
            </w:r>
          </w:p>
        </w:tc>
        <w:tc>
          <w:tcPr>
            <w:tcW w:w="769" w:type="dxa"/>
            <w:tcBorders>
              <w:tl2br w:val="nil"/>
              <w:tr2bl w:val="nil"/>
            </w:tcBorders>
            <w:shd w:val="clear" w:color="auto" w:fill="auto"/>
            <w:noWrap w:val="0"/>
            <w:vAlign w:val="center"/>
          </w:tcPr>
          <w:p>
            <w:pPr>
              <w:widowControl/>
              <w:spacing w:line="0" w:lineRule="atLeast"/>
              <w:ind w:firstLine="0" w:firstLineChars="0"/>
              <w:rPr>
                <w:rFonts w:hint="default" w:cs="宋体"/>
                <w:color w:val="auto"/>
                <w:kern w:val="0"/>
                <w:sz w:val="22"/>
                <w:szCs w:val="22"/>
                <w:highlight w:val="none"/>
                <w:lang w:val="en-US" w:eastAsia="zh-CN"/>
              </w:rPr>
            </w:pPr>
            <w:r>
              <w:rPr>
                <w:rFonts w:hint="eastAsia" w:cs="宋体"/>
                <w:color w:val="auto"/>
                <w:kern w:val="0"/>
                <w:sz w:val="22"/>
                <w:szCs w:val="22"/>
                <w:highlight w:val="none"/>
                <w:lang w:val="en-US" w:eastAsia="zh-CN"/>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7" w:hRule="atLeast"/>
          <w:jc w:val="center"/>
        </w:trPr>
        <w:tc>
          <w:tcPr>
            <w:tcW w:w="4549" w:type="dxa"/>
            <w:gridSpan w:val="4"/>
            <w:tcBorders>
              <w:tl2br w:val="nil"/>
              <w:tr2bl w:val="nil"/>
            </w:tcBorders>
            <w:shd w:val="clear" w:color="auto" w:fill="auto"/>
            <w:noWrap w:val="0"/>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合计</w:t>
            </w:r>
          </w:p>
        </w:tc>
        <w:tc>
          <w:tcPr>
            <w:tcW w:w="7821" w:type="dxa"/>
            <w:tcBorders>
              <w:tl2br w:val="nil"/>
              <w:tr2bl w:val="nil"/>
            </w:tcBorders>
            <w:shd w:val="clear" w:color="auto" w:fill="auto"/>
            <w:noWrap w:val="0"/>
            <w:vAlign w:val="center"/>
          </w:tcPr>
          <w:p>
            <w:pPr>
              <w:widowControl/>
              <w:spacing w:line="0" w:lineRule="atLeast"/>
              <w:ind w:firstLine="0" w:firstLineChars="0"/>
              <w:rPr>
                <w:rFonts w:hint="eastAsia" w:ascii="宋体" w:hAnsi="宋体" w:eastAsia="宋体" w:cs="宋体"/>
                <w:color w:val="auto"/>
                <w:kern w:val="0"/>
                <w:sz w:val="22"/>
                <w:szCs w:val="22"/>
                <w:highlight w:val="none"/>
              </w:rPr>
            </w:pPr>
          </w:p>
        </w:tc>
        <w:tc>
          <w:tcPr>
            <w:tcW w:w="785" w:type="dxa"/>
            <w:tcBorders>
              <w:tl2br w:val="nil"/>
              <w:tr2bl w:val="nil"/>
            </w:tcBorders>
            <w:shd w:val="clear" w:color="auto" w:fill="auto"/>
            <w:noWrap w:val="0"/>
            <w:vAlign w:val="center"/>
          </w:tcPr>
          <w:p>
            <w:pPr>
              <w:widowControl/>
              <w:spacing w:line="0" w:lineRule="atLeast"/>
              <w:ind w:firstLine="0" w:firstLineChars="0"/>
              <w:jc w:val="center"/>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100</w:t>
            </w:r>
          </w:p>
        </w:tc>
        <w:tc>
          <w:tcPr>
            <w:tcW w:w="769" w:type="dxa"/>
            <w:tcBorders>
              <w:tl2br w:val="nil"/>
              <w:tr2bl w:val="nil"/>
            </w:tcBorders>
            <w:shd w:val="clear" w:color="auto" w:fill="auto"/>
            <w:noWrap w:val="0"/>
            <w:vAlign w:val="center"/>
          </w:tcPr>
          <w:p>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100</w:t>
            </w:r>
          </w:p>
        </w:tc>
      </w:tr>
    </w:tbl>
    <w:p>
      <w:pPr>
        <w:ind w:left="0" w:leftChars="0" w:firstLine="0" w:firstLineChars="0"/>
        <w:rPr>
          <w:rFonts w:hint="default"/>
          <w:lang w:val="en-US" w:eastAsia="zh-CN"/>
        </w:rPr>
      </w:pPr>
    </w:p>
    <w:sectPr>
      <w:footerReference r:id="rId6" w:type="default"/>
      <w:pgSz w:w="16838" w:h="11906" w:orient="landscape"/>
      <w:pgMar w:top="1800" w:right="1440" w:bottom="1800" w:left="1440" w:header="737" w:footer="851" w:gutter="0"/>
      <w:pgBorders>
        <w:top w:val="none" w:sz="0" w:space="0"/>
        <w:left w:val="none" w:sz="0" w:space="0"/>
        <w:bottom w:val="none" w:sz="0" w:space="0"/>
        <w:right w:val="none" w:sz="0" w:space="0"/>
      </w:pgBorders>
      <w:pgNumType w:fmt="decimal"/>
      <w:cols w:space="720"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C92B9"/>
    <w:multiLevelType w:val="singleLevel"/>
    <w:tmpl w:val="826C92B9"/>
    <w:lvl w:ilvl="0" w:tentative="0">
      <w:start w:val="2"/>
      <w:numFmt w:val="chineseCounting"/>
      <w:suff w:val="nothing"/>
      <w:lvlText w:val="（%1）"/>
      <w:lvlJc w:val="left"/>
      <w:pPr>
        <w:ind w:left="-404"/>
      </w:pPr>
      <w:rPr>
        <w:rFonts w:hint="eastAsia"/>
      </w:rPr>
    </w:lvl>
  </w:abstractNum>
  <w:abstractNum w:abstractNumId="1">
    <w:nsid w:val="9EA6F8D2"/>
    <w:multiLevelType w:val="singleLevel"/>
    <w:tmpl w:val="9EA6F8D2"/>
    <w:lvl w:ilvl="0" w:tentative="0">
      <w:start w:val="2"/>
      <w:numFmt w:val="decimal"/>
      <w:suff w:val="nothing"/>
      <w:lvlText w:val="（%1）"/>
      <w:lvlJc w:val="left"/>
    </w:lvl>
  </w:abstractNum>
  <w:abstractNum w:abstractNumId="2">
    <w:nsid w:val="1FFA6D59"/>
    <w:multiLevelType w:val="singleLevel"/>
    <w:tmpl w:val="1FFA6D59"/>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hNzIwMTU3YTRiZGFmNmQzZjIzZGVlNTEwZTE2MjkifQ=="/>
  </w:docVars>
  <w:rsids>
    <w:rsidRoot w:val="68291A1A"/>
    <w:rsid w:val="007D6A04"/>
    <w:rsid w:val="00E23C81"/>
    <w:rsid w:val="01253350"/>
    <w:rsid w:val="01282E62"/>
    <w:rsid w:val="014029CF"/>
    <w:rsid w:val="01470C4C"/>
    <w:rsid w:val="02200440"/>
    <w:rsid w:val="02284B43"/>
    <w:rsid w:val="02B015E2"/>
    <w:rsid w:val="02DC08FA"/>
    <w:rsid w:val="033B569D"/>
    <w:rsid w:val="039C3BA0"/>
    <w:rsid w:val="03A845BB"/>
    <w:rsid w:val="03B45AD1"/>
    <w:rsid w:val="04294F27"/>
    <w:rsid w:val="04D12EE4"/>
    <w:rsid w:val="04D63993"/>
    <w:rsid w:val="0748683B"/>
    <w:rsid w:val="07890F4F"/>
    <w:rsid w:val="08892439"/>
    <w:rsid w:val="08EB30F3"/>
    <w:rsid w:val="09237408"/>
    <w:rsid w:val="09781BD6"/>
    <w:rsid w:val="09F359DF"/>
    <w:rsid w:val="0A575E65"/>
    <w:rsid w:val="0ACA0AB6"/>
    <w:rsid w:val="0C032502"/>
    <w:rsid w:val="0C27698C"/>
    <w:rsid w:val="0D4452F3"/>
    <w:rsid w:val="0F5E5042"/>
    <w:rsid w:val="0FE95707"/>
    <w:rsid w:val="10510571"/>
    <w:rsid w:val="10787A20"/>
    <w:rsid w:val="108672DE"/>
    <w:rsid w:val="10EC685A"/>
    <w:rsid w:val="11FA6155"/>
    <w:rsid w:val="12CF0947"/>
    <w:rsid w:val="12DF5AC9"/>
    <w:rsid w:val="12F1313F"/>
    <w:rsid w:val="136C678E"/>
    <w:rsid w:val="13EB2FF5"/>
    <w:rsid w:val="15A46B04"/>
    <w:rsid w:val="164976AB"/>
    <w:rsid w:val="165825BC"/>
    <w:rsid w:val="16BC5D73"/>
    <w:rsid w:val="176F36D7"/>
    <w:rsid w:val="1795226D"/>
    <w:rsid w:val="18456B1E"/>
    <w:rsid w:val="19241307"/>
    <w:rsid w:val="1C1171C5"/>
    <w:rsid w:val="1D265138"/>
    <w:rsid w:val="1D7B6BCA"/>
    <w:rsid w:val="1DA41A79"/>
    <w:rsid w:val="1DF53469"/>
    <w:rsid w:val="1E2F24F2"/>
    <w:rsid w:val="1E58492F"/>
    <w:rsid w:val="1E5B6757"/>
    <w:rsid w:val="1ED10AC6"/>
    <w:rsid w:val="1F89225F"/>
    <w:rsid w:val="1F900A1F"/>
    <w:rsid w:val="1FC0575D"/>
    <w:rsid w:val="206132C7"/>
    <w:rsid w:val="21B00C1D"/>
    <w:rsid w:val="23031BEB"/>
    <w:rsid w:val="23917691"/>
    <w:rsid w:val="244D65B8"/>
    <w:rsid w:val="245E1E24"/>
    <w:rsid w:val="25AD5E5D"/>
    <w:rsid w:val="2732478D"/>
    <w:rsid w:val="273D2914"/>
    <w:rsid w:val="27661469"/>
    <w:rsid w:val="27900EAD"/>
    <w:rsid w:val="279B538A"/>
    <w:rsid w:val="286F545C"/>
    <w:rsid w:val="28EA0BF2"/>
    <w:rsid w:val="29314FBC"/>
    <w:rsid w:val="2C024B86"/>
    <w:rsid w:val="2C927671"/>
    <w:rsid w:val="2CC70108"/>
    <w:rsid w:val="2D7C5CD6"/>
    <w:rsid w:val="2DA82AB1"/>
    <w:rsid w:val="2E483E7E"/>
    <w:rsid w:val="2E690493"/>
    <w:rsid w:val="2E9854BD"/>
    <w:rsid w:val="2F0D407F"/>
    <w:rsid w:val="2F454B19"/>
    <w:rsid w:val="310224D9"/>
    <w:rsid w:val="31B4621C"/>
    <w:rsid w:val="31E3230A"/>
    <w:rsid w:val="330957E0"/>
    <w:rsid w:val="33356F64"/>
    <w:rsid w:val="33944516"/>
    <w:rsid w:val="34B62907"/>
    <w:rsid w:val="36BD137C"/>
    <w:rsid w:val="385D37E7"/>
    <w:rsid w:val="38782EDD"/>
    <w:rsid w:val="38E075A3"/>
    <w:rsid w:val="3A2C1FFD"/>
    <w:rsid w:val="3AAC0A1A"/>
    <w:rsid w:val="3B42664A"/>
    <w:rsid w:val="3C600BA9"/>
    <w:rsid w:val="3D836A4E"/>
    <w:rsid w:val="3EA37E97"/>
    <w:rsid w:val="3FBE0BC5"/>
    <w:rsid w:val="4048103A"/>
    <w:rsid w:val="40736643"/>
    <w:rsid w:val="40D24A7A"/>
    <w:rsid w:val="417E46AC"/>
    <w:rsid w:val="42621029"/>
    <w:rsid w:val="42753291"/>
    <w:rsid w:val="435241E2"/>
    <w:rsid w:val="43975C51"/>
    <w:rsid w:val="439E3FA7"/>
    <w:rsid w:val="44B32266"/>
    <w:rsid w:val="44FC64F4"/>
    <w:rsid w:val="46024FFD"/>
    <w:rsid w:val="467F4585"/>
    <w:rsid w:val="46B856BC"/>
    <w:rsid w:val="470628CB"/>
    <w:rsid w:val="47555BD4"/>
    <w:rsid w:val="47E96399"/>
    <w:rsid w:val="48E12B50"/>
    <w:rsid w:val="499441BE"/>
    <w:rsid w:val="499A6C1C"/>
    <w:rsid w:val="4A2138F0"/>
    <w:rsid w:val="4A583887"/>
    <w:rsid w:val="4B9F6E02"/>
    <w:rsid w:val="4BDE5BC4"/>
    <w:rsid w:val="4C89637B"/>
    <w:rsid w:val="4D2910C1"/>
    <w:rsid w:val="4E6E48A8"/>
    <w:rsid w:val="4EEC036B"/>
    <w:rsid w:val="501D2673"/>
    <w:rsid w:val="50C80BF1"/>
    <w:rsid w:val="51852833"/>
    <w:rsid w:val="52F11AC8"/>
    <w:rsid w:val="534F49D9"/>
    <w:rsid w:val="53555F0F"/>
    <w:rsid w:val="535D23D5"/>
    <w:rsid w:val="53726AD7"/>
    <w:rsid w:val="56F4341A"/>
    <w:rsid w:val="575A7321"/>
    <w:rsid w:val="580C3AB9"/>
    <w:rsid w:val="583C7AE0"/>
    <w:rsid w:val="586C1E9A"/>
    <w:rsid w:val="586E0800"/>
    <w:rsid w:val="59216F96"/>
    <w:rsid w:val="598C4145"/>
    <w:rsid w:val="59957D1B"/>
    <w:rsid w:val="59D4294E"/>
    <w:rsid w:val="5A387A2F"/>
    <w:rsid w:val="5B634312"/>
    <w:rsid w:val="5B9D2CCD"/>
    <w:rsid w:val="5B9E71EA"/>
    <w:rsid w:val="5E226FBC"/>
    <w:rsid w:val="5FE72BD2"/>
    <w:rsid w:val="60120613"/>
    <w:rsid w:val="618D5292"/>
    <w:rsid w:val="622E78FA"/>
    <w:rsid w:val="63343F70"/>
    <w:rsid w:val="64296E1C"/>
    <w:rsid w:val="649E64A2"/>
    <w:rsid w:val="65E5270A"/>
    <w:rsid w:val="663D3C54"/>
    <w:rsid w:val="66862C89"/>
    <w:rsid w:val="66BB486D"/>
    <w:rsid w:val="67394C7D"/>
    <w:rsid w:val="68126B38"/>
    <w:rsid w:val="68291A1A"/>
    <w:rsid w:val="68352BB8"/>
    <w:rsid w:val="691B1594"/>
    <w:rsid w:val="693A016B"/>
    <w:rsid w:val="6A05691D"/>
    <w:rsid w:val="6A17429C"/>
    <w:rsid w:val="6A567EA3"/>
    <w:rsid w:val="6B4B4368"/>
    <w:rsid w:val="6B79100E"/>
    <w:rsid w:val="6C844C00"/>
    <w:rsid w:val="6D883F0C"/>
    <w:rsid w:val="6E10212C"/>
    <w:rsid w:val="6E43561A"/>
    <w:rsid w:val="6E557973"/>
    <w:rsid w:val="6E9568DB"/>
    <w:rsid w:val="6EDA0016"/>
    <w:rsid w:val="6F0D6C22"/>
    <w:rsid w:val="6F47657F"/>
    <w:rsid w:val="6FAF23D9"/>
    <w:rsid w:val="70635CF6"/>
    <w:rsid w:val="70670707"/>
    <w:rsid w:val="720E3691"/>
    <w:rsid w:val="720E7580"/>
    <w:rsid w:val="724E244C"/>
    <w:rsid w:val="72DA6946"/>
    <w:rsid w:val="732764B3"/>
    <w:rsid w:val="74026044"/>
    <w:rsid w:val="74746410"/>
    <w:rsid w:val="74D65085"/>
    <w:rsid w:val="75E5007C"/>
    <w:rsid w:val="77813724"/>
    <w:rsid w:val="77861774"/>
    <w:rsid w:val="78F31435"/>
    <w:rsid w:val="79300B45"/>
    <w:rsid w:val="794D3E18"/>
    <w:rsid w:val="79F3729A"/>
    <w:rsid w:val="7A880722"/>
    <w:rsid w:val="7AB91427"/>
    <w:rsid w:val="7ACB0498"/>
    <w:rsid w:val="7AED0B4D"/>
    <w:rsid w:val="7C1E4487"/>
    <w:rsid w:val="7C215E02"/>
    <w:rsid w:val="7CA3413D"/>
    <w:rsid w:val="7CF23764"/>
    <w:rsid w:val="7E1C41A7"/>
    <w:rsid w:val="7E797F74"/>
    <w:rsid w:val="7F924011"/>
    <w:rsid w:val="7FC52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3" w:firstLineChars="200"/>
      <w:jc w:val="both"/>
    </w:pPr>
    <w:rPr>
      <w:rFonts w:ascii="宋体" w:hAnsi="宋体" w:eastAsia="宋体" w:cs="宋体"/>
      <w:kern w:val="2"/>
      <w:sz w:val="28"/>
      <w:szCs w:val="28"/>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964" w:firstLineChars="200"/>
      <w:outlineLvl w:val="0"/>
    </w:pPr>
    <w:rPr>
      <w:rFonts w:ascii="Times New Roman" w:hAnsi="Times New Roman" w:eastAsia="黑体"/>
      <w:kern w:val="44"/>
      <w:sz w:val="32"/>
      <w:szCs w:val="22"/>
    </w:rPr>
  </w:style>
  <w:style w:type="paragraph" w:styleId="2">
    <w:name w:val="heading 2"/>
    <w:basedOn w:val="1"/>
    <w:next w:val="1"/>
    <w:link w:val="14"/>
    <w:unhideWhenUsed/>
    <w:qFormat/>
    <w:uiPriority w:val="0"/>
    <w:pPr>
      <w:keepNext/>
      <w:keepLines/>
      <w:spacing w:beforeLines="0" w:beforeAutospacing="0" w:afterLines="0" w:afterAutospacing="0" w:line="560" w:lineRule="exact"/>
      <w:ind w:firstLine="964" w:firstLineChars="200"/>
      <w:outlineLvl w:val="1"/>
    </w:pPr>
    <w:rPr>
      <w:rFonts w:ascii="Arial" w:hAnsi="Arial" w:eastAsia="楷体"/>
      <w:b/>
      <w:sz w:val="32"/>
    </w:rPr>
  </w:style>
  <w:style w:type="paragraph" w:styleId="4">
    <w:name w:val="heading 3"/>
    <w:basedOn w:val="1"/>
    <w:next w:val="1"/>
    <w:qFormat/>
    <w:uiPriority w:val="99"/>
    <w:pPr>
      <w:keepNext/>
      <w:keepLines/>
      <w:spacing w:line="560" w:lineRule="exact"/>
      <w:ind w:firstLine="883" w:firstLineChars="200"/>
      <w:outlineLvl w:val="2"/>
    </w:pPr>
    <w:rPr>
      <w:rFonts w:ascii="仿宋_GB2312" w:hAnsi="仿宋_GB2312" w:eastAsia="仿宋_GB2312"/>
      <w:b/>
      <w:bCs/>
      <w:kern w:val="0"/>
      <w:sz w:val="28"/>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7"/>
    <w:qFormat/>
    <w:uiPriority w:val="0"/>
    <w:pPr>
      <w:spacing w:before="240" w:after="240" w:line="360" w:lineRule="auto"/>
      <w:jc w:val="center"/>
    </w:pPr>
    <w:rPr>
      <w:b/>
      <w:sz w:val="44"/>
    </w:rPr>
  </w:style>
  <w:style w:type="paragraph" w:styleId="7">
    <w:name w:val="Body Text 2"/>
    <w:basedOn w:val="1"/>
    <w:qFormat/>
    <w:uiPriority w:val="0"/>
    <w:pPr>
      <w:spacing w:after="120" w:line="480" w:lineRule="auto"/>
    </w:pPr>
    <w:rPr>
      <w:rFonts w:ascii="Times New Roman" w:hAnsi="Times New Roman" w:eastAsia="宋体" w:cs="Times New Roma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itle"/>
    <w:basedOn w:val="1"/>
    <w:next w:val="1"/>
    <w:qFormat/>
    <w:uiPriority w:val="0"/>
    <w:pPr>
      <w:spacing w:before="240" w:beforeLines="0" w:after="60" w:afterLines="0"/>
      <w:jc w:val="left"/>
      <w:outlineLvl w:val="0"/>
    </w:pPr>
    <w:rPr>
      <w:rFonts w:ascii="MS Sans Serif" w:hAnsi="MS Sans Serif" w:eastAsia="宋体" w:cs="MS Sans Serif"/>
      <w:b/>
      <w:bCs/>
      <w:sz w:val="24"/>
      <w:szCs w:val="32"/>
    </w:rPr>
  </w:style>
  <w:style w:type="paragraph" w:customStyle="1" w:styleId="13">
    <w:name w:val="正文 A"/>
    <w:qFormat/>
    <w:uiPriority w:val="99"/>
    <w:pPr>
      <w:widowControl w:val="0"/>
      <w:spacing w:before="50" w:after="50" w:line="360" w:lineRule="auto"/>
    </w:pPr>
    <w:rPr>
      <w:rFonts w:ascii="Times New Roman" w:hAnsi="Arial Unicode MS" w:eastAsia="Arial Unicode MS" w:cs="Arial Unicode MS"/>
      <w:color w:val="000000"/>
      <w:kern w:val="2"/>
      <w:sz w:val="28"/>
      <w:szCs w:val="28"/>
      <w:u w:color="000000"/>
      <w:lang w:val="en-US" w:eastAsia="zh-CN" w:bidi="ar-SA"/>
    </w:rPr>
  </w:style>
  <w:style w:type="character" w:customStyle="1" w:styleId="14">
    <w:name w:val="标题 2 Char"/>
    <w:link w:val="2"/>
    <w:qFormat/>
    <w:uiPriority w:val="0"/>
    <w:rPr>
      <w:rFonts w:ascii="Arial" w:hAnsi="Arial" w:eastAsia="楷体"/>
      <w:b/>
      <w:sz w:val="32"/>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 w:type="paragraph" w:customStyle="1" w:styleId="17">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13941</Words>
  <Characters>14883</Characters>
  <Lines>0</Lines>
  <Paragraphs>0</Paragraphs>
  <TotalTime>11</TotalTime>
  <ScaleCrop>false</ScaleCrop>
  <LinksUpToDate>false</LinksUpToDate>
  <CharactersWithSpaces>14961</CharactersWithSpaces>
  <Application>WPS Office_11.8.2.12162_F1E327BC-269C-435d-A152-05C5408002CA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2020-04-01T11:28:00Z</dcterms:created>
  <dc:creator>驰远天合-柴万顺-18690160103</dc:creator>
  <cp:lastModifiedBy>admin</cp:lastModifiedBy>
  <dcterms:modified xsi:type="dcterms:W3CDTF">2024-11-26T09:26:54Z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2052-11.8.2.12162</vt:lpwstr>
  </property>
  <property fmtid="{D5CDD505-2E9C-101B-9397-08002B2CF9AE}" pid="3" name="ICV">
    <vt:lpwstr>7C1E70DECCB2408790BE113BD85AF31F_13</vt:lpwstr>
  </property>
</Properties>
</file>