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pPr>
      <w:bookmarkStart w:id="0" w:name="_Toc15679"/>
      <w:r>
        <w:rPr>
          <w:rFonts w:hint="eastAsia" w:ascii="宋体" w:hAnsi="宋体" w:eastAsia="宋体" w:cs="宋体"/>
          <w:b/>
          <w:bCs/>
          <w:color w:val="000000" w:themeColor="text1"/>
          <w:sz w:val="40"/>
          <w:szCs w:val="40"/>
          <w:highlight w:val="none"/>
          <w:shd w:val="clear" w:color="auto" w:fill="auto"/>
          <w:lang w:val="en-US" w:eastAsia="zh-CN"/>
          <w14:textFill>
            <w14:solidFill>
              <w14:schemeClr w14:val="tx1"/>
            </w14:solidFill>
          </w14:textFill>
        </w:rPr>
        <w:t>2023年高龄津贴及体检费项目</w:t>
      </w:r>
      <w:r>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t>支出绩效评价报告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项目名称：2023年高龄津贴及体检费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阜康市民政局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阜康市民政局</w:t>
      </w:r>
    </w:p>
    <w:p>
      <w:pPr>
        <w:pStyle w:val="10"/>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pPr>
        <w:rPr>
          <w:rFonts w:hint="eastAsia"/>
          <w:lang w:val="en-US" w:eastAsia="zh-CN"/>
        </w:rPr>
      </w:pPr>
      <w:r>
        <w:rPr>
          <w:rFonts w:hint="eastAsia"/>
          <w:lang w:val="en-US" w:eastAsia="zh-CN"/>
        </w:rPr>
        <w:br w:type="page"/>
      </w:r>
    </w:p>
    <w:p>
      <w:pPr>
        <w:rPr>
          <w:rFonts w:hint="eastAsia"/>
          <w:lang w:val="en-US" w:eastAsia="zh-CN"/>
        </w:rPr>
      </w:pPr>
    </w:p>
    <w:sdt>
      <w:sdtPr>
        <w:rPr>
          <w:rFonts w:ascii="宋体" w:hAnsi="宋体" w:eastAsia="宋体" w:cs="宋体"/>
          <w:b/>
          <w:bCs/>
          <w:kern w:val="2"/>
          <w:sz w:val="28"/>
          <w:szCs w:val="40"/>
          <w:lang w:val="en-US" w:eastAsia="zh-CN" w:bidi="ar-SA"/>
        </w:rPr>
        <w:id w:val="147474046"/>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sz w:val="40"/>
              <w:szCs w:val="40"/>
            </w:rPr>
          </w:pPr>
          <w:r>
            <w:rPr>
              <w:rFonts w:ascii="宋体" w:hAnsi="宋体" w:eastAsia="宋体"/>
              <w:b/>
              <w:bCs/>
              <w:sz w:val="40"/>
              <w:szCs w:val="40"/>
            </w:rPr>
            <w:t>目录</w:t>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TOC \o "1-3" \h \u </w:instrText>
          </w:r>
          <w:r>
            <w:rPr>
              <w:rFonts w:hint="eastAsia"/>
              <w:sz w:val="28"/>
              <w:szCs w:val="28"/>
              <w:lang w:val="en-US" w:eastAsia="zh-CN"/>
            </w:rPr>
            <w:fldChar w:fldCharType="separate"/>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_Toc17540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一、基本情况</w:t>
          </w:r>
          <w:r>
            <w:rPr>
              <w:b/>
              <w:bCs/>
              <w:sz w:val="28"/>
              <w:szCs w:val="28"/>
            </w:rPr>
            <w:tab/>
          </w:r>
          <w:r>
            <w:rPr>
              <w:b/>
              <w:bCs/>
              <w:sz w:val="28"/>
              <w:szCs w:val="28"/>
            </w:rPr>
            <w:fldChar w:fldCharType="begin"/>
          </w:r>
          <w:r>
            <w:rPr>
              <w:b/>
              <w:bCs/>
              <w:sz w:val="28"/>
              <w:szCs w:val="28"/>
            </w:rPr>
            <w:instrText xml:space="preserve"> PAGEREF _Toc17540 \h </w:instrText>
          </w:r>
          <w:r>
            <w:rPr>
              <w:b/>
              <w:bCs/>
              <w:sz w:val="28"/>
              <w:szCs w:val="28"/>
            </w:rPr>
            <w:fldChar w:fldCharType="separate"/>
          </w:r>
          <w:r>
            <w:rPr>
              <w:b/>
              <w:bCs/>
              <w:sz w:val="28"/>
              <w:szCs w:val="28"/>
            </w:rPr>
            <w:t>1</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_Toc18966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（一）项目概况</w:t>
          </w:r>
          <w:r>
            <w:rPr>
              <w:sz w:val="28"/>
              <w:szCs w:val="28"/>
            </w:rPr>
            <w:tab/>
          </w:r>
          <w:r>
            <w:rPr>
              <w:sz w:val="28"/>
              <w:szCs w:val="28"/>
            </w:rPr>
            <w:fldChar w:fldCharType="begin"/>
          </w:r>
          <w:r>
            <w:rPr>
              <w:sz w:val="28"/>
              <w:szCs w:val="28"/>
            </w:rPr>
            <w:instrText xml:space="preserve"> PAGEREF _Toc18966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_Toc2879 </w:instrText>
          </w:r>
          <w:r>
            <w:rPr>
              <w:rFonts w:hint="eastAsia"/>
              <w:sz w:val="28"/>
              <w:szCs w:val="28"/>
              <w:lang w:val="en-US" w:eastAsia="zh-CN"/>
            </w:rPr>
            <w:fldChar w:fldCharType="separate"/>
          </w:r>
          <w:r>
            <w:rPr>
              <w:rFonts w:hint="eastAsia" w:ascii="宋体" w:hAnsi="宋体" w:eastAsia="宋体" w:cs="宋体"/>
              <w:sz w:val="28"/>
              <w:szCs w:val="28"/>
              <w:shd w:val="clear" w:fill="auto"/>
            </w:rPr>
            <w:t>（二）</w:t>
          </w:r>
          <w:r>
            <w:rPr>
              <w:rFonts w:hint="eastAsia" w:ascii="宋体" w:hAnsi="宋体" w:eastAsia="宋体" w:cs="宋体"/>
              <w:sz w:val="28"/>
              <w:szCs w:val="28"/>
              <w:highlight w:val="none"/>
              <w:shd w:val="clear" w:color="auto" w:fill="auto"/>
            </w:rPr>
            <w:t>项目绩效目标</w:t>
          </w:r>
          <w:r>
            <w:rPr>
              <w:sz w:val="28"/>
              <w:szCs w:val="28"/>
            </w:rPr>
            <w:tab/>
          </w:r>
          <w:r>
            <w:rPr>
              <w:sz w:val="28"/>
              <w:szCs w:val="28"/>
            </w:rPr>
            <w:fldChar w:fldCharType="begin"/>
          </w:r>
          <w:r>
            <w:rPr>
              <w:sz w:val="28"/>
              <w:szCs w:val="28"/>
            </w:rPr>
            <w:instrText xml:space="preserve"> PAGEREF _Toc2879 \h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_Toc2549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rPr>
            <w:t>二、绩效评价工作开展情况</w:t>
          </w:r>
          <w:r>
            <w:rPr>
              <w:b/>
              <w:bCs/>
              <w:sz w:val="28"/>
              <w:szCs w:val="28"/>
            </w:rPr>
            <w:tab/>
          </w:r>
          <w:r>
            <w:rPr>
              <w:b/>
              <w:bCs/>
              <w:sz w:val="28"/>
              <w:szCs w:val="28"/>
            </w:rPr>
            <w:fldChar w:fldCharType="begin"/>
          </w:r>
          <w:r>
            <w:rPr>
              <w:b/>
              <w:bCs/>
              <w:sz w:val="28"/>
              <w:szCs w:val="28"/>
            </w:rPr>
            <w:instrText xml:space="preserve"> PAGEREF _Toc2549 \h </w:instrText>
          </w:r>
          <w:r>
            <w:rPr>
              <w:b/>
              <w:bCs/>
              <w:sz w:val="28"/>
              <w:szCs w:val="28"/>
            </w:rPr>
            <w:fldChar w:fldCharType="separate"/>
          </w:r>
          <w:r>
            <w:rPr>
              <w:b/>
              <w:bCs/>
              <w:sz w:val="28"/>
              <w:szCs w:val="28"/>
            </w:rPr>
            <w:t>4</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_Toc21778 </w:instrText>
          </w:r>
          <w:r>
            <w:rPr>
              <w:rFonts w:hint="eastAsia"/>
              <w:sz w:val="28"/>
              <w:szCs w:val="28"/>
              <w:lang w:val="en-US" w:eastAsia="zh-CN"/>
            </w:rPr>
            <w:fldChar w:fldCharType="separate"/>
          </w:r>
          <w:r>
            <w:rPr>
              <w:rFonts w:hint="eastAsia" w:ascii="宋体" w:hAnsi="宋体" w:eastAsia="宋体" w:cs="宋体"/>
              <w:sz w:val="28"/>
              <w:szCs w:val="28"/>
              <w:shd w:val="clear" w:fill="auto"/>
              <w:lang w:eastAsia="zh-CN"/>
            </w:rPr>
            <w:t>（一）</w:t>
          </w:r>
          <w:r>
            <w:rPr>
              <w:rFonts w:hint="eastAsia" w:ascii="宋体" w:hAnsi="宋体" w:eastAsia="宋体" w:cs="宋体"/>
              <w:sz w:val="28"/>
              <w:szCs w:val="28"/>
              <w:highlight w:val="none"/>
              <w:shd w:val="clear" w:color="auto" w:fill="auto"/>
              <w:lang w:eastAsia="zh-CN"/>
            </w:rPr>
            <w:t>绩效评价的目的、对象和范围</w:t>
          </w:r>
          <w:r>
            <w:rPr>
              <w:sz w:val="28"/>
              <w:szCs w:val="28"/>
            </w:rPr>
            <w:tab/>
          </w:r>
          <w:r>
            <w:rPr>
              <w:sz w:val="28"/>
              <w:szCs w:val="28"/>
            </w:rPr>
            <w:fldChar w:fldCharType="begin"/>
          </w:r>
          <w:r>
            <w:rPr>
              <w:sz w:val="28"/>
              <w:szCs w:val="28"/>
            </w:rPr>
            <w:instrText xml:space="preserve"> PAGEREF _Toc21778 \h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_Toc15902 </w:instrText>
          </w:r>
          <w:r>
            <w:rPr>
              <w:rFonts w:hint="eastAsia"/>
              <w:sz w:val="28"/>
              <w:szCs w:val="28"/>
              <w:lang w:val="en-US" w:eastAsia="zh-CN"/>
            </w:rPr>
            <w:fldChar w:fldCharType="separate"/>
          </w:r>
          <w:r>
            <w:rPr>
              <w:rFonts w:hint="eastAsia" w:ascii="宋体" w:hAnsi="宋体" w:eastAsia="宋体" w:cs="宋体"/>
              <w:sz w:val="28"/>
              <w:szCs w:val="28"/>
              <w:shd w:val="clear" w:fill="auto"/>
              <w:lang w:val="en-US" w:eastAsia="zh-CN"/>
            </w:rPr>
            <w:t>（二）</w:t>
          </w:r>
          <w:r>
            <w:rPr>
              <w:rFonts w:hint="eastAsia" w:ascii="宋体" w:hAnsi="宋体" w:eastAsia="宋体" w:cs="宋体"/>
              <w:sz w:val="28"/>
              <w:szCs w:val="28"/>
              <w:highlight w:val="none"/>
              <w:shd w:val="clear" w:color="auto" w:fill="auto"/>
              <w:lang w:val="en-US" w:eastAsia="zh-CN"/>
            </w:rPr>
            <w:t>绩效评价原则、评价指标体系（附表说明）、评价方法、评价标准</w:t>
          </w:r>
          <w:r>
            <w:rPr>
              <w:sz w:val="28"/>
              <w:szCs w:val="28"/>
            </w:rPr>
            <w:tab/>
          </w:r>
          <w:r>
            <w:rPr>
              <w:sz w:val="28"/>
              <w:szCs w:val="28"/>
            </w:rPr>
            <w:fldChar w:fldCharType="begin"/>
          </w:r>
          <w:r>
            <w:rPr>
              <w:sz w:val="28"/>
              <w:szCs w:val="28"/>
            </w:rPr>
            <w:instrText xml:space="preserve"> PAGEREF _Toc15902 \h </w:instrText>
          </w:r>
          <w:r>
            <w:rPr>
              <w:sz w:val="28"/>
              <w:szCs w:val="28"/>
            </w:rPr>
            <w:fldChar w:fldCharType="separate"/>
          </w:r>
          <w:r>
            <w:rPr>
              <w:sz w:val="28"/>
              <w:szCs w:val="28"/>
            </w:rPr>
            <w:t>5</w:t>
          </w:r>
          <w:r>
            <w:rPr>
              <w:sz w:val="28"/>
              <w:szCs w:val="28"/>
            </w:rPr>
            <w:fldChar w:fldCharType="end"/>
          </w:r>
          <w:r>
            <w:rPr>
              <w:rFonts w:hint="eastAsia"/>
              <w:sz w:val="28"/>
              <w:szCs w:val="28"/>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_Toc1070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val="en-US" w:eastAsia="zh-CN"/>
            </w:rPr>
            <w:t>（三）绩效评价工作过程</w:t>
          </w:r>
          <w:r>
            <w:rPr>
              <w:sz w:val="28"/>
              <w:szCs w:val="28"/>
            </w:rPr>
            <w:tab/>
          </w:r>
          <w:r>
            <w:rPr>
              <w:sz w:val="28"/>
              <w:szCs w:val="28"/>
            </w:rPr>
            <w:fldChar w:fldCharType="begin"/>
          </w:r>
          <w:r>
            <w:rPr>
              <w:sz w:val="28"/>
              <w:szCs w:val="28"/>
            </w:rPr>
            <w:instrText xml:space="preserve"> PAGEREF _Toc1070 \h </w:instrText>
          </w:r>
          <w:r>
            <w:rPr>
              <w:sz w:val="28"/>
              <w:szCs w:val="28"/>
            </w:rPr>
            <w:fldChar w:fldCharType="separate"/>
          </w:r>
          <w:r>
            <w:rPr>
              <w:sz w:val="28"/>
              <w:szCs w:val="28"/>
            </w:rPr>
            <w:t>9</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_Toc1100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三、</w:t>
          </w:r>
          <w:r>
            <w:rPr>
              <w:rFonts w:hint="eastAsia" w:ascii="宋体" w:hAnsi="宋体" w:eastAsia="宋体" w:cs="宋体"/>
              <w:b/>
              <w:bCs/>
              <w:sz w:val="28"/>
              <w:szCs w:val="28"/>
              <w:highlight w:val="none"/>
              <w:shd w:val="clear" w:color="auto" w:fill="auto"/>
            </w:rPr>
            <w:t>综合评价情况及评价结论</w:t>
          </w:r>
          <w:r>
            <w:rPr>
              <w:b/>
              <w:bCs/>
              <w:sz w:val="28"/>
              <w:szCs w:val="28"/>
            </w:rPr>
            <w:tab/>
          </w:r>
          <w:r>
            <w:rPr>
              <w:b/>
              <w:bCs/>
              <w:sz w:val="28"/>
              <w:szCs w:val="28"/>
            </w:rPr>
            <w:fldChar w:fldCharType="begin"/>
          </w:r>
          <w:r>
            <w:rPr>
              <w:b/>
              <w:bCs/>
              <w:sz w:val="28"/>
              <w:szCs w:val="28"/>
            </w:rPr>
            <w:instrText xml:space="preserve"> PAGEREF _Toc1100 \h </w:instrText>
          </w:r>
          <w:r>
            <w:rPr>
              <w:b/>
              <w:bCs/>
              <w:sz w:val="28"/>
              <w:szCs w:val="28"/>
            </w:rPr>
            <w:fldChar w:fldCharType="separate"/>
          </w:r>
          <w:r>
            <w:rPr>
              <w:b/>
              <w:bCs/>
              <w:sz w:val="28"/>
              <w:szCs w:val="28"/>
            </w:rPr>
            <w:t>11</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_Toc9421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四、绩效评价指标分析</w:t>
          </w:r>
          <w:r>
            <w:rPr>
              <w:b/>
              <w:bCs/>
              <w:sz w:val="28"/>
              <w:szCs w:val="28"/>
            </w:rPr>
            <w:tab/>
          </w:r>
          <w:r>
            <w:rPr>
              <w:b/>
              <w:bCs/>
              <w:sz w:val="28"/>
              <w:szCs w:val="28"/>
            </w:rPr>
            <w:fldChar w:fldCharType="begin"/>
          </w:r>
          <w:r>
            <w:rPr>
              <w:b/>
              <w:bCs/>
              <w:sz w:val="28"/>
              <w:szCs w:val="28"/>
            </w:rPr>
            <w:instrText xml:space="preserve"> PAGEREF _Toc9421 \h </w:instrText>
          </w:r>
          <w:r>
            <w:rPr>
              <w:b/>
              <w:bCs/>
              <w:sz w:val="28"/>
              <w:szCs w:val="28"/>
            </w:rPr>
            <w:fldChar w:fldCharType="separate"/>
          </w:r>
          <w:r>
            <w:rPr>
              <w:b/>
              <w:bCs/>
              <w:sz w:val="28"/>
              <w:szCs w:val="28"/>
            </w:rPr>
            <w:t>12</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_Toc15355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rPr>
            <w:t>（一）项目决策情况</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_Toc11361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二</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项目过程情况</w:t>
          </w:r>
          <w:r>
            <w:rPr>
              <w:sz w:val="28"/>
              <w:szCs w:val="28"/>
            </w:rPr>
            <w:tab/>
          </w:r>
          <w:r>
            <w:rPr>
              <w:sz w:val="28"/>
              <w:szCs w:val="28"/>
            </w:rPr>
            <w:fldChar w:fldCharType="begin"/>
          </w:r>
          <w:r>
            <w:rPr>
              <w:sz w:val="28"/>
              <w:szCs w:val="28"/>
            </w:rPr>
            <w:instrText xml:space="preserve"> PAGEREF _Toc11361 \h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_Toc16268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三</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项目产出情况</w:t>
          </w:r>
          <w:r>
            <w:rPr>
              <w:sz w:val="28"/>
              <w:szCs w:val="28"/>
            </w:rPr>
            <w:tab/>
          </w:r>
          <w:r>
            <w:rPr>
              <w:sz w:val="28"/>
              <w:szCs w:val="28"/>
            </w:rPr>
            <w:fldChar w:fldCharType="begin"/>
          </w:r>
          <w:r>
            <w:rPr>
              <w:sz w:val="28"/>
              <w:szCs w:val="28"/>
            </w:rPr>
            <w:instrText xml:space="preserve"> PAGEREF _Toc16268 \h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_Toc18446 </w:instrText>
          </w:r>
          <w:r>
            <w:rPr>
              <w:rFonts w:hint="eastAsia"/>
              <w:sz w:val="28"/>
              <w:szCs w:val="28"/>
              <w:lang w:val="en-US" w:eastAsia="zh-CN"/>
            </w:rPr>
            <w:fldChar w:fldCharType="separate"/>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lang w:val="en-US" w:eastAsia="zh-CN"/>
            </w:rPr>
            <w:t>四</w:t>
          </w:r>
          <w:r>
            <w:rPr>
              <w:rFonts w:hint="eastAsia" w:ascii="宋体" w:hAnsi="宋体" w:eastAsia="宋体" w:cs="宋体"/>
              <w:sz w:val="28"/>
              <w:szCs w:val="28"/>
              <w:highlight w:val="none"/>
              <w:shd w:val="clear" w:color="auto" w:fill="auto"/>
              <w:lang w:eastAsia="zh-CN"/>
            </w:rPr>
            <w:t>）</w:t>
          </w:r>
          <w:r>
            <w:rPr>
              <w:rFonts w:hint="eastAsia" w:ascii="宋体" w:hAnsi="宋体" w:eastAsia="宋体" w:cs="宋体"/>
              <w:sz w:val="28"/>
              <w:szCs w:val="28"/>
              <w:highlight w:val="none"/>
              <w:shd w:val="clear" w:color="auto" w:fill="auto"/>
            </w:rPr>
            <w:t>项目效益情况</w:t>
          </w:r>
          <w:r>
            <w:rPr>
              <w:sz w:val="28"/>
              <w:szCs w:val="28"/>
            </w:rPr>
            <w:tab/>
          </w:r>
          <w:r>
            <w:rPr>
              <w:sz w:val="28"/>
              <w:szCs w:val="28"/>
            </w:rPr>
            <w:fldChar w:fldCharType="begin"/>
          </w:r>
          <w:r>
            <w:rPr>
              <w:sz w:val="28"/>
              <w:szCs w:val="28"/>
            </w:rPr>
            <w:instrText xml:space="preserve"> PAGEREF _Toc18446 \h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_Toc19962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五、预算执行进度与指标偏差</w:t>
          </w:r>
          <w:r>
            <w:rPr>
              <w:b/>
              <w:bCs/>
              <w:sz w:val="28"/>
              <w:szCs w:val="28"/>
            </w:rPr>
            <w:tab/>
          </w:r>
          <w:r>
            <w:rPr>
              <w:b/>
              <w:bCs/>
              <w:sz w:val="28"/>
              <w:szCs w:val="28"/>
            </w:rPr>
            <w:fldChar w:fldCharType="begin"/>
          </w:r>
          <w:r>
            <w:rPr>
              <w:b/>
              <w:bCs/>
              <w:sz w:val="28"/>
              <w:szCs w:val="28"/>
            </w:rPr>
            <w:instrText xml:space="preserve"> PAGEREF _Toc19962 \h </w:instrText>
          </w:r>
          <w:r>
            <w:rPr>
              <w:b/>
              <w:bCs/>
              <w:sz w:val="28"/>
              <w:szCs w:val="28"/>
            </w:rPr>
            <w:fldChar w:fldCharType="separate"/>
          </w:r>
          <w:r>
            <w:rPr>
              <w:b/>
              <w:bCs/>
              <w:sz w:val="28"/>
              <w:szCs w:val="28"/>
            </w:rPr>
            <w:t>19</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_Toc29934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六、主要经验及做法、存在的问题及原因分析</w:t>
          </w:r>
          <w:r>
            <w:rPr>
              <w:b/>
              <w:bCs/>
              <w:sz w:val="28"/>
              <w:szCs w:val="28"/>
            </w:rPr>
            <w:tab/>
          </w:r>
          <w:r>
            <w:rPr>
              <w:b/>
              <w:bCs/>
              <w:sz w:val="28"/>
              <w:szCs w:val="28"/>
            </w:rPr>
            <w:fldChar w:fldCharType="begin"/>
          </w:r>
          <w:r>
            <w:rPr>
              <w:b/>
              <w:bCs/>
              <w:sz w:val="28"/>
              <w:szCs w:val="28"/>
            </w:rPr>
            <w:instrText xml:space="preserve"> PAGEREF _Toc29934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_Toc13160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一</w:t>
          </w:r>
          <w:r>
            <w:rPr>
              <w:rFonts w:hint="eastAsia"/>
              <w:bCs/>
              <w:sz w:val="28"/>
              <w:szCs w:val="28"/>
              <w:lang w:eastAsia="zh-CN"/>
            </w:rPr>
            <w:t>）</w:t>
          </w:r>
          <w:r>
            <w:rPr>
              <w:rFonts w:hint="eastAsia"/>
              <w:bCs/>
              <w:sz w:val="28"/>
              <w:szCs w:val="28"/>
            </w:rPr>
            <w:t>主要经验及做法</w:t>
          </w:r>
          <w:r>
            <w:rPr>
              <w:sz w:val="28"/>
              <w:szCs w:val="28"/>
            </w:rPr>
            <w:tab/>
          </w:r>
          <w:r>
            <w:rPr>
              <w:sz w:val="28"/>
              <w:szCs w:val="28"/>
            </w:rPr>
            <w:fldChar w:fldCharType="begin"/>
          </w:r>
          <w:r>
            <w:rPr>
              <w:sz w:val="28"/>
              <w:szCs w:val="28"/>
            </w:rPr>
            <w:instrText xml:space="preserve"> PAGEREF _Toc13160 \h </w:instrText>
          </w:r>
          <w:r>
            <w:rPr>
              <w:sz w:val="28"/>
              <w:szCs w:val="28"/>
            </w:rPr>
            <w:fldChar w:fldCharType="separate"/>
          </w:r>
          <w:r>
            <w:rPr>
              <w:sz w:val="28"/>
              <w:szCs w:val="28"/>
            </w:rPr>
            <w:t>20</w:t>
          </w:r>
          <w:r>
            <w:rPr>
              <w:sz w:val="28"/>
              <w:szCs w:val="28"/>
            </w:rPr>
            <w:fldChar w:fldCharType="end"/>
          </w:r>
          <w:r>
            <w:rPr>
              <w:rFonts w:hint="eastAsia"/>
              <w:sz w:val="28"/>
              <w:szCs w:val="28"/>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_Toc9582 </w:instrText>
          </w:r>
          <w:r>
            <w:rPr>
              <w:rFonts w:hint="eastAsia"/>
              <w:sz w:val="28"/>
              <w:szCs w:val="28"/>
              <w:lang w:val="en-US" w:eastAsia="zh-CN"/>
            </w:rPr>
            <w:fldChar w:fldCharType="separate"/>
          </w:r>
          <w:r>
            <w:rPr>
              <w:rFonts w:hint="eastAsia"/>
              <w:bCs/>
              <w:sz w:val="28"/>
              <w:szCs w:val="28"/>
              <w:lang w:eastAsia="zh-CN"/>
            </w:rPr>
            <w:t>（</w:t>
          </w:r>
          <w:r>
            <w:rPr>
              <w:rFonts w:hint="eastAsia"/>
              <w:bCs/>
              <w:sz w:val="28"/>
              <w:szCs w:val="28"/>
              <w:lang w:val="en-US" w:eastAsia="zh-CN"/>
            </w:rPr>
            <w:t>二</w:t>
          </w:r>
          <w:r>
            <w:rPr>
              <w:rFonts w:hint="eastAsia"/>
              <w:bCs/>
              <w:sz w:val="28"/>
              <w:szCs w:val="28"/>
              <w:lang w:eastAsia="zh-CN"/>
            </w:rPr>
            <w:t>）</w:t>
          </w:r>
          <w:r>
            <w:rPr>
              <w:rFonts w:hint="eastAsia"/>
              <w:bCs/>
              <w:sz w:val="28"/>
              <w:szCs w:val="28"/>
            </w:rPr>
            <w:t>存在的问题及原因分析</w:t>
          </w:r>
          <w:r>
            <w:rPr>
              <w:sz w:val="28"/>
              <w:szCs w:val="28"/>
            </w:rPr>
            <w:tab/>
          </w:r>
          <w:r>
            <w:rPr>
              <w:sz w:val="28"/>
              <w:szCs w:val="28"/>
            </w:rPr>
            <w:fldChar w:fldCharType="begin"/>
          </w:r>
          <w:r>
            <w:rPr>
              <w:sz w:val="28"/>
              <w:szCs w:val="28"/>
            </w:rPr>
            <w:instrText xml:space="preserve"> PAGEREF _Toc9582 \h </w:instrText>
          </w:r>
          <w:r>
            <w:rPr>
              <w:sz w:val="28"/>
              <w:szCs w:val="28"/>
            </w:rPr>
            <w:fldChar w:fldCharType="separate"/>
          </w:r>
          <w:r>
            <w:rPr>
              <w:sz w:val="28"/>
              <w:szCs w:val="28"/>
            </w:rPr>
            <w:t>20</w:t>
          </w:r>
          <w:r>
            <w:rPr>
              <w:sz w:val="28"/>
              <w:szCs w:val="28"/>
            </w:rPr>
            <w:fldChar w:fldCharType="end"/>
          </w:r>
          <w:r>
            <w:rPr>
              <w:rFonts w:hint="eastAsia"/>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_Toc5230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七、有关建议</w:t>
          </w:r>
          <w:r>
            <w:rPr>
              <w:b/>
              <w:bCs/>
              <w:sz w:val="28"/>
              <w:szCs w:val="28"/>
            </w:rPr>
            <w:tab/>
          </w:r>
          <w:r>
            <w:rPr>
              <w:b/>
              <w:bCs/>
              <w:sz w:val="28"/>
              <w:szCs w:val="28"/>
            </w:rPr>
            <w:fldChar w:fldCharType="begin"/>
          </w:r>
          <w:r>
            <w:rPr>
              <w:b/>
              <w:bCs/>
              <w:sz w:val="28"/>
              <w:szCs w:val="28"/>
            </w:rPr>
            <w:instrText xml:space="preserve"> PAGEREF _Toc5230 \h </w:instrText>
          </w:r>
          <w:r>
            <w:rPr>
              <w:b/>
              <w:bCs/>
              <w:sz w:val="28"/>
              <w:szCs w:val="28"/>
            </w:rPr>
            <w:fldChar w:fldCharType="separate"/>
          </w:r>
          <w:r>
            <w:rPr>
              <w:b/>
              <w:bCs/>
              <w:sz w:val="28"/>
              <w:szCs w:val="28"/>
            </w:rPr>
            <w:t>20</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sz w:val="28"/>
              <w:szCs w:val="28"/>
            </w:rPr>
          </w:pPr>
          <w:r>
            <w:rPr>
              <w:rFonts w:hint="eastAsia"/>
              <w:b/>
              <w:bCs/>
              <w:sz w:val="28"/>
              <w:szCs w:val="28"/>
              <w:lang w:val="en-US" w:eastAsia="zh-CN"/>
            </w:rPr>
            <w:fldChar w:fldCharType="begin"/>
          </w:r>
          <w:r>
            <w:rPr>
              <w:rFonts w:hint="eastAsia"/>
              <w:b/>
              <w:bCs/>
              <w:sz w:val="28"/>
              <w:szCs w:val="28"/>
              <w:lang w:val="en-US" w:eastAsia="zh-CN"/>
            </w:rPr>
            <w:instrText xml:space="preserve"> HYPERLINK \l _Toc15618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shd w:val="clear" w:color="auto" w:fill="auto"/>
              <w:lang w:val="en-US" w:eastAsia="zh-CN"/>
            </w:rPr>
            <w:t>八、其他需要说明的问题</w:t>
          </w:r>
          <w:r>
            <w:rPr>
              <w:b/>
              <w:bCs/>
              <w:sz w:val="28"/>
              <w:szCs w:val="28"/>
            </w:rPr>
            <w:tab/>
          </w:r>
          <w:r>
            <w:rPr>
              <w:b/>
              <w:bCs/>
              <w:sz w:val="28"/>
              <w:szCs w:val="28"/>
            </w:rPr>
            <w:fldChar w:fldCharType="begin"/>
          </w:r>
          <w:r>
            <w:rPr>
              <w:b/>
              <w:bCs/>
              <w:sz w:val="28"/>
              <w:szCs w:val="28"/>
            </w:rPr>
            <w:instrText xml:space="preserve"> PAGEREF _Toc15618 \h </w:instrText>
          </w:r>
          <w:r>
            <w:rPr>
              <w:b/>
              <w:bCs/>
              <w:sz w:val="28"/>
              <w:szCs w:val="28"/>
            </w:rPr>
            <w:fldChar w:fldCharType="separate"/>
          </w:r>
          <w:r>
            <w:rPr>
              <w:b/>
              <w:bCs/>
              <w:sz w:val="28"/>
              <w:szCs w:val="28"/>
            </w:rPr>
            <w:t>21</w:t>
          </w:r>
          <w:r>
            <w:rPr>
              <w:b/>
              <w:bCs/>
              <w:sz w:val="28"/>
              <w:szCs w:val="28"/>
            </w:rPr>
            <w:fldChar w:fldCharType="end"/>
          </w:r>
          <w:r>
            <w:rPr>
              <w:rFonts w:hint="eastAsia"/>
              <w:b/>
              <w:bCs/>
              <w:sz w:val="28"/>
              <w:szCs w:val="28"/>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sz w:val="28"/>
              <w:szCs w:val="28"/>
            </w:rPr>
          </w:pPr>
        </w:p>
        <w:p>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lang w:val="en-US" w:eastAsia="zh-CN"/>
            </w:rPr>
            <w:sectPr>
              <w:pgSz w:w="11906" w:h="16838"/>
              <w:pgMar w:top="1928" w:right="1531" w:bottom="1701" w:left="1531" w:header="737" w:footer="851" w:gutter="0"/>
              <w:cols w:space="720" w:num="1"/>
              <w:docGrid w:type="lines" w:linePitch="408" w:charSpace="0"/>
            </w:sectPr>
          </w:pPr>
          <w:r>
            <w:rPr>
              <w:rFonts w:hint="eastAsia"/>
              <w:sz w:val="28"/>
              <w:szCs w:val="28"/>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bookmarkStart w:id="1" w:name="_Toc1194"/>
      <w:r>
        <w:rPr>
          <w:rFonts w:hint="eastAsia" w:ascii="宋体" w:hAnsi="宋体" w:eastAsia="宋体" w:cs="宋体"/>
          <w:b/>
          <w:bCs/>
          <w:color w:val="auto"/>
          <w:sz w:val="36"/>
          <w:szCs w:val="36"/>
          <w:highlight w:val="none"/>
          <w:shd w:val="clear" w:color="auto" w:fill="auto"/>
          <w:lang w:val="en-US" w:eastAsia="zh-CN"/>
        </w:rPr>
        <w:t>2023年高龄津贴及体检费项目</w:t>
      </w: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支出绩效评价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报告</w:t>
      </w:r>
      <w:bookmarkEnd w:id="1"/>
    </w:p>
    <w:p>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2" w:name="_Toc17540"/>
      <w:r>
        <w:rPr>
          <w:rFonts w:hint="eastAsia" w:ascii="宋体" w:hAnsi="宋体" w:eastAsia="宋体" w:cs="宋体"/>
          <w:b/>
          <w:bCs/>
          <w:color w:val="000000" w:themeColor="text1"/>
          <w:highlight w:val="none"/>
          <w:shd w:val="clear" w:color="auto" w:fill="auto"/>
          <w14:textFill>
            <w14:solidFill>
              <w14:schemeClr w14:val="tx1"/>
            </w14:solidFill>
          </w14:textFill>
        </w:rPr>
        <w:t>一、基本情况</w:t>
      </w:r>
      <w:bookmarkEnd w:id="2"/>
    </w:p>
    <w:p>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3" w:name="_Toc18966"/>
      <w:r>
        <w:rPr>
          <w:rFonts w:hint="eastAsia" w:ascii="宋体" w:hAnsi="宋体" w:eastAsia="宋体" w:cs="宋体"/>
          <w:color w:val="000000" w:themeColor="text1"/>
          <w:highlight w:val="none"/>
          <w:shd w:val="clear" w:color="auto" w:fill="auto"/>
          <w14:textFill>
            <w14:solidFill>
              <w14:schemeClr w14:val="tx1"/>
            </w14:solidFill>
          </w14:textFill>
        </w:rPr>
        <w:t>（一）项目概况</w:t>
      </w:r>
      <w:bookmarkEnd w:id="3"/>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4" w:name="_Toc504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项目背景</w:t>
      </w:r>
      <w:bookmarkEnd w:id="4"/>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老年人口增长快、高龄老人比例高、家庭养老功能弱、老年人社会服务体系建设不健全，是当前我区养老服务体系建设工作面临的突出问题。建立80周岁以上老年人基本生活津贴和免费体检制度，是自治区2011年“民生建设年”确定的22项重点民生实事工程之一。实施这两项制度，解决80岁以上高龄老人的基本生活困难、提高他们的生活和生命质量，是弘扬中华民族敬老、爱老、养老传统美德的德政工程，是关心关怀为新疆建设和发展作出贡献的各族老年人的暖心工程和惠民工程，是“民生优先、群众第一、基层重要”执政理念的具体体现，更是党的十七大“老有所养、老有所医”战略目标的具体实践。</w:t>
      </w:r>
    </w:p>
    <w:p>
      <w:pPr>
        <w:pStyle w:val="4"/>
        <w:pageBreakBefore w:val="0"/>
        <w:kinsoku/>
        <w:wordWrap/>
        <w:overflowPunct/>
        <w:topLinePunct w:val="0"/>
        <w:autoSpaceDE/>
        <w:autoSpaceDN/>
        <w:bidi w:val="0"/>
        <w:adjustRightInd/>
        <w:spacing w:line="360" w:lineRule="auto"/>
        <w:ind w:left="0" w:leftChars="0" w:firstLine="562" w:firstLineChars="200"/>
        <w:jc w:val="lef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 w:name="_Toc27343"/>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主要内容及实施情况</w:t>
      </w:r>
      <w:bookmarkEnd w:id="5"/>
    </w:p>
    <w:p>
      <w:pPr>
        <w:pStyle w:val="4"/>
        <w:keepNext/>
        <w:keepLines/>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themeColor="text1"/>
          <w:highlight w:val="none"/>
          <w:shd w:val="clear" w:color="auto" w:fill="auto"/>
          <w:lang w:eastAsia="zh-CN"/>
          <w14:textFill>
            <w14:solidFill>
              <w14:schemeClr w14:val="tx1"/>
            </w14:solidFill>
          </w14:textFill>
        </w:rPr>
      </w:pPr>
      <w:bookmarkStart w:id="6" w:name="_Toc16592"/>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w:t>
      </w:r>
      <w:r>
        <w:rPr>
          <w:rFonts w:hint="eastAsia" w:ascii="宋体" w:hAnsi="宋体" w:eastAsia="宋体" w:cs="宋体"/>
          <w:b w:val="0"/>
          <w:bCs w:val="0"/>
          <w:color w:val="auto"/>
          <w:kern w:val="2"/>
          <w:sz w:val="28"/>
          <w:szCs w:val="28"/>
          <w:highlight w:val="none"/>
          <w:shd w:val="clear" w:color="auto" w:fill="auto"/>
          <w:lang w:val="en-US" w:eastAsia="zh-CN" w:bidi="ar-SA"/>
        </w:rPr>
        <w:t>解决80周岁以上老年人基本生活困难，不断提高生活和生命质量。</w:t>
      </w:r>
      <w:bookmarkEnd w:id="6"/>
      <w:r>
        <w:rPr>
          <w:rFonts w:hint="eastAsia" w:ascii="宋体" w:hAnsi="宋体" w:eastAsia="宋体" w:cs="宋体"/>
          <w:b w:val="0"/>
          <w:bCs w:val="0"/>
          <w:color w:val="auto"/>
          <w:kern w:val="2"/>
          <w:sz w:val="28"/>
          <w:szCs w:val="28"/>
          <w:highlight w:val="none"/>
          <w:shd w:val="clear" w:color="auto" w:fill="auto"/>
          <w:lang w:val="en-US" w:eastAsia="zh-CN" w:bidi="ar-SA"/>
        </w:rPr>
        <w:t>80周岁以上老年人免费体检次数1次，享受80周岁以上高龄津贴的10000人次，补助资金发放及时，补助资金到位，80周岁（含80周岁）89周岁的老年人补助标准100元每人每月，90周岁（含90周岁）89周岁的老年人补助标准200元每人每月，100周岁（含100周岁）89周岁的老年人补助标准300元每人每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highlight w:val="none"/>
          <w:shd w:val="clear" w:color="auto" w:fill="auto"/>
          <w:lang w:val="en-US" w:eastAsia="zh-CN"/>
        </w:rPr>
      </w:pPr>
      <w:r>
        <w:rPr>
          <w:rFonts w:hint="eastAsia" w:cs="宋体"/>
          <w:b/>
          <w:bCs/>
          <w:color w:val="auto"/>
          <w:highlight w:val="none"/>
          <w:shd w:val="clear" w:color="auto" w:fill="auto"/>
          <w:lang w:val="en-US" w:eastAsia="zh-CN"/>
        </w:rPr>
        <w:t>组织实施</w:t>
      </w:r>
      <w:r>
        <w:rPr>
          <w:rFonts w:hint="eastAsia" w:ascii="宋体" w:hAnsi="宋体" w:eastAsia="宋体" w:cs="宋体"/>
          <w:b/>
          <w:bCs/>
          <w:color w:val="auto"/>
          <w:highlight w:val="none"/>
          <w:shd w:val="clear" w:color="auto" w:fill="auto"/>
          <w:lang w:val="en-US" w:eastAsia="zh-CN"/>
        </w:rPr>
        <w:t>：</w:t>
      </w:r>
      <w:r>
        <w:rPr>
          <w:rFonts w:hint="eastAsia" w:cs="宋体"/>
          <w:color w:val="auto"/>
          <w:highlight w:val="none"/>
          <w:shd w:val="clear" w:color="auto" w:fill="auto"/>
          <w:lang w:val="en-US" w:eastAsia="zh-CN"/>
        </w:rPr>
        <w:t>《80周岁以上老年人基本生活津贴制度》、《80周岁以上老年人免费体检制度》经自治区党委第三十三次常委（扩大）会议审议通过，自2011年7月1日起实施。经民政局党组会议，确定了项目领导小组，明确了责任分工：组长为迟文诚，副组长为刘慧，项目负责人为苏萍,组员为来亚龙，其中：苏萍负责监管工作，来亚龙负责项目档案资料，来亚龙负责资金拨付工作。</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7" w:name="_Toc1858"/>
      <w:r>
        <w:rPr>
          <w:rFonts w:hint="eastAsia" w:ascii="宋体" w:hAnsi="宋体" w:eastAsia="宋体" w:cs="宋体"/>
          <w:b w:val="0"/>
          <w:bCs w:val="0"/>
          <w:color w:val="000000" w:themeColor="text1"/>
          <w:highlight w:val="none"/>
          <w:shd w:val="clear" w:color="auto" w:fill="auto"/>
          <w:lang w:val="en-US" w:eastAsia="zh-CN"/>
          <w14:textFill>
            <w14:solidFill>
              <w14:schemeClr w14:val="tx1"/>
            </w14:solidFill>
          </w14:textFill>
        </w:rPr>
        <w:t>截至2023年12月31日，本项目完成80周岁以上老年人免费体检，享受80周岁以上高龄津贴的发放。</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2023年高龄津贴及体检费项目预算安排总额为343.53万元，其中财政资</w:t>
      </w:r>
      <w:r>
        <w:rPr>
          <w:rFonts w:hint="eastAsia" w:cs="宋体"/>
          <w:color w:val="auto"/>
          <w:highlight w:val="none"/>
          <w:shd w:val="clear" w:color="auto" w:fill="auto"/>
          <w:lang w:val="en-US" w:eastAsia="zh-CN"/>
        </w:rPr>
        <w:t>金343.53</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年实际收到预算资金343.53万元，预算资金到位率为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截至2023年12月31日，2023年高龄津贴及体检费</w:t>
      </w:r>
      <w:r>
        <w:rPr>
          <w:rFonts w:hint="eastAsia" w:ascii="宋体" w:hAnsi="宋体" w:eastAsia="宋体" w:cs="宋体"/>
          <w:color w:val="auto"/>
          <w:highlight w:val="none"/>
          <w:shd w:val="clear" w:color="auto" w:fill="auto"/>
        </w:rPr>
        <w:t>项目实际支付资金343.53万元，预算执行率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rPr>
        <w:t>项目资金主要用</w:t>
      </w:r>
      <w:r>
        <w:rPr>
          <w:rFonts w:hint="eastAsia" w:cs="宋体"/>
          <w:color w:val="auto"/>
          <w:highlight w:val="none"/>
          <w:shd w:val="clear" w:color="auto" w:fill="auto"/>
          <w:lang w:val="en-US" w:eastAsia="zh-CN"/>
        </w:rPr>
        <w:t>高龄津贴发放及体检</w:t>
      </w:r>
      <w:r>
        <w:rPr>
          <w:rFonts w:hint="eastAsia" w:ascii="宋体" w:hAnsi="宋体" w:eastAsia="宋体" w:cs="宋体"/>
          <w:color w:val="auto"/>
          <w:highlight w:val="none"/>
          <w:shd w:val="clear" w:color="auto" w:fill="auto"/>
          <w:lang w:val="en-US" w:eastAsia="zh-CN"/>
        </w:rPr>
        <w:t>等方面</w:t>
      </w:r>
      <w:r>
        <w:rPr>
          <w:rFonts w:hint="eastAsia" w:cs="宋体"/>
          <w:color w:val="auto"/>
          <w:highlight w:val="none"/>
          <w:shd w:val="clear" w:color="auto" w:fill="auto"/>
          <w:lang w:val="en-US" w:eastAsia="zh-CN"/>
        </w:rPr>
        <w:t>。</w:t>
      </w:r>
    </w:p>
    <w:p>
      <w:pPr>
        <w:pStyle w:val="3"/>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8" w:name="_Toc2879"/>
      <w:r>
        <w:rPr>
          <w:rFonts w:hint="eastAsia" w:ascii="宋体" w:hAnsi="宋体" w:eastAsia="宋体" w:cs="宋体"/>
          <w:color w:val="000000" w:themeColor="text1"/>
          <w:highlight w:val="none"/>
          <w:shd w:val="clear" w:color="auto" w:fill="auto"/>
          <w14:textFill>
            <w14:solidFill>
              <w14:schemeClr w14:val="tx1"/>
            </w14:solidFill>
          </w14:textFill>
        </w:rPr>
        <w:t>项目绩效目标</w:t>
      </w:r>
      <w:bookmarkEnd w:id="8"/>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9" w:name="_Toc1004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1.总体目标</w:t>
      </w:r>
      <w:bookmarkEnd w:id="9"/>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2023年高龄津贴及体检费项目绩效总体目标为：</w:t>
      </w:r>
      <w:r>
        <w:rPr>
          <w:rFonts w:hint="eastAsia" w:ascii="宋体" w:hAnsi="宋体" w:eastAsia="宋体" w:cs="宋体"/>
          <w:color w:val="auto"/>
          <w:highlight w:val="none"/>
          <w:shd w:val="clear" w:color="auto" w:fill="auto"/>
          <w:lang w:val="en-US" w:eastAsia="zh-CN"/>
        </w:rPr>
        <w:t>负责城乡社会救济工作；组织实施城乡居民最低生活保障制度；接收孤儿、弃婴和城市生活无着的流浪乞讨人员的救助；负责社会福利工作；负责殡葬管理工作，推进殡葬改革。解决80周岁以上老年人基本生活困难，不断提高生活和生命质量。80周岁以上老年人免费体检次数1次，享受80周岁以上高龄津贴的10000人次，补助资金发放及时，补助资金到位，80周岁（含80周岁）89周岁的老年人补助标准100元每人每月，90周岁（含90周岁）89周岁的老年人补助标准200元每人每月，100周岁（含100周岁）89周岁的老年人补助标准300元每人每月。</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10" w:name="_Toc4487"/>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2.阶段性目标</w:t>
      </w:r>
      <w:bookmarkEnd w:id="10"/>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highlight w:val="none"/>
          <w:shd w:val="clear" w:color="auto" w:fill="auto"/>
          <w:lang w:eastAsia="zh-CN"/>
          <w14:textFill>
            <w14:solidFill>
              <w14:schemeClr w14:val="tx1"/>
            </w14:solidFill>
          </w14:textFill>
        </w:rPr>
      </w:pP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根据《预算法</w:t>
      </w:r>
      <w:r>
        <w:rPr>
          <w:rFonts w:hint="eastAsia"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号）、《自治区党委自治区人民政府关于全面实施预算绩效管理的实施意见》（新党发〔2018〕30号）、</w:t>
      </w:r>
      <w:r>
        <w:rPr>
          <w:rFonts w:hint="eastAsia" w:ascii="宋体" w:hAnsi="宋体" w:eastAsia="宋体" w:cs="宋体"/>
          <w:color w:val="000000" w:themeColor="text1"/>
          <w:highlight w:val="none"/>
          <w:shd w:val="clear" w:color="auto" w:fill="auto"/>
          <w14:textFill>
            <w14:solidFill>
              <w14:schemeClr w14:val="tx1"/>
            </w14:solidFill>
          </w14:textFill>
        </w:rPr>
        <w:t>《自治区财政支出绩效评价管理暂行办法》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新财预〔2018〕189号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等文件</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的规定，结合项目实施单位的规章制度以及财务相关资料，评价小组对项目绩效目标进行了进一步的完善，完善</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后</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“80周岁以上老年人免费体检次数”</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“享受80周岁以上高龄津贴的人次”指标，预期目标值</w:t>
      </w:r>
      <w:r>
        <w:rPr>
          <w:rFonts w:hint="eastAsia" w:ascii="宋体" w:hAnsi="宋体" w:eastAsia="宋体" w:cs="宋体"/>
          <w:color w:val="auto"/>
          <w:highlight w:val="none"/>
          <w:shd w:val="clear" w:color="auto" w:fill="auto"/>
          <w:lang w:val="en-US" w:eastAsia="zh-CN"/>
        </w:rPr>
        <w:t>为≥10000人次</w:t>
      </w:r>
      <w:r>
        <w:rPr>
          <w:rFonts w:hint="eastAsia" w:cs="宋体"/>
          <w:color w:val="auto"/>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“惠及80周岁以上高龄老人实际占比”</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auto"/>
          <w:highlight w:val="none"/>
          <w:shd w:val="clear" w:color="auto" w:fill="auto"/>
          <w:lang w:eastAsia="zh-CN"/>
        </w:rPr>
        <w:t>③</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时效指标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“补助资金发放及时率”</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“80周岁（含80周岁）89周岁的老年人补助标准”</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为=100元/人/月；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“90周岁（含90周岁）89周岁的老年人补助标准”</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为=200元/人/月；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“100周岁（含100周岁）89周岁的老年人补助标准”</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为=300元/人/月；</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）项目效益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本项目不涉及经济效益指标</w:t>
      </w:r>
      <w:r>
        <w:rPr>
          <w:rFonts w:hint="eastAsia" w:ascii="宋体" w:hAnsi="宋体" w:eastAsia="宋体" w:cs="宋体"/>
          <w:color w:val="auto"/>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“高龄老人的生活质量”指标，预期目标值为提高；</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auto"/>
          <w:highlight w:val="none"/>
          <w:shd w:val="clear" w:color="auto" w:fill="auto"/>
          <w:lang w:val="en-US" w:eastAsia="zh-CN"/>
        </w:rPr>
        <w:t>本项目不涉及生态效益指标</w:t>
      </w:r>
      <w:r>
        <w:rPr>
          <w:rFonts w:hint="eastAsia" w:ascii="宋体" w:hAnsi="宋体" w:eastAsia="宋体" w:cs="宋体"/>
          <w:color w:val="auto"/>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本项目不涉及可持续影响指标</w:t>
      </w:r>
      <w:r>
        <w:rPr>
          <w:rFonts w:hint="eastAsia" w:ascii="宋体" w:hAnsi="宋体" w:eastAsia="宋体" w:cs="宋体"/>
          <w:color w:val="auto"/>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⑤</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满意度指标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highlight w:val="none"/>
          <w:shd w:val="clear" w:color="auto" w:fill="auto"/>
          <w:lang w:val="en-US" w:eastAsia="zh-CN"/>
        </w:rPr>
      </w:pPr>
      <w:r>
        <w:rPr>
          <w:rFonts w:hint="eastAsia" w:ascii="宋体" w:hAnsi="宋体" w:eastAsia="宋体" w:cs="宋体"/>
          <w:color w:val="auto"/>
          <w:highlight w:val="none"/>
          <w:shd w:val="clear" w:color="auto" w:fill="auto"/>
          <w:lang w:eastAsia="zh-CN"/>
        </w:rPr>
        <w:t>“80周岁以上高龄老人满意度”</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11" w:name="_Toc2549"/>
      <w:r>
        <w:rPr>
          <w:rFonts w:hint="eastAsia" w:ascii="宋体" w:hAnsi="宋体" w:eastAsia="宋体" w:cs="宋体"/>
          <w:b/>
          <w:bCs/>
          <w:color w:val="000000" w:themeColor="text1"/>
          <w:highlight w:val="none"/>
          <w:shd w:val="clear" w:color="auto" w:fill="auto"/>
          <w14:textFill>
            <w14:solidFill>
              <w14:schemeClr w14:val="tx1"/>
            </w14:solidFill>
          </w14:textFill>
        </w:rPr>
        <w:t>二、绩效评价工作开展情况</w:t>
      </w:r>
      <w:bookmarkEnd w:id="11"/>
    </w:p>
    <w:p>
      <w:pPr>
        <w:pStyle w:val="3"/>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12" w:name="_Toc480473081"/>
      <w:bookmarkStart w:id="13" w:name="_Toc12868"/>
      <w:bookmarkStart w:id="14" w:name="_Toc26632"/>
      <w:bookmarkStart w:id="15" w:name="_Toc22922"/>
      <w:bookmarkStart w:id="16" w:name="_Toc21664"/>
      <w:bookmarkStart w:id="17" w:name="_Toc5462343"/>
      <w:bookmarkStart w:id="18" w:name="_Toc5258"/>
      <w:bookmarkStart w:id="19" w:name="_Toc22169_WPSOffice_Level2"/>
      <w:bookmarkStart w:id="20" w:name="_Toc2177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bookmarkEnd w:id="20"/>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1" w:name="_Toc1573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2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22" w:name="_Toc30609"/>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bookmarkEnd w:id="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此次我单位根据</w:t>
      </w:r>
      <w:r>
        <w:rPr>
          <w:rFonts w:hint="eastAsia" w:ascii="宋体" w:hAnsi="宋体" w:eastAsia="宋体" w:cs="宋体"/>
          <w:color w:val="000000" w:themeColor="text1"/>
          <w:highlight w:val="none"/>
          <w:shd w:val="clear" w:color="auto" w:fill="auto"/>
          <w14:textFill>
            <w14:solidFill>
              <w14:schemeClr w14:val="tx1"/>
            </w14:solidFill>
          </w14:textFill>
        </w:rPr>
        <w:t>《财政支出绩效评价管理暂行办法》（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财预〔2020〕10号</w:t>
      </w: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文件要求对</w:t>
      </w:r>
      <w:r>
        <w:rPr>
          <w:rFonts w:hint="eastAsia" w:cs="宋体"/>
          <w:color w:val="000000" w:themeColor="text1"/>
          <w:highlight w:val="none"/>
          <w:shd w:val="clear" w:color="auto" w:fill="auto"/>
          <w:lang w:val="en-US" w:eastAsia="zh-CN"/>
          <w14:textFill>
            <w14:solidFill>
              <w14:schemeClr w14:val="tx1"/>
            </w14:solidFill>
          </w14:textFill>
        </w:rPr>
        <w:t>2023</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年度我单位实施的2023年高龄津贴及体检费</w:t>
      </w:r>
      <w:r>
        <w:rPr>
          <w:rFonts w:hint="eastAsia" w:ascii="宋体" w:hAnsi="宋体" w:eastAsia="宋体" w:cs="宋体"/>
          <w:color w:val="auto"/>
          <w:highlight w:val="none"/>
          <w:shd w:val="clear" w:color="auto" w:fill="auto"/>
          <w:lang w:val="en-US" w:eastAsia="zh-CN"/>
        </w:rPr>
        <w:t>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3"/>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bookmarkStart w:id="23" w:name="_Toc15902"/>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bookmarkEnd w:id="23"/>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24" w:name="_Toc2450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bookmarkEnd w:id="2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本次绩效评价秉承科学规范、公正公开、分级分类、绩效相关等原则，按照从投入、过程到产出效果和影响的绩效逻辑路径，结合2023年高龄津贴及体检费</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25" w:name="_Toc26131"/>
      <w:bookmarkStart w:id="26" w:name="_Toc428278230"/>
      <w:bookmarkStart w:id="27" w:name="_Toc1913"/>
      <w:bookmarkStart w:id="28" w:name="_Toc419984722"/>
      <w:bookmarkStart w:id="29" w:name="_Toc24396"/>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25"/>
      <w:bookmarkEnd w:id="26"/>
      <w:bookmarkEnd w:id="27"/>
      <w:bookmarkEnd w:id="28"/>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bookmarkEnd w:id="2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11"/>
        <w:tblW w:w="867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tbl>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0" w:name="_Toc994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bookmarkEnd w:id="3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本次绩效评价采用的方法</w:t>
      </w:r>
      <w:r>
        <w:rPr>
          <w:rFonts w:hint="eastAsia" w:cs="宋体"/>
          <w:color w:val="000000" w:themeColor="text1"/>
          <w:highlight w:val="none"/>
          <w:shd w:val="clear" w:color="auto" w:fill="auto"/>
          <w:lang w:val="en-US" w:eastAsia="zh-CN"/>
          <w14:textFill>
            <w14:solidFill>
              <w14:schemeClr w14:val="tx1"/>
            </w14:solidFill>
          </w14:textFill>
        </w:rPr>
        <w:t>为</w:t>
      </w:r>
      <w:r>
        <w:rPr>
          <w:rFonts w:hint="eastAsia" w:ascii="宋体" w:hAnsi="宋体" w:eastAsia="宋体" w:cs="宋体"/>
          <w:color w:val="000000" w:themeColor="text1"/>
          <w:highlight w:val="none"/>
          <w:shd w:val="clear" w:color="auto" w:fill="auto"/>
          <w14:textFill>
            <w14:solidFill>
              <w14:schemeClr w14:val="tx1"/>
            </w14:solidFill>
          </w14:textFill>
        </w:rPr>
        <w:t>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对项目绩效目标</w:t>
      </w:r>
      <w:r>
        <w:rPr>
          <w:rFonts w:hint="eastAsia" w:cs="宋体"/>
          <w:color w:val="000000" w:themeColor="text1"/>
          <w:highlight w:val="none"/>
          <w:shd w:val="clear" w:color="auto" w:fill="auto"/>
          <w:lang w:val="en-US" w:eastAsia="zh-CN"/>
          <w14:textFill>
            <w14:solidFill>
              <w14:schemeClr w14:val="tx1"/>
            </w14:solidFill>
          </w14:textFill>
        </w:rPr>
        <w:t>预期目标值</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与实施情况进行比较，以及采取公众问卷及抽样调查等方式进行评判的方法对2023年高龄津贴及体检费</w:t>
      </w:r>
      <w:r>
        <w:rPr>
          <w:rFonts w:hint="eastAsia" w:ascii="宋体" w:hAnsi="宋体" w:eastAsia="宋体" w:cs="宋体"/>
          <w:color w:val="auto"/>
          <w:highlight w:val="none"/>
          <w:shd w:val="clear" w:color="auto" w:fill="auto"/>
          <w:lang w:val="en-US" w:eastAsia="zh-CN"/>
        </w:rPr>
        <w:t>项目</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进行评价。</w:t>
      </w:r>
    </w:p>
    <w:p>
      <w:pPr>
        <w:pStyle w:val="4"/>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1" w:name="_Toc2539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pPr>
        <w:pStyle w:val="4"/>
        <w:outlineLvl w:val="1"/>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bookmarkStart w:id="32" w:name="_Toc1070"/>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bookmarkEnd w:id="32"/>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bookmarkStart w:id="33" w:name="_Toc1286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bookmarkEnd w:id="33"/>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4" w:name="_Toc3157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bookmarkEnd w:id="34"/>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5" w:name="_Toc21240"/>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绩效评价项目小组依据此次绩效评价受委托内容，对拟评价的项目实施前期调研。通过调研对2023年高龄津贴及体检费</w:t>
      </w:r>
      <w:r>
        <w:rPr>
          <w:rFonts w:hint="eastAsia" w:ascii="宋体" w:hAnsi="宋体" w:eastAsia="宋体" w:cs="宋体"/>
          <w:b w:val="0"/>
          <w:bCs w:val="0"/>
          <w:color w:val="auto"/>
          <w:kern w:val="2"/>
          <w:sz w:val="28"/>
          <w:szCs w:val="24"/>
          <w:highlight w:val="none"/>
          <w:shd w:val="clear" w:color="auto" w:fill="auto"/>
          <w:lang w:val="en-US" w:eastAsia="zh-CN" w:bidi="ar-SA"/>
        </w:rPr>
        <w:t>项目</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实施内容、目标信息、预算信息以及其他的一些项目基本信息，有了初步了解，为制定绩效评价工作方案做好准备。</w:t>
      </w:r>
      <w:bookmarkEnd w:id="35"/>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6" w:name="_Toc2797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bookmarkEnd w:id="36"/>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7" w:name="_Toc196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bookmarkEnd w:id="37"/>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8" w:name="_Toc1135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bookmarkEnd w:id="38"/>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39" w:name="_Toc141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bookmarkEnd w:id="39"/>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0" w:name="_Toc28524"/>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bookmarkEnd w:id="4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1" w:name="_Toc32216"/>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bookmarkEnd w:id="4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2" w:name="_Toc1050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bookmarkEnd w:id="4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3" w:name="_Toc28365"/>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bookmarkEnd w:id="43"/>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4" w:name="_Toc1009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bookmarkEnd w:id="44"/>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5" w:name="_Toc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bookmarkEnd w:id="45"/>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6" w:name="_Toc20059"/>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bookmarkEnd w:id="46"/>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7" w:name="_Toc31911"/>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bookmarkEnd w:id="47"/>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8" w:name="_Toc167"/>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49" w:name="_Toc30513"/>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bookmarkEnd w:id="49"/>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0" w:name="_Toc15974"/>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bookmarkEnd w:id="5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bookmarkStart w:id="51" w:name="_Toc4352"/>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bookmarkEnd w:id="5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bookmarkStart w:id="52" w:name="_Toc26231"/>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bookmarkEnd w:id="5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3" w:name="_Toc2775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bookmarkEnd w:id="53"/>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bookmarkStart w:id="54" w:name="_Toc15579"/>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bookmarkEnd w:id="54"/>
    </w:p>
    <w:p>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bookmarkStart w:id="55" w:name="_Toc110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bookmarkEnd w:id="5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此次绩效评价</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通过组论证的评价指标体系及评分标准，</w:t>
      </w:r>
      <w:r>
        <w:rPr>
          <w:rFonts w:hint="eastAsia" w:ascii="宋体" w:hAnsi="宋体" w:eastAsia="宋体" w:cs="宋体"/>
          <w:color w:val="000000" w:themeColor="text1"/>
          <w:highlight w:val="none"/>
          <w:shd w:val="clear" w:color="auto" w:fill="auto"/>
          <w14:textFill>
            <w14:solidFill>
              <w14:schemeClr w14:val="tx1"/>
            </w14:solidFill>
          </w14:textFill>
        </w:rPr>
        <w:t>采用的方法比较法</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、因素分析法、公众评判法，</w:t>
      </w:r>
      <w:r>
        <w:rPr>
          <w:rFonts w:hint="eastAsia" w:ascii="宋体" w:hAnsi="宋体" w:eastAsia="宋体" w:cs="宋体"/>
          <w:color w:val="auto"/>
          <w:highlight w:val="none"/>
          <w:shd w:val="clear" w:color="auto" w:fill="auto"/>
          <w:lang w:val="zh-TW" w:eastAsia="zh-TW"/>
        </w:rPr>
        <w:t>对2023年高龄津贴及体检费</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tblInd w:w="0" w:type="dxa"/>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Layout w:type="fixed"/>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表3-1：2023年高龄津贴及体检费</w:t>
            </w:r>
            <w:r>
              <w:rPr>
                <w:rFonts w:hint="eastAsia" w:ascii="宋体" w:hAnsi="宋体" w:eastAsia="宋体" w:cs="宋体"/>
                <w:b/>
                <w:bCs/>
                <w:color w:val="auto"/>
                <w:kern w:val="0"/>
                <w:sz w:val="28"/>
                <w:szCs w:val="28"/>
                <w:highlight w:val="none"/>
                <w:shd w:val="clear" w:color="auto" w:fill="auto"/>
                <w:lang w:val="en-US" w:eastAsia="zh-CN"/>
              </w:rPr>
              <w:t>项目</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得分表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60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tblLayout w:type="fixed"/>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56" w:name="_Toc9421"/>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四、绩效评价指标分析</w:t>
      </w:r>
      <w:bookmarkEnd w:id="56"/>
    </w:p>
    <w:p>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57" w:name="_Toc15355"/>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bookmarkEnd w:id="57"/>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20</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11"/>
        <w:tblW w:w="8447" w:type="dxa"/>
        <w:jc w:val="center"/>
        <w:tblInd w:w="0" w:type="dxa"/>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Layout w:type="fixed"/>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Layout w:type="fixed"/>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outlineLvl w:val="2"/>
        <w:rPr>
          <w:rFonts w:hint="default"/>
          <w:b/>
          <w:bCs/>
          <w:lang w:val="en-US" w:eastAsia="zh-CN"/>
        </w:rPr>
      </w:pPr>
      <w:bookmarkStart w:id="58" w:name="_Toc13522"/>
      <w:r>
        <w:rPr>
          <w:rFonts w:hint="eastAsia"/>
          <w:b/>
          <w:bCs/>
          <w:lang w:val="en-US" w:eastAsia="zh-CN"/>
        </w:rPr>
        <w:t>1.立项依据充分性</w:t>
      </w:r>
      <w:bookmarkEnd w:id="58"/>
    </w:p>
    <w:p>
      <w:pPr>
        <w:bidi w:val="0"/>
        <w:rPr>
          <w:rFonts w:hint="eastAsia"/>
          <w:highlight w:val="none"/>
          <w:lang w:eastAsia="zh-CN"/>
        </w:rPr>
      </w:pPr>
      <w:r>
        <w:rPr>
          <w:rFonts w:hint="eastAsia"/>
          <w:lang w:eastAsia="zh-CN"/>
        </w:rPr>
        <w:t>①项目立项符合</w:t>
      </w:r>
      <w:r>
        <w:rPr>
          <w:rFonts w:hint="eastAsia"/>
          <w:color w:val="auto"/>
          <w:lang w:eastAsia="zh-CN"/>
        </w:rPr>
        <w:t>国家法律法规、</w:t>
      </w:r>
      <w:r>
        <w:rPr>
          <w:rFonts w:hint="eastAsia"/>
          <w:color w:val="auto"/>
          <w:highlight w:val="none"/>
          <w:lang w:eastAsia="zh-CN"/>
        </w:rPr>
        <w:t>国民经济发展</w:t>
      </w:r>
      <w:bookmarkStart w:id="89" w:name="_GoBack"/>
      <w:r>
        <w:rPr>
          <w:rFonts w:hint="eastAsia"/>
          <w:color w:val="auto"/>
          <w:highlight w:val="none"/>
          <w:lang w:eastAsia="zh-CN"/>
        </w:rPr>
        <w:t>规划和自治区</w:t>
      </w:r>
      <w:r>
        <w:rPr>
          <w:rFonts w:hint="eastAsia"/>
          <w:color w:val="auto"/>
          <w:highlight w:val="none"/>
          <w:lang w:eastAsia="zh-CN"/>
        </w:rPr>
        <w:t>委</w:t>
      </w:r>
      <w:bookmarkEnd w:id="89"/>
      <w:r>
        <w:rPr>
          <w:rFonts w:hint="eastAsia"/>
          <w:color w:val="auto"/>
          <w:highlight w:val="none"/>
          <w:lang w:eastAsia="zh-CN"/>
        </w:rPr>
        <w:t>员会办公厅文件，自治区党委办公厅、自治区人民政府办公厅关于印发《80周岁以上老年人基本生活津贴制度》和《80周岁以上老年人免费体检制度》的通知（新党办发〔2011〕31号）</w:t>
      </w:r>
      <w:r>
        <w:rPr>
          <w:rFonts w:hint="eastAsia"/>
          <w:color w:val="auto"/>
          <w:highlight w:val="none"/>
          <w:lang w:val="en-US" w:eastAsia="zh-CN"/>
        </w:rPr>
        <w:t>文件要求</w:t>
      </w:r>
      <w:r>
        <w:rPr>
          <w:rFonts w:hint="eastAsia"/>
          <w:highlight w:val="none"/>
          <w:lang w:eastAsia="zh-CN"/>
        </w:rPr>
        <w:t>；</w:t>
      </w:r>
    </w:p>
    <w:p>
      <w:pPr>
        <w:bidi w:val="0"/>
        <w:rPr>
          <w:rFonts w:hint="eastAsia"/>
          <w:highlight w:val="none"/>
          <w:lang w:eastAsia="zh-CN"/>
        </w:rPr>
      </w:pPr>
      <w:r>
        <w:rPr>
          <w:rFonts w:hint="eastAsia"/>
          <w:highlight w:val="none"/>
          <w:lang w:eastAsia="zh-CN"/>
        </w:rPr>
        <w:t>②项目立项符合阜康</w:t>
      </w:r>
      <w:r>
        <w:rPr>
          <w:rFonts w:hint="eastAsia"/>
          <w:highlight w:val="none"/>
          <w:lang w:val="en-US" w:eastAsia="zh-CN"/>
        </w:rPr>
        <w:t>民政</w:t>
      </w:r>
      <w:r>
        <w:rPr>
          <w:rFonts w:hint="eastAsia"/>
          <w:highlight w:val="none"/>
          <w:lang w:eastAsia="zh-CN"/>
        </w:rPr>
        <w:t>局发展规划和政策要求；</w:t>
      </w:r>
    </w:p>
    <w:p>
      <w:pPr>
        <w:bidi w:val="0"/>
        <w:rPr>
          <w:rFonts w:hint="eastAsia"/>
          <w:highlight w:val="none"/>
          <w:lang w:eastAsia="zh-CN"/>
        </w:rPr>
      </w:pPr>
      <w:r>
        <w:rPr>
          <w:rFonts w:hint="eastAsia"/>
          <w:highlight w:val="none"/>
          <w:lang w:eastAsia="zh-CN"/>
        </w:rPr>
        <w:t>③项目立项与</w:t>
      </w:r>
      <w:r>
        <w:rPr>
          <w:rFonts w:hint="eastAsia"/>
          <w:highlight w:val="none"/>
          <w:lang w:val="en-US" w:eastAsia="zh-CN"/>
        </w:rPr>
        <w:t>民政局部门</w:t>
      </w:r>
      <w:r>
        <w:rPr>
          <w:rFonts w:hint="eastAsia"/>
          <w:color w:val="auto"/>
          <w:highlight w:val="none"/>
          <w:lang w:eastAsia="zh-CN"/>
        </w:rPr>
        <w:t>职责解决80岁以上高龄老人的基本生活困难、提高他们的生活和生命质量范围</w:t>
      </w:r>
      <w:r>
        <w:rPr>
          <w:rFonts w:hint="eastAsia"/>
          <w:color w:val="auto"/>
          <w:highlight w:val="none"/>
          <w:lang w:val="en-US" w:eastAsia="zh-CN"/>
        </w:rPr>
        <w:t>内</w:t>
      </w:r>
      <w:r>
        <w:rPr>
          <w:rFonts w:hint="eastAsia"/>
          <w:highlight w:val="none"/>
          <w:lang w:eastAsia="zh-CN"/>
        </w:rPr>
        <w:t>，属于部门履职所需；</w:t>
      </w:r>
    </w:p>
    <w:p>
      <w:pPr>
        <w:bidi w:val="0"/>
        <w:rPr>
          <w:rFonts w:hint="eastAsia"/>
          <w:highlight w:val="none"/>
          <w:lang w:eastAsia="zh-CN"/>
        </w:rPr>
      </w:pPr>
      <w:r>
        <w:rPr>
          <w:rFonts w:hint="eastAsia"/>
          <w:highlight w:val="none"/>
          <w:lang w:eastAsia="zh-CN"/>
        </w:rPr>
        <w:t>④项目属于公共财政支持范围，符合中央、地方事权支出责任划分原则；</w:t>
      </w:r>
    </w:p>
    <w:p>
      <w:pPr>
        <w:bidi w:val="0"/>
        <w:rPr>
          <w:rFonts w:hint="eastAsia"/>
          <w:lang w:eastAsia="zh-CN"/>
        </w:rPr>
      </w:pPr>
      <w:r>
        <w:rPr>
          <w:rFonts w:hint="eastAsia"/>
          <w:lang w:eastAsia="zh-CN"/>
        </w:rPr>
        <w:t>⑤项目与相关部门同类项目或部门内部相关项目</w:t>
      </w:r>
      <w:r>
        <w:rPr>
          <w:rFonts w:hint="eastAsia"/>
          <w:lang w:val="en-US" w:eastAsia="zh-CN"/>
        </w:rPr>
        <w:t>不</w:t>
      </w:r>
      <w:r>
        <w:rPr>
          <w:rFonts w:hint="eastAsia"/>
          <w:lang w:eastAsia="zh-CN"/>
        </w:rPr>
        <w:t>重复。</w:t>
      </w:r>
    </w:p>
    <w:p>
      <w:pPr>
        <w:bidi w:val="0"/>
        <w:rPr>
          <w:rFonts w:hint="default"/>
          <w:lang w:val="en-US" w:eastAsia="zh-CN"/>
        </w:rPr>
      </w:pPr>
      <w:r>
        <w:rPr>
          <w:rFonts w:hint="eastAsia"/>
          <w:b/>
          <w:bCs/>
          <w:lang w:val="en-US" w:eastAsia="zh-CN"/>
        </w:rPr>
        <w:t>综上，该项指标满分</w:t>
      </w:r>
      <w:r>
        <w:rPr>
          <w:rFonts w:hint="eastAsia"/>
          <w:b/>
          <w:bCs/>
          <w:color w:val="auto"/>
          <w:lang w:val="en-US" w:eastAsia="zh-CN"/>
        </w:rPr>
        <w:t>2分</w:t>
      </w:r>
      <w:r>
        <w:rPr>
          <w:rFonts w:hint="eastAsia"/>
          <w:b/>
          <w:bCs/>
          <w:lang w:val="en-US" w:eastAsia="zh-CN"/>
        </w:rPr>
        <w:t>，得分2</w:t>
      </w:r>
      <w:r>
        <w:rPr>
          <w:rFonts w:hint="eastAsia"/>
          <w:b/>
          <w:bCs/>
          <w:color w:val="auto"/>
          <w:lang w:val="en-US" w:eastAsia="zh-CN"/>
        </w:rPr>
        <w:t>分</w:t>
      </w:r>
      <w:r>
        <w:rPr>
          <w:rFonts w:hint="eastAsia"/>
          <w:b/>
          <w:bCs/>
          <w:lang w:val="en-US" w:eastAsia="zh-CN"/>
        </w:rPr>
        <w:t>。</w:t>
      </w:r>
    </w:p>
    <w:p>
      <w:pPr>
        <w:bidi w:val="0"/>
        <w:outlineLvl w:val="2"/>
        <w:rPr>
          <w:rFonts w:hint="default"/>
          <w:b/>
          <w:bCs/>
          <w:color w:val="auto"/>
          <w:lang w:val="en-US" w:eastAsia="zh-CN"/>
        </w:rPr>
      </w:pPr>
      <w:bookmarkStart w:id="59" w:name="_Toc21976"/>
      <w:r>
        <w:rPr>
          <w:rFonts w:hint="eastAsia"/>
          <w:b/>
          <w:bCs/>
          <w:color w:val="auto"/>
          <w:lang w:val="en-US" w:eastAsia="zh-CN"/>
        </w:rPr>
        <w:t>2.立项程序规范性</w:t>
      </w:r>
      <w:bookmarkEnd w:id="59"/>
    </w:p>
    <w:p>
      <w:pPr>
        <w:bidi w:val="0"/>
        <w:rPr>
          <w:rFonts w:hint="eastAsia"/>
          <w:highlight w:val="none"/>
          <w:lang w:eastAsia="zh-CN"/>
        </w:rPr>
      </w:pPr>
      <w:r>
        <w:rPr>
          <w:rFonts w:hint="eastAsia"/>
          <w:lang w:eastAsia="zh-CN"/>
        </w:rPr>
        <w:t>①项目</w:t>
      </w:r>
      <w:r>
        <w:rPr>
          <w:rFonts w:hint="eastAsia"/>
          <w:highlight w:val="none"/>
          <w:lang w:eastAsia="zh-CN"/>
        </w:rPr>
        <w:t>按照</w:t>
      </w:r>
      <w:r>
        <w:rPr>
          <w:rFonts w:hint="eastAsia"/>
          <w:color w:val="auto"/>
          <w:highlight w:val="none"/>
          <w:lang w:eastAsia="zh-CN"/>
        </w:rPr>
        <w:t>《80周岁以上老年人基本生活津贴制度》和《80周岁以上老年人免费体检制度》领导审批规定的程序申请设立</w:t>
      </w:r>
      <w:r>
        <w:rPr>
          <w:rFonts w:hint="eastAsia"/>
          <w:highlight w:val="none"/>
          <w:lang w:eastAsia="zh-CN"/>
        </w:rPr>
        <w:t>；</w:t>
      </w:r>
    </w:p>
    <w:p>
      <w:pPr>
        <w:bidi w:val="0"/>
        <w:rPr>
          <w:rFonts w:hint="eastAsia"/>
          <w:highlight w:val="none"/>
          <w:lang w:eastAsia="zh-CN"/>
        </w:rPr>
      </w:pPr>
      <w:r>
        <w:rPr>
          <w:rFonts w:hint="eastAsia"/>
          <w:highlight w:val="none"/>
          <w:lang w:eastAsia="zh-CN"/>
        </w:rPr>
        <w:t>②审批文件、材料符合</w:t>
      </w:r>
      <w:r>
        <w:rPr>
          <w:rFonts w:hint="eastAsia"/>
          <w:color w:val="auto"/>
          <w:highlight w:val="none"/>
          <w:lang w:eastAsia="zh-CN"/>
        </w:rPr>
        <w:t>《80周岁以上老年人基本生活津贴制度》和《80周岁以上老年人免费体检制度》</w:t>
      </w:r>
      <w:r>
        <w:rPr>
          <w:rFonts w:hint="eastAsia"/>
          <w:highlight w:val="none"/>
          <w:lang w:eastAsia="zh-CN"/>
        </w:rPr>
        <w:t>要求；</w:t>
      </w:r>
    </w:p>
    <w:p>
      <w:pPr>
        <w:bidi w:val="0"/>
        <w:rPr>
          <w:rFonts w:hint="eastAsia"/>
          <w:highlight w:val="none"/>
          <w:lang w:eastAsia="zh-CN"/>
        </w:rPr>
      </w:pPr>
      <w:r>
        <w:rPr>
          <w:rFonts w:hint="eastAsia"/>
          <w:highlight w:val="none"/>
          <w:lang w:eastAsia="zh-CN"/>
        </w:rPr>
        <w:t>③事前经过必要的可行性研究、专家论证、风险评估、绩效评估、经自治区党委第三十三次常委（扩大）会议审议通过集体决策。</w:t>
      </w:r>
    </w:p>
    <w:p>
      <w:pPr>
        <w:bidi w:val="0"/>
        <w:rPr>
          <w:rFonts w:hint="eastAsia"/>
          <w:lang w:eastAsia="zh-CN"/>
        </w:rPr>
      </w:pPr>
      <w:r>
        <w:rPr>
          <w:rFonts w:hint="eastAsia"/>
          <w:b/>
          <w:bCs/>
          <w:lang w:val="en-US" w:eastAsia="zh-CN"/>
        </w:rPr>
        <w:t>综上，该项指标满分</w:t>
      </w:r>
      <w:r>
        <w:rPr>
          <w:rFonts w:hint="eastAsia"/>
          <w:b/>
          <w:bCs/>
          <w:color w:val="auto"/>
          <w:lang w:val="en-US" w:eastAsia="zh-CN"/>
        </w:rPr>
        <w:t>3分</w:t>
      </w:r>
      <w:r>
        <w:rPr>
          <w:rFonts w:hint="eastAsia"/>
          <w:b/>
          <w:bCs/>
          <w:lang w:val="en-US" w:eastAsia="zh-CN"/>
        </w:rPr>
        <w:t>，得3</w:t>
      </w:r>
      <w:r>
        <w:rPr>
          <w:rFonts w:hint="eastAsia"/>
          <w:b/>
          <w:bCs/>
          <w:color w:val="auto"/>
          <w:lang w:val="en-US" w:eastAsia="zh-CN"/>
        </w:rPr>
        <w:t>分</w:t>
      </w:r>
      <w:r>
        <w:rPr>
          <w:rFonts w:hint="eastAsia"/>
          <w:b/>
          <w:bCs/>
          <w:lang w:val="en-US" w:eastAsia="zh-CN"/>
        </w:rPr>
        <w:t>。</w:t>
      </w:r>
    </w:p>
    <w:p>
      <w:pPr>
        <w:bidi w:val="0"/>
        <w:outlineLvl w:val="2"/>
        <w:rPr>
          <w:rFonts w:hint="default"/>
          <w:b/>
          <w:bCs/>
          <w:lang w:val="en-US" w:eastAsia="zh-CN"/>
        </w:rPr>
      </w:pPr>
      <w:bookmarkStart w:id="60" w:name="_Toc15382"/>
      <w:r>
        <w:rPr>
          <w:rFonts w:hint="eastAsia"/>
          <w:b/>
          <w:bCs/>
          <w:lang w:val="en-US" w:eastAsia="zh-CN"/>
        </w:rPr>
        <w:t>3.绩效目标合理性</w:t>
      </w:r>
      <w:bookmarkEnd w:id="60"/>
    </w:p>
    <w:p>
      <w:pPr>
        <w:bidi w:val="0"/>
        <w:rPr>
          <w:rFonts w:hint="eastAsia"/>
          <w:highlight w:val="none"/>
          <w:lang w:eastAsia="zh-CN"/>
        </w:rPr>
      </w:pPr>
      <w:r>
        <w:rPr>
          <w:rFonts w:hint="eastAsia"/>
          <w:highlight w:val="none"/>
          <w:lang w:eastAsia="zh-CN"/>
        </w:rPr>
        <w:t>①项目有绩效目标</w:t>
      </w:r>
      <w:r>
        <w:rPr>
          <w:rFonts w:hint="eastAsia"/>
          <w:highlight w:val="none"/>
          <w:lang w:val="en-US" w:eastAsia="zh-CN"/>
        </w:rPr>
        <w:t>为，已编制2023年高龄津贴及体检费项目支出绩效目标表</w:t>
      </w:r>
      <w:r>
        <w:rPr>
          <w:rFonts w:hint="eastAsia"/>
          <w:highlight w:val="none"/>
          <w:lang w:eastAsia="zh-CN"/>
        </w:rPr>
        <w:t>；</w:t>
      </w:r>
    </w:p>
    <w:p>
      <w:pPr>
        <w:bidi w:val="0"/>
        <w:rPr>
          <w:rFonts w:hint="eastAsia"/>
          <w:highlight w:val="none"/>
          <w:lang w:eastAsia="zh-CN"/>
        </w:rPr>
      </w:pPr>
      <w:r>
        <w:rPr>
          <w:rFonts w:hint="eastAsia"/>
          <w:highlight w:val="none"/>
          <w:lang w:eastAsia="zh-CN"/>
        </w:rPr>
        <w:t>②项目绩效目标解决80周岁以上老年人基本生活困难，不断提高生活和生命质量。80周岁以上老年人免费体检次数1次，享受80周岁以上高龄津贴的10000人次，补助资金发放及时，补助资金到位，与实际工作完成2023年高龄津贴</w:t>
      </w:r>
      <w:r>
        <w:rPr>
          <w:rFonts w:hint="eastAsia"/>
          <w:highlight w:val="none"/>
          <w:lang w:val="en-US" w:eastAsia="zh-CN"/>
        </w:rPr>
        <w:t>发放</w:t>
      </w:r>
      <w:r>
        <w:rPr>
          <w:rFonts w:hint="eastAsia"/>
          <w:highlight w:val="none"/>
          <w:lang w:eastAsia="zh-CN"/>
        </w:rPr>
        <w:t>及</w:t>
      </w:r>
      <w:r>
        <w:rPr>
          <w:rFonts w:hint="eastAsia"/>
          <w:highlight w:val="none"/>
          <w:lang w:val="en-US" w:eastAsia="zh-CN"/>
        </w:rPr>
        <w:t>免费</w:t>
      </w:r>
      <w:r>
        <w:rPr>
          <w:rFonts w:hint="eastAsia"/>
          <w:highlight w:val="none"/>
          <w:lang w:eastAsia="zh-CN"/>
        </w:rPr>
        <w:t>体检,达到解决80周岁以上老年人基本生活困难，不断提高生活和生命质量。80周岁以上老年人免费体检次数1次，享受80周岁以上高龄津贴的14355人次，补助资金发放及时，补助资金到位，具有相关性；</w:t>
      </w:r>
    </w:p>
    <w:p>
      <w:pPr>
        <w:bidi w:val="0"/>
        <w:rPr>
          <w:rFonts w:hint="eastAsia"/>
          <w:highlight w:val="none"/>
          <w:lang w:eastAsia="zh-CN"/>
        </w:rPr>
      </w:pPr>
      <w:r>
        <w:rPr>
          <w:rFonts w:hint="eastAsia"/>
          <w:highlight w:val="none"/>
          <w:lang w:eastAsia="zh-CN"/>
        </w:rPr>
        <w:t>③项目预期产出效益高龄老人的生活质量</w:t>
      </w:r>
      <w:r>
        <w:rPr>
          <w:rFonts w:hint="eastAsia"/>
          <w:highlight w:val="none"/>
          <w:lang w:val="en-US" w:eastAsia="zh-CN"/>
        </w:rPr>
        <w:t>提高</w:t>
      </w:r>
      <w:r>
        <w:rPr>
          <w:rFonts w:hint="eastAsia"/>
          <w:highlight w:val="none"/>
          <w:lang w:eastAsia="zh-CN"/>
        </w:rPr>
        <w:t>和效果符合正常的业绩水平；</w:t>
      </w:r>
    </w:p>
    <w:p>
      <w:pPr>
        <w:bidi w:val="0"/>
        <w:rPr>
          <w:rFonts w:hint="eastAsia"/>
          <w:highlight w:val="none"/>
          <w:lang w:eastAsia="zh-CN"/>
        </w:rPr>
      </w:pPr>
      <w:r>
        <w:rPr>
          <w:rFonts w:hint="eastAsia"/>
          <w:highlight w:val="none"/>
          <w:lang w:eastAsia="zh-CN"/>
        </w:rPr>
        <w:t>④预算确定的项目投资额为343.53万元，资金执行数为343.53万元，资金量相匹配。</w:t>
      </w:r>
    </w:p>
    <w:p>
      <w:pPr>
        <w:bidi w:val="0"/>
        <w:rPr>
          <w:rFonts w:hint="eastAsia"/>
          <w:lang w:eastAsia="zh-CN"/>
        </w:rPr>
      </w:pPr>
      <w:r>
        <w:rPr>
          <w:rFonts w:hint="eastAsia"/>
          <w:b/>
          <w:bCs/>
          <w:lang w:val="en-US" w:eastAsia="zh-CN"/>
        </w:rPr>
        <w:t>综上，该项指标满分</w:t>
      </w:r>
      <w:r>
        <w:rPr>
          <w:rFonts w:hint="eastAsia"/>
          <w:b/>
          <w:bCs/>
          <w:color w:val="auto"/>
          <w:lang w:val="en-US" w:eastAsia="zh-CN"/>
        </w:rPr>
        <w:t>5分</w:t>
      </w:r>
      <w:r>
        <w:rPr>
          <w:rFonts w:hint="eastAsia"/>
          <w:b/>
          <w:bCs/>
          <w:lang w:val="en-US" w:eastAsia="zh-CN"/>
        </w:rPr>
        <w:t>，得分</w:t>
      </w:r>
      <w:r>
        <w:rPr>
          <w:rFonts w:hint="eastAsia"/>
          <w:b/>
          <w:bCs/>
          <w:color w:val="auto"/>
          <w:lang w:val="en-US" w:eastAsia="zh-CN"/>
        </w:rPr>
        <w:t>5分</w:t>
      </w:r>
      <w:r>
        <w:rPr>
          <w:rFonts w:hint="eastAsia"/>
          <w:b/>
          <w:bCs/>
          <w:lang w:val="en-US" w:eastAsia="zh-CN"/>
        </w:rPr>
        <w:t>。</w:t>
      </w:r>
    </w:p>
    <w:p>
      <w:pPr>
        <w:bidi w:val="0"/>
        <w:outlineLvl w:val="2"/>
        <w:rPr>
          <w:rFonts w:hint="default"/>
          <w:b/>
          <w:bCs/>
          <w:lang w:val="en-US" w:eastAsia="zh-CN"/>
        </w:rPr>
      </w:pPr>
      <w:bookmarkStart w:id="61" w:name="_Toc10650"/>
      <w:r>
        <w:rPr>
          <w:rFonts w:hint="eastAsia"/>
          <w:b/>
          <w:bCs/>
          <w:lang w:val="en-US" w:eastAsia="zh-CN"/>
        </w:rPr>
        <w:t>4.绩效指标明确性</w:t>
      </w:r>
      <w:bookmarkEnd w:id="61"/>
    </w:p>
    <w:p>
      <w:pPr>
        <w:bidi w:val="0"/>
        <w:rPr>
          <w:rFonts w:hint="eastAsia"/>
          <w:highlight w:val="none"/>
          <w:lang w:eastAsia="zh-CN"/>
        </w:rPr>
      </w:pPr>
      <w:r>
        <w:rPr>
          <w:rFonts w:hint="eastAsia"/>
          <w:highlight w:val="none"/>
          <w:lang w:eastAsia="zh-CN"/>
        </w:rPr>
        <w:t>①将项目绩效目标细化分解为具体的绩效指标，指标数共计9个，其中一级指标</w:t>
      </w:r>
      <w:r>
        <w:rPr>
          <w:rFonts w:hint="eastAsia"/>
          <w:highlight w:val="none"/>
          <w:lang w:val="en-US" w:eastAsia="zh-CN"/>
        </w:rPr>
        <w:t>4</w:t>
      </w:r>
      <w:r>
        <w:rPr>
          <w:rFonts w:hint="eastAsia"/>
          <w:highlight w:val="none"/>
          <w:lang w:eastAsia="zh-CN"/>
        </w:rPr>
        <w:t>个，二级指标6个，三级指标9个；</w:t>
      </w:r>
    </w:p>
    <w:p>
      <w:pPr>
        <w:bidi w:val="0"/>
        <w:rPr>
          <w:rFonts w:hint="eastAsia"/>
          <w:highlight w:val="none"/>
          <w:lang w:eastAsia="zh-CN"/>
        </w:rPr>
      </w:pPr>
      <w:r>
        <w:rPr>
          <w:rFonts w:hint="eastAsia"/>
          <w:highlight w:val="none"/>
          <w:lang w:eastAsia="zh-CN"/>
        </w:rPr>
        <w:t>②通过清晰、可衡量的指标值予以体现；其中定量指标</w:t>
      </w:r>
      <w:r>
        <w:rPr>
          <w:rFonts w:hint="eastAsia"/>
          <w:highlight w:val="none"/>
          <w:lang w:val="en-US" w:eastAsia="zh-CN"/>
        </w:rPr>
        <w:t>8</w:t>
      </w:r>
      <w:r>
        <w:rPr>
          <w:rFonts w:hint="eastAsia"/>
          <w:highlight w:val="none"/>
          <w:lang w:eastAsia="zh-CN"/>
        </w:rPr>
        <w:t>个，定性指标</w:t>
      </w:r>
      <w:r>
        <w:rPr>
          <w:rFonts w:hint="eastAsia"/>
          <w:highlight w:val="none"/>
          <w:lang w:val="en-US" w:eastAsia="zh-CN"/>
        </w:rPr>
        <w:t>1</w:t>
      </w:r>
      <w:r>
        <w:rPr>
          <w:rFonts w:hint="eastAsia"/>
          <w:highlight w:val="none"/>
          <w:lang w:eastAsia="zh-CN"/>
        </w:rPr>
        <w:t>个，量化率</w:t>
      </w:r>
      <w:r>
        <w:rPr>
          <w:rFonts w:hint="eastAsia"/>
          <w:highlight w:val="none"/>
          <w:lang w:val="en-US" w:eastAsia="zh-CN"/>
        </w:rPr>
        <w:t>88.89</w:t>
      </w:r>
      <w:r>
        <w:rPr>
          <w:rFonts w:hint="eastAsia"/>
          <w:highlight w:val="none"/>
          <w:lang w:eastAsia="zh-CN"/>
        </w:rPr>
        <w:t>%；</w:t>
      </w:r>
    </w:p>
    <w:p>
      <w:pPr>
        <w:bidi w:val="0"/>
        <w:rPr>
          <w:rFonts w:hint="eastAsia"/>
          <w:highlight w:val="none"/>
          <w:lang w:eastAsia="zh-CN"/>
        </w:rPr>
      </w:pPr>
      <w:r>
        <w:rPr>
          <w:rFonts w:hint="eastAsia"/>
          <w:highlight w:val="none"/>
          <w:lang w:eastAsia="zh-CN"/>
        </w:rPr>
        <w:t>③与项目目标任务数或计划数相对应。</w:t>
      </w:r>
    </w:p>
    <w:p>
      <w:pPr>
        <w:bidi w:val="0"/>
        <w:rPr>
          <w:rFonts w:hint="eastAsia"/>
          <w:lang w:eastAsia="zh-CN"/>
        </w:rPr>
      </w:pPr>
      <w:r>
        <w:rPr>
          <w:rFonts w:hint="eastAsia"/>
          <w:b/>
          <w:bCs/>
          <w:lang w:val="en-US" w:eastAsia="zh-CN"/>
        </w:rPr>
        <w:t>综上，该项指标满分</w:t>
      </w:r>
      <w:r>
        <w:rPr>
          <w:rFonts w:hint="eastAsia"/>
          <w:b/>
          <w:bCs/>
          <w:color w:val="auto"/>
          <w:lang w:val="en-US" w:eastAsia="zh-CN"/>
        </w:rPr>
        <w:t>5分</w:t>
      </w:r>
      <w:r>
        <w:rPr>
          <w:rFonts w:hint="eastAsia"/>
          <w:b/>
          <w:bCs/>
          <w:lang w:val="en-US" w:eastAsia="zh-CN"/>
        </w:rPr>
        <w:t>，得分</w:t>
      </w:r>
      <w:r>
        <w:rPr>
          <w:rFonts w:hint="eastAsia"/>
          <w:b/>
          <w:bCs/>
          <w:color w:val="auto"/>
          <w:lang w:val="en-US" w:eastAsia="zh-CN"/>
        </w:rPr>
        <w:t>5分</w:t>
      </w:r>
      <w:r>
        <w:rPr>
          <w:rFonts w:hint="eastAsia"/>
          <w:b/>
          <w:bCs/>
          <w:lang w:val="en-US" w:eastAsia="zh-CN"/>
        </w:rPr>
        <w:t>。</w:t>
      </w:r>
    </w:p>
    <w:p>
      <w:pPr>
        <w:bidi w:val="0"/>
        <w:outlineLvl w:val="2"/>
        <w:rPr>
          <w:rFonts w:hint="default"/>
          <w:b/>
          <w:bCs/>
          <w:lang w:val="en-US" w:eastAsia="zh-CN"/>
        </w:rPr>
      </w:pPr>
      <w:bookmarkStart w:id="62" w:name="_Toc19401"/>
      <w:r>
        <w:rPr>
          <w:rFonts w:hint="eastAsia"/>
          <w:b/>
          <w:bCs/>
          <w:lang w:val="en-US" w:eastAsia="zh-CN"/>
        </w:rPr>
        <w:t>5.预算编制科学性</w:t>
      </w:r>
      <w:bookmarkEnd w:id="62"/>
    </w:p>
    <w:p>
      <w:pPr>
        <w:bidi w:val="0"/>
        <w:rPr>
          <w:rFonts w:hint="eastAsia"/>
          <w:highlight w:val="none"/>
          <w:lang w:eastAsia="zh-CN"/>
        </w:rPr>
      </w:pPr>
      <w:r>
        <w:rPr>
          <w:rFonts w:hint="eastAsia"/>
          <w:highlight w:val="none"/>
          <w:lang w:eastAsia="zh-CN"/>
        </w:rPr>
        <w:t>①预算编制经过科学论证；</w:t>
      </w:r>
    </w:p>
    <w:p>
      <w:pPr>
        <w:bidi w:val="0"/>
        <w:rPr>
          <w:rFonts w:hint="eastAsia"/>
          <w:highlight w:val="none"/>
          <w:lang w:eastAsia="zh-CN"/>
        </w:rPr>
      </w:pPr>
      <w:r>
        <w:rPr>
          <w:rFonts w:hint="eastAsia"/>
          <w:highlight w:val="none"/>
          <w:lang w:eastAsia="zh-CN"/>
        </w:rPr>
        <w:t>②预算内容与项目内容80周岁以上老年人免费体检，享受80周岁以上高龄津贴匹配；</w:t>
      </w:r>
    </w:p>
    <w:p>
      <w:pPr>
        <w:bidi w:val="0"/>
        <w:rPr>
          <w:rFonts w:hint="eastAsia"/>
          <w:highlight w:val="none"/>
          <w:lang w:eastAsia="zh-CN"/>
        </w:rPr>
      </w:pPr>
      <w:r>
        <w:rPr>
          <w:rFonts w:hint="eastAsia"/>
          <w:highlight w:val="none"/>
          <w:lang w:eastAsia="zh-CN"/>
        </w:rPr>
        <w:t>③预算额度测算依据充分，按照</w:t>
      </w:r>
      <w:r>
        <w:rPr>
          <w:rFonts w:hint="eastAsia"/>
          <w:highlight w:val="none"/>
          <w:lang w:val="en-US" w:eastAsia="zh-CN"/>
        </w:rPr>
        <w:t>自治区</w:t>
      </w:r>
      <w:r>
        <w:rPr>
          <w:rFonts w:hint="eastAsia"/>
          <w:color w:val="auto"/>
          <w:highlight w:val="none"/>
          <w:lang w:eastAsia="zh-CN"/>
        </w:rPr>
        <w:t>《80周岁以上老年人基本生活津贴制度》和《80周岁以上老年人免费体检制度》</w:t>
      </w:r>
      <w:r>
        <w:rPr>
          <w:rFonts w:hint="eastAsia"/>
          <w:highlight w:val="none"/>
          <w:lang w:val="en-US" w:eastAsia="zh-CN"/>
        </w:rPr>
        <w:t>政策</w:t>
      </w:r>
      <w:r>
        <w:rPr>
          <w:rFonts w:hint="eastAsia"/>
          <w:highlight w:val="none"/>
          <w:lang w:eastAsia="zh-CN"/>
        </w:rPr>
        <w:t>标准编制；</w:t>
      </w:r>
    </w:p>
    <w:p>
      <w:pPr>
        <w:bidi w:val="0"/>
        <w:rPr>
          <w:rFonts w:hint="eastAsia"/>
          <w:highlight w:val="none"/>
          <w:lang w:eastAsia="zh-CN"/>
        </w:rPr>
      </w:pPr>
      <w:r>
        <w:rPr>
          <w:rFonts w:hint="eastAsia"/>
          <w:highlight w:val="none"/>
          <w:lang w:eastAsia="zh-CN"/>
        </w:rPr>
        <w:t>④预算确定的项目投资额为343.53万元，资金执行数为343.53万元，资金量相匹配。</w:t>
      </w:r>
    </w:p>
    <w:p>
      <w:pPr>
        <w:bidi w:val="0"/>
        <w:rPr>
          <w:rFonts w:hint="eastAsia"/>
          <w:lang w:eastAsia="zh-CN"/>
        </w:rPr>
      </w:pPr>
      <w:r>
        <w:rPr>
          <w:rFonts w:hint="eastAsia"/>
          <w:b/>
          <w:bCs/>
          <w:lang w:val="en-US" w:eastAsia="zh-CN"/>
        </w:rPr>
        <w:t>综上，该项指标满分</w:t>
      </w:r>
      <w:r>
        <w:rPr>
          <w:rFonts w:hint="eastAsia"/>
          <w:b/>
          <w:bCs/>
          <w:color w:val="auto"/>
          <w:lang w:val="en-US" w:eastAsia="zh-CN"/>
        </w:rPr>
        <w:t>2分</w:t>
      </w:r>
      <w:r>
        <w:rPr>
          <w:rFonts w:hint="eastAsia"/>
          <w:b/>
          <w:bCs/>
          <w:lang w:val="en-US" w:eastAsia="zh-CN"/>
        </w:rPr>
        <w:t>，得分</w:t>
      </w:r>
      <w:r>
        <w:rPr>
          <w:rFonts w:hint="eastAsia"/>
          <w:b/>
          <w:bCs/>
          <w:color w:val="auto"/>
          <w:lang w:val="en-US" w:eastAsia="zh-CN"/>
        </w:rPr>
        <w:t>2分</w:t>
      </w:r>
      <w:r>
        <w:rPr>
          <w:rFonts w:hint="eastAsia"/>
          <w:b/>
          <w:bCs/>
          <w:lang w:val="en-US" w:eastAsia="zh-CN"/>
        </w:rPr>
        <w:t>。</w:t>
      </w:r>
    </w:p>
    <w:p>
      <w:pPr>
        <w:bidi w:val="0"/>
        <w:outlineLvl w:val="2"/>
        <w:rPr>
          <w:rFonts w:hint="default"/>
          <w:b/>
          <w:bCs/>
          <w:lang w:val="en-US" w:eastAsia="zh-CN"/>
        </w:rPr>
      </w:pPr>
      <w:bookmarkStart w:id="63" w:name="_Toc697"/>
      <w:r>
        <w:rPr>
          <w:rFonts w:hint="eastAsia"/>
          <w:b/>
          <w:bCs/>
          <w:lang w:val="en-US" w:eastAsia="zh-CN"/>
        </w:rPr>
        <w:t>6.资金分配合理性</w:t>
      </w:r>
      <w:bookmarkEnd w:id="63"/>
    </w:p>
    <w:p>
      <w:pPr>
        <w:bidi w:val="0"/>
        <w:rPr>
          <w:rFonts w:hint="eastAsia"/>
          <w:highlight w:val="none"/>
          <w:lang w:eastAsia="zh-CN"/>
        </w:rPr>
      </w:pPr>
      <w:r>
        <w:rPr>
          <w:rFonts w:hint="eastAsia"/>
          <w:highlight w:val="none"/>
          <w:lang w:eastAsia="zh-CN"/>
        </w:rPr>
        <w:t>①预算资金分配依据《阜康</w:t>
      </w:r>
      <w:r>
        <w:rPr>
          <w:rFonts w:hint="eastAsia"/>
          <w:highlight w:val="none"/>
          <w:lang w:val="en-US" w:eastAsia="zh-CN"/>
        </w:rPr>
        <w:t>民政局</w:t>
      </w:r>
      <w:r>
        <w:rPr>
          <w:rFonts w:hint="eastAsia"/>
          <w:highlight w:val="none"/>
          <w:lang w:eastAsia="zh-CN"/>
        </w:rPr>
        <w:t>局财务管理制度》及项目合同实施；</w:t>
      </w:r>
    </w:p>
    <w:p>
      <w:pPr>
        <w:bidi w:val="0"/>
        <w:rPr>
          <w:rFonts w:hint="eastAsia"/>
          <w:highlight w:val="none"/>
          <w:lang w:eastAsia="zh-CN"/>
        </w:rPr>
      </w:pPr>
      <w:r>
        <w:rPr>
          <w:rFonts w:hint="eastAsia"/>
          <w:highlight w:val="none"/>
          <w:lang w:eastAsia="zh-CN"/>
        </w:rPr>
        <w:t>②资金分配额度依据项目合同额度合理，与我单位实际相适应。</w:t>
      </w:r>
    </w:p>
    <w:p>
      <w:pPr>
        <w:bidi w:val="0"/>
        <w:rPr>
          <w:rFonts w:hint="eastAsia"/>
          <w:highlight w:val="none"/>
          <w:lang w:eastAsia="zh-CN"/>
        </w:rPr>
      </w:pPr>
      <w:r>
        <w:rPr>
          <w:rFonts w:hint="eastAsia"/>
          <w:b/>
          <w:bCs/>
          <w:highlight w:val="none"/>
          <w:lang w:val="en-US" w:eastAsia="zh-CN"/>
        </w:rPr>
        <w:t>综上，该项指标满分</w:t>
      </w:r>
      <w:r>
        <w:rPr>
          <w:rFonts w:hint="eastAsia"/>
          <w:b/>
          <w:bCs/>
          <w:color w:val="auto"/>
          <w:highlight w:val="none"/>
          <w:lang w:val="en-US" w:eastAsia="zh-CN"/>
        </w:rPr>
        <w:t>3分</w:t>
      </w:r>
      <w:r>
        <w:rPr>
          <w:rFonts w:hint="eastAsia"/>
          <w:b/>
          <w:bCs/>
          <w:highlight w:val="none"/>
          <w:lang w:val="en-US" w:eastAsia="zh-CN"/>
        </w:rPr>
        <w:t>，得分</w:t>
      </w:r>
      <w:r>
        <w:rPr>
          <w:rFonts w:hint="eastAsia"/>
          <w:b/>
          <w:bCs/>
          <w:color w:val="auto"/>
          <w:highlight w:val="none"/>
          <w:lang w:val="en-US" w:eastAsia="zh-CN"/>
        </w:rPr>
        <w:t>3分</w:t>
      </w:r>
      <w:r>
        <w:rPr>
          <w:rFonts w:hint="eastAsia"/>
          <w:b/>
          <w:bCs/>
          <w:highlight w:val="none"/>
          <w:lang w:val="en-US" w:eastAsia="zh-CN"/>
        </w:rPr>
        <w:t>。</w:t>
      </w:r>
    </w:p>
    <w:p>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4" w:name="_Toc11361"/>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二</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项目过程情况</w:t>
      </w:r>
      <w:bookmarkEnd w:id="64"/>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17" w:type="dxa"/>
        <w:jc w:val="center"/>
        <w:tblInd w:w="0" w:type="dxa"/>
        <w:tblLayout w:type="fixed"/>
        <w:tblCellMar>
          <w:top w:w="0" w:type="dxa"/>
          <w:left w:w="0" w:type="dxa"/>
          <w:bottom w:w="0" w:type="dxa"/>
          <w:right w:w="0" w:type="dxa"/>
        </w:tblCellMar>
      </w:tblPr>
      <w:tblGrid>
        <w:gridCol w:w="1182"/>
        <w:gridCol w:w="738"/>
        <w:gridCol w:w="1248"/>
        <w:gridCol w:w="1176"/>
        <w:gridCol w:w="1833"/>
        <w:gridCol w:w="987"/>
        <w:gridCol w:w="1153"/>
      </w:tblGrid>
      <w:tr>
        <w:tblPrEx>
          <w:tblLayout w:type="fixed"/>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Layout w:type="fixed"/>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outlineLvl w:val="2"/>
        <w:rPr>
          <w:rFonts w:hint="default"/>
          <w:b/>
          <w:bCs/>
          <w:color w:val="FF0000"/>
          <w:lang w:val="en-US" w:eastAsia="zh-CN"/>
        </w:rPr>
      </w:pPr>
      <w:bookmarkStart w:id="65" w:name="_Toc3886"/>
      <w:r>
        <w:rPr>
          <w:rFonts w:hint="eastAsia"/>
          <w:b/>
          <w:bCs/>
          <w:lang w:val="en-US" w:eastAsia="zh-CN"/>
        </w:rPr>
        <w:t>1.资金到位率</w:t>
      </w:r>
      <w:bookmarkEnd w:id="65"/>
    </w:p>
    <w:p>
      <w:pPr>
        <w:bidi w:val="0"/>
        <w:rPr>
          <w:rFonts w:hint="default"/>
          <w:b/>
          <w:bCs/>
          <w:lang w:val="en-US" w:eastAsia="zh-CN"/>
        </w:rPr>
      </w:pPr>
      <w:r>
        <w:rPr>
          <w:rFonts w:hint="eastAsia"/>
          <w:lang w:eastAsia="zh-CN"/>
        </w:rPr>
        <w:t>资金到位率=（343.53</w:t>
      </w:r>
      <w:r>
        <w:rPr>
          <w:rFonts w:hint="eastAsia"/>
          <w:lang w:val="en-US" w:eastAsia="zh-CN"/>
        </w:rPr>
        <w:t>万元</w:t>
      </w:r>
      <w:r>
        <w:rPr>
          <w:rFonts w:hint="eastAsia"/>
          <w:color w:val="auto"/>
          <w:lang w:eastAsia="zh-CN"/>
        </w:rPr>
        <w:t>/343.53</w:t>
      </w:r>
      <w:r>
        <w:rPr>
          <w:rFonts w:hint="eastAsia"/>
          <w:color w:val="auto"/>
          <w:lang w:val="en-US" w:eastAsia="zh-CN"/>
        </w:rPr>
        <w:t>万元</w:t>
      </w:r>
      <w:r>
        <w:rPr>
          <w:rFonts w:hint="eastAsia"/>
          <w:lang w:eastAsia="zh-CN"/>
        </w:rPr>
        <w:t>）×100</w:t>
      </w:r>
      <w:r>
        <w:rPr>
          <w:rFonts w:hint="eastAsia"/>
          <w:b w:val="0"/>
          <w:bCs w:val="0"/>
          <w:lang w:eastAsia="zh-CN"/>
        </w:rPr>
        <w:t>%</w:t>
      </w:r>
      <w:r>
        <w:rPr>
          <w:rFonts w:hint="eastAsia"/>
          <w:b w:val="0"/>
          <w:bCs w:val="0"/>
          <w:color w:val="auto"/>
          <w:lang w:val="en-US" w:eastAsia="zh-CN"/>
        </w:rPr>
        <w:t>=100%</w:t>
      </w:r>
    </w:p>
    <w:p>
      <w:pPr>
        <w:bidi w:val="0"/>
        <w:rPr>
          <w:rFonts w:hint="eastAsia"/>
          <w:lang w:eastAsia="zh-CN"/>
        </w:rPr>
      </w:pPr>
      <w:r>
        <w:rPr>
          <w:rFonts w:hint="eastAsia"/>
          <w:b/>
          <w:bCs/>
          <w:lang w:val="en-US" w:eastAsia="zh-CN"/>
        </w:rPr>
        <w:t>综上，该项指标满分</w:t>
      </w:r>
      <w:r>
        <w:rPr>
          <w:rFonts w:hint="eastAsia"/>
          <w:b/>
          <w:bCs/>
          <w:color w:val="auto"/>
          <w:lang w:val="en-US" w:eastAsia="zh-CN"/>
        </w:rPr>
        <w:t>4分</w:t>
      </w:r>
      <w:r>
        <w:rPr>
          <w:rFonts w:hint="eastAsia"/>
          <w:b/>
          <w:bCs/>
          <w:lang w:val="en-US" w:eastAsia="zh-CN"/>
        </w:rPr>
        <w:t>，得分</w:t>
      </w:r>
      <w:r>
        <w:rPr>
          <w:rFonts w:hint="eastAsia"/>
          <w:b/>
          <w:bCs/>
          <w:color w:val="auto"/>
          <w:lang w:val="en-US" w:eastAsia="zh-CN"/>
        </w:rPr>
        <w:t>4分</w:t>
      </w:r>
      <w:r>
        <w:rPr>
          <w:rFonts w:hint="eastAsia"/>
          <w:b/>
          <w:bCs/>
          <w:lang w:val="en-US" w:eastAsia="zh-CN"/>
        </w:rPr>
        <w:t>。</w:t>
      </w:r>
    </w:p>
    <w:p>
      <w:pPr>
        <w:bidi w:val="0"/>
        <w:outlineLvl w:val="2"/>
        <w:rPr>
          <w:rFonts w:hint="default"/>
          <w:b/>
          <w:bCs/>
          <w:lang w:val="en-US" w:eastAsia="zh-CN"/>
        </w:rPr>
      </w:pPr>
      <w:bookmarkStart w:id="66" w:name="_Toc9705"/>
      <w:r>
        <w:rPr>
          <w:rFonts w:hint="eastAsia"/>
          <w:b/>
          <w:bCs/>
          <w:lang w:val="en-US" w:eastAsia="zh-CN"/>
        </w:rPr>
        <w:t>2.预算执行率</w:t>
      </w:r>
      <w:bookmarkEnd w:id="66"/>
    </w:p>
    <w:p>
      <w:pPr>
        <w:bidi w:val="0"/>
        <w:rPr>
          <w:rFonts w:hint="default"/>
          <w:lang w:val="en-US" w:eastAsia="zh-CN"/>
        </w:rPr>
      </w:pPr>
      <w:r>
        <w:rPr>
          <w:rFonts w:hint="eastAsia"/>
          <w:lang w:eastAsia="zh-CN"/>
        </w:rPr>
        <w:t>预算执行率=（343.53万元/343.53万元）×100%=</w:t>
      </w:r>
      <w:r>
        <w:rPr>
          <w:rFonts w:hint="eastAsia"/>
          <w:b w:val="0"/>
          <w:bCs w:val="0"/>
          <w:lang w:eastAsia="zh-CN"/>
        </w:rPr>
        <w:t>100</w:t>
      </w:r>
      <w:r>
        <w:rPr>
          <w:rFonts w:hint="eastAsia"/>
          <w:b w:val="0"/>
          <w:bCs w:val="0"/>
          <w:color w:val="auto"/>
          <w:lang w:val="en-US" w:eastAsia="zh-CN"/>
        </w:rPr>
        <w:t>%</w:t>
      </w:r>
    </w:p>
    <w:p>
      <w:pPr>
        <w:bidi w:val="0"/>
        <w:rPr>
          <w:rFonts w:hint="eastAsia"/>
          <w:lang w:eastAsia="zh-CN"/>
        </w:rPr>
      </w:pPr>
      <w:r>
        <w:rPr>
          <w:rFonts w:hint="eastAsia"/>
          <w:b/>
          <w:bCs/>
          <w:lang w:val="en-US" w:eastAsia="zh-CN"/>
        </w:rPr>
        <w:t>综上，该项指标满分</w:t>
      </w:r>
      <w:r>
        <w:rPr>
          <w:rFonts w:hint="eastAsia"/>
          <w:b/>
          <w:bCs/>
          <w:color w:val="auto"/>
          <w:lang w:val="en-US" w:eastAsia="zh-CN"/>
        </w:rPr>
        <w:t>4分</w:t>
      </w:r>
      <w:r>
        <w:rPr>
          <w:rFonts w:hint="eastAsia"/>
          <w:b/>
          <w:bCs/>
          <w:lang w:val="en-US" w:eastAsia="zh-CN"/>
        </w:rPr>
        <w:t>，得分</w:t>
      </w:r>
      <w:r>
        <w:rPr>
          <w:rFonts w:hint="eastAsia"/>
          <w:b/>
          <w:bCs/>
          <w:color w:val="auto"/>
          <w:lang w:val="en-US" w:eastAsia="zh-CN"/>
        </w:rPr>
        <w:t>4分</w:t>
      </w:r>
      <w:r>
        <w:rPr>
          <w:rFonts w:hint="eastAsia"/>
          <w:b/>
          <w:bCs/>
          <w:lang w:val="en-US" w:eastAsia="zh-CN"/>
        </w:rPr>
        <w:t>。</w:t>
      </w:r>
    </w:p>
    <w:p>
      <w:pPr>
        <w:bidi w:val="0"/>
        <w:outlineLvl w:val="2"/>
        <w:rPr>
          <w:rFonts w:hint="default"/>
          <w:b/>
          <w:bCs/>
          <w:lang w:val="en-US" w:eastAsia="zh-CN"/>
        </w:rPr>
      </w:pPr>
      <w:bookmarkStart w:id="67" w:name="_Toc18691"/>
      <w:r>
        <w:rPr>
          <w:rFonts w:hint="eastAsia"/>
          <w:b/>
          <w:bCs/>
          <w:lang w:val="en-US" w:eastAsia="zh-CN"/>
        </w:rPr>
        <w:t>3.资金使用合规性</w:t>
      </w:r>
      <w:bookmarkEnd w:id="67"/>
    </w:p>
    <w:p>
      <w:pPr>
        <w:bidi w:val="0"/>
        <w:rPr>
          <w:rFonts w:hint="eastAsia"/>
          <w:highlight w:val="none"/>
          <w:lang w:eastAsia="zh-CN"/>
        </w:rPr>
      </w:pPr>
      <w:r>
        <w:rPr>
          <w:rFonts w:hint="eastAsia"/>
          <w:highlight w:val="none"/>
          <w:lang w:eastAsia="zh-CN"/>
        </w:rPr>
        <w:t>①符合国家财经法规和财务管理制度以及《</w:t>
      </w:r>
      <w:r>
        <w:rPr>
          <w:rFonts w:hint="eastAsia"/>
          <w:highlight w:val="none"/>
          <w:lang w:val="en-US" w:eastAsia="zh-CN"/>
        </w:rPr>
        <w:t>阜康市民政局</w:t>
      </w:r>
      <w:r>
        <w:rPr>
          <w:rFonts w:hint="eastAsia"/>
          <w:highlight w:val="none"/>
          <w:lang w:eastAsia="zh-CN"/>
        </w:rPr>
        <w:t>财经工作领导小组议事规则》《阜康</w:t>
      </w:r>
      <w:r>
        <w:rPr>
          <w:rFonts w:hint="eastAsia"/>
          <w:highlight w:val="none"/>
          <w:lang w:val="en-US" w:eastAsia="zh-CN"/>
        </w:rPr>
        <w:t>市民政</w:t>
      </w:r>
      <w:r>
        <w:rPr>
          <w:rFonts w:hint="eastAsia"/>
          <w:highlight w:val="none"/>
          <w:lang w:eastAsia="zh-CN"/>
        </w:rPr>
        <w:t>局财务管理制度》规定；</w:t>
      </w:r>
    </w:p>
    <w:p>
      <w:pPr>
        <w:bidi w:val="0"/>
        <w:rPr>
          <w:rFonts w:hint="eastAsia"/>
          <w:highlight w:val="none"/>
          <w:lang w:eastAsia="zh-CN"/>
        </w:rPr>
      </w:pPr>
      <w:r>
        <w:rPr>
          <w:rFonts w:hint="eastAsia"/>
          <w:highlight w:val="none"/>
          <w:lang w:eastAsia="zh-CN"/>
        </w:rPr>
        <w:t>②资金的拨付根据《</w:t>
      </w:r>
      <w:r>
        <w:rPr>
          <w:rFonts w:hint="eastAsia"/>
          <w:highlight w:val="none"/>
          <w:lang w:val="en-US" w:eastAsia="zh-CN"/>
        </w:rPr>
        <w:t>阜康市民政</w:t>
      </w:r>
      <w:r>
        <w:rPr>
          <w:rFonts w:hint="eastAsia"/>
          <w:highlight w:val="none"/>
          <w:lang w:eastAsia="zh-CN"/>
        </w:rPr>
        <w:t>局财务管理制度》审批程序和财务手续；</w:t>
      </w:r>
    </w:p>
    <w:p>
      <w:pPr>
        <w:bidi w:val="0"/>
        <w:rPr>
          <w:rFonts w:hint="eastAsia"/>
          <w:highlight w:val="none"/>
          <w:lang w:eastAsia="zh-CN"/>
        </w:rPr>
      </w:pPr>
      <w:r>
        <w:rPr>
          <w:rFonts w:hint="eastAsia"/>
          <w:highlight w:val="none"/>
          <w:lang w:eastAsia="zh-CN"/>
        </w:rPr>
        <w:t>③符合</w:t>
      </w:r>
      <w:r>
        <w:rPr>
          <w:rFonts w:hint="eastAsia"/>
          <w:color w:val="auto"/>
          <w:highlight w:val="none"/>
          <w:lang w:eastAsia="zh-CN"/>
        </w:rPr>
        <w:t>《80周岁以上老年人基本生活津贴制度》和《80周岁以上老年人免费体检制度》</w:t>
      </w:r>
      <w:r>
        <w:rPr>
          <w:rFonts w:hint="eastAsia"/>
          <w:highlight w:val="none"/>
          <w:lang w:val="en-US" w:eastAsia="zh-CN"/>
        </w:rPr>
        <w:t>政策</w:t>
      </w:r>
      <w:r>
        <w:rPr>
          <w:rFonts w:hint="eastAsia"/>
          <w:highlight w:val="none"/>
          <w:lang w:eastAsia="zh-CN"/>
        </w:rPr>
        <w:t>规定的用途；</w:t>
      </w:r>
    </w:p>
    <w:p>
      <w:pPr>
        <w:bidi w:val="0"/>
        <w:rPr>
          <w:rFonts w:hint="eastAsia"/>
          <w:highlight w:val="none"/>
          <w:lang w:eastAsia="zh-CN"/>
        </w:rPr>
      </w:pPr>
      <w:r>
        <w:rPr>
          <w:rFonts w:hint="eastAsia"/>
          <w:highlight w:val="none"/>
          <w:lang w:eastAsia="zh-CN"/>
        </w:rPr>
        <w:t>④</w:t>
      </w:r>
      <w:r>
        <w:rPr>
          <w:rFonts w:hint="eastAsia"/>
          <w:highlight w:val="none"/>
          <w:lang w:val="en-US" w:eastAsia="zh-CN"/>
        </w:rPr>
        <w:t>不</w:t>
      </w:r>
      <w:r>
        <w:rPr>
          <w:rFonts w:hint="eastAsia"/>
          <w:highlight w:val="none"/>
          <w:lang w:eastAsia="zh-CN"/>
        </w:rPr>
        <w:t>存在截留、挤占、挪用、虚列支出等情况。</w:t>
      </w:r>
    </w:p>
    <w:p>
      <w:pPr>
        <w:bidi w:val="0"/>
        <w:rPr>
          <w:rFonts w:hint="eastAsia"/>
          <w:highlight w:val="none"/>
          <w:lang w:eastAsia="zh-CN"/>
        </w:rPr>
      </w:pPr>
      <w:r>
        <w:rPr>
          <w:rFonts w:hint="eastAsia"/>
          <w:b/>
          <w:bCs/>
          <w:highlight w:val="none"/>
          <w:lang w:val="en-US" w:eastAsia="zh-CN"/>
        </w:rPr>
        <w:t>综上，该项指标满分</w:t>
      </w:r>
      <w:r>
        <w:rPr>
          <w:rFonts w:hint="eastAsia"/>
          <w:b/>
          <w:bCs/>
          <w:color w:val="auto"/>
          <w:highlight w:val="none"/>
          <w:lang w:val="en-US" w:eastAsia="zh-CN"/>
        </w:rPr>
        <w:t>4分</w:t>
      </w:r>
      <w:r>
        <w:rPr>
          <w:rFonts w:hint="eastAsia"/>
          <w:b/>
          <w:bCs/>
          <w:highlight w:val="none"/>
          <w:lang w:val="en-US" w:eastAsia="zh-CN"/>
        </w:rPr>
        <w:t>，得分</w:t>
      </w:r>
      <w:r>
        <w:rPr>
          <w:rFonts w:hint="eastAsia"/>
          <w:b/>
          <w:bCs/>
          <w:color w:val="auto"/>
          <w:highlight w:val="none"/>
          <w:lang w:val="en-US" w:eastAsia="zh-CN"/>
        </w:rPr>
        <w:t>4分。</w:t>
      </w:r>
    </w:p>
    <w:p>
      <w:pPr>
        <w:bidi w:val="0"/>
        <w:rPr>
          <w:rFonts w:hint="default"/>
          <w:b/>
          <w:bCs/>
          <w:lang w:val="en-US" w:eastAsia="zh-CN"/>
        </w:rPr>
      </w:pPr>
      <w:r>
        <w:rPr>
          <w:rFonts w:hint="eastAsia"/>
          <w:b/>
          <w:bCs/>
          <w:lang w:val="en-US" w:eastAsia="zh-CN"/>
        </w:rPr>
        <w:t>4.管理制度健全性</w:t>
      </w:r>
    </w:p>
    <w:p>
      <w:pPr>
        <w:bidi w:val="0"/>
        <w:rPr>
          <w:rFonts w:hint="eastAsia"/>
          <w:highlight w:val="none"/>
          <w:lang w:eastAsia="zh-CN"/>
        </w:rPr>
      </w:pPr>
      <w:r>
        <w:rPr>
          <w:rFonts w:hint="eastAsia"/>
          <w:highlight w:val="none"/>
          <w:lang w:eastAsia="zh-CN"/>
        </w:rPr>
        <w:t>①已制定或具有相应的财务和业务管理制度；为加强我单位预算管理、规范财务行为我单位制定了《</w:t>
      </w:r>
      <w:r>
        <w:rPr>
          <w:rFonts w:hint="eastAsia"/>
          <w:highlight w:val="none"/>
          <w:lang w:val="en-US" w:eastAsia="zh-CN"/>
        </w:rPr>
        <w:t>阜康市民政局</w:t>
      </w:r>
      <w:r>
        <w:rPr>
          <w:rFonts w:hint="eastAsia"/>
          <w:highlight w:val="none"/>
          <w:lang w:eastAsia="zh-CN"/>
        </w:rPr>
        <w:t>财经工作领导小组议事规则》《阜康</w:t>
      </w:r>
      <w:r>
        <w:rPr>
          <w:rFonts w:hint="eastAsia"/>
          <w:highlight w:val="none"/>
          <w:lang w:val="en-US" w:eastAsia="zh-CN"/>
        </w:rPr>
        <w:t>市民政</w:t>
      </w:r>
      <w:r>
        <w:rPr>
          <w:rFonts w:hint="eastAsia"/>
          <w:highlight w:val="none"/>
          <w:lang w:eastAsia="zh-CN"/>
        </w:rPr>
        <w:t>局财务管理制度》等资金管理制度；</w:t>
      </w:r>
    </w:p>
    <w:p>
      <w:pPr>
        <w:bidi w:val="0"/>
        <w:rPr>
          <w:rFonts w:hint="eastAsia"/>
          <w:highlight w:val="none"/>
          <w:lang w:eastAsia="zh-CN"/>
        </w:rPr>
      </w:pPr>
      <w:r>
        <w:rPr>
          <w:rFonts w:hint="eastAsia"/>
          <w:highlight w:val="none"/>
          <w:lang w:eastAsia="zh-CN"/>
        </w:rPr>
        <w:t>②财务和业务管理制度合法、合规、完整。</w:t>
      </w:r>
    </w:p>
    <w:p>
      <w:pPr>
        <w:bidi w:val="0"/>
        <w:rPr>
          <w:rFonts w:hint="eastAsia"/>
          <w:highlight w:val="none"/>
          <w:lang w:eastAsia="zh-CN"/>
        </w:rPr>
      </w:pPr>
      <w:r>
        <w:rPr>
          <w:rFonts w:hint="eastAsia"/>
          <w:b/>
          <w:bCs/>
          <w:highlight w:val="none"/>
          <w:lang w:val="en-US" w:eastAsia="zh-CN"/>
        </w:rPr>
        <w:t>综上，该项指标满分</w:t>
      </w:r>
      <w:r>
        <w:rPr>
          <w:rFonts w:hint="eastAsia"/>
          <w:b/>
          <w:bCs/>
          <w:color w:val="auto"/>
          <w:highlight w:val="none"/>
          <w:lang w:val="en-US" w:eastAsia="zh-CN"/>
        </w:rPr>
        <w:t>4分</w:t>
      </w:r>
      <w:r>
        <w:rPr>
          <w:rFonts w:hint="eastAsia"/>
          <w:b/>
          <w:bCs/>
          <w:highlight w:val="none"/>
          <w:lang w:val="en-US" w:eastAsia="zh-CN"/>
        </w:rPr>
        <w:t>，得分</w:t>
      </w:r>
      <w:r>
        <w:rPr>
          <w:rFonts w:hint="eastAsia"/>
          <w:b/>
          <w:bCs/>
          <w:color w:val="auto"/>
          <w:highlight w:val="none"/>
          <w:lang w:val="en-US" w:eastAsia="zh-CN"/>
        </w:rPr>
        <w:t>4分</w:t>
      </w:r>
      <w:r>
        <w:rPr>
          <w:rFonts w:hint="eastAsia"/>
          <w:b/>
          <w:bCs/>
          <w:highlight w:val="none"/>
          <w:lang w:val="en-US" w:eastAsia="zh-CN"/>
        </w:rPr>
        <w:t>。</w:t>
      </w:r>
    </w:p>
    <w:p>
      <w:pPr>
        <w:bidi w:val="0"/>
        <w:ind w:left="1403" w:leftChars="200" w:hanging="843" w:hangingChars="300"/>
        <w:outlineLvl w:val="2"/>
        <w:rPr>
          <w:rFonts w:hint="eastAsia"/>
          <w:b/>
          <w:bCs/>
          <w:lang w:val="en-US" w:eastAsia="zh-CN"/>
        </w:rPr>
      </w:pPr>
      <w:bookmarkStart w:id="68" w:name="_Toc31684"/>
      <w:r>
        <w:rPr>
          <w:rFonts w:hint="eastAsia"/>
          <w:b/>
          <w:bCs/>
          <w:lang w:val="en-US" w:eastAsia="zh-CN"/>
        </w:rPr>
        <w:t>5.制度执行有效性</w:t>
      </w:r>
      <w:bookmarkEnd w:id="68"/>
    </w:p>
    <w:p>
      <w:pPr>
        <w:bidi w:val="0"/>
        <w:rPr>
          <w:rFonts w:hint="eastAsia"/>
          <w:highlight w:val="none"/>
          <w:lang w:eastAsia="zh-CN"/>
        </w:rPr>
      </w:pPr>
      <w:r>
        <w:rPr>
          <w:rFonts w:hint="eastAsia"/>
          <w:highlight w:val="none"/>
          <w:lang w:eastAsia="zh-CN"/>
        </w:rPr>
        <w:t>①遵守《</w:t>
      </w:r>
      <w:r>
        <w:rPr>
          <w:rFonts w:hint="eastAsia"/>
          <w:highlight w:val="none"/>
          <w:lang w:val="en-US" w:eastAsia="zh-CN"/>
        </w:rPr>
        <w:t>阜康市民政局</w:t>
      </w:r>
      <w:r>
        <w:rPr>
          <w:rFonts w:hint="eastAsia"/>
          <w:highlight w:val="none"/>
          <w:lang w:eastAsia="zh-CN"/>
        </w:rPr>
        <w:t>财经工作领导小组议事规则》《阜康</w:t>
      </w:r>
      <w:r>
        <w:rPr>
          <w:rFonts w:hint="eastAsia"/>
          <w:highlight w:val="none"/>
          <w:lang w:val="en-US" w:eastAsia="zh-CN"/>
        </w:rPr>
        <w:t>市民政</w:t>
      </w:r>
      <w:r>
        <w:rPr>
          <w:rFonts w:hint="eastAsia"/>
          <w:highlight w:val="none"/>
          <w:lang w:eastAsia="zh-CN"/>
        </w:rPr>
        <w:t>局财务管理制度》等管理规定；</w:t>
      </w:r>
    </w:p>
    <w:p>
      <w:pPr>
        <w:bidi w:val="0"/>
        <w:rPr>
          <w:rFonts w:hint="eastAsia"/>
          <w:highlight w:val="none"/>
          <w:lang w:eastAsia="zh-CN"/>
        </w:rPr>
      </w:pPr>
      <w:r>
        <w:rPr>
          <w:rFonts w:hint="eastAsia"/>
          <w:highlight w:val="none"/>
          <w:lang w:eastAsia="zh-CN"/>
        </w:rPr>
        <w:t>②项目调整及支出调整手续完备；</w:t>
      </w:r>
      <w:r>
        <w:rPr>
          <w:rFonts w:hint="eastAsia"/>
          <w:highlight w:val="none"/>
          <w:lang w:val="en-US" w:eastAsia="zh-CN"/>
        </w:rPr>
        <w:t>年初预算资金548.52万元，调整为全年预算343.53万元，</w:t>
      </w:r>
      <w:r>
        <w:rPr>
          <w:rFonts w:hint="eastAsia"/>
          <w:highlight w:val="none"/>
          <w:lang w:eastAsia="zh-CN"/>
        </w:rPr>
        <w:t>经</w:t>
      </w:r>
      <w:r>
        <w:rPr>
          <w:rFonts w:hint="eastAsia"/>
          <w:highlight w:val="none"/>
          <w:lang w:val="en-US" w:eastAsia="zh-CN"/>
        </w:rPr>
        <w:t>财政局</w:t>
      </w:r>
      <w:r>
        <w:rPr>
          <w:rFonts w:hint="eastAsia"/>
          <w:highlight w:val="none"/>
          <w:lang w:eastAsia="zh-CN"/>
        </w:rPr>
        <w:t>领导签字的资金支付审批单，进行国库集中支付；</w:t>
      </w:r>
    </w:p>
    <w:p>
      <w:pPr>
        <w:bidi w:val="0"/>
        <w:rPr>
          <w:rFonts w:hint="eastAsia"/>
          <w:highlight w:val="none"/>
          <w:lang w:eastAsia="zh-CN"/>
        </w:rPr>
      </w:pPr>
      <w:r>
        <w:rPr>
          <w:rFonts w:hint="eastAsia"/>
          <w:highlight w:val="none"/>
          <w:lang w:eastAsia="zh-CN"/>
        </w:rPr>
        <w:t>③项目审批单、发票、项目支付审批单等资料齐全并及时归档；</w:t>
      </w:r>
    </w:p>
    <w:p>
      <w:pPr>
        <w:bidi w:val="0"/>
        <w:rPr>
          <w:rFonts w:hint="eastAsia"/>
          <w:highlight w:val="none"/>
          <w:lang w:eastAsia="zh-CN"/>
        </w:rPr>
      </w:pPr>
      <w:r>
        <w:rPr>
          <w:rFonts w:hint="eastAsia"/>
          <w:highlight w:val="none"/>
          <w:lang w:eastAsia="zh-CN"/>
        </w:rPr>
        <w:t>④项目实施的人员条件</w:t>
      </w:r>
      <w:r>
        <w:rPr>
          <w:rFonts w:hint="eastAsia"/>
          <w:highlight w:val="none"/>
          <w:shd w:val="clear"/>
          <w:lang w:eastAsia="zh-CN"/>
        </w:rPr>
        <w:t>、场地设备、信息支撑等落实到</w:t>
      </w:r>
      <w:r>
        <w:rPr>
          <w:rFonts w:hint="eastAsia"/>
          <w:highlight w:val="none"/>
          <w:lang w:eastAsia="zh-CN"/>
        </w:rPr>
        <w:t>位。</w:t>
      </w:r>
    </w:p>
    <w:p>
      <w:pPr>
        <w:bidi w:val="0"/>
        <w:rPr>
          <w:rFonts w:hint="eastAsia"/>
          <w:lang w:eastAsia="zh-CN"/>
        </w:rPr>
      </w:pPr>
      <w:r>
        <w:rPr>
          <w:rFonts w:hint="eastAsia"/>
          <w:b/>
          <w:bCs/>
          <w:lang w:val="en-US" w:eastAsia="zh-CN"/>
        </w:rPr>
        <w:t>综上，该项指标满分</w:t>
      </w:r>
      <w:r>
        <w:rPr>
          <w:rFonts w:hint="eastAsia"/>
          <w:b/>
          <w:bCs/>
          <w:color w:val="auto"/>
          <w:lang w:val="en-US" w:eastAsia="zh-CN"/>
        </w:rPr>
        <w:t>4分</w:t>
      </w:r>
      <w:r>
        <w:rPr>
          <w:rFonts w:hint="eastAsia"/>
          <w:b/>
          <w:bCs/>
          <w:lang w:val="en-US" w:eastAsia="zh-CN"/>
        </w:rPr>
        <w:t>，得分</w:t>
      </w:r>
      <w:r>
        <w:rPr>
          <w:rFonts w:hint="eastAsia"/>
          <w:b/>
          <w:bCs/>
          <w:color w:val="auto"/>
          <w:lang w:val="en-US" w:eastAsia="zh-CN"/>
        </w:rPr>
        <w:t>4分</w:t>
      </w:r>
      <w:r>
        <w:rPr>
          <w:rFonts w:hint="eastAsia"/>
          <w:b/>
          <w:bCs/>
          <w:lang w:val="en-US" w:eastAsia="zh-CN"/>
        </w:rPr>
        <w:t>。</w:t>
      </w:r>
    </w:p>
    <w:p>
      <w:pPr>
        <w:pStyle w:val="3"/>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69" w:name="_Toc16268"/>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项目产出情况</w:t>
      </w:r>
      <w:bookmarkEnd w:id="69"/>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7</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cs="宋体"/>
          <w:color w:val="auto"/>
          <w:kern w:val="2"/>
          <w:highlight w:val="none"/>
          <w:u w:color="000000"/>
          <w:shd w:val="clear" w:color="auto" w:fill="auto"/>
          <w:lang w:val="en-US" w:eastAsia="zh-CN"/>
        </w:rPr>
        <w:t>60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60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tblLayout w:type="fixed"/>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tblPrEx>
          <w:tblLayout w:type="fixed"/>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80周岁以上老年人免费体检次数</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1次</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享受80周岁以上高龄津贴的人次</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≥10000人次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14355人次</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Layout w:type="fixed"/>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惠及80周岁以上高龄老人实际占比</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Layout w:type="fixed"/>
          <w:tblCellMar>
            <w:top w:w="0" w:type="dxa"/>
            <w:left w:w="0" w:type="dxa"/>
            <w:bottom w:w="0" w:type="dxa"/>
            <w:right w:w="0" w:type="dxa"/>
          </w:tblCellMar>
        </w:tblPrEx>
        <w:trPr>
          <w:trHeight w:val="390" w:hRule="atLeast"/>
        </w:trPr>
        <w:tc>
          <w:tcPr>
            <w:tcW w:w="63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时效</w:t>
            </w:r>
            <w:r>
              <w:rPr>
                <w:rFonts w:hint="eastAsia" w:ascii="宋体" w:hAnsi="宋体" w:eastAsia="宋体" w:cs="宋体"/>
                <w:color w:val="auto"/>
                <w:kern w:val="0"/>
                <w:sz w:val="20"/>
                <w:szCs w:val="20"/>
                <w:highlight w:val="none"/>
                <w:shd w:val="clear" w:color="auto" w:fill="auto"/>
                <w:lang w:val="en-US" w:eastAsia="zh-CN"/>
              </w:rPr>
              <w:t>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补助资金发放及时率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trHeight w:val="410" w:hRule="atLeast"/>
        </w:trPr>
        <w:tc>
          <w:tcPr>
            <w:tcW w:w="63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成本</w:t>
            </w:r>
          </w:p>
        </w:tc>
        <w:tc>
          <w:tcPr>
            <w:tcW w:w="928"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成本</w:t>
            </w:r>
            <w:r>
              <w:rPr>
                <w:rFonts w:hint="eastAsia" w:ascii="宋体" w:hAnsi="宋体" w:eastAsia="宋体" w:cs="宋体"/>
                <w:color w:val="auto"/>
                <w:kern w:val="0"/>
                <w:sz w:val="20"/>
                <w:szCs w:val="20"/>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yellow"/>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80周岁（含80周岁）89周岁的老年人补助标准</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=100元/人/月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100元/人/月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trHeight w:val="428" w:hRule="atLeast"/>
        </w:trPr>
        <w:tc>
          <w:tcPr>
            <w:tcW w:w="63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yellow"/>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90周岁（含90周岁）89周岁的老年人补助标准</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=200元/人/月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r>
              <w:rPr>
                <w:rFonts w:hint="eastAsia" w:ascii="宋体" w:hAnsi="宋体" w:eastAsia="宋体" w:cs="宋体"/>
                <w:color w:val="auto"/>
                <w:kern w:val="0"/>
                <w:sz w:val="20"/>
                <w:szCs w:val="20"/>
                <w:highlight w:val="none"/>
                <w:shd w:val="clear" w:color="auto" w:fill="auto"/>
                <w:lang w:val="en-US" w:eastAsia="zh-CN"/>
              </w:rPr>
              <w:t>00元/人/月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trHeight w:val="428" w:hRule="atLeast"/>
        </w:trPr>
        <w:tc>
          <w:tcPr>
            <w:tcW w:w="63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yellow"/>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100周岁（含100周岁）89周岁的老年人补助标准</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=300元/人/月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r>
              <w:rPr>
                <w:rFonts w:hint="eastAsia" w:ascii="宋体" w:hAnsi="宋体" w:eastAsia="宋体" w:cs="宋体"/>
                <w:color w:val="auto"/>
                <w:kern w:val="0"/>
                <w:sz w:val="20"/>
                <w:szCs w:val="20"/>
                <w:highlight w:val="none"/>
                <w:shd w:val="clear" w:color="auto" w:fill="auto"/>
                <w:lang w:val="en-US" w:eastAsia="zh-CN"/>
              </w:rPr>
              <w:t>00元/人/月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Layout w:type="fixed"/>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eastAsia"/>
          <w:b/>
          <w:bCs/>
          <w:lang w:val="en-US" w:eastAsia="zh-CN"/>
        </w:rPr>
      </w:pPr>
      <w:bookmarkStart w:id="70" w:name="_Toc11067"/>
      <w:r>
        <w:rPr>
          <w:rFonts w:hint="eastAsia"/>
          <w:b/>
          <w:bCs/>
          <w:lang w:val="en-US" w:eastAsia="zh-CN"/>
        </w:rPr>
        <w:t>1.项目完成数量</w:t>
      </w:r>
      <w:bookmarkEnd w:id="70"/>
    </w:p>
    <w:p>
      <w:pPr>
        <w:bidi w:val="0"/>
        <w:rPr>
          <w:rFonts w:hint="eastAsia"/>
          <w:highlight w:val="none"/>
          <w:lang w:val="en-US" w:eastAsia="zh-CN"/>
        </w:rPr>
      </w:pPr>
      <w:r>
        <w:rPr>
          <w:rFonts w:hint="eastAsia"/>
          <w:lang w:eastAsia="zh-CN"/>
        </w:rPr>
        <w:t>“80周岁以上老年人免费体检次数”</w:t>
      </w:r>
      <w:r>
        <w:rPr>
          <w:rFonts w:hint="eastAsia"/>
          <w:lang w:val="en-US" w:eastAsia="zh-CN"/>
        </w:rPr>
        <w:t>指标，预期目标值为≥1次，实际完成为1次</w:t>
      </w:r>
      <w:r>
        <w:rPr>
          <w:rFonts w:hint="eastAsia"/>
          <w:highlight w:val="none"/>
          <w:lang w:val="en-US" w:eastAsia="zh-CN"/>
        </w:rPr>
        <w:t>。实际完成率=（1次/1次）×100%=100%。</w:t>
      </w:r>
    </w:p>
    <w:p>
      <w:pPr>
        <w:bidi w:val="0"/>
        <w:rPr>
          <w:rFonts w:hint="eastAsia"/>
          <w:b/>
          <w:bCs/>
          <w:lang w:val="en-US" w:eastAsia="zh-CN"/>
        </w:rPr>
      </w:pPr>
      <w:r>
        <w:rPr>
          <w:rFonts w:hint="eastAsia"/>
          <w:b/>
          <w:bCs/>
          <w:lang w:val="en-US" w:eastAsia="zh-CN"/>
        </w:rPr>
        <w:t>综上，该项指标满</w:t>
      </w:r>
      <w:r>
        <w:rPr>
          <w:rFonts w:hint="eastAsia"/>
          <w:b/>
          <w:bCs/>
          <w:color w:val="auto"/>
          <w:lang w:val="en-US" w:eastAsia="zh-CN"/>
        </w:rPr>
        <w:t>分3分，得分3分</w:t>
      </w:r>
      <w:r>
        <w:rPr>
          <w:rFonts w:hint="eastAsia"/>
          <w:b/>
          <w:bCs/>
          <w:lang w:val="en-US" w:eastAsia="zh-CN"/>
        </w:rPr>
        <w:t>。</w:t>
      </w:r>
    </w:p>
    <w:p>
      <w:pPr>
        <w:bidi w:val="0"/>
        <w:rPr>
          <w:rFonts w:hint="eastAsia"/>
          <w:lang w:val="en-US" w:eastAsia="zh-CN"/>
        </w:rPr>
      </w:pPr>
      <w:r>
        <w:rPr>
          <w:rFonts w:hint="eastAsia"/>
          <w:lang w:eastAsia="zh-CN"/>
        </w:rPr>
        <w:t>“享受80周岁以上高龄津贴的人次”</w:t>
      </w:r>
      <w:r>
        <w:rPr>
          <w:rFonts w:hint="eastAsia"/>
          <w:lang w:val="en-US" w:eastAsia="zh-CN"/>
        </w:rPr>
        <w:t>指标，预期目标值为≥10000人次，实际完成为14355人次。实际完成率100%。</w:t>
      </w:r>
    </w:p>
    <w:p>
      <w:pPr>
        <w:bidi w:val="0"/>
        <w:rPr>
          <w:rFonts w:hint="eastAsia"/>
          <w:lang w:eastAsia="zh-CN"/>
        </w:rPr>
      </w:pPr>
      <w:r>
        <w:rPr>
          <w:rFonts w:hint="eastAsia"/>
          <w:b/>
          <w:bCs/>
          <w:lang w:val="en-US" w:eastAsia="zh-CN"/>
        </w:rPr>
        <w:t>综上，该项指标满</w:t>
      </w:r>
      <w:r>
        <w:rPr>
          <w:rFonts w:hint="eastAsia"/>
          <w:b/>
          <w:bCs/>
          <w:color w:val="auto"/>
          <w:lang w:val="en-US" w:eastAsia="zh-CN"/>
        </w:rPr>
        <w:t>分3分，得分3分</w:t>
      </w:r>
      <w:r>
        <w:rPr>
          <w:rFonts w:hint="eastAsia"/>
          <w:b/>
          <w:bCs/>
          <w:lang w:val="en-US" w:eastAsia="zh-CN"/>
        </w:rPr>
        <w:t>。</w:t>
      </w:r>
    </w:p>
    <w:p>
      <w:pPr>
        <w:bidi w:val="0"/>
        <w:outlineLvl w:val="2"/>
        <w:rPr>
          <w:rFonts w:hint="default"/>
          <w:b/>
          <w:bCs/>
          <w:lang w:val="en-US" w:eastAsia="zh-CN"/>
        </w:rPr>
      </w:pPr>
      <w:bookmarkStart w:id="71" w:name="_Toc31739"/>
      <w:r>
        <w:rPr>
          <w:rFonts w:hint="eastAsia"/>
          <w:b/>
          <w:bCs/>
          <w:lang w:val="en-US" w:eastAsia="zh-CN"/>
        </w:rPr>
        <w:t>2.项目完成质量</w:t>
      </w:r>
      <w:bookmarkEnd w:id="71"/>
    </w:p>
    <w:p>
      <w:pPr>
        <w:bidi w:val="0"/>
        <w:rPr>
          <w:rFonts w:hint="eastAsia"/>
          <w:lang w:eastAsia="zh-CN"/>
        </w:rPr>
      </w:pPr>
      <w:r>
        <w:rPr>
          <w:rFonts w:hint="eastAsia"/>
          <w:lang w:eastAsia="zh-CN"/>
        </w:rPr>
        <w:t>“惠及80周岁以上高龄老人实际占比”</w:t>
      </w:r>
      <w:r>
        <w:rPr>
          <w:rFonts w:hint="eastAsia"/>
          <w:lang w:val="en-US" w:eastAsia="zh-CN"/>
        </w:rPr>
        <w:t>指标，预期目标值为≥90%，实际完成为90%。实际完成率100%。</w:t>
      </w:r>
    </w:p>
    <w:p>
      <w:pPr>
        <w:bidi w:val="0"/>
        <w:rPr>
          <w:rFonts w:hint="eastAsia"/>
          <w:lang w:eastAsia="zh-CN"/>
        </w:rPr>
      </w:pPr>
      <w:r>
        <w:rPr>
          <w:rFonts w:hint="eastAsia"/>
          <w:b/>
          <w:bCs/>
          <w:lang w:val="en-US" w:eastAsia="zh-CN"/>
        </w:rPr>
        <w:t>综上，该项指标满分4</w:t>
      </w:r>
      <w:r>
        <w:rPr>
          <w:rFonts w:hint="eastAsia"/>
          <w:b/>
          <w:bCs/>
          <w:color w:val="auto"/>
          <w:lang w:val="en-US" w:eastAsia="zh-CN"/>
        </w:rPr>
        <w:t>分，得分4分</w:t>
      </w:r>
      <w:r>
        <w:rPr>
          <w:rFonts w:hint="eastAsia"/>
          <w:b/>
          <w:bCs/>
          <w:lang w:val="en-US" w:eastAsia="zh-CN"/>
        </w:rPr>
        <w:t>。</w:t>
      </w:r>
    </w:p>
    <w:p>
      <w:pPr>
        <w:bidi w:val="0"/>
        <w:outlineLvl w:val="2"/>
        <w:rPr>
          <w:rFonts w:hint="default"/>
          <w:b/>
          <w:bCs/>
          <w:lang w:val="en-US" w:eastAsia="zh-CN"/>
        </w:rPr>
      </w:pPr>
      <w:bookmarkStart w:id="72" w:name="_Toc18307"/>
      <w:r>
        <w:rPr>
          <w:rFonts w:hint="eastAsia"/>
          <w:b/>
          <w:bCs/>
          <w:lang w:val="en-US" w:eastAsia="zh-CN"/>
        </w:rPr>
        <w:t>3.项目完成时效</w:t>
      </w:r>
      <w:bookmarkEnd w:id="72"/>
    </w:p>
    <w:p>
      <w:pPr>
        <w:bidi w:val="0"/>
        <w:rPr>
          <w:rFonts w:hint="eastAsia"/>
          <w:lang w:eastAsia="zh-CN"/>
        </w:rPr>
      </w:pPr>
      <w:r>
        <w:rPr>
          <w:rFonts w:hint="eastAsia"/>
          <w:lang w:eastAsia="zh-CN"/>
        </w:rPr>
        <w:t>“补助资金发放及时率”</w:t>
      </w:r>
      <w:r>
        <w:rPr>
          <w:rFonts w:hint="eastAsia"/>
          <w:lang w:val="en-US" w:eastAsia="zh-CN"/>
        </w:rPr>
        <w:t>指标，预期目标值为≥90%，实际完成为90%。实际完成率100%。</w:t>
      </w:r>
    </w:p>
    <w:p>
      <w:pPr>
        <w:bidi w:val="0"/>
        <w:rPr>
          <w:rFonts w:hint="eastAsia"/>
          <w:lang w:eastAsia="zh-CN"/>
        </w:rPr>
      </w:pPr>
      <w:r>
        <w:rPr>
          <w:rFonts w:hint="eastAsia"/>
          <w:b/>
          <w:bCs/>
          <w:lang w:val="en-US" w:eastAsia="zh-CN"/>
        </w:rPr>
        <w:t>综上，该项指标满分5</w:t>
      </w:r>
      <w:r>
        <w:rPr>
          <w:rFonts w:hint="eastAsia"/>
          <w:b/>
          <w:bCs/>
          <w:color w:val="auto"/>
          <w:lang w:val="en-US" w:eastAsia="zh-CN"/>
        </w:rPr>
        <w:t>分，得分5分</w:t>
      </w:r>
      <w:r>
        <w:rPr>
          <w:rFonts w:hint="eastAsia"/>
          <w:b/>
          <w:bCs/>
          <w:lang w:val="en-US" w:eastAsia="zh-CN"/>
        </w:rPr>
        <w:t>。</w:t>
      </w:r>
    </w:p>
    <w:p>
      <w:pPr>
        <w:bidi w:val="0"/>
        <w:outlineLvl w:val="2"/>
        <w:rPr>
          <w:rFonts w:hint="default"/>
          <w:b/>
          <w:bCs/>
          <w:lang w:val="en-US" w:eastAsia="zh-CN"/>
        </w:rPr>
      </w:pPr>
      <w:bookmarkStart w:id="73" w:name="_Toc32765"/>
      <w:r>
        <w:rPr>
          <w:rFonts w:hint="eastAsia"/>
          <w:b/>
          <w:bCs/>
          <w:lang w:val="en-US" w:eastAsia="zh-CN"/>
        </w:rPr>
        <w:t>4.项目完成成本</w:t>
      </w:r>
      <w:bookmarkEnd w:id="73"/>
    </w:p>
    <w:p>
      <w:pPr>
        <w:bidi w:val="0"/>
        <w:rPr>
          <w:rFonts w:hint="eastAsia"/>
          <w:lang w:eastAsia="zh-CN"/>
        </w:rPr>
      </w:pPr>
      <w:r>
        <w:rPr>
          <w:rFonts w:hint="eastAsia"/>
          <w:lang w:eastAsia="zh-CN"/>
        </w:rPr>
        <w:t>“80周岁（含80周岁）89周岁的老年人补助标准”</w:t>
      </w:r>
      <w:r>
        <w:rPr>
          <w:rFonts w:hint="eastAsia"/>
          <w:lang w:val="en-US" w:eastAsia="zh-CN"/>
        </w:rPr>
        <w:t>指标，预期目标值为=100元/人/月，实际完成为100元/人/月。实际完成率100%。</w:t>
      </w:r>
    </w:p>
    <w:p>
      <w:pPr>
        <w:bidi w:val="0"/>
        <w:rPr>
          <w:rFonts w:hint="eastAsia"/>
          <w:b/>
          <w:bCs/>
          <w:color w:val="auto"/>
          <w:lang w:val="en-US" w:eastAsia="zh-CN"/>
        </w:rPr>
      </w:pPr>
      <w:r>
        <w:rPr>
          <w:rFonts w:hint="eastAsia"/>
          <w:b/>
          <w:bCs/>
          <w:color w:val="auto"/>
          <w:lang w:val="en-US" w:eastAsia="zh-CN"/>
        </w:rPr>
        <w:t>综上，该项指标满分5分，得分5分。</w:t>
      </w:r>
    </w:p>
    <w:p>
      <w:pPr>
        <w:bidi w:val="0"/>
        <w:rPr>
          <w:rFonts w:hint="eastAsia"/>
          <w:lang w:eastAsia="zh-CN"/>
        </w:rPr>
      </w:pPr>
      <w:r>
        <w:rPr>
          <w:rFonts w:hint="eastAsia"/>
          <w:color w:val="auto"/>
          <w:lang w:eastAsia="zh-CN"/>
        </w:rPr>
        <w:t>“90周岁（含90周岁）89周岁的老年人补助标准”</w:t>
      </w:r>
      <w:r>
        <w:rPr>
          <w:rFonts w:hint="eastAsia"/>
          <w:color w:val="auto"/>
          <w:lang w:val="en-US" w:eastAsia="zh-CN"/>
        </w:rPr>
        <w:t>指标，预期目标值为=200元/人/月，实际完成为200元/人/月。实</w:t>
      </w:r>
      <w:r>
        <w:rPr>
          <w:rFonts w:hint="eastAsia"/>
          <w:lang w:val="en-US" w:eastAsia="zh-CN"/>
        </w:rPr>
        <w:t>际完成率100%。</w:t>
      </w:r>
    </w:p>
    <w:p>
      <w:pPr>
        <w:bidi w:val="0"/>
        <w:rPr>
          <w:rFonts w:hint="eastAsia"/>
          <w:color w:val="auto"/>
          <w:lang w:eastAsia="zh-CN"/>
        </w:rPr>
      </w:pPr>
      <w:r>
        <w:rPr>
          <w:rFonts w:hint="eastAsia"/>
          <w:b/>
          <w:bCs/>
          <w:color w:val="auto"/>
          <w:lang w:val="en-US" w:eastAsia="zh-CN"/>
        </w:rPr>
        <w:t>综上，该项指标满分5分，得分5分。</w:t>
      </w:r>
    </w:p>
    <w:p>
      <w:pPr>
        <w:bidi w:val="0"/>
        <w:rPr>
          <w:rFonts w:hint="eastAsia"/>
          <w:lang w:val="en-US" w:eastAsia="zh-CN"/>
        </w:rPr>
      </w:pPr>
      <w:r>
        <w:rPr>
          <w:rFonts w:hint="eastAsia"/>
          <w:color w:val="auto"/>
          <w:lang w:eastAsia="zh-CN"/>
        </w:rPr>
        <w:t>“100周岁（含100周岁）89周岁的老年人补助标准”</w:t>
      </w:r>
      <w:r>
        <w:rPr>
          <w:rFonts w:hint="eastAsia"/>
          <w:color w:val="auto"/>
          <w:lang w:val="en-US" w:eastAsia="zh-CN"/>
        </w:rPr>
        <w:t>指标，预期目标值为=300元/人/月，实际完成为300元/人/月。实</w:t>
      </w:r>
      <w:r>
        <w:rPr>
          <w:rFonts w:hint="eastAsia"/>
          <w:lang w:val="en-US" w:eastAsia="zh-CN"/>
        </w:rPr>
        <w:t>际完成率100%。</w:t>
      </w:r>
    </w:p>
    <w:p>
      <w:pPr>
        <w:bidi w:val="0"/>
        <w:rPr>
          <w:rFonts w:hint="eastAsia"/>
          <w:b/>
          <w:bCs/>
          <w:lang w:val="en-US" w:eastAsia="zh-CN"/>
        </w:rPr>
      </w:pPr>
      <w:r>
        <w:rPr>
          <w:rFonts w:hint="eastAsia"/>
          <w:b/>
          <w:bCs/>
          <w:color w:val="auto"/>
          <w:lang w:val="en-US" w:eastAsia="zh-CN"/>
        </w:rPr>
        <w:t>综上，该项指标满分5分，得分5分。</w:t>
      </w:r>
    </w:p>
    <w:p>
      <w:pPr>
        <w:pStyle w:val="3"/>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bookmarkStart w:id="74" w:name="_Toc18446"/>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四</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项目效益情况</w:t>
      </w:r>
      <w:bookmarkEnd w:id="74"/>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11"/>
        <w:tblW w:w="8372" w:type="dxa"/>
        <w:jc w:val="center"/>
        <w:tblInd w:w="0" w:type="dxa"/>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tblLayout w:type="fixed"/>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bookmarkStart w:id="75" w:name="_Toc8010"/>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Layout w:type="fixed"/>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高龄老人的生活质量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Layout w:type="fixed"/>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80周岁以上高龄老人满意度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tblPrEx>
          <w:tblLayout w:type="fixed"/>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default"/>
          <w:b/>
          <w:bCs/>
          <w:lang w:val="en-US" w:eastAsia="zh-CN"/>
        </w:rPr>
      </w:pPr>
      <w:r>
        <w:rPr>
          <w:rFonts w:hint="eastAsia"/>
          <w:b/>
          <w:bCs/>
          <w:lang w:val="en-US" w:eastAsia="zh-CN"/>
        </w:rPr>
        <w:t>1.经济效益指标</w:t>
      </w:r>
    </w:p>
    <w:p>
      <w:pPr>
        <w:bidi w:val="0"/>
        <w:rPr>
          <w:rFonts w:hint="eastAsia"/>
          <w:b/>
          <w:bCs/>
          <w:lang w:val="en-US" w:eastAsia="zh-CN"/>
        </w:rPr>
      </w:pPr>
      <w:r>
        <w:rPr>
          <w:rFonts w:hint="eastAsia"/>
          <w:lang w:val="en-US" w:eastAsia="zh-CN"/>
        </w:rPr>
        <w:t>本项目不涉及经济效益指标。</w:t>
      </w:r>
    </w:p>
    <w:p>
      <w:pPr>
        <w:bidi w:val="0"/>
        <w:outlineLvl w:val="2"/>
        <w:rPr>
          <w:rFonts w:hint="eastAsia"/>
          <w:b/>
          <w:bCs/>
          <w:lang w:val="en-US" w:eastAsia="zh-CN"/>
        </w:rPr>
      </w:pPr>
      <w:bookmarkStart w:id="76" w:name="_Toc27006"/>
      <w:r>
        <w:rPr>
          <w:rFonts w:hint="eastAsia"/>
          <w:b/>
          <w:bCs/>
          <w:lang w:val="en-US" w:eastAsia="zh-CN"/>
        </w:rPr>
        <w:t>2.社会效益指标</w:t>
      </w:r>
      <w:bookmarkEnd w:id="76"/>
    </w:p>
    <w:p>
      <w:pPr>
        <w:bidi w:val="0"/>
        <w:rPr>
          <w:rFonts w:hint="eastAsia"/>
          <w:b w:val="0"/>
          <w:bCs w:val="0"/>
          <w:lang w:val="en-US" w:eastAsia="zh-CN"/>
        </w:rPr>
      </w:pPr>
      <w:r>
        <w:rPr>
          <w:rFonts w:hint="eastAsia" w:ascii="宋体" w:hAnsi="宋体" w:eastAsia="宋体" w:cs="宋体"/>
          <w:lang w:val="en-US" w:eastAsia="zh-CN"/>
        </w:rPr>
        <w:t>“高龄老人的生活质量”</w:t>
      </w:r>
      <w:r>
        <w:rPr>
          <w:rFonts w:hint="eastAsia"/>
          <w:lang w:val="en-US" w:eastAsia="zh-CN"/>
        </w:rPr>
        <w:t>指标，预期目标值为提高，实际完成为100%。</w:t>
      </w:r>
      <w:r>
        <w:rPr>
          <w:rFonts w:hint="eastAsia"/>
          <w:color w:val="auto"/>
          <w:lang w:val="en-US" w:eastAsia="zh-CN"/>
        </w:rPr>
        <w:t>实</w:t>
      </w:r>
      <w:r>
        <w:rPr>
          <w:rFonts w:hint="eastAsia"/>
          <w:lang w:val="en-US" w:eastAsia="zh-CN"/>
        </w:rPr>
        <w:t>际完成率100%。</w:t>
      </w:r>
    </w:p>
    <w:p>
      <w:pPr>
        <w:bidi w:val="0"/>
        <w:rPr>
          <w:rFonts w:hint="eastAsia"/>
          <w:b w:val="0"/>
          <w:bCs w:val="0"/>
          <w:highlight w:val="none"/>
          <w:lang w:val="en-US" w:eastAsia="zh-CN"/>
        </w:rPr>
      </w:pPr>
      <w:r>
        <w:rPr>
          <w:rFonts w:hint="eastAsia"/>
          <w:b w:val="0"/>
          <w:bCs w:val="0"/>
          <w:highlight w:val="none"/>
          <w:lang w:val="en-US" w:eastAsia="zh-CN"/>
        </w:rPr>
        <w:t>通过项目的实施，解决80岁以上高龄老人的基本生活困难、提高他们的生活和生命质量，是弘扬中华民族敬老、爱老、养老传统美德的德政工程，是关心关怀为新疆建设和发展作出贡献的各族老年人的暖心工程和惠民工程。</w:t>
      </w:r>
    </w:p>
    <w:p>
      <w:pPr>
        <w:bidi w:val="0"/>
        <w:rPr>
          <w:rFonts w:hint="eastAsia"/>
          <w:lang w:val="en-US" w:eastAsia="zh-CN"/>
        </w:rPr>
      </w:pPr>
      <w:r>
        <w:rPr>
          <w:rFonts w:hint="eastAsia"/>
          <w:b/>
          <w:bCs/>
          <w:lang w:val="en-US" w:eastAsia="zh-CN"/>
        </w:rPr>
        <w:t>综上，该项指标满分15</w:t>
      </w:r>
      <w:r>
        <w:rPr>
          <w:rFonts w:hint="eastAsia"/>
          <w:b/>
          <w:bCs/>
          <w:color w:val="auto"/>
          <w:lang w:val="en-US" w:eastAsia="zh-CN"/>
        </w:rPr>
        <w:t>分，得分15分</w:t>
      </w:r>
      <w:r>
        <w:rPr>
          <w:rFonts w:hint="eastAsia"/>
          <w:b/>
          <w:bCs/>
          <w:lang w:val="en-US" w:eastAsia="zh-CN"/>
        </w:rPr>
        <w:t>。</w:t>
      </w:r>
    </w:p>
    <w:p>
      <w:pPr>
        <w:bidi w:val="0"/>
        <w:outlineLvl w:val="2"/>
        <w:rPr>
          <w:rFonts w:hint="eastAsia"/>
          <w:lang w:val="en-US" w:eastAsia="zh-CN"/>
        </w:rPr>
      </w:pPr>
      <w:bookmarkStart w:id="77" w:name="_Toc23106"/>
      <w:r>
        <w:rPr>
          <w:rFonts w:hint="eastAsia"/>
          <w:b/>
          <w:bCs/>
          <w:lang w:val="en-US" w:eastAsia="zh-CN"/>
        </w:rPr>
        <w:t>3.生态效益指标</w:t>
      </w:r>
      <w:bookmarkEnd w:id="77"/>
    </w:p>
    <w:p>
      <w:pPr>
        <w:bidi w:val="0"/>
        <w:rPr>
          <w:rFonts w:hint="eastAsia"/>
          <w:b/>
          <w:bCs/>
          <w:lang w:val="en-US" w:eastAsia="zh-CN"/>
        </w:rPr>
      </w:pPr>
      <w:r>
        <w:rPr>
          <w:rFonts w:hint="eastAsia"/>
          <w:lang w:val="en-US" w:eastAsia="zh-CN"/>
        </w:rPr>
        <w:t>本项目不涉及生态效益指标。</w:t>
      </w:r>
    </w:p>
    <w:p>
      <w:pPr>
        <w:bidi w:val="0"/>
        <w:outlineLvl w:val="2"/>
        <w:rPr>
          <w:rFonts w:hint="eastAsia"/>
          <w:b/>
          <w:bCs/>
          <w:lang w:val="en-US" w:eastAsia="zh-CN"/>
        </w:rPr>
      </w:pPr>
      <w:r>
        <w:rPr>
          <w:rFonts w:hint="eastAsia"/>
          <w:b/>
          <w:bCs/>
          <w:lang w:val="en-US" w:eastAsia="zh-CN"/>
        </w:rPr>
        <w:t>4.满意度指标</w:t>
      </w:r>
    </w:p>
    <w:p>
      <w:pPr>
        <w:bidi w:val="0"/>
        <w:rPr>
          <w:rFonts w:hint="eastAsia"/>
          <w:b/>
          <w:bCs/>
          <w:lang w:val="en-US" w:eastAsia="zh-CN"/>
        </w:rPr>
      </w:pPr>
      <w:r>
        <w:rPr>
          <w:rFonts w:hint="eastAsia"/>
          <w:lang w:eastAsia="zh-CN"/>
        </w:rPr>
        <w:t>“80周岁以上高龄老人满意度”</w:t>
      </w:r>
      <w:r>
        <w:rPr>
          <w:rFonts w:hint="eastAsia"/>
          <w:lang w:val="en-US" w:eastAsia="zh-CN"/>
        </w:rPr>
        <w:t>指标，预期目标值为≥90%，实际完成为90%。</w:t>
      </w:r>
      <w:r>
        <w:rPr>
          <w:rFonts w:hint="eastAsia"/>
          <w:color w:val="auto"/>
          <w:lang w:val="en-US" w:eastAsia="zh-CN"/>
        </w:rPr>
        <w:t>实</w:t>
      </w:r>
      <w:r>
        <w:rPr>
          <w:rFonts w:hint="eastAsia"/>
          <w:lang w:val="en-US" w:eastAsia="zh-CN"/>
        </w:rPr>
        <w:t>际完成率100%。</w:t>
      </w:r>
    </w:p>
    <w:p>
      <w:pPr>
        <w:bidi w:val="0"/>
        <w:rPr>
          <w:rFonts w:hint="eastAsia"/>
          <w:b/>
          <w:bCs/>
          <w:color w:val="auto"/>
          <w:lang w:val="en-US" w:eastAsia="zh-CN"/>
        </w:rPr>
      </w:pPr>
      <w:r>
        <w:rPr>
          <w:rFonts w:hint="eastAsia"/>
          <w:b/>
          <w:bCs/>
          <w:lang w:val="en-US" w:eastAsia="zh-CN"/>
        </w:rPr>
        <w:t>综上，该项指标满分</w:t>
      </w:r>
      <w:r>
        <w:rPr>
          <w:rFonts w:hint="eastAsia"/>
          <w:b/>
          <w:bCs/>
          <w:color w:val="auto"/>
          <w:lang w:val="en-US" w:eastAsia="zh-CN"/>
        </w:rPr>
        <w:t>15分，得分15分</w:t>
      </w:r>
      <w:r>
        <w:rPr>
          <w:rFonts w:hint="eastAsia"/>
          <w:b/>
          <w:bCs/>
          <w:lang w:val="en-US" w:eastAsia="zh-CN"/>
        </w:rPr>
        <w:t>。</w:t>
      </w:r>
      <w:bookmarkEnd w:id="75"/>
    </w:p>
    <w:p>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78" w:name="_Toc19962"/>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五、预算执行进度与指标偏差</w:t>
      </w:r>
      <w:bookmarkEnd w:id="78"/>
    </w:p>
    <w:p>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cs="仿宋_GB2312"/>
          <w:color w:val="000000" w:themeColor="text1"/>
          <w:sz w:val="28"/>
          <w:szCs w:val="28"/>
          <w:lang w:val="en-US" w:eastAsia="zh-CN"/>
          <w14:textFill>
            <w14:solidFill>
              <w14:schemeClr w14:val="tx1"/>
            </w14:solidFill>
          </w14:textFill>
        </w:rPr>
      </w:pPr>
      <w:r>
        <w:rPr>
          <w:rFonts w:hint="eastAsia" w:cs="仿宋_GB2312"/>
          <w:color w:val="000000" w:themeColor="text1"/>
          <w:sz w:val="28"/>
          <w:szCs w:val="28"/>
          <w:lang w:val="en-US" w:eastAsia="zh-CN"/>
          <w14:textFill>
            <w14:solidFill>
              <w14:schemeClr w14:val="tx1"/>
            </w14:solidFill>
          </w14:textFill>
        </w:rPr>
        <w:t>该</w:t>
      </w:r>
      <w:r>
        <w:rPr>
          <w:rFonts w:hint="eastAsia" w:cs="仿宋_GB2312"/>
          <w:color w:val="000000" w:themeColor="text1"/>
          <w:sz w:val="28"/>
          <w:szCs w:val="28"/>
          <w:lang w:eastAsia="zh-CN"/>
          <w14:textFill>
            <w14:solidFill>
              <w14:schemeClr w14:val="tx1"/>
            </w14:solidFill>
          </w14:textFill>
        </w:rPr>
        <w:t>项目预算资金总额为343.53</w:t>
      </w:r>
      <w:r>
        <w:rPr>
          <w:rFonts w:hint="eastAsia" w:cs="仿宋_GB2312"/>
          <w:color w:val="000000" w:themeColor="text1"/>
          <w:sz w:val="28"/>
          <w:szCs w:val="28"/>
          <w:lang w:val="en-US" w:eastAsia="zh-CN"/>
          <w14:textFill>
            <w14:solidFill>
              <w14:schemeClr w14:val="tx1"/>
            </w14:solidFill>
          </w14:textFill>
        </w:rPr>
        <w:t>万元，全年执行数为343.53万元，预算执行率为100%，</w:t>
      </w:r>
      <w:r>
        <w:rPr>
          <w:rFonts w:hint="eastAsia" w:cs="仿宋_GB2312"/>
          <w:color w:val="000000" w:themeColor="text1"/>
          <w:sz w:val="28"/>
          <w:szCs w:val="28"/>
          <w:lang w:eastAsia="zh-CN"/>
          <w14:textFill>
            <w14:solidFill>
              <w14:schemeClr w14:val="tx1"/>
            </w14:solidFill>
          </w14:textFill>
        </w:rPr>
        <w:t>总体完成率</w:t>
      </w:r>
      <w:r>
        <w:rPr>
          <w:rFonts w:hint="eastAsia" w:cs="仿宋_GB2312"/>
          <w:color w:val="auto"/>
          <w:sz w:val="28"/>
          <w:szCs w:val="28"/>
          <w:lang w:eastAsia="zh-CN"/>
        </w:rPr>
        <w:t>为</w:t>
      </w:r>
      <w:r>
        <w:rPr>
          <w:rFonts w:hint="eastAsia"/>
          <w:b w:val="0"/>
          <w:bCs w:val="0"/>
          <w:color w:val="auto"/>
          <w:lang w:val="en-US" w:eastAsia="zh-CN"/>
        </w:rPr>
        <w:t>100</w:t>
      </w:r>
      <w:r>
        <w:rPr>
          <w:rFonts w:hint="eastAsia" w:cs="仿宋_GB2312"/>
          <w:color w:val="000000" w:themeColor="text1"/>
          <w:sz w:val="28"/>
          <w:szCs w:val="28"/>
          <w:lang w:val="zh-TW" w:eastAsia="zh-TW"/>
          <w14:textFill>
            <w14:solidFill>
              <w14:schemeClr w14:val="tx1"/>
            </w14:solidFill>
          </w14:textFill>
        </w:rPr>
        <w:t>%。</w:t>
      </w:r>
      <w:r>
        <w:rPr>
          <w:rFonts w:hint="eastAsia" w:cs="仿宋_GB2312"/>
          <w:color w:val="000000" w:themeColor="text1"/>
          <w:sz w:val="28"/>
          <w:szCs w:val="28"/>
          <w:lang w:val="en-US" w:eastAsia="zh-CN"/>
          <w14:textFill>
            <w14:solidFill>
              <w14:schemeClr w14:val="tx1"/>
            </w14:solidFill>
          </w14:textFill>
        </w:rPr>
        <w:t>预算执行率与总体完成率之间的偏差为0，无</w:t>
      </w:r>
      <w:r>
        <w:rPr>
          <w:rFonts w:hint="eastAsia"/>
          <w:color w:val="000000" w:themeColor="text1"/>
          <w14:textFill>
            <w14:solidFill>
              <w14:schemeClr w14:val="tx1"/>
            </w14:solidFill>
          </w14:textFill>
        </w:rPr>
        <w:t>偏差</w:t>
      </w:r>
      <w:r>
        <w:rPr>
          <w:rFonts w:hint="eastAsia" w:ascii="仿宋_GB2312" w:hAnsi="仿宋_GB2312" w:cs="仿宋_GB2312"/>
          <w:color w:val="000000" w:themeColor="text1"/>
          <w:sz w:val="28"/>
          <w:szCs w:val="28"/>
          <w14:textFill>
            <w14:solidFill>
              <w14:schemeClr w14:val="tx1"/>
            </w14:solidFill>
          </w14:textFill>
        </w:rPr>
        <w:t>。</w:t>
      </w:r>
    </w:p>
    <w:p>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79" w:name="_Toc29934"/>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六、主要经验及做法、存在的问题及原因分析</w:t>
      </w:r>
      <w:bookmarkEnd w:id="79"/>
    </w:p>
    <w:p>
      <w:pPr>
        <w:numPr>
          <w:ilvl w:val="0"/>
          <w:numId w:val="0"/>
        </w:numPr>
        <w:bidi w:val="0"/>
        <w:ind w:left="560" w:leftChars="0"/>
        <w:outlineLvl w:val="1"/>
        <w:rPr>
          <w:rFonts w:hint="eastAsia"/>
          <w:b/>
          <w:bCs/>
          <w:color w:val="auto"/>
          <w:lang w:eastAsia="zh-CN"/>
        </w:rPr>
      </w:pPr>
      <w:bookmarkStart w:id="80" w:name="_Toc13160"/>
      <w:bookmarkStart w:id="81" w:name="_Toc28290"/>
      <w:bookmarkStart w:id="82" w:name="_Toc1921"/>
      <w:r>
        <w:rPr>
          <w:rFonts w:hint="eastAsia"/>
          <w:b/>
          <w:bCs/>
          <w:color w:val="auto"/>
          <w:lang w:eastAsia="zh-CN"/>
        </w:rPr>
        <w:t>（</w:t>
      </w:r>
      <w:r>
        <w:rPr>
          <w:rFonts w:hint="eastAsia"/>
          <w:b/>
          <w:bCs/>
          <w:color w:val="auto"/>
          <w:lang w:val="en-US" w:eastAsia="zh-CN"/>
        </w:rPr>
        <w:t>一</w:t>
      </w:r>
      <w:r>
        <w:rPr>
          <w:rFonts w:hint="eastAsia"/>
          <w:b/>
          <w:bCs/>
          <w:color w:val="auto"/>
          <w:lang w:eastAsia="zh-CN"/>
        </w:rPr>
        <w:t>）</w:t>
      </w:r>
      <w:r>
        <w:rPr>
          <w:rFonts w:hint="eastAsia"/>
          <w:b/>
          <w:bCs/>
          <w:color w:val="auto"/>
        </w:rPr>
        <w:t>主要经验及做法</w:t>
      </w:r>
      <w:bookmarkEnd w:id="80"/>
    </w:p>
    <w:p>
      <w:pPr>
        <w:bidi w:val="0"/>
        <w:rPr>
          <w:rFonts w:hint="eastAsia"/>
          <w:color w:val="auto"/>
          <w:lang w:eastAsia="zh-CN"/>
        </w:rPr>
      </w:pPr>
      <w:r>
        <w:rPr>
          <w:rFonts w:hint="eastAsia"/>
          <w:color w:val="auto"/>
          <w:lang w:val="en-US" w:eastAsia="zh-CN"/>
        </w:rPr>
        <w:t>2023年高龄津贴及体检费项目</w:t>
      </w:r>
      <w:r>
        <w:rPr>
          <w:rFonts w:hint="eastAsia"/>
          <w:color w:val="auto"/>
          <w:lang w:eastAsia="zh-CN"/>
        </w:rPr>
        <w:t>20</w:t>
      </w:r>
      <w:r>
        <w:rPr>
          <w:rFonts w:hint="eastAsia"/>
          <w:color w:val="auto"/>
          <w:lang w:val="en-US" w:eastAsia="zh-CN"/>
        </w:rPr>
        <w:t>23</w:t>
      </w:r>
      <w:r>
        <w:rPr>
          <w:rFonts w:hint="eastAsia"/>
          <w:color w:val="auto"/>
          <w:lang w:eastAsia="zh-CN"/>
        </w:rPr>
        <w:t>年预算</w:t>
      </w:r>
      <w:r>
        <w:rPr>
          <w:rFonts w:hint="eastAsia"/>
          <w:color w:val="auto"/>
          <w:lang w:val="en-US" w:eastAsia="zh-CN"/>
        </w:rPr>
        <w:t>数</w:t>
      </w:r>
      <w:r>
        <w:rPr>
          <w:rFonts w:hint="eastAsia"/>
          <w:color w:val="auto"/>
          <w:lang w:eastAsia="zh-CN"/>
        </w:rPr>
        <w:t>为343.53万元，</w:t>
      </w:r>
      <w:r>
        <w:rPr>
          <w:rFonts w:hint="eastAsia"/>
          <w:color w:val="auto"/>
          <w:lang w:val="en-US" w:eastAsia="zh-CN"/>
        </w:rPr>
        <w:t>截至2023年12月31日共</w:t>
      </w:r>
      <w:r>
        <w:rPr>
          <w:rFonts w:hint="eastAsia"/>
          <w:color w:val="auto"/>
          <w:lang w:eastAsia="zh-CN"/>
        </w:rPr>
        <w:t>支出343.53万元，预算</w:t>
      </w:r>
      <w:r>
        <w:rPr>
          <w:rFonts w:hint="eastAsia"/>
          <w:color w:val="auto"/>
          <w:lang w:val="en-US" w:eastAsia="zh-CN"/>
        </w:rPr>
        <w:t>执行</w:t>
      </w:r>
      <w:r>
        <w:rPr>
          <w:rFonts w:hint="eastAsia"/>
          <w:color w:val="auto"/>
          <w:lang w:eastAsia="zh-CN"/>
        </w:rPr>
        <w:t>率为</w:t>
      </w:r>
      <w:r>
        <w:rPr>
          <w:rFonts w:hint="eastAsia"/>
          <w:color w:val="auto"/>
          <w:lang w:val="en-US" w:eastAsia="zh-CN"/>
        </w:rPr>
        <w:t>100</w:t>
      </w:r>
      <w:r>
        <w:rPr>
          <w:rFonts w:hint="eastAsia"/>
          <w:color w:val="auto"/>
          <w:lang w:eastAsia="zh-CN"/>
        </w:rPr>
        <w:t>%。</w:t>
      </w:r>
    </w:p>
    <w:p>
      <w:pPr>
        <w:bidi w:val="0"/>
        <w:rPr>
          <w:rFonts w:hint="eastAsia"/>
          <w:color w:val="auto"/>
          <w:lang w:eastAsia="zh-CN"/>
        </w:rPr>
      </w:pPr>
      <w:r>
        <w:rPr>
          <w:rFonts w:hint="eastAsia"/>
          <w:color w:val="auto"/>
          <w:lang w:eastAsia="zh-CN"/>
        </w:rPr>
        <w:t>阜康市民政局建立健全了预算管理规章制度，各部门严格按照预算编制的原则和要求做好当年预算编制工作，在预算绩效管理工作中，做到合理安排各项资金，重点保障基本支出，按轻重缓急顺序原则，优先安排了阜康市民政局事业发展中关系民生与稳定的项目，切实优化资源配置，提高了资金使用的效率和效果。</w:t>
      </w:r>
    </w:p>
    <w:bookmarkEnd w:id="81"/>
    <w:bookmarkEnd w:id="82"/>
    <w:p>
      <w:pPr>
        <w:bidi w:val="0"/>
        <w:outlineLvl w:val="1"/>
        <w:rPr>
          <w:rFonts w:hint="eastAsia"/>
          <w:b/>
          <w:bCs/>
          <w:lang w:eastAsia="zh-CN"/>
        </w:rPr>
      </w:pPr>
      <w:bookmarkStart w:id="83" w:name="_Toc9582"/>
      <w:r>
        <w:rPr>
          <w:rFonts w:hint="eastAsia"/>
          <w:b/>
          <w:bCs/>
          <w:lang w:eastAsia="zh-CN"/>
        </w:rPr>
        <w:t>（</w:t>
      </w:r>
      <w:r>
        <w:rPr>
          <w:rFonts w:hint="eastAsia"/>
          <w:b/>
          <w:bCs/>
          <w:lang w:val="en-US" w:eastAsia="zh-CN"/>
        </w:rPr>
        <w:t>二</w:t>
      </w:r>
      <w:r>
        <w:rPr>
          <w:rFonts w:hint="eastAsia"/>
          <w:b/>
          <w:bCs/>
          <w:lang w:eastAsia="zh-CN"/>
        </w:rPr>
        <w:t>）</w:t>
      </w:r>
      <w:r>
        <w:rPr>
          <w:rFonts w:hint="eastAsia"/>
          <w:b/>
          <w:bCs/>
        </w:rPr>
        <w:t>存在的问题及原因分析</w:t>
      </w:r>
      <w:bookmarkEnd w:id="83"/>
    </w:p>
    <w:p>
      <w:pPr>
        <w:bidi w:val="0"/>
        <w:rPr>
          <w:rFonts w:hint="eastAsia"/>
          <w:color w:val="auto"/>
          <w:highlight w:val="yellow"/>
          <w:lang w:val="en-US" w:eastAsia="zh-CN"/>
        </w:rPr>
      </w:pPr>
      <w:r>
        <w:rPr>
          <w:rFonts w:hint="eastAsia"/>
          <w:color w:val="auto"/>
          <w:lang w:val="en-US" w:eastAsia="zh-CN"/>
        </w:rPr>
        <w:t>（1）我单位80周岁以上高龄津贴政策宣传还不到位，仍然存在部分老年人因不清楚高龄老人津补贴这一项定而没有按期申报，导致没有享受到其应该享受到的保障，影响了该项政策对于高龄老人这一群体的普惠性。</w:t>
      </w:r>
    </w:p>
    <w:p>
      <w:pPr>
        <w:bidi w:val="0"/>
        <w:rPr>
          <w:rFonts w:hint="default"/>
          <w:color w:val="auto"/>
          <w:lang w:val="en-US" w:eastAsia="zh-CN"/>
        </w:rPr>
      </w:pPr>
      <w:r>
        <w:rPr>
          <w:rFonts w:hint="eastAsia"/>
          <w:color w:val="auto"/>
          <w:lang w:val="en-US" w:eastAsia="zh-CN"/>
        </w:rPr>
        <w:t>（2）政策保障范围外人员享受高龄老人津补贴。根据政策规定，因户口外迁和去世的老年人，从次月起停发高龄津补贴。但是在检查中发现仍然存在对80周岁以上已死亡人员发放高龄老人津补贴的情况。</w:t>
      </w:r>
    </w:p>
    <w:p>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4" w:name="_Toc5230"/>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七、有关建议</w:t>
      </w:r>
      <w:bookmarkEnd w:id="84"/>
    </w:p>
    <w:p>
      <w:pPr>
        <w:bidi w:val="0"/>
        <w:rPr>
          <w:rFonts w:hint="eastAsia"/>
          <w:color w:val="auto"/>
          <w:lang w:val="en-US" w:eastAsia="zh-CN"/>
        </w:rPr>
      </w:pPr>
      <w:bookmarkStart w:id="85" w:name="_Toc20454"/>
      <w:r>
        <w:rPr>
          <w:rFonts w:hint="eastAsia"/>
          <w:color w:val="auto"/>
          <w:lang w:val="en-US" w:eastAsia="zh-CN"/>
        </w:rPr>
        <w:t>（1）</w:t>
      </w:r>
      <w:bookmarkEnd w:id="85"/>
      <w:r>
        <w:rPr>
          <w:rFonts w:hint="eastAsia"/>
          <w:color w:val="auto"/>
          <w:lang w:val="en-US" w:eastAsia="zh-CN"/>
        </w:rPr>
        <w:t>要加大宣传，拓宽政策知晓面。一方面，通过社区宣传栏、广播及发放各类高龄津补贴宣传单等措施，使更多老年人知晓此项惠民政策，并按要求及时到户籍所在社区办理享受手续。另一方面，不定期从公安部门获得高龄老人信息后与已享受津补贴人员进行比对，有针对性地对年龄达标仍未申报老人进行宣传，真正做到不留死角，全面覆盖。</w:t>
      </w:r>
    </w:p>
    <w:p>
      <w:pPr>
        <w:bidi w:val="0"/>
        <w:rPr>
          <w:rFonts w:hint="default"/>
          <w:color w:val="auto"/>
          <w:lang w:val="en-US" w:eastAsia="zh-CN"/>
        </w:rPr>
      </w:pPr>
      <w:r>
        <w:rPr>
          <w:rFonts w:hint="eastAsia"/>
          <w:color w:val="auto"/>
          <w:lang w:val="en-US" w:eastAsia="zh-CN"/>
        </w:rPr>
        <w:t>（2）要运用信息化手段加强动态管理。全面摸底调查80周岁及以上高龄老人的基本情况，建立高龄老人个人台账和老年人基础数据库，运用信息化手段对享受高龄津补贴的老人数据以及相关异动情况进行动态管理。在此基础上，相关部门也要通过实地调查、询问等方式把握补贴对象的动态信息，实现信息化与实地调查相结合的动态管理模式。</w:t>
      </w:r>
    </w:p>
    <w:p>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6" w:name="_Toc15618"/>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八、其他需要说明的问题</w:t>
      </w:r>
      <w:bookmarkEnd w:id="86"/>
    </w:p>
    <w:p>
      <w:pPr>
        <w:bidi w:val="0"/>
        <w:rPr>
          <w:rFonts w:hint="default" w:ascii="宋体" w:hAnsi="宋体" w:eastAsia="宋体" w:cs="宋体"/>
          <w:lang w:val="en-US" w:eastAsia="zh-CN"/>
        </w:rPr>
      </w:pPr>
      <w:r>
        <w:rPr>
          <w:rFonts w:hint="eastAsia" w:ascii="宋体" w:hAnsi="宋体" w:eastAsia="宋体" w:cs="宋体"/>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cs="宋体"/>
          <w:color w:val="000000" w:themeColor="text1"/>
          <w:highlight w:val="none"/>
          <w:shd w:val="clear" w:color="auto" w:fill="auto"/>
          <w:lang w:val="en-US" w:eastAsia="zh-CN"/>
          <w14:textFill>
            <w14:solidFill>
              <w14:schemeClr w14:val="tx1"/>
            </w14:solidFill>
          </w14:textFill>
        </w:rPr>
      </w:pPr>
    </w:p>
    <w:p>
      <w:pPr>
        <w:ind w:left="0" w:leftChars="0" w:firstLine="0" w:firstLineChars="0"/>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sectPr>
          <w:footerReference r:id="rId3" w:type="default"/>
          <w:pgSz w:w="11906" w:h="16838"/>
          <w:pgMar w:top="1440" w:right="1800" w:bottom="1440" w:left="1800" w:header="737" w:footer="851" w:gutter="0"/>
          <w:pgNumType w:fmt="decimal" w:start="1"/>
          <w:cols w:space="720" w:num="1"/>
          <w:docGrid w:type="lines" w:linePitch="408" w:charSpace="0"/>
        </w:sectPr>
      </w:pPr>
      <w:bookmarkStart w:id="87" w:name="_Toc11349"/>
    </w:p>
    <w:p>
      <w:pPr>
        <w:ind w:left="0" w:leftChars="0" w:firstLine="0" w:firstLineChars="0"/>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附件一、项目支出绩效自评表</w:t>
      </w:r>
      <w:bookmarkEnd w:id="87"/>
    </w:p>
    <w:p>
      <w:pPr>
        <w:tabs>
          <w:tab w:val="left" w:pos="908"/>
        </w:tabs>
        <w:bidi w:val="0"/>
        <w:ind w:left="0" w:leftChars="0" w:firstLine="0" w:firstLineChars="0"/>
        <w:jc w:val="left"/>
        <w:rPr>
          <w:rFonts w:hint="default"/>
          <w:lang w:val="en-US" w:eastAsia="zh-CN"/>
        </w:rPr>
      </w:pP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5"/>
        <w:gridCol w:w="926"/>
        <w:gridCol w:w="926"/>
        <w:gridCol w:w="1019"/>
        <w:gridCol w:w="1299"/>
        <w:gridCol w:w="926"/>
        <w:gridCol w:w="926"/>
        <w:gridCol w:w="1019"/>
        <w:gridCol w:w="926"/>
        <w:gridCol w:w="926"/>
        <w:gridCol w:w="1299"/>
        <w:gridCol w:w="1112"/>
        <w:gridCol w:w="101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1851" w:type="dxa"/>
            <w:gridSpan w:val="2"/>
            <w:tcBorders>
              <w:top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323" w:type="dxa"/>
            <w:gridSpan w:val="12"/>
            <w:tcBorders>
              <w:top w:val="single" w:color="auto" w:sz="4" w:space="0"/>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2023年高龄津贴及体检费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5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096" w:type="dxa"/>
            <w:gridSpan w:val="5"/>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阜康市民政局</w:t>
            </w: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282" w:type="dxa"/>
            <w:gridSpan w:val="5"/>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1851" w:type="dxa"/>
            <w:gridSpan w:val="2"/>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852"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22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213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51" w:type="dxa"/>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548.52 </w:t>
            </w:r>
          </w:p>
        </w:tc>
        <w:tc>
          <w:tcPr>
            <w:tcW w:w="1852"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343.53 </w:t>
            </w: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343.53 </w:t>
            </w:r>
          </w:p>
        </w:tc>
        <w:tc>
          <w:tcPr>
            <w:tcW w:w="222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3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1851" w:type="dxa"/>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548.52 </w:t>
            </w:r>
          </w:p>
        </w:tc>
        <w:tc>
          <w:tcPr>
            <w:tcW w:w="1852"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343.53 </w:t>
            </w: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343.53 </w:t>
            </w:r>
          </w:p>
        </w:tc>
        <w:tc>
          <w:tcPr>
            <w:tcW w:w="222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51" w:type="dxa"/>
            <w:gridSpan w:val="2"/>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52"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94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225"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31" w:type="dxa"/>
            <w:gridSpan w:val="2"/>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25"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967" w:type="dxa"/>
            <w:gridSpan w:val="8"/>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282" w:type="dxa"/>
            <w:gridSpan w:val="5"/>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967" w:type="dxa"/>
            <w:gridSpan w:val="8"/>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职能：负责城乡社会救济工作；组织实施城乡居民最低生活保障制度；接收孤儿、弃婴和城市生活无着的流浪乞讨人员的救助；负责社会福利工作；负责殡葬管理工作，推进殡葬改革。解决80周岁以上老年人基本生活困难，不断提高生活和生命质量。80周岁以上老年人免费体检次数1次，享受80周岁以上高龄津贴的10000人次，补助资金发放及时，补助资金到位，80周岁（含80周岁）89周岁的老年人补助标准100元每人每月，90周岁（含90周岁）89周岁的老年人补助标准200元每人每月，100周岁（含100周岁）89周岁的老年人补助标准300元每人每月。</w:t>
            </w:r>
          </w:p>
        </w:tc>
        <w:tc>
          <w:tcPr>
            <w:tcW w:w="5282" w:type="dxa"/>
            <w:gridSpan w:val="5"/>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完成2023年高龄津贴及体检费343.53万元,达到解决80周岁以上老年人基本生活困难，不断提高生活和生命质量。80周岁以上老年人免费体检次数1次，享受80周岁以上高龄津贴的10000人次，补助资金发放及时，补助资金到位，80周岁（含80周岁）89周岁的老年人补助标准100元每人每月，90周岁（含90周岁）89周岁的老年人补助标准200元每人每月，100周岁（含100周岁）89周岁的老年人补助标准300元每人每月达到提高高龄老人的生活质量效益，80岁以上高龄老人满意度达到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0" w:hRule="atLeast"/>
        </w:trPr>
        <w:tc>
          <w:tcPr>
            <w:tcW w:w="925"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40" w:hRule="atLeast"/>
        </w:trPr>
        <w:tc>
          <w:tcPr>
            <w:tcW w:w="925"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92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2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80周岁以上老年人免费体检次数</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享受80周岁以上高龄津贴的人次</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≥10000人次</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100000人次</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惠及80周岁以上高龄老人实际占比</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2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补助资金发放及时率</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26" w:type="dxa"/>
            <w:vMerge w:val="restart"/>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80周岁（含80周岁）89周岁的老年人补助标准</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=100元/人/月</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100元/人/月</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2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90周岁（含90周岁）89周岁的老年人补助标准</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=200元/人/月</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200元/人/月</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100周岁（含100周岁）89周岁的老年人补助标准</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=300元/人/月</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300元/人/月</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高龄老人的生活质量</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25"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80周岁以上高龄老人满意度</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926"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29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12"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0" w:hRule="atLeast"/>
        </w:trPr>
        <w:tc>
          <w:tcPr>
            <w:tcW w:w="3796" w:type="dxa"/>
            <w:gridSpan w:val="4"/>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299"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shd w:val="clear" w:color="auto" w:fill="auto"/>
            <w:vAlign w:val="center"/>
          </w:tcPr>
          <w:p>
            <w:pPr>
              <w:rPr>
                <w:rFonts w:hint="eastAsia" w:ascii="宋体" w:hAnsi="宋体" w:eastAsia="宋体" w:cs="宋体"/>
                <w:b/>
                <w:bCs/>
                <w:i w:val="0"/>
                <w:iCs w:val="0"/>
                <w:color w:val="000000"/>
                <w:sz w:val="20"/>
                <w:szCs w:val="20"/>
                <w:u w:val="none"/>
              </w:rPr>
            </w:pP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926"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shd w:val="clear" w:color="auto" w:fill="auto"/>
            <w:vAlign w:val="center"/>
          </w:tcPr>
          <w:p>
            <w:pPr>
              <w:rPr>
                <w:rFonts w:hint="eastAsia" w:ascii="宋体" w:hAnsi="宋体" w:eastAsia="宋体" w:cs="宋体"/>
                <w:i w:val="0"/>
                <w:iCs w:val="0"/>
                <w:color w:val="000000"/>
                <w:sz w:val="20"/>
                <w:szCs w:val="20"/>
                <w:u w:val="none"/>
              </w:rPr>
            </w:pPr>
          </w:p>
        </w:tc>
        <w:tc>
          <w:tcPr>
            <w:tcW w:w="1299" w:type="dxa"/>
            <w:shd w:val="clear" w:color="auto" w:fill="auto"/>
            <w:vAlign w:val="center"/>
          </w:tcPr>
          <w:p>
            <w:pPr>
              <w:jc w:val="center"/>
              <w:rPr>
                <w:rFonts w:hint="eastAsia" w:ascii="宋体" w:hAnsi="宋体" w:eastAsia="宋体" w:cs="宋体"/>
                <w:i w:val="0"/>
                <w:iCs w:val="0"/>
                <w:color w:val="000000"/>
                <w:sz w:val="20"/>
                <w:szCs w:val="20"/>
                <w:u w:val="none"/>
              </w:rPr>
            </w:pPr>
          </w:p>
        </w:tc>
        <w:tc>
          <w:tcPr>
            <w:tcW w:w="1112" w:type="dxa"/>
            <w:shd w:val="clear" w:color="auto" w:fill="auto"/>
            <w:vAlign w:val="center"/>
          </w:tcPr>
          <w:p>
            <w:pPr>
              <w:rPr>
                <w:rFonts w:hint="eastAsia" w:ascii="宋体" w:hAnsi="宋体" w:eastAsia="宋体" w:cs="宋体"/>
                <w:i w:val="0"/>
                <w:iCs w:val="0"/>
                <w:color w:val="000000"/>
                <w:sz w:val="20"/>
                <w:szCs w:val="20"/>
                <w:u w:val="none"/>
              </w:rPr>
            </w:pPr>
          </w:p>
        </w:tc>
        <w:tc>
          <w:tcPr>
            <w:tcW w:w="1019" w:type="dxa"/>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6" w:type="dxa"/>
            <w:shd w:val="clear" w:color="auto" w:fill="auto"/>
            <w:vAlign w:val="center"/>
          </w:tcPr>
          <w:p>
            <w:pPr>
              <w:rPr>
                <w:rFonts w:hint="eastAsia" w:ascii="宋体" w:hAnsi="宋体" w:eastAsia="宋体" w:cs="宋体"/>
                <w:i w:val="0"/>
                <w:iCs w:val="0"/>
                <w:color w:val="000000"/>
                <w:sz w:val="20"/>
                <w:szCs w:val="20"/>
                <w:u w:val="none"/>
              </w:rPr>
            </w:pPr>
          </w:p>
        </w:tc>
      </w:tr>
    </w:tbl>
    <w:p>
      <w:pPr>
        <w:bidi w:val="0"/>
        <w:ind w:left="0" w:leftChars="0" w:firstLine="0" w:firstLineChars="0"/>
        <w:jc w:val="left"/>
        <w:rPr>
          <w:rFonts w:hint="default" w:ascii="宋体" w:hAnsi="宋体" w:eastAsia="宋体" w:cs="宋体"/>
          <w:kern w:val="2"/>
          <w:sz w:val="28"/>
          <w:szCs w:val="28"/>
          <w:lang w:val="en-US" w:eastAsia="zh-CN" w:bidi="ar-SA"/>
        </w:rPr>
        <w:sectPr>
          <w:pgSz w:w="16838" w:h="11906" w:orient="landscape"/>
          <w:pgMar w:top="1800" w:right="1440" w:bottom="1800" w:left="1440" w:header="737" w:footer="851" w:gutter="0"/>
          <w:pgNumType w:fmt="decimal" w:start="1"/>
          <w:cols w:space="720" w:num="1"/>
          <w:docGrid w:type="lines" w:linePitch="408" w:charSpace="0"/>
        </w:sectPr>
      </w:pPr>
    </w:p>
    <w:p>
      <w:pPr>
        <w:pStyle w:val="2"/>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pPr>
      <w:bookmarkStart w:id="88" w:name="_Toc15067"/>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附件二、项目支出绩效评价指标体系打分表</w:t>
      </w:r>
      <w:bookmarkEnd w:id="88"/>
    </w:p>
    <w:tbl>
      <w:tblPr>
        <w:tblStyle w:val="11"/>
        <w:tblW w:w="1392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692" w:hRule="atLeast"/>
          <w:tblHeader/>
          <w:jc w:val="center"/>
        </w:trPr>
        <w:tc>
          <w:tcPr>
            <w:tcW w:w="861"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auto"/>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2318"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①项目立项是否符合国家法律法规、国民经济发展规划和相关政策；</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②项目立项是否符合行业发展规划和政策要求；</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③项目立项是否与部门职责范围相符，属于部门履职所需；</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④项目是否属于公共财政支持范围，是否符合中央、地方事权支出责任划分原则；</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640"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①项目是否按照规定的程序申请设立；</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②审批文件、材料是否符合相关要求；</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pPr>
              <w:widowControl/>
              <w:spacing w:line="0" w:lineRule="atLeast"/>
              <w:ind w:firstLine="0" w:firstLineChars="0"/>
              <w:jc w:val="left"/>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919"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（如未设定预算绩效目标，也可考核其他工作任务目标）</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①项目是否有绩效目标；</w:t>
            </w:r>
          </w:p>
          <w:p>
            <w:pPr>
              <w:widowControl/>
              <w:spacing w:line="0" w:lineRule="atLeast"/>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②项目绩效目标与实际工作内容是否具有相关性；</w:t>
            </w:r>
          </w:p>
          <w:p>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464"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①是否将项目绩效目标细化分解为具体的绩效指标；</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②是否通过清晰、可衡量的指标值予以体现；</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③是否与项目目标任务数或计划数相对应。</w:t>
            </w:r>
          </w:p>
          <w:p>
            <w:pPr>
              <w:widowControl/>
              <w:spacing w:line="0" w:lineRule="atLeast"/>
              <w:ind w:firstLine="0" w:firstLineChars="0"/>
              <w:rPr>
                <w:rFonts w:hint="eastAsia" w:ascii="宋体" w:hAnsi="宋体" w:eastAsia="宋体" w:cs="宋体"/>
                <w:color w:val="000000"/>
                <w:kern w:val="0"/>
                <w:sz w:val="22"/>
                <w:szCs w:val="22"/>
                <w:lang w:eastAsia="zh-CN"/>
              </w:rPr>
            </w:pP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942"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①预算编制是否经过科学论证；</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②预算内容与项目内容是否匹配；</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③预算额度测算依据是否充分，是否按照标准编制；</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706"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①预算资金分配依据是否充分；</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415" w:hRule="atLeast"/>
          <w:jc w:val="center"/>
        </w:trPr>
        <w:tc>
          <w:tcPr>
            <w:tcW w:w="861" w:type="dxa"/>
            <w:vMerge w:val="restart"/>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320" w:hRule="atLeast"/>
          <w:jc w:val="center"/>
        </w:trPr>
        <w:tc>
          <w:tcPr>
            <w:tcW w:w="861" w:type="dxa"/>
            <w:vMerge w:val="continue"/>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auto"/>
            <w:noWrap w:val="0"/>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预算执行率=（实际支出资金/实际到位资金）×100%。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2076"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①是否符合国家财经法规和财务管理制度以及有关专项资金管理办法的规定；</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②资金的拨付是否有完整的审批程序和手续；</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③是否符合项目预算批复或合同规定的用途；</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④是否存在截留、挤占、挪用、虚列支出等情况。</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797"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①是否已制定或具有相应的财务和业务管理制度；</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②财务和业务管理制度是否合法、合规、完整。</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769"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评价要点：</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①是否遵守相关法律法规和相关管理规定；</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②项目调整及支出调整手续是否完备；</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③项目合同书、验收报告、技术鉴定等资料是否齐全并及时归档；</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917" w:hRule="atLeast"/>
          <w:jc w:val="center"/>
        </w:trPr>
        <w:tc>
          <w:tcPr>
            <w:tcW w:w="861" w:type="dxa"/>
            <w:vMerge w:val="restart"/>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vMerge w:val="restart"/>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产出</w:t>
            </w:r>
            <w:r>
              <w:rPr>
                <w:rFonts w:hint="eastAsia" w:ascii="宋体" w:hAnsi="宋体" w:eastAsia="宋体" w:cs="宋体"/>
                <w:color w:val="auto"/>
                <w:kern w:val="0"/>
                <w:sz w:val="22"/>
                <w:szCs w:val="22"/>
                <w:highlight w:val="none"/>
              </w:rPr>
              <w:t>数量</w:t>
            </w: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80周岁以上老年人免费体检次数</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917"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享受80周岁以上高龄津贴的人次</w:t>
            </w:r>
          </w:p>
        </w:tc>
        <w:tc>
          <w:tcPr>
            <w:tcW w:w="214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实际完成率=（实际产出数/计划产出数）×100%。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auto" w:fill="auto"/>
            <w:noWrap w:val="0"/>
            <w:vAlign w:val="center"/>
          </w:tcPr>
          <w:p>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c>
          <w:tcPr>
            <w:tcW w:w="769" w:type="dxa"/>
            <w:shd w:val="clear" w:color="auto" w:fill="auto"/>
            <w:noWrap w:val="0"/>
            <w:vAlign w:val="center"/>
          </w:tcPr>
          <w:p>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718"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产出</w:t>
            </w:r>
            <w:r>
              <w:rPr>
                <w:rFonts w:hint="eastAsia" w:ascii="宋体" w:hAnsi="宋体" w:eastAsia="宋体" w:cs="宋体"/>
                <w:color w:val="auto"/>
                <w:kern w:val="0"/>
                <w:sz w:val="22"/>
                <w:szCs w:val="22"/>
                <w:highlight w:val="none"/>
              </w:rPr>
              <w:t>质量</w:t>
            </w: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惠及80周岁以上高龄老人实际占比</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补助资金发放及时率</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实际完成时间：项目实施单位完成该项目实际所耗用的时间。</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2076"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80周岁（含80周岁）89周岁的老年人补助标准</w:t>
            </w:r>
          </w:p>
        </w:tc>
        <w:tc>
          <w:tcPr>
            <w:tcW w:w="214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noWrap w:val="0"/>
            <w:vAlign w:val="center"/>
          </w:tcPr>
          <w:p>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2076"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90周岁（含90周岁）89周岁的老年人补助标准</w:t>
            </w:r>
          </w:p>
        </w:tc>
        <w:tc>
          <w:tcPr>
            <w:tcW w:w="214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noWrap w:val="0"/>
            <w:vAlign w:val="center"/>
          </w:tcPr>
          <w:p>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default"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2076"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100周岁（含100周岁）89周岁的老年人补助标准</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lang w:eastAsia="zh-CN"/>
              </w:rPr>
            </w:pP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成本节约率=[（计划成本-实际成本）/计划成本]×100%。</w:t>
            </w:r>
          </w:p>
          <w:p>
            <w:pPr>
              <w:widowControl/>
              <w:spacing w:line="0" w:lineRule="atLeast"/>
              <w:ind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实际成本：项目实施单位如期、保质、保量完成既定工作目标实际所耗费的支出。</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889" w:hRule="atLeast"/>
          <w:jc w:val="center"/>
        </w:trPr>
        <w:tc>
          <w:tcPr>
            <w:tcW w:w="861"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效益　</w:t>
            </w:r>
          </w:p>
        </w:tc>
        <w:tc>
          <w:tcPr>
            <w:tcW w:w="727" w:type="dxa"/>
            <w:vMerge w:val="restart"/>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高龄老人的生活质量</w:t>
            </w:r>
          </w:p>
        </w:tc>
        <w:tc>
          <w:tcPr>
            <w:tcW w:w="2141" w:type="dxa"/>
            <w:shd w:val="clear" w:color="auto" w:fill="auto"/>
            <w:noWrap w:val="0"/>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782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1137" w:hRule="atLeast"/>
          <w:jc w:val="center"/>
        </w:trPr>
        <w:tc>
          <w:tcPr>
            <w:tcW w:w="861"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yellow"/>
              </w:rPr>
            </w:pPr>
          </w:p>
        </w:tc>
        <w:tc>
          <w:tcPr>
            <w:tcW w:w="727" w:type="dxa"/>
            <w:vMerge w:val="continue"/>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yellow"/>
              </w:rPr>
            </w:pPr>
          </w:p>
        </w:tc>
        <w:tc>
          <w:tcPr>
            <w:tcW w:w="820" w:type="dxa"/>
            <w:shd w:val="clear" w:color="auto" w:fill="auto"/>
            <w:noWrap w:val="0"/>
            <w:vAlign w:val="center"/>
          </w:tcPr>
          <w:p>
            <w:pPr>
              <w:widowControl/>
              <w:spacing w:line="0" w:lineRule="atLeast"/>
              <w:ind w:firstLine="0" w:firstLineChars="0"/>
              <w:jc w:val="center"/>
              <w:rPr>
                <w:rFonts w:ascii="宋体" w:hAnsi="宋体" w:eastAsia="宋体" w:cs="宋体"/>
                <w:color w:val="000000"/>
                <w:kern w:val="0"/>
                <w:sz w:val="22"/>
                <w:szCs w:val="22"/>
                <w:highlight w:val="yellow"/>
              </w:rPr>
            </w:pPr>
            <w:r>
              <w:rPr>
                <w:rFonts w:hint="eastAsia" w:ascii="宋体" w:hAnsi="宋体" w:eastAsia="宋体" w:cs="宋体"/>
                <w:color w:val="000000"/>
                <w:kern w:val="0"/>
                <w:sz w:val="22"/>
                <w:szCs w:val="22"/>
                <w:highlight w:val="none"/>
              </w:rPr>
              <w:t>80周岁以上高龄老人满意度</w:t>
            </w:r>
          </w:p>
        </w:tc>
        <w:tc>
          <w:tcPr>
            <w:tcW w:w="214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7821" w:type="dxa"/>
            <w:shd w:val="clear" w:color="auto" w:fill="auto"/>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15</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417" w:hRule="atLeast"/>
          <w:jc w:val="center"/>
        </w:trPr>
        <w:tc>
          <w:tcPr>
            <w:tcW w:w="4549" w:type="dxa"/>
            <w:gridSpan w:val="4"/>
            <w:shd w:val="clear" w:color="auto" w:fill="auto"/>
            <w:noWrap w:val="0"/>
            <w:vAlign w:val="center"/>
          </w:tcPr>
          <w:p>
            <w:pPr>
              <w:widowControl/>
              <w:spacing w:line="0" w:lineRule="atLeast"/>
              <w:ind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合计</w:t>
            </w:r>
          </w:p>
        </w:tc>
        <w:tc>
          <w:tcPr>
            <w:tcW w:w="7821" w:type="dxa"/>
            <w:shd w:val="clear" w:color="auto" w:fill="auto"/>
            <w:noWrap w:val="0"/>
            <w:vAlign w:val="center"/>
          </w:tcPr>
          <w:p>
            <w:pPr>
              <w:widowControl/>
              <w:spacing w:line="0" w:lineRule="atLeast"/>
              <w:ind w:firstLine="0" w:firstLineChars="0"/>
              <w:rPr>
                <w:rFonts w:hint="eastAsia" w:ascii="宋体" w:hAnsi="宋体" w:eastAsia="宋体" w:cs="宋体"/>
                <w:color w:val="000000"/>
                <w:kern w:val="0"/>
                <w:sz w:val="22"/>
                <w:szCs w:val="22"/>
              </w:rPr>
            </w:pPr>
          </w:p>
        </w:tc>
        <w:tc>
          <w:tcPr>
            <w:tcW w:w="785" w:type="dxa"/>
            <w:shd w:val="clear" w:color="auto" w:fill="auto"/>
            <w:noWrap w:val="0"/>
            <w:vAlign w:val="center"/>
          </w:tcPr>
          <w:p>
            <w:pPr>
              <w:widowControl/>
              <w:spacing w:line="0" w:lineRule="atLeast"/>
              <w:ind w:firstLine="0" w:firstLineChars="0"/>
              <w:jc w:val="center"/>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c>
          <w:tcPr>
            <w:tcW w:w="769" w:type="dxa"/>
            <w:shd w:val="clear" w:color="auto" w:fill="auto"/>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100</w:t>
            </w:r>
          </w:p>
        </w:tc>
      </w:tr>
    </w:tbl>
    <w:p>
      <w:pPr>
        <w:spacing w:line="240" w:lineRule="auto"/>
        <w:ind w:firstLine="0" w:firstLineChars="0"/>
        <w:rPr>
          <w:rFonts w:ascii="Times New Roman" w:hAnsi="Times New Roman" w:eastAsia="仿宋_GB2312" w:cs="Times New Roman"/>
          <w:sz w:val="30"/>
          <w:szCs w:val="24"/>
        </w:rPr>
      </w:pPr>
    </w:p>
    <w:p>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956E70"/>
    <w:rsid w:val="00E23C81"/>
    <w:rsid w:val="01253350"/>
    <w:rsid w:val="01282E62"/>
    <w:rsid w:val="014029CF"/>
    <w:rsid w:val="01470C4C"/>
    <w:rsid w:val="02200440"/>
    <w:rsid w:val="02284B43"/>
    <w:rsid w:val="02B015E2"/>
    <w:rsid w:val="02DC08FA"/>
    <w:rsid w:val="033B569D"/>
    <w:rsid w:val="039C3BA0"/>
    <w:rsid w:val="03A845BB"/>
    <w:rsid w:val="03B45AD1"/>
    <w:rsid w:val="04D12EE4"/>
    <w:rsid w:val="04D63993"/>
    <w:rsid w:val="055C65EE"/>
    <w:rsid w:val="07890F4F"/>
    <w:rsid w:val="08892439"/>
    <w:rsid w:val="08EB30F3"/>
    <w:rsid w:val="09237408"/>
    <w:rsid w:val="09781BD6"/>
    <w:rsid w:val="09F359DF"/>
    <w:rsid w:val="0A575E65"/>
    <w:rsid w:val="0ACA0AB6"/>
    <w:rsid w:val="0C032502"/>
    <w:rsid w:val="0C27698C"/>
    <w:rsid w:val="0D4452F3"/>
    <w:rsid w:val="0F5E5042"/>
    <w:rsid w:val="0FE95707"/>
    <w:rsid w:val="10510571"/>
    <w:rsid w:val="10787A20"/>
    <w:rsid w:val="108672DE"/>
    <w:rsid w:val="10EC685A"/>
    <w:rsid w:val="11FA6155"/>
    <w:rsid w:val="12CF0947"/>
    <w:rsid w:val="12F1313F"/>
    <w:rsid w:val="136C678E"/>
    <w:rsid w:val="13EB2FF5"/>
    <w:rsid w:val="15A46B04"/>
    <w:rsid w:val="165825BC"/>
    <w:rsid w:val="16BC5D73"/>
    <w:rsid w:val="176F36D7"/>
    <w:rsid w:val="1795226D"/>
    <w:rsid w:val="18456B1E"/>
    <w:rsid w:val="1C1171C5"/>
    <w:rsid w:val="1D265138"/>
    <w:rsid w:val="1D6152CD"/>
    <w:rsid w:val="1D7B6BCA"/>
    <w:rsid w:val="1DA41A79"/>
    <w:rsid w:val="1DF53469"/>
    <w:rsid w:val="1DF83E91"/>
    <w:rsid w:val="1E2F24F2"/>
    <w:rsid w:val="1E58492F"/>
    <w:rsid w:val="1E5B6757"/>
    <w:rsid w:val="1ED10AC6"/>
    <w:rsid w:val="1F89225F"/>
    <w:rsid w:val="1F900A1F"/>
    <w:rsid w:val="1FC0575D"/>
    <w:rsid w:val="206132C7"/>
    <w:rsid w:val="21B00C1D"/>
    <w:rsid w:val="23031BEB"/>
    <w:rsid w:val="23917691"/>
    <w:rsid w:val="244D65B8"/>
    <w:rsid w:val="245E1E24"/>
    <w:rsid w:val="25AD5E5D"/>
    <w:rsid w:val="2732478D"/>
    <w:rsid w:val="27661469"/>
    <w:rsid w:val="27900EAD"/>
    <w:rsid w:val="279B538A"/>
    <w:rsid w:val="286F545C"/>
    <w:rsid w:val="29314FBC"/>
    <w:rsid w:val="2A0A040F"/>
    <w:rsid w:val="2C024B86"/>
    <w:rsid w:val="2C927671"/>
    <w:rsid w:val="2D7C5CD6"/>
    <w:rsid w:val="2E483E7E"/>
    <w:rsid w:val="2E690493"/>
    <w:rsid w:val="2E9854BD"/>
    <w:rsid w:val="2F0D407F"/>
    <w:rsid w:val="2F454B19"/>
    <w:rsid w:val="310224D9"/>
    <w:rsid w:val="31B4621C"/>
    <w:rsid w:val="31E3230A"/>
    <w:rsid w:val="330957E0"/>
    <w:rsid w:val="33356F64"/>
    <w:rsid w:val="33944516"/>
    <w:rsid w:val="34B62907"/>
    <w:rsid w:val="36BD137C"/>
    <w:rsid w:val="385D37E7"/>
    <w:rsid w:val="38782EDD"/>
    <w:rsid w:val="3AA26F82"/>
    <w:rsid w:val="3AB104D0"/>
    <w:rsid w:val="3B42664A"/>
    <w:rsid w:val="3D836A4E"/>
    <w:rsid w:val="3EA37E97"/>
    <w:rsid w:val="3FBE0BC5"/>
    <w:rsid w:val="4048103A"/>
    <w:rsid w:val="40736643"/>
    <w:rsid w:val="40D24A7A"/>
    <w:rsid w:val="424E3C40"/>
    <w:rsid w:val="42621029"/>
    <w:rsid w:val="435241E2"/>
    <w:rsid w:val="43975C51"/>
    <w:rsid w:val="439E3FA7"/>
    <w:rsid w:val="44B32266"/>
    <w:rsid w:val="44FC64F4"/>
    <w:rsid w:val="467F4585"/>
    <w:rsid w:val="470628CB"/>
    <w:rsid w:val="471F2951"/>
    <w:rsid w:val="47555BD4"/>
    <w:rsid w:val="47E96399"/>
    <w:rsid w:val="48E12B50"/>
    <w:rsid w:val="499441BE"/>
    <w:rsid w:val="499A6C1C"/>
    <w:rsid w:val="4A2138F0"/>
    <w:rsid w:val="4A583887"/>
    <w:rsid w:val="4B9F6E02"/>
    <w:rsid w:val="4C3F04A5"/>
    <w:rsid w:val="4C89637B"/>
    <w:rsid w:val="4E1C35B6"/>
    <w:rsid w:val="4E6E48A8"/>
    <w:rsid w:val="4EEC036B"/>
    <w:rsid w:val="501D2673"/>
    <w:rsid w:val="50C80BF1"/>
    <w:rsid w:val="51852833"/>
    <w:rsid w:val="52F11AC8"/>
    <w:rsid w:val="534F49D9"/>
    <w:rsid w:val="53555F0F"/>
    <w:rsid w:val="535D23D5"/>
    <w:rsid w:val="56F4341A"/>
    <w:rsid w:val="575A7321"/>
    <w:rsid w:val="580C3AB9"/>
    <w:rsid w:val="583C7AE0"/>
    <w:rsid w:val="586C1E9A"/>
    <w:rsid w:val="586E0800"/>
    <w:rsid w:val="59216F96"/>
    <w:rsid w:val="598C4145"/>
    <w:rsid w:val="59957D1B"/>
    <w:rsid w:val="59D4294E"/>
    <w:rsid w:val="5B634312"/>
    <w:rsid w:val="5B9D2CCD"/>
    <w:rsid w:val="5B9E71EA"/>
    <w:rsid w:val="5E226FBC"/>
    <w:rsid w:val="5FE72BD2"/>
    <w:rsid w:val="60120613"/>
    <w:rsid w:val="6162243F"/>
    <w:rsid w:val="618D5292"/>
    <w:rsid w:val="622E78FA"/>
    <w:rsid w:val="63343F70"/>
    <w:rsid w:val="64296E1C"/>
    <w:rsid w:val="649E64A2"/>
    <w:rsid w:val="65E5270A"/>
    <w:rsid w:val="663D3C54"/>
    <w:rsid w:val="66862C89"/>
    <w:rsid w:val="66BB486D"/>
    <w:rsid w:val="67394C7D"/>
    <w:rsid w:val="68126B38"/>
    <w:rsid w:val="68291A1A"/>
    <w:rsid w:val="68352BB8"/>
    <w:rsid w:val="691B1594"/>
    <w:rsid w:val="693A016B"/>
    <w:rsid w:val="6A17429C"/>
    <w:rsid w:val="6A567EA3"/>
    <w:rsid w:val="6B4B4368"/>
    <w:rsid w:val="6B79100E"/>
    <w:rsid w:val="6BB90A87"/>
    <w:rsid w:val="6C844C00"/>
    <w:rsid w:val="6E10212C"/>
    <w:rsid w:val="6E43561A"/>
    <w:rsid w:val="6E557973"/>
    <w:rsid w:val="6E9568DB"/>
    <w:rsid w:val="6F0D6C22"/>
    <w:rsid w:val="6F47657F"/>
    <w:rsid w:val="6FAF23D9"/>
    <w:rsid w:val="70635CF6"/>
    <w:rsid w:val="70670707"/>
    <w:rsid w:val="720E3691"/>
    <w:rsid w:val="724E244C"/>
    <w:rsid w:val="72DA6946"/>
    <w:rsid w:val="732764B3"/>
    <w:rsid w:val="74026044"/>
    <w:rsid w:val="74746410"/>
    <w:rsid w:val="75E5007C"/>
    <w:rsid w:val="76FF495B"/>
    <w:rsid w:val="77813724"/>
    <w:rsid w:val="77861774"/>
    <w:rsid w:val="78F31435"/>
    <w:rsid w:val="79300B45"/>
    <w:rsid w:val="794D3E18"/>
    <w:rsid w:val="79F3729A"/>
    <w:rsid w:val="7A880722"/>
    <w:rsid w:val="7ACB0498"/>
    <w:rsid w:val="7AED0B4D"/>
    <w:rsid w:val="7C1E4487"/>
    <w:rsid w:val="7C215E02"/>
    <w:rsid w:val="7CF23764"/>
    <w:rsid w:val="7E797F74"/>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3">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4">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before="240" w:after="240" w:line="360" w:lineRule="auto"/>
      <w:jc w:val="center"/>
    </w:pPr>
    <w:rPr>
      <w:b/>
      <w:sz w:val="44"/>
    </w:rPr>
  </w:style>
  <w:style w:type="paragraph" w:styleId="7">
    <w:name w:val="Body Text 2"/>
    <w:basedOn w:val="1"/>
    <w:qFormat/>
    <w:uiPriority w:val="0"/>
    <w:pPr>
      <w:spacing w:after="120" w:line="480" w:lineRule="auto"/>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customStyle="1" w:styleId="13">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3"/>
    <w:qFormat/>
    <w:uiPriority w:val="0"/>
    <w:rPr>
      <w:rFonts w:ascii="Arial" w:hAnsi="Arial" w:eastAsia="楷体"/>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10509</Words>
  <Characters>11143</Characters>
  <Lines>0</Lines>
  <Paragraphs>0</Paragraphs>
  <TotalTime>9</TotalTime>
  <ScaleCrop>false</ScaleCrop>
  <LinksUpToDate>false</LinksUpToDate>
  <CharactersWithSpaces>11200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Administrator</cp:lastModifiedBy>
  <dcterms:modified xsi:type="dcterms:W3CDTF">2024-10-11T04:20:19Z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14E46B47812E42C98680744551E475BD_13</vt:lpwstr>
  </property>
</Properties>
</file>