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BD03">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bookmarkStart w:id="88" w:name="_GoBack"/>
      <w:bookmarkEnd w:id="88"/>
    </w:p>
    <w:p w14:paraId="2BCB559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78E6F3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15782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2015年公交停车港湾工程款、欠款</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bookmarkEnd w:id="0"/>
    </w:p>
    <w:p w14:paraId="561B910D">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5D9961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3EA33B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4FBA4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92B0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FCC9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2DB68A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47DF93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388E0E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w:t>
      </w:r>
      <w:r>
        <w:rPr>
          <w:rFonts w:hint="eastAsia" w:cs="宋体"/>
          <w:b/>
          <w:color w:val="auto"/>
          <w:kern w:val="2"/>
          <w:sz w:val="28"/>
          <w:szCs w:val="28"/>
          <w:highlight w:val="none"/>
          <w:shd w:val="clear" w:color="auto" w:fill="auto"/>
          <w:lang w:val="en-US" w:eastAsia="zh-CN"/>
        </w:rPr>
        <w:t>2015年公交停车港湾工程款、欠款</w:t>
      </w:r>
    </w:p>
    <w:p w14:paraId="4DB524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阜康市自然资源局</w:t>
      </w:r>
    </w:p>
    <w:p w14:paraId="777846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r>
        <w:rPr>
          <w:rFonts w:hint="eastAsia" w:cs="宋体"/>
          <w:b/>
          <w:color w:val="auto"/>
          <w:kern w:val="2"/>
          <w:sz w:val="28"/>
          <w:szCs w:val="28"/>
          <w:highlight w:val="none"/>
          <w:shd w:val="clear" w:color="auto" w:fill="auto"/>
          <w:lang w:val="en-US" w:eastAsia="zh-CN"/>
        </w:rPr>
        <w:t>阜康市自然资源局</w:t>
      </w:r>
    </w:p>
    <w:p w14:paraId="09067CA8">
      <w:pPr>
        <w:ind w:left="0" w:leftChars="0" w:firstLine="0" w:firstLineChars="0"/>
      </w:pPr>
    </w:p>
    <w:sdt>
      <w:sdtPr>
        <w:rPr>
          <w:rFonts w:ascii="宋体" w:hAnsi="宋体" w:eastAsia="宋体" w:cs="宋体"/>
          <w:b/>
          <w:bCs/>
          <w:color w:val="auto"/>
          <w:kern w:val="2"/>
          <w:sz w:val="28"/>
          <w:szCs w:val="40"/>
          <w:highlight w:val="none"/>
          <w:lang w:val="en-US" w:eastAsia="zh-CN" w:bidi="ar-SA"/>
        </w:rPr>
        <w:id w:val="147474046"/>
        <w15:color w:val="DBDBDB"/>
        <w:docPartObj>
          <w:docPartGallery w:val="Table of Contents"/>
          <w:docPartUnique/>
        </w:docPartObj>
      </w:sdtPr>
      <w:sdtEndPr>
        <w:rPr>
          <w:rFonts w:hint="eastAsia" w:ascii="宋体" w:hAnsi="宋体" w:eastAsia="宋体" w:cs="宋体"/>
          <w:b/>
          <w:bCs/>
          <w:color w:val="auto"/>
          <w:kern w:val="2"/>
          <w:sz w:val="28"/>
          <w:szCs w:val="28"/>
          <w:highlight w:val="none"/>
          <w:lang w:val="en-US" w:eastAsia="zh-CN" w:bidi="ar-SA"/>
        </w:rPr>
      </w:sdtEndPr>
      <w:sdtContent>
        <w:p w14:paraId="72EC7DEA">
          <w:pPr>
            <w:ind w:firstLine="562" w:firstLineChars="200"/>
            <w:jc w:val="center"/>
            <w:rPr>
              <w:b/>
              <w:bCs/>
              <w:color w:val="auto"/>
              <w:sz w:val="40"/>
              <w:szCs w:val="40"/>
              <w:highlight w:val="none"/>
            </w:rPr>
          </w:pPr>
          <w:r>
            <w:rPr>
              <w:rFonts w:ascii="宋体" w:hAnsi="宋体" w:eastAsia="宋体"/>
              <w:b/>
              <w:bCs/>
              <w:color w:val="auto"/>
              <w:sz w:val="40"/>
              <w:szCs w:val="40"/>
              <w:highlight w:val="none"/>
            </w:rPr>
            <w:t>目录</w:t>
          </w:r>
        </w:p>
        <w:p w14:paraId="08DFD81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14:paraId="4CABD830">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2C77932">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78FCBD6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14:paraId="145372A3">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3</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3AD7A851">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color w:val="auto"/>
              <w:sz w:val="28"/>
              <w:szCs w:val="28"/>
              <w:highlight w:val="none"/>
              <w:lang w:val="en-US" w:eastAsia="zh-CN"/>
            </w:rPr>
            <w:fldChar w:fldCharType="end"/>
          </w:r>
        </w:p>
        <w:p w14:paraId="1DDDA40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396A64E6">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color w:val="auto"/>
              <w:sz w:val="28"/>
              <w:szCs w:val="28"/>
              <w:highlight w:val="none"/>
              <w:lang w:val="en-US" w:eastAsia="zh-CN"/>
            </w:rPr>
            <w:fldChar w:fldCharType="end"/>
          </w:r>
        </w:p>
        <w:p w14:paraId="4102D929">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FCFBC64">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0684300">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int="eastAsia"/>
              <w:color w:val="auto"/>
              <w:sz w:val="28"/>
              <w:szCs w:val="28"/>
              <w:highlight w:val="none"/>
              <w:lang w:val="en-US" w:eastAsia="zh-CN"/>
            </w:rPr>
            <w:fldChar w:fldCharType="end"/>
          </w:r>
        </w:p>
        <w:p w14:paraId="0BA21F29">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color w:val="auto"/>
              <w:sz w:val="28"/>
              <w:szCs w:val="28"/>
              <w:highlight w:val="none"/>
              <w:lang w:val="en-US" w:eastAsia="zh-CN"/>
            </w:rPr>
            <w:fldChar w:fldCharType="end"/>
          </w:r>
        </w:p>
        <w:p w14:paraId="23D8C545">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color w:val="auto"/>
              <w:sz w:val="28"/>
              <w:szCs w:val="28"/>
              <w:highlight w:val="none"/>
              <w:lang w:val="en-US" w:eastAsia="zh-CN"/>
            </w:rPr>
            <w:fldChar w:fldCharType="end"/>
          </w:r>
        </w:p>
        <w:p w14:paraId="67B8F2E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color w:val="auto"/>
              <w:sz w:val="28"/>
              <w:szCs w:val="28"/>
              <w:highlight w:val="none"/>
              <w:lang w:val="en-US" w:eastAsia="zh-CN"/>
            </w:rPr>
            <w:fldChar w:fldCharType="end"/>
          </w:r>
        </w:p>
        <w:p w14:paraId="7F3D465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17</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653D79CE">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20D90BD">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40A0D97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14:paraId="3E72AB80">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4109B35A">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13A8F3C4">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14:paraId="4EF6CAE3">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r>
            <w:rPr>
              <w:rFonts w:hint="eastAsia"/>
              <w:color w:val="auto"/>
              <w:sz w:val="28"/>
              <w:szCs w:val="28"/>
              <w:highlight w:val="none"/>
              <w:lang w:val="en-US" w:eastAsia="zh-CN"/>
            </w:rPr>
            <w:fldChar w:fldCharType="end"/>
          </w:r>
        </w:p>
      </w:sdtContent>
    </w:sdt>
    <w:p w14:paraId="3AB718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bookmarkStart w:id="1" w:name="_Toc1194"/>
      <w:r>
        <w:rPr>
          <w:rFonts w:hint="eastAsia" w:cs="宋体"/>
          <w:b/>
          <w:bCs/>
          <w:color w:val="auto"/>
          <w:sz w:val="36"/>
          <w:szCs w:val="36"/>
          <w:highlight w:val="none"/>
          <w:shd w:val="clear" w:color="auto" w:fill="auto"/>
          <w:lang w:val="en-US" w:eastAsia="zh-CN"/>
        </w:rPr>
        <w:t>2015年公交停车港湾工程款、欠款</w:t>
      </w:r>
      <w:r>
        <w:rPr>
          <w:rFonts w:hint="eastAsia" w:ascii="宋体" w:hAnsi="宋体" w:eastAsia="宋体" w:cs="宋体"/>
          <w:b/>
          <w:bCs/>
          <w:color w:val="auto"/>
          <w:sz w:val="36"/>
          <w:szCs w:val="36"/>
          <w:highlight w:val="none"/>
          <w:shd w:val="clear" w:color="auto" w:fill="auto"/>
        </w:rPr>
        <w:t>支出绩效评价报告</w:t>
      </w:r>
      <w:bookmarkEnd w:id="1"/>
    </w:p>
    <w:p w14:paraId="0739AFD1">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r>
        <w:rPr>
          <w:rFonts w:hint="eastAsia" w:ascii="宋体" w:hAnsi="宋体" w:eastAsia="宋体" w:cs="宋体"/>
          <w:b/>
          <w:bCs/>
          <w:color w:val="auto"/>
          <w:highlight w:val="none"/>
          <w:shd w:val="clear" w:color="auto" w:fill="auto"/>
        </w:rPr>
        <w:t>一、基本情况</w:t>
      </w:r>
      <w:bookmarkEnd w:id="2"/>
    </w:p>
    <w:p w14:paraId="7451925C">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1D9E5200">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4" w:name="_Toc5043"/>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bookmarkEnd w:id="4"/>
    </w:p>
    <w:p w14:paraId="1C0AFD8F">
      <w:pPr>
        <w:bidi w:val="0"/>
        <w:rPr>
          <w:rFonts w:hint="eastAsia" w:eastAsia="宋体"/>
          <w:color w:val="auto"/>
          <w:highlight w:val="none"/>
          <w:lang w:val="en-US" w:eastAsia="zh-CN"/>
        </w:rPr>
      </w:pPr>
      <w:r>
        <w:rPr>
          <w:rFonts w:hint="eastAsia"/>
          <w:color w:val="auto"/>
          <w:highlight w:val="none"/>
        </w:rPr>
        <w:t>阜康市2015公交车停车港湾工程，是由阜康市发展和改革委员会于2015年8月17日下发的《关于阜康市公交车停车港湾工程立项的批复》阜发改投资[2015]209号文件建设实施，项目总投资550万元，资金来源全部由市财政局配套。该项目建设地点位于阜康市区内。项目建设规模及内容站台基础建设、候车亭建设、站台配套设施建设及相关的水路电路改造等</w:t>
      </w:r>
      <w:r>
        <w:rPr>
          <w:rFonts w:hint="eastAsia"/>
          <w:color w:val="auto"/>
          <w:highlight w:val="none"/>
          <w:lang w:eastAsia="zh-CN"/>
        </w:rPr>
        <w:t>。</w:t>
      </w:r>
    </w:p>
    <w:p w14:paraId="6D0B2D7B">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5" w:name="_Toc27343"/>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bookmarkEnd w:id="5"/>
    </w:p>
    <w:p w14:paraId="2B318A60">
      <w:pPr>
        <w:pStyle w:val="5"/>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主要内容</w:t>
      </w:r>
      <w:r>
        <w:rPr>
          <w:rFonts w:hint="eastAsia" w:ascii="宋体" w:hAnsi="宋体" w:eastAsia="宋体" w:cs="宋体"/>
          <w:color w:val="auto"/>
          <w:highlight w:val="none"/>
          <w:shd w:val="clear" w:color="auto" w:fill="auto"/>
          <w:lang w:val="en-US" w:eastAsia="zh-CN"/>
        </w:rPr>
        <w:t>：2015年公交站台建设项目完成建设站台基础设施、候车厅、站台配套设施及相关的水路电路改造等施工图中所有内容，工程通过验收率100%，工程款10万元，工程欠款32万元，提升公共服务水平，改善人居环境，提高市民幸福感。</w:t>
      </w:r>
    </w:p>
    <w:p w14:paraId="7D798109">
      <w:pPr>
        <w:pStyle w:val="5"/>
        <w:rPr>
          <w:rFonts w:hint="default" w:eastAsia="宋体"/>
          <w:color w:val="auto"/>
          <w:highlight w:val="none"/>
          <w:lang w:val="en-US" w:eastAsia="zh-CN"/>
        </w:rPr>
      </w:pPr>
      <w:r>
        <w:rPr>
          <w:rFonts w:hint="eastAsia" w:cs="宋体"/>
          <w:color w:val="auto"/>
          <w:highlight w:val="none"/>
          <w:shd w:val="clear" w:color="auto" w:fill="auto"/>
          <w:lang w:val="en-US" w:eastAsia="zh-CN"/>
        </w:rPr>
        <w:t>组织实施</w:t>
      </w:r>
      <w:r>
        <w:rPr>
          <w:rFonts w:hint="eastAsia" w:ascii="宋体" w:hAnsi="宋体" w:eastAsia="宋体" w:cs="宋体"/>
          <w:color w:val="auto"/>
          <w:highlight w:val="none"/>
          <w:shd w:val="clear" w:color="auto" w:fill="auto"/>
          <w:lang w:val="en-US" w:eastAsia="zh-CN"/>
        </w:rPr>
        <w:t>：本项目自</w:t>
      </w:r>
      <w:r>
        <w:rPr>
          <w:rFonts w:hint="eastAsia" w:cs="宋体"/>
          <w:color w:val="auto"/>
          <w:highlight w:val="none"/>
          <w:shd w:val="clear" w:color="auto" w:fill="auto"/>
          <w:lang w:val="en-US" w:eastAsia="zh-CN"/>
        </w:rPr>
        <w:t>2015</w:t>
      </w:r>
      <w:r>
        <w:rPr>
          <w:rFonts w:hint="eastAsia" w:ascii="宋体" w:hAnsi="宋体" w:eastAsia="宋体" w:cs="宋体"/>
          <w:color w:val="auto"/>
          <w:highlight w:val="none"/>
          <w:shd w:val="clear" w:color="auto" w:fill="auto"/>
          <w:lang w:val="en-US" w:eastAsia="zh-CN"/>
        </w:rPr>
        <w:t>年</w:t>
      </w:r>
      <w:r>
        <w:rPr>
          <w:rFonts w:hint="eastAsia" w:cs="宋体"/>
          <w:color w:val="auto"/>
          <w:highlight w:val="none"/>
          <w:shd w:val="clear" w:color="auto" w:fill="auto"/>
          <w:lang w:val="en-US" w:eastAsia="zh-CN"/>
        </w:rPr>
        <w:t>8</w:t>
      </w:r>
      <w:r>
        <w:rPr>
          <w:rFonts w:hint="eastAsia" w:ascii="宋体" w:hAnsi="宋体" w:eastAsia="宋体" w:cs="宋体"/>
          <w:color w:val="auto"/>
          <w:highlight w:val="none"/>
          <w:shd w:val="clear" w:color="auto" w:fill="auto"/>
          <w:lang w:val="en-US" w:eastAsia="zh-CN"/>
        </w:rPr>
        <w:t>月</w:t>
      </w:r>
      <w:r>
        <w:rPr>
          <w:rFonts w:hint="eastAsia" w:cs="宋体"/>
          <w:color w:val="auto"/>
          <w:highlight w:val="none"/>
          <w:shd w:val="clear" w:color="auto" w:fill="auto"/>
          <w:lang w:val="en-US" w:eastAsia="zh-CN"/>
        </w:rPr>
        <w:t>17</w:t>
      </w:r>
      <w:r>
        <w:rPr>
          <w:rFonts w:hint="eastAsia" w:ascii="宋体" w:hAnsi="宋体" w:eastAsia="宋体" w:cs="宋体"/>
          <w:color w:val="auto"/>
          <w:highlight w:val="none"/>
          <w:shd w:val="clear" w:color="auto" w:fill="auto"/>
          <w:lang w:val="en-US" w:eastAsia="zh-CN"/>
        </w:rPr>
        <w:t>日经</w:t>
      </w:r>
      <w:r>
        <w:rPr>
          <w:rFonts w:hint="eastAsia" w:cs="宋体"/>
          <w:color w:val="auto"/>
          <w:highlight w:val="none"/>
          <w:shd w:val="clear" w:color="auto" w:fill="auto"/>
          <w:lang w:val="en-US" w:eastAsia="zh-CN"/>
        </w:rPr>
        <w:t>阜发改投资[2015]209号</w:t>
      </w:r>
      <w:r>
        <w:rPr>
          <w:rFonts w:hint="eastAsia" w:ascii="宋体" w:hAnsi="宋体" w:eastAsia="宋体" w:cs="宋体"/>
          <w:color w:val="auto"/>
          <w:highlight w:val="none"/>
          <w:shd w:val="clear" w:color="auto" w:fill="auto"/>
          <w:lang w:val="en-US" w:eastAsia="zh-CN"/>
        </w:rPr>
        <w:t>文件批复，确定了项目领导小组，明确了责任分工：组长为罗奕，副组长为杜福林，</w:t>
      </w:r>
      <w:r>
        <w:rPr>
          <w:rFonts w:hint="eastAsia" w:cs="宋体"/>
          <w:color w:val="auto"/>
          <w:highlight w:val="none"/>
          <w:shd w:val="clear" w:color="auto" w:fill="auto"/>
          <w:lang w:val="en-US" w:eastAsia="zh-CN"/>
        </w:rPr>
        <w:t>项目负责人为</w:t>
      </w:r>
      <w:r>
        <w:rPr>
          <w:rFonts w:hint="eastAsia" w:ascii="宋体" w:hAnsi="宋体" w:eastAsia="宋体" w:cs="宋体"/>
          <w:color w:val="auto"/>
          <w:highlight w:val="none"/>
          <w:shd w:val="clear" w:color="auto" w:fill="auto"/>
          <w:lang w:val="en-US" w:eastAsia="zh-CN"/>
        </w:rPr>
        <w:t>康立斌</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组员为刘彩枫、任雪林，其中：任雪林负责监管工作，刘彩枫负责项目档案资料，李婷负责资金拨付工作。</w:t>
      </w:r>
      <w:r>
        <w:rPr>
          <w:rFonts w:hint="eastAsia" w:cs="宋体"/>
          <w:color w:val="auto"/>
          <w:highlight w:val="none"/>
          <w:shd w:val="clear" w:color="auto" w:fill="auto"/>
          <w:lang w:val="en-US" w:eastAsia="zh-CN"/>
        </w:rPr>
        <w:t>截止2015年12月31日前，项目已完成并投入使用，2016年6月完成工程竣工决算审计。公交站台建设完成率达到100%，于2023年5月31日前完成42万工程款及欠款的支付。</w:t>
      </w:r>
    </w:p>
    <w:p w14:paraId="5614CCFC">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6" w:name="_Toc1858"/>
      <w:r>
        <w:rPr>
          <w:rFonts w:hint="eastAsia" w:ascii="宋体" w:hAnsi="宋体" w:eastAsia="宋体" w:cs="宋体"/>
          <w:color w:val="auto"/>
          <w:highlight w:val="none"/>
          <w:shd w:val="clear" w:color="auto" w:fill="auto"/>
          <w:lang w:val="en-US" w:eastAsia="zh-CN"/>
        </w:rPr>
        <w:t>3.资金投入和使用情况</w:t>
      </w:r>
      <w:bookmarkEnd w:id="6"/>
    </w:p>
    <w:p w14:paraId="347B6F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14:paraId="132692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2015年公交停车港湾工程款、欠款</w:t>
      </w:r>
      <w:r>
        <w:rPr>
          <w:rFonts w:hint="eastAsia" w:ascii="宋体" w:hAnsi="宋体" w:eastAsia="宋体" w:cs="宋体"/>
          <w:color w:val="auto"/>
          <w:highlight w:val="none"/>
          <w:shd w:val="clear" w:color="auto" w:fill="auto"/>
          <w:lang w:val="en-US" w:eastAsia="zh-CN"/>
        </w:rPr>
        <w:t>项目预算安排总额为</w:t>
      </w:r>
      <w:r>
        <w:rPr>
          <w:rFonts w:hint="eastAsia" w:cs="宋体"/>
          <w:color w:val="auto"/>
          <w:highlight w:val="none"/>
          <w:shd w:val="clear" w:color="auto" w:fill="auto"/>
          <w:lang w:val="en-US" w:eastAsia="zh-CN"/>
        </w:rPr>
        <w:t>42</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金42</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42</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73158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67C8E5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截至2023年12月31日，2015年公交停车港湾工程款、欠款</w:t>
      </w:r>
      <w:r>
        <w:rPr>
          <w:rFonts w:hint="eastAsia" w:ascii="宋体" w:hAnsi="宋体" w:eastAsia="宋体" w:cs="宋体"/>
          <w:color w:val="auto"/>
          <w:highlight w:val="none"/>
          <w:shd w:val="clear" w:color="auto" w:fill="auto"/>
        </w:rPr>
        <w:t>项目实际支付资金</w:t>
      </w:r>
      <w:r>
        <w:rPr>
          <w:rFonts w:hint="eastAsia" w:cs="宋体"/>
          <w:color w:val="auto"/>
          <w:highlight w:val="none"/>
          <w:shd w:val="clear" w:color="auto" w:fill="auto"/>
          <w:lang w:val="en-US" w:eastAsia="zh-CN"/>
        </w:rPr>
        <w:t>42</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eastAsia="zh-CN"/>
        </w:rPr>
        <w:t>建设公交站台</w:t>
      </w:r>
      <w:r>
        <w:rPr>
          <w:rFonts w:hint="eastAsia" w:cs="宋体"/>
          <w:color w:val="auto"/>
          <w:highlight w:val="none"/>
          <w:shd w:val="clear" w:color="auto" w:fill="auto"/>
          <w:lang w:val="en-US" w:eastAsia="zh-CN"/>
        </w:rPr>
        <w:t>等方面。</w:t>
      </w:r>
    </w:p>
    <w:p w14:paraId="170187FB">
      <w:pPr>
        <w:pStyle w:val="3"/>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highlight w:val="none"/>
          <w:shd w:val="clear" w:color="auto" w:fill="auto"/>
        </w:rPr>
      </w:pPr>
      <w:bookmarkStart w:id="7" w:name="_Toc2879"/>
      <w:r>
        <w:rPr>
          <w:rFonts w:hint="eastAsia" w:ascii="宋体" w:hAnsi="宋体" w:eastAsia="宋体" w:cs="宋体"/>
          <w:color w:val="auto"/>
          <w:highlight w:val="none"/>
          <w:shd w:val="clear" w:color="auto" w:fill="auto"/>
        </w:rPr>
        <w:t>项目绩效目标</w:t>
      </w:r>
      <w:bookmarkEnd w:id="7"/>
    </w:p>
    <w:p w14:paraId="74A4A171">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8" w:name="_Toc10047"/>
      <w:r>
        <w:rPr>
          <w:rFonts w:hint="eastAsia" w:ascii="宋体" w:hAnsi="宋体" w:eastAsia="宋体" w:cs="宋体"/>
          <w:color w:val="auto"/>
          <w:highlight w:val="none"/>
          <w:shd w:val="clear" w:color="auto" w:fill="auto"/>
          <w:lang w:val="en-US" w:eastAsia="zh-CN"/>
        </w:rPr>
        <w:t>1.总体目标</w:t>
      </w:r>
      <w:bookmarkEnd w:id="8"/>
    </w:p>
    <w:p w14:paraId="13F8EFD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2015年公交停车港湾工程款、欠款项目绩效总体目标为：</w:t>
      </w:r>
      <w:r>
        <w:rPr>
          <w:rFonts w:hint="eastAsia" w:ascii="宋体" w:hAnsi="宋体" w:eastAsia="宋体" w:cs="宋体"/>
          <w:color w:val="auto"/>
          <w:highlight w:val="none"/>
          <w:shd w:val="clear" w:color="auto" w:fill="auto"/>
          <w:lang w:val="en-US" w:eastAsia="zh-CN"/>
        </w:rPr>
        <w:t>：2015年公交站台建设项目完成建设站台基础设施、候车厅、站台配套设施及相关的水路电路改造等施工图中所有内容，工程通过验收率100%，工程款10万元，工程欠款32万元，提升公共服务水平，改善人居环境，提高市民幸福感。</w:t>
      </w:r>
    </w:p>
    <w:p w14:paraId="4054C512">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4487"/>
      <w:r>
        <w:rPr>
          <w:rFonts w:hint="eastAsia" w:ascii="宋体" w:hAnsi="宋体" w:eastAsia="宋体" w:cs="宋体"/>
          <w:color w:val="auto"/>
          <w:highlight w:val="none"/>
          <w:shd w:val="clear" w:color="auto" w:fill="auto"/>
          <w:lang w:val="en-US" w:eastAsia="zh-CN"/>
        </w:rPr>
        <w:t>2.阶段性目标</w:t>
      </w:r>
      <w:bookmarkEnd w:id="9"/>
    </w:p>
    <w:p w14:paraId="4BEC3EF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14:paraId="2AB593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14:paraId="65CAC3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58157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建设数量</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30个；</w:t>
      </w:r>
    </w:p>
    <w:p w14:paraId="16879D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0D02A1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工程通过验收率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77E04B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③质量指标</w:t>
      </w:r>
    </w:p>
    <w:p w14:paraId="29F93A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公交站台建设完成率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32666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④时效指标</w:t>
      </w:r>
    </w:p>
    <w:p w14:paraId="476682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资金拨付及时率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14:paraId="17B205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14:paraId="3C8520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2015年公交停车港湾工程款</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为≤10万；</w:t>
      </w:r>
    </w:p>
    <w:p w14:paraId="0AF853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2015年公交停车港湾欠款</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32</w:t>
      </w:r>
      <w:r>
        <w:rPr>
          <w:rFonts w:hint="eastAsia" w:ascii="宋体" w:hAnsi="宋体" w:eastAsia="宋体" w:cs="宋体"/>
          <w:color w:val="auto"/>
          <w:highlight w:val="none"/>
          <w:shd w:val="clear" w:color="auto" w:fill="auto"/>
          <w:lang w:val="en-US" w:eastAsia="zh-CN"/>
        </w:rPr>
        <w:t>万；</w:t>
      </w:r>
    </w:p>
    <w:p w14:paraId="46B4143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14:paraId="53E31645">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w:t>
      </w:r>
      <w:r>
        <w:rPr>
          <w:rFonts w:hint="eastAsia" w:cs="宋体"/>
          <w:color w:val="auto"/>
          <w:highlight w:val="none"/>
          <w:shd w:val="clear" w:color="auto" w:fill="auto"/>
          <w:lang w:val="en-US" w:eastAsia="zh-CN"/>
        </w:rPr>
        <w:t>经济效益指标</w:t>
      </w:r>
    </w:p>
    <w:p w14:paraId="6B7A1034">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本项目不涉及经济效益指标。</w:t>
      </w:r>
    </w:p>
    <w:p w14:paraId="06E23DD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②</w:t>
      </w:r>
      <w:r>
        <w:rPr>
          <w:rFonts w:hint="eastAsia" w:ascii="宋体" w:hAnsi="宋体" w:eastAsia="宋体" w:cs="宋体"/>
          <w:color w:val="auto"/>
          <w:highlight w:val="none"/>
          <w:shd w:val="clear" w:color="auto" w:fill="auto"/>
          <w:lang w:val="en-US" w:eastAsia="zh-CN"/>
        </w:rPr>
        <w:t>社会效益指标</w:t>
      </w:r>
    </w:p>
    <w:p w14:paraId="44299DF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公共服务水平提高</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为提高；</w:t>
      </w:r>
    </w:p>
    <w:p w14:paraId="32EA362A">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25D037A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改善人居环境</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为改善；</w:t>
      </w:r>
    </w:p>
    <w:p w14:paraId="201C184A">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w:t>
      </w:r>
      <w:r>
        <w:rPr>
          <w:rFonts w:hint="eastAsia" w:cs="宋体"/>
          <w:color w:val="auto"/>
          <w:highlight w:val="none"/>
          <w:shd w:val="clear" w:color="auto" w:fill="auto"/>
          <w:lang w:val="en-US" w:eastAsia="zh-CN"/>
        </w:rPr>
        <w:t>可持续影响指标</w:t>
      </w:r>
    </w:p>
    <w:p w14:paraId="392815BD">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本项目不涉及可持续影响指标。</w:t>
      </w:r>
    </w:p>
    <w:p w14:paraId="2EAB5E5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655F589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受益群众满意度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w:t>
      </w:r>
      <w:r>
        <w:rPr>
          <w:rFonts w:hint="eastAsia" w:cs="宋体"/>
          <w:color w:val="auto"/>
          <w:highlight w:val="none"/>
          <w:shd w:val="clear" w:color="auto" w:fill="auto"/>
          <w:lang w:val="en-US" w:eastAsia="zh-CN"/>
        </w:rPr>
        <w:t>。</w:t>
      </w:r>
    </w:p>
    <w:p w14:paraId="4F58D1F2">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10" w:name="_Toc2549"/>
      <w:r>
        <w:rPr>
          <w:rFonts w:hint="eastAsia" w:ascii="宋体" w:hAnsi="宋体" w:eastAsia="宋体" w:cs="宋体"/>
          <w:b/>
          <w:bCs/>
          <w:color w:val="auto"/>
          <w:highlight w:val="none"/>
          <w:shd w:val="clear" w:color="auto" w:fill="auto"/>
        </w:rPr>
        <w:t>二、绩效评价工作开展情况</w:t>
      </w:r>
      <w:bookmarkEnd w:id="10"/>
    </w:p>
    <w:p w14:paraId="20550152">
      <w:pPr>
        <w:pStyle w:val="3"/>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11" w:name="_Toc5258"/>
      <w:bookmarkStart w:id="12" w:name="_Toc22922"/>
      <w:bookmarkStart w:id="13" w:name="_Toc21664"/>
      <w:bookmarkStart w:id="14" w:name="_Toc26632"/>
      <w:bookmarkStart w:id="15" w:name="_Toc480473081"/>
      <w:bookmarkStart w:id="16" w:name="_Toc5462343"/>
      <w:bookmarkStart w:id="17" w:name="_Toc12868"/>
      <w:bookmarkStart w:id="18" w:name="_Toc22169_WPSOffice_Level2"/>
      <w:bookmarkStart w:id="19" w:name="_Toc21778"/>
      <w:r>
        <w:rPr>
          <w:rFonts w:hint="eastAsia" w:ascii="宋体" w:hAnsi="宋体" w:eastAsia="宋体" w:cs="宋体"/>
          <w:color w:val="auto"/>
          <w:sz w:val="32"/>
          <w:szCs w:val="32"/>
          <w:highlight w:val="none"/>
          <w:shd w:val="clear" w:color="auto" w:fill="auto"/>
          <w:lang w:eastAsia="zh-CN"/>
        </w:rPr>
        <w:t>绩效评价的目的</w:t>
      </w:r>
      <w:bookmarkEnd w:id="11"/>
      <w:bookmarkEnd w:id="12"/>
      <w:bookmarkEnd w:id="13"/>
      <w:bookmarkEnd w:id="14"/>
      <w:bookmarkEnd w:id="15"/>
      <w:bookmarkEnd w:id="16"/>
      <w:bookmarkEnd w:id="17"/>
      <w:bookmarkEnd w:id="18"/>
      <w:r>
        <w:rPr>
          <w:rFonts w:hint="eastAsia" w:ascii="宋体" w:hAnsi="宋体" w:eastAsia="宋体" w:cs="宋体"/>
          <w:color w:val="auto"/>
          <w:sz w:val="32"/>
          <w:szCs w:val="32"/>
          <w:highlight w:val="none"/>
          <w:shd w:val="clear" w:color="auto" w:fill="auto"/>
          <w:lang w:eastAsia="zh-CN"/>
        </w:rPr>
        <w:t>、对象和范围</w:t>
      </w:r>
      <w:bookmarkEnd w:id="19"/>
    </w:p>
    <w:p w14:paraId="0AE8B670">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20" w:name="_Toc15732"/>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bookmarkEnd w:id="20"/>
    </w:p>
    <w:p w14:paraId="22BDE1B8">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14:paraId="50283D8A">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1" w:name="_Toc30609"/>
      <w:r>
        <w:rPr>
          <w:rFonts w:hint="eastAsia" w:ascii="宋体" w:hAnsi="宋体" w:eastAsia="宋体" w:cs="宋体"/>
          <w:color w:val="auto"/>
          <w:highlight w:val="none"/>
          <w:shd w:val="clear" w:color="auto" w:fill="auto"/>
          <w:lang w:val="en-US" w:eastAsia="zh-CN"/>
        </w:rPr>
        <w:t>2.绩效评价的对象和范围</w:t>
      </w:r>
      <w:bookmarkEnd w:id="21"/>
    </w:p>
    <w:p w14:paraId="5B9551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w:t>
      </w:r>
      <w:r>
        <w:rPr>
          <w:rFonts w:hint="eastAsia" w:cs="宋体"/>
          <w:color w:val="auto"/>
          <w:highlight w:val="none"/>
          <w:shd w:val="clear" w:color="auto" w:fill="auto"/>
          <w:lang w:val="en-US" w:eastAsia="zh-CN"/>
        </w:rPr>
        <w:t>2015年公交停车港湾工程款、欠款</w:t>
      </w:r>
      <w:r>
        <w:rPr>
          <w:rFonts w:hint="eastAsia" w:ascii="宋体" w:hAnsi="宋体" w:eastAsia="宋体" w:cs="宋体"/>
          <w:color w:val="auto"/>
          <w:highlight w:val="none"/>
          <w:shd w:val="clear" w:color="auto" w:fill="auto"/>
          <w:lang w:val="en-US" w:eastAsia="zh-CN"/>
        </w:rPr>
        <w:t>项目开展部门绩效评价。</w:t>
      </w:r>
    </w:p>
    <w:p w14:paraId="0D4A59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23E97B95">
      <w:pPr>
        <w:pStyle w:val="3"/>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bookmarkStart w:id="22" w:name="_Toc15902"/>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bookmarkEnd w:id="22"/>
    </w:p>
    <w:p w14:paraId="25BA78F4">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3"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3"/>
    </w:p>
    <w:p w14:paraId="7C8136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2015年公交停车港湾工程款、欠款</w:t>
      </w:r>
      <w:r>
        <w:rPr>
          <w:rFonts w:hint="eastAsia" w:ascii="宋体" w:hAnsi="宋体" w:eastAsia="宋体"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14:paraId="26CA87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14:paraId="11EC37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14:paraId="6ACE53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14:paraId="446585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14:paraId="4EBC3A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14:paraId="155629C8">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4" w:name="_Toc26131"/>
      <w:bookmarkStart w:id="25" w:name="_Toc1913"/>
      <w:bookmarkStart w:id="26" w:name="_Toc419984722"/>
      <w:bookmarkStart w:id="27" w:name="_Toc428278230"/>
      <w:bookmarkStart w:id="28"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4"/>
      <w:bookmarkEnd w:id="25"/>
      <w:bookmarkEnd w:id="26"/>
      <w:bookmarkEnd w:id="27"/>
      <w:r>
        <w:rPr>
          <w:rFonts w:hint="eastAsia" w:ascii="宋体" w:hAnsi="宋体" w:eastAsia="宋体" w:cs="宋体"/>
          <w:color w:val="auto"/>
          <w:highlight w:val="none"/>
          <w:shd w:val="clear" w:color="auto" w:fill="auto"/>
          <w:lang w:val="en-US" w:eastAsia="zh-CN"/>
        </w:rPr>
        <w:t>标准</w:t>
      </w:r>
      <w:bookmarkEnd w:id="28"/>
    </w:p>
    <w:p w14:paraId="7ACB9C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14:paraId="3171FE39">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1"/>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01535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566ED2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auto"/>
            <w:vAlign w:val="center"/>
          </w:tcPr>
          <w:p w14:paraId="71C065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auto"/>
            <w:vAlign w:val="center"/>
          </w:tcPr>
          <w:p w14:paraId="342CE2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auto"/>
            <w:vAlign w:val="center"/>
          </w:tcPr>
          <w:p w14:paraId="728300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auto"/>
            <w:vAlign w:val="center"/>
          </w:tcPr>
          <w:p w14:paraId="36C14F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1A28B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53C624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auto"/>
            <w:vAlign w:val="center"/>
          </w:tcPr>
          <w:p w14:paraId="46E8BB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auto"/>
            <w:vAlign w:val="center"/>
          </w:tcPr>
          <w:p w14:paraId="6FE925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60B04A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auto"/>
            <w:vAlign w:val="center"/>
          </w:tcPr>
          <w:p w14:paraId="193A012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auto"/>
            <w:vAlign w:val="center"/>
          </w:tcPr>
          <w:p w14:paraId="3AB7DD2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19C8FA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3A705BF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1EFDFCE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7A38AAF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19AE65A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6B5BB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681D9F44">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DE3D9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7EBD77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43ADA6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auto"/>
            <w:vAlign w:val="center"/>
          </w:tcPr>
          <w:p w14:paraId="0AF5138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auto"/>
            <w:vAlign w:val="center"/>
          </w:tcPr>
          <w:p w14:paraId="2BE23AB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CC4A8C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37FC1EB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0058085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1BC96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7E10186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2058E7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auto"/>
            <w:vAlign w:val="center"/>
          </w:tcPr>
          <w:p w14:paraId="1561F0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22465D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3C94F38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auto" w:fill="auto"/>
            <w:vAlign w:val="center"/>
          </w:tcPr>
          <w:p w14:paraId="26C9A42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02DBD96">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456A98F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7CCD44A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3B06FBC8">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49700A8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2F92A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220209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6EE2F5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9D5CB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23D9C8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auto" w:fill="auto"/>
            <w:vAlign w:val="center"/>
          </w:tcPr>
          <w:p w14:paraId="63C7785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auto" w:fill="auto"/>
            <w:vAlign w:val="center"/>
          </w:tcPr>
          <w:p w14:paraId="2FBF6F3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FB560F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376FDB9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72CC6BC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16BC2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538F9F8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22D89A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auto"/>
            <w:vAlign w:val="center"/>
          </w:tcPr>
          <w:p w14:paraId="35572D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4192AB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auto"/>
            <w:vAlign w:val="center"/>
          </w:tcPr>
          <w:p w14:paraId="60673E5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6DC0624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7EBF0F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4C9C791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45C4D89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707A3C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3363D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18CA44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25B6CD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1BA234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6470A3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363149D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029A089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8ED0F1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2B46687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56624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04BEFF5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auto"/>
            <w:vAlign w:val="center"/>
          </w:tcPr>
          <w:p w14:paraId="6133AE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auto"/>
            <w:vAlign w:val="center"/>
          </w:tcPr>
          <w:p w14:paraId="02B111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auto" w:fill="auto"/>
            <w:vAlign w:val="center"/>
          </w:tcPr>
          <w:p w14:paraId="69F5637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auto" w:fill="auto"/>
            <w:vAlign w:val="center"/>
          </w:tcPr>
          <w:p w14:paraId="465FC28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6D7B7F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5F514E0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02A0F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174589BA">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2A0F62CD">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06C85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auto"/>
            <w:vAlign w:val="center"/>
          </w:tcPr>
          <w:p w14:paraId="3E145D0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auto"/>
            <w:vAlign w:val="center"/>
          </w:tcPr>
          <w:p w14:paraId="3550E46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255327C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31FA8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33C966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43A3F6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647A7E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5E4C83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auto" w:fill="auto"/>
            <w:vAlign w:val="center"/>
          </w:tcPr>
          <w:p w14:paraId="695DF41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auto" w:fill="auto"/>
            <w:vAlign w:val="center"/>
          </w:tcPr>
          <w:p w14:paraId="2926B2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D8255A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3ED29D9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166C203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589AB96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1BE53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0C94379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0F33FE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auto"/>
            <w:vAlign w:val="center"/>
          </w:tcPr>
          <w:p w14:paraId="64EE92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33514D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auto" w:fill="auto"/>
            <w:vAlign w:val="center"/>
          </w:tcPr>
          <w:p w14:paraId="24D8AF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auto" w:fill="auto"/>
            <w:vAlign w:val="center"/>
          </w:tcPr>
          <w:p w14:paraId="0A4E844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023943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02CD15C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685FB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351040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3584A6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FAE6C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071F26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auto" w:fill="auto"/>
            <w:vAlign w:val="center"/>
          </w:tcPr>
          <w:p w14:paraId="791B2AA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auto" w:fill="auto"/>
            <w:vAlign w:val="center"/>
          </w:tcPr>
          <w:p w14:paraId="1B0C809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D7EEBA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60F58C2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2D4D148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512B72F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4FD63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2F4550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auto"/>
            <w:vAlign w:val="center"/>
          </w:tcPr>
          <w:p w14:paraId="1025EE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auto"/>
            <w:vAlign w:val="center"/>
          </w:tcPr>
          <w:p w14:paraId="79A996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auto" w:fill="auto"/>
            <w:vAlign w:val="center"/>
          </w:tcPr>
          <w:p w14:paraId="75FBF5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auto" w:fill="auto"/>
            <w:vAlign w:val="center"/>
          </w:tcPr>
          <w:p w14:paraId="0DE9749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0A8D2D8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322AB6E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66C5F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7EC769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5482FB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auto"/>
            <w:vAlign w:val="center"/>
          </w:tcPr>
          <w:p w14:paraId="1DD3E5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auto" w:fill="auto"/>
            <w:vAlign w:val="center"/>
          </w:tcPr>
          <w:p w14:paraId="1B378ED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auto" w:fill="auto"/>
            <w:vAlign w:val="center"/>
          </w:tcPr>
          <w:p w14:paraId="7C1D031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731493C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769B3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5E2A300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553B5AE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auto"/>
            <w:vAlign w:val="center"/>
          </w:tcPr>
          <w:p w14:paraId="14C63B5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auto" w:fill="auto"/>
            <w:vAlign w:val="center"/>
          </w:tcPr>
          <w:p w14:paraId="3458152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auto" w:fill="auto"/>
            <w:vAlign w:val="center"/>
          </w:tcPr>
          <w:p w14:paraId="54ABE50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5DB99DB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2740C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03DA04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78EAC7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auto"/>
            <w:vAlign w:val="center"/>
          </w:tcPr>
          <w:p w14:paraId="13BF43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auto" w:fill="auto"/>
            <w:vAlign w:val="center"/>
          </w:tcPr>
          <w:p w14:paraId="26AEADC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auto" w:fill="auto"/>
            <w:vAlign w:val="center"/>
          </w:tcPr>
          <w:p w14:paraId="14DA852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44FAD7C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11BEE3C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69A75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61EC1E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auto"/>
            <w:vAlign w:val="center"/>
          </w:tcPr>
          <w:p w14:paraId="3E9B37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auto"/>
            <w:vAlign w:val="center"/>
          </w:tcPr>
          <w:p w14:paraId="645D41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auto"/>
            <w:vAlign w:val="center"/>
          </w:tcPr>
          <w:p w14:paraId="6C6F438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auto"/>
            <w:vAlign w:val="center"/>
          </w:tcPr>
          <w:p w14:paraId="4170A32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56751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4FD2D4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964FD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3089AE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auto" w:fill="auto"/>
            <w:vAlign w:val="center"/>
          </w:tcPr>
          <w:p w14:paraId="53BD5D2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auto" w:fill="auto"/>
            <w:vAlign w:val="center"/>
          </w:tcPr>
          <w:p w14:paraId="1DFE135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14:paraId="5ECB3CF2">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9"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29"/>
    </w:p>
    <w:p w14:paraId="264A63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w:t>
      </w:r>
      <w:r>
        <w:rPr>
          <w:rFonts w:hint="eastAsia" w:cs="宋体"/>
          <w:color w:val="auto"/>
          <w:highlight w:val="none"/>
          <w:shd w:val="clear" w:color="auto" w:fill="auto"/>
          <w:lang w:val="en-US" w:eastAsia="zh-CN"/>
        </w:rPr>
        <w:t>2015年公交停车港湾工程款、欠款</w:t>
      </w:r>
      <w:r>
        <w:rPr>
          <w:rFonts w:hint="eastAsia" w:ascii="宋体" w:hAnsi="宋体" w:eastAsia="宋体" w:cs="宋体"/>
          <w:color w:val="auto"/>
          <w:highlight w:val="none"/>
          <w:shd w:val="clear" w:color="auto" w:fill="auto"/>
          <w:lang w:val="en-US" w:eastAsia="zh-CN"/>
        </w:rPr>
        <w:t>项目进行评价。</w:t>
      </w:r>
    </w:p>
    <w:p w14:paraId="6ACBA884">
      <w:pPr>
        <w:pStyle w:val="4"/>
        <w:rPr>
          <w:rFonts w:hint="default" w:ascii="宋体" w:hAnsi="宋体" w:eastAsia="宋体" w:cs="宋体"/>
          <w:color w:val="auto"/>
          <w:highlight w:val="none"/>
          <w:shd w:val="clear" w:color="auto" w:fill="auto"/>
          <w:lang w:val="en-US" w:eastAsia="zh-CN"/>
        </w:rPr>
      </w:pPr>
      <w:bookmarkStart w:id="30" w:name="_Toc25391"/>
      <w:r>
        <w:rPr>
          <w:rFonts w:hint="eastAsia" w:ascii="宋体" w:hAnsi="宋体" w:eastAsia="宋体" w:cs="宋体"/>
          <w:color w:val="auto"/>
          <w:highlight w:val="none"/>
          <w:shd w:val="clear" w:color="auto" w:fill="auto"/>
          <w:lang w:val="en-US" w:eastAsia="zh-CN"/>
        </w:rPr>
        <w:t>4.评价标准</w:t>
      </w:r>
      <w:bookmarkEnd w:id="30"/>
    </w:p>
    <w:p w14:paraId="55C7C5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14:paraId="1413AE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14:paraId="0C321A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14:paraId="6A92F161">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14:paraId="2C0B8C44">
      <w:pPr>
        <w:pStyle w:val="4"/>
        <w:outlineLvl w:val="1"/>
        <w:rPr>
          <w:rFonts w:hint="default" w:ascii="宋体" w:hAnsi="宋体" w:eastAsia="宋体" w:cs="宋体"/>
          <w:color w:val="auto"/>
          <w:highlight w:val="none"/>
          <w:shd w:val="clear" w:color="auto" w:fill="auto"/>
          <w:lang w:val="en-US" w:eastAsia="zh-CN"/>
        </w:rPr>
      </w:pPr>
      <w:bookmarkStart w:id="31" w:name="_Toc1070"/>
      <w:r>
        <w:rPr>
          <w:rFonts w:hint="eastAsia" w:ascii="宋体" w:hAnsi="宋体" w:eastAsia="宋体" w:cs="宋体"/>
          <w:color w:val="auto"/>
          <w:highlight w:val="none"/>
          <w:shd w:val="clear" w:color="auto" w:fill="auto"/>
          <w:lang w:val="en-US" w:eastAsia="zh-CN"/>
        </w:rPr>
        <w:t>（三）绩效评价工作过程</w:t>
      </w:r>
      <w:bookmarkEnd w:id="31"/>
    </w:p>
    <w:p w14:paraId="498A4C7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2" w:name="_Toc12862"/>
      <w:r>
        <w:rPr>
          <w:rFonts w:hint="eastAsia" w:ascii="宋体" w:hAnsi="宋体" w:eastAsia="宋体" w:cs="宋体"/>
          <w:color w:val="auto"/>
          <w:highlight w:val="none"/>
          <w:shd w:val="clear" w:color="auto" w:fill="auto"/>
          <w:lang w:val="en-US" w:eastAsia="zh-CN"/>
        </w:rPr>
        <w:t>1.前期准备</w:t>
      </w:r>
      <w:bookmarkEnd w:id="32"/>
    </w:p>
    <w:p w14:paraId="43A5433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14:paraId="2CEE0D6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6782E659">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3"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3"/>
    </w:p>
    <w:p w14:paraId="7FF8559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w:t>
      </w:r>
      <w:r>
        <w:rPr>
          <w:rFonts w:hint="eastAsia" w:ascii="宋体" w:hAnsi="宋体" w:cs="宋体"/>
          <w:b w:val="0"/>
          <w:bCs w:val="0"/>
          <w:color w:val="auto"/>
          <w:kern w:val="2"/>
          <w:sz w:val="28"/>
          <w:szCs w:val="24"/>
          <w:highlight w:val="none"/>
          <w:shd w:val="clear" w:color="auto" w:fill="auto"/>
          <w:lang w:val="en-US" w:eastAsia="zh-CN" w:bidi="ar-SA"/>
        </w:rPr>
        <w:t>2015年公交停车港湾工程款、欠款</w:t>
      </w:r>
      <w:r>
        <w:rPr>
          <w:rFonts w:hint="eastAsia" w:ascii="宋体" w:hAnsi="宋体" w:eastAsia="宋体" w:cs="宋体"/>
          <w:b w:val="0"/>
          <w:bCs w:val="0"/>
          <w:color w:val="auto"/>
          <w:kern w:val="2"/>
          <w:sz w:val="28"/>
          <w:szCs w:val="24"/>
          <w:highlight w:val="none"/>
          <w:shd w:val="clear" w:color="auto" w:fill="auto"/>
          <w:lang w:val="en-US" w:eastAsia="zh-CN" w:bidi="ar-SA"/>
        </w:rPr>
        <w:t>项目实施内容、目标信息、预算信息以及其他的一些项目基本信息，有了初步了解，为制定绩效评价工作方案做好准备。</w:t>
      </w:r>
      <w:bookmarkEnd w:id="34"/>
    </w:p>
    <w:p w14:paraId="3B338F60">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5"/>
    </w:p>
    <w:p w14:paraId="6DB713CD">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6"/>
    </w:p>
    <w:p w14:paraId="14730E3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7"/>
    </w:p>
    <w:p w14:paraId="02961A54">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8"/>
    </w:p>
    <w:p w14:paraId="19E0C47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39"/>
    </w:p>
    <w:p w14:paraId="73EDDA8B">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0"/>
    </w:p>
    <w:p w14:paraId="19AE6145">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1"/>
    </w:p>
    <w:p w14:paraId="6D586B4C">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2"/>
    </w:p>
    <w:p w14:paraId="6E6135D6">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3"/>
    </w:p>
    <w:p w14:paraId="3ADEE576">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4"/>
    </w:p>
    <w:p w14:paraId="3E145F7C">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5"/>
    </w:p>
    <w:p w14:paraId="3F6667C2">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6"/>
    </w:p>
    <w:p w14:paraId="36BDC8D5">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7"/>
    </w:p>
    <w:p w14:paraId="6CC94006">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8"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8"/>
    </w:p>
    <w:p w14:paraId="28A7CD5E">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49"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49"/>
    </w:p>
    <w:p w14:paraId="3BEBFC55">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0"/>
    </w:p>
    <w:p w14:paraId="254D36D0">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1"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1"/>
    </w:p>
    <w:p w14:paraId="62AC5AC8">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2"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2"/>
    </w:p>
    <w:p w14:paraId="620CF249">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3"/>
    </w:p>
    <w:p w14:paraId="48296CEF">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54" w:name="_Toc1100"/>
      <w:r>
        <w:rPr>
          <w:rFonts w:hint="eastAsia" w:ascii="宋体" w:hAnsi="宋体" w:eastAsia="宋体" w:cs="宋体"/>
          <w:b/>
          <w:bCs/>
          <w:color w:val="auto"/>
          <w:highlight w:val="none"/>
          <w:shd w:val="clear" w:color="auto" w:fill="auto"/>
          <w:lang w:val="en-US" w:eastAsia="zh-CN"/>
        </w:rPr>
        <w:t>三、</w:t>
      </w:r>
      <w:r>
        <w:rPr>
          <w:rFonts w:hint="eastAsia" w:ascii="宋体" w:hAnsi="宋体" w:eastAsia="宋体" w:cs="宋体"/>
          <w:b/>
          <w:bCs/>
          <w:color w:val="auto"/>
          <w:highlight w:val="none"/>
          <w:shd w:val="clear" w:color="auto" w:fill="auto"/>
        </w:rPr>
        <w:t>综合评价情况及评价结论</w:t>
      </w:r>
      <w:bookmarkEnd w:id="54"/>
    </w:p>
    <w:p w14:paraId="320064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s="宋体"/>
          <w:b w:val="0"/>
          <w:bCs w:val="0"/>
          <w:color w:val="auto"/>
          <w:kern w:val="2"/>
          <w:sz w:val="28"/>
          <w:szCs w:val="24"/>
          <w:highlight w:val="none"/>
          <w:shd w:val="clear" w:color="auto" w:fill="auto"/>
          <w:lang w:val="en-US" w:eastAsia="zh-CN" w:bidi="ar-SA"/>
        </w:rPr>
        <w:t>2015年公交停车港湾工程款、欠款</w:t>
      </w:r>
      <w:r>
        <w:rPr>
          <w:rFonts w:hint="eastAsia" w:ascii="宋体" w:hAnsi="宋体" w:eastAsia="宋体" w:cs="宋体"/>
          <w:b w:val="0"/>
          <w:bCs w:val="0"/>
          <w:color w:val="auto"/>
          <w:kern w:val="2"/>
          <w:sz w:val="28"/>
          <w:szCs w:val="24"/>
          <w:highlight w:val="none"/>
          <w:shd w:val="clear" w:color="auto" w:fill="auto"/>
          <w:lang w:val="en-US" w:eastAsia="zh-CN" w:bidi="ar-SA"/>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99</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4145835C">
        <w:tblPrEx>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65A4B9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cs="宋体"/>
                <w:b w:val="0"/>
                <w:bCs w:val="0"/>
                <w:color w:val="auto"/>
                <w:kern w:val="2"/>
                <w:sz w:val="28"/>
                <w:szCs w:val="24"/>
                <w:highlight w:val="none"/>
                <w:shd w:val="clear" w:color="auto" w:fill="auto"/>
                <w:lang w:val="en-US" w:eastAsia="zh-CN" w:bidi="ar-SA"/>
              </w:rPr>
              <w:t>2015年公交停车港湾工程款、欠款</w:t>
            </w:r>
            <w:r>
              <w:rPr>
                <w:rFonts w:hint="eastAsia" w:ascii="宋体" w:hAnsi="宋体" w:eastAsia="宋体" w:cs="宋体"/>
                <w:b w:val="0"/>
                <w:bCs w:val="0"/>
                <w:color w:val="auto"/>
                <w:kern w:val="2"/>
                <w:sz w:val="28"/>
                <w:szCs w:val="24"/>
                <w:highlight w:val="none"/>
                <w:shd w:val="clear" w:color="auto" w:fill="auto"/>
                <w:lang w:val="en-US" w:eastAsia="zh-CN" w:bidi="ar-SA"/>
              </w:rPr>
              <w:t>项目</w:t>
            </w:r>
            <w:r>
              <w:rPr>
                <w:rFonts w:hint="eastAsia" w:ascii="宋体" w:hAnsi="宋体" w:eastAsia="宋体" w:cs="宋体"/>
                <w:b/>
                <w:bCs/>
                <w:color w:val="auto"/>
                <w:kern w:val="0"/>
                <w:sz w:val="28"/>
                <w:szCs w:val="28"/>
                <w:highlight w:val="none"/>
                <w:shd w:val="clear" w:color="auto" w:fill="auto"/>
                <w:lang w:val="en-US" w:eastAsia="zh-CN"/>
              </w:rPr>
              <w:t>得分表</w:t>
            </w:r>
          </w:p>
          <w:p w14:paraId="7A5F38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570CE878">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4F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C3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72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1CB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CE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0D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50E94D31">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91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99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59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39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AB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EF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2CF3ABAF">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B8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7C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bidi="ar-SA"/>
              </w:rPr>
            </w:pPr>
            <w:r>
              <w:rPr>
                <w:rFonts w:hint="eastAsia" w:cs="宋体"/>
                <w:color w:val="auto"/>
                <w:kern w:val="0"/>
                <w:sz w:val="21"/>
                <w:szCs w:val="21"/>
                <w:highlight w:val="none"/>
                <w:shd w:val="clear" w:color="auto" w:fill="auto"/>
                <w:lang w:val="en-US" w:eastAsia="zh-CN"/>
              </w:rPr>
              <w:t>19</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DD8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bidi="ar-SA"/>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D7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8D99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00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p>
        </w:tc>
      </w:tr>
      <w:tr w14:paraId="4350701C">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A4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17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cs="宋体"/>
                <w:color w:val="auto"/>
                <w:kern w:val="0"/>
                <w:sz w:val="21"/>
                <w:szCs w:val="21"/>
                <w:highlight w:val="none"/>
                <w:shd w:val="clear" w:color="auto" w:fill="auto"/>
                <w:lang w:val="en-US" w:eastAsia="zh-CN"/>
              </w:rPr>
              <w:t>95</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23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5F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9A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50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w:t>
            </w:r>
            <w:r>
              <w:rPr>
                <w:rFonts w:hint="eastAsia" w:ascii="宋体" w:hAnsi="宋体" w:eastAsia="宋体" w:cs="宋体"/>
                <w:color w:val="auto"/>
                <w:kern w:val="0"/>
                <w:sz w:val="21"/>
                <w:szCs w:val="21"/>
                <w:highlight w:val="none"/>
                <w:shd w:val="clear" w:color="auto" w:fill="auto"/>
                <w:lang w:val="en-US" w:eastAsia="zh-CN"/>
              </w:rPr>
              <w:t>%</w:t>
            </w:r>
          </w:p>
        </w:tc>
      </w:tr>
    </w:tbl>
    <w:p w14:paraId="593EEBD1">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5" w:name="_Toc9421"/>
      <w:r>
        <w:rPr>
          <w:rFonts w:hint="eastAsia" w:ascii="宋体" w:hAnsi="宋体" w:eastAsia="宋体" w:cs="宋体"/>
          <w:b/>
          <w:bCs/>
          <w:color w:val="auto"/>
          <w:highlight w:val="none"/>
          <w:shd w:val="clear" w:color="auto" w:fill="auto"/>
          <w:lang w:val="en-US" w:eastAsia="zh-CN"/>
        </w:rPr>
        <w:t>四、绩效评价指标分析</w:t>
      </w:r>
      <w:bookmarkEnd w:id="55"/>
    </w:p>
    <w:p w14:paraId="402543BE">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56" w:name="_Toc15355"/>
      <w:r>
        <w:rPr>
          <w:rFonts w:hint="eastAsia" w:ascii="宋体" w:hAnsi="宋体" w:eastAsia="宋体" w:cs="宋体"/>
          <w:color w:val="auto"/>
          <w:highlight w:val="none"/>
          <w:shd w:val="clear" w:color="auto" w:fill="auto"/>
        </w:rPr>
        <w:t>（一）项目决策情况</w:t>
      </w:r>
      <w:bookmarkEnd w:id="56"/>
    </w:p>
    <w:p w14:paraId="1E0FBF3D">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11C335DB">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1"/>
        <w:tblW w:w="84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44ED6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522" w:hRule="atLeast"/>
          <w:tblHeader/>
          <w:jc w:val="center"/>
        </w:trPr>
        <w:tc>
          <w:tcPr>
            <w:tcW w:w="1077" w:type="dxa"/>
            <w:tcBorders>
              <w:tl2br w:val="nil"/>
              <w:tr2bl w:val="nil"/>
            </w:tcBorders>
            <w:shd w:val="clear" w:color="auto" w:fill="auto"/>
            <w:tcMar>
              <w:top w:w="12" w:type="dxa"/>
              <w:left w:w="12" w:type="dxa"/>
              <w:right w:w="12" w:type="dxa"/>
            </w:tcMar>
            <w:vAlign w:val="center"/>
          </w:tcPr>
          <w:p w14:paraId="5C2DFB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l2br w:val="nil"/>
              <w:tr2bl w:val="nil"/>
            </w:tcBorders>
            <w:shd w:val="clear" w:color="auto" w:fill="auto"/>
            <w:tcMar>
              <w:top w:w="12" w:type="dxa"/>
              <w:left w:w="12" w:type="dxa"/>
              <w:right w:w="12" w:type="dxa"/>
            </w:tcMar>
            <w:vAlign w:val="center"/>
          </w:tcPr>
          <w:p w14:paraId="0872F2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l2br w:val="nil"/>
              <w:tr2bl w:val="nil"/>
            </w:tcBorders>
            <w:shd w:val="clear" w:color="auto" w:fill="auto"/>
            <w:tcMar>
              <w:top w:w="12" w:type="dxa"/>
              <w:left w:w="12" w:type="dxa"/>
              <w:right w:w="12" w:type="dxa"/>
            </w:tcMar>
            <w:vAlign w:val="center"/>
          </w:tcPr>
          <w:p w14:paraId="3551AF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l2br w:val="nil"/>
              <w:tr2bl w:val="nil"/>
            </w:tcBorders>
            <w:shd w:val="clear" w:color="auto" w:fill="auto"/>
            <w:tcMar>
              <w:top w:w="12" w:type="dxa"/>
              <w:left w:w="12" w:type="dxa"/>
              <w:right w:w="12" w:type="dxa"/>
            </w:tcMar>
            <w:vAlign w:val="center"/>
          </w:tcPr>
          <w:p w14:paraId="4BC05C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l2br w:val="nil"/>
              <w:tr2bl w:val="nil"/>
            </w:tcBorders>
            <w:shd w:val="clear" w:color="auto" w:fill="auto"/>
            <w:tcMar>
              <w:top w:w="12" w:type="dxa"/>
              <w:left w:w="12" w:type="dxa"/>
              <w:right w:w="12" w:type="dxa"/>
            </w:tcMar>
            <w:vAlign w:val="center"/>
          </w:tcPr>
          <w:p w14:paraId="1078FD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l2br w:val="nil"/>
              <w:tr2bl w:val="nil"/>
            </w:tcBorders>
            <w:shd w:val="clear" w:color="auto" w:fill="auto"/>
            <w:tcMar>
              <w:top w:w="12" w:type="dxa"/>
              <w:left w:w="12" w:type="dxa"/>
              <w:right w:w="12" w:type="dxa"/>
            </w:tcMar>
            <w:vAlign w:val="center"/>
          </w:tcPr>
          <w:p w14:paraId="1DA3A3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l2br w:val="nil"/>
              <w:tr2bl w:val="nil"/>
            </w:tcBorders>
            <w:shd w:val="clear" w:color="auto" w:fill="auto"/>
            <w:tcMar>
              <w:top w:w="12" w:type="dxa"/>
              <w:left w:w="12" w:type="dxa"/>
              <w:right w:w="12" w:type="dxa"/>
            </w:tcMar>
            <w:vAlign w:val="center"/>
          </w:tcPr>
          <w:p w14:paraId="2633F1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3CEA5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l2br w:val="nil"/>
              <w:tr2bl w:val="nil"/>
            </w:tcBorders>
            <w:shd w:val="clear" w:color="auto" w:fill="auto"/>
            <w:tcMar>
              <w:top w:w="12" w:type="dxa"/>
              <w:left w:w="12" w:type="dxa"/>
              <w:right w:w="12" w:type="dxa"/>
            </w:tcMar>
            <w:vAlign w:val="center"/>
          </w:tcPr>
          <w:p w14:paraId="552B5D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l2br w:val="nil"/>
              <w:tr2bl w:val="nil"/>
            </w:tcBorders>
            <w:shd w:val="clear" w:color="auto" w:fill="auto"/>
            <w:tcMar>
              <w:top w:w="12" w:type="dxa"/>
              <w:left w:w="12" w:type="dxa"/>
              <w:right w:w="12" w:type="dxa"/>
            </w:tcMar>
            <w:vAlign w:val="center"/>
          </w:tcPr>
          <w:p w14:paraId="67D0437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l2br w:val="nil"/>
              <w:tr2bl w:val="nil"/>
            </w:tcBorders>
            <w:shd w:val="clear" w:color="auto" w:fill="auto"/>
            <w:tcMar>
              <w:top w:w="12" w:type="dxa"/>
              <w:left w:w="12" w:type="dxa"/>
              <w:right w:w="12" w:type="dxa"/>
            </w:tcMar>
            <w:vAlign w:val="center"/>
          </w:tcPr>
          <w:p w14:paraId="62BB91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l2br w:val="nil"/>
              <w:tr2bl w:val="nil"/>
            </w:tcBorders>
            <w:shd w:val="clear" w:color="auto" w:fill="auto"/>
            <w:tcMar>
              <w:top w:w="12" w:type="dxa"/>
              <w:left w:w="12" w:type="dxa"/>
              <w:right w:w="12" w:type="dxa"/>
            </w:tcMar>
            <w:vAlign w:val="center"/>
          </w:tcPr>
          <w:p w14:paraId="355A10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l2br w:val="nil"/>
              <w:tr2bl w:val="nil"/>
            </w:tcBorders>
            <w:shd w:val="clear" w:color="auto" w:fill="auto"/>
            <w:tcMar>
              <w:top w:w="12" w:type="dxa"/>
              <w:left w:w="12" w:type="dxa"/>
              <w:right w:w="12" w:type="dxa"/>
            </w:tcMar>
            <w:vAlign w:val="center"/>
          </w:tcPr>
          <w:p w14:paraId="73B291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l2br w:val="nil"/>
              <w:tr2bl w:val="nil"/>
            </w:tcBorders>
            <w:shd w:val="clear" w:color="auto" w:fill="auto"/>
            <w:tcMar>
              <w:top w:w="12" w:type="dxa"/>
              <w:left w:w="12" w:type="dxa"/>
              <w:right w:w="12" w:type="dxa"/>
            </w:tcMar>
            <w:vAlign w:val="center"/>
          </w:tcPr>
          <w:p w14:paraId="6BD635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l2br w:val="nil"/>
              <w:tr2bl w:val="nil"/>
            </w:tcBorders>
            <w:shd w:val="clear" w:color="auto" w:fill="auto"/>
            <w:tcMar>
              <w:top w:w="12" w:type="dxa"/>
              <w:left w:w="12" w:type="dxa"/>
              <w:right w:w="12" w:type="dxa"/>
            </w:tcMar>
            <w:vAlign w:val="center"/>
          </w:tcPr>
          <w:p w14:paraId="7C045C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r>
      <w:tr w14:paraId="5D4F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14:paraId="2FE552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tl2br w:val="nil"/>
              <w:tr2bl w:val="nil"/>
            </w:tcBorders>
            <w:shd w:val="clear" w:color="auto" w:fill="auto"/>
            <w:tcMar>
              <w:top w:w="12" w:type="dxa"/>
              <w:left w:w="12" w:type="dxa"/>
              <w:right w:w="12" w:type="dxa"/>
            </w:tcMar>
            <w:vAlign w:val="center"/>
          </w:tcPr>
          <w:p w14:paraId="130F40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l2br w:val="nil"/>
              <w:tr2bl w:val="nil"/>
            </w:tcBorders>
            <w:shd w:val="clear" w:color="auto" w:fill="auto"/>
            <w:tcMar>
              <w:top w:w="12" w:type="dxa"/>
              <w:left w:w="12" w:type="dxa"/>
              <w:right w:w="12" w:type="dxa"/>
            </w:tcMar>
            <w:vAlign w:val="center"/>
          </w:tcPr>
          <w:p w14:paraId="7FD795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l2br w:val="nil"/>
              <w:tr2bl w:val="nil"/>
            </w:tcBorders>
            <w:shd w:val="clear" w:color="auto" w:fill="auto"/>
            <w:tcMar>
              <w:top w:w="12" w:type="dxa"/>
              <w:left w:w="12" w:type="dxa"/>
              <w:right w:w="12" w:type="dxa"/>
            </w:tcMar>
            <w:vAlign w:val="center"/>
          </w:tcPr>
          <w:p w14:paraId="39F79B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l2br w:val="nil"/>
              <w:tr2bl w:val="nil"/>
            </w:tcBorders>
            <w:shd w:val="clear" w:color="auto" w:fill="auto"/>
            <w:tcMar>
              <w:top w:w="12" w:type="dxa"/>
              <w:left w:w="12" w:type="dxa"/>
              <w:right w:w="12" w:type="dxa"/>
            </w:tcMar>
            <w:vAlign w:val="center"/>
          </w:tcPr>
          <w:p w14:paraId="1BE0A2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l2br w:val="nil"/>
              <w:tr2bl w:val="nil"/>
            </w:tcBorders>
            <w:shd w:val="clear" w:color="auto" w:fill="auto"/>
            <w:tcMar>
              <w:top w:w="12" w:type="dxa"/>
              <w:left w:w="12" w:type="dxa"/>
              <w:right w:w="12" w:type="dxa"/>
            </w:tcMar>
            <w:vAlign w:val="center"/>
          </w:tcPr>
          <w:p w14:paraId="0902B2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l2br w:val="nil"/>
              <w:tr2bl w:val="nil"/>
            </w:tcBorders>
            <w:shd w:val="clear" w:color="auto" w:fill="auto"/>
            <w:tcMar>
              <w:top w:w="12" w:type="dxa"/>
              <w:left w:w="12" w:type="dxa"/>
              <w:right w:w="12" w:type="dxa"/>
            </w:tcMar>
            <w:vAlign w:val="center"/>
          </w:tcPr>
          <w:p w14:paraId="16CDDF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49960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14:paraId="032E52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tl2br w:val="nil"/>
              <w:tr2bl w:val="nil"/>
            </w:tcBorders>
            <w:shd w:val="clear" w:color="auto" w:fill="auto"/>
            <w:tcMar>
              <w:top w:w="12" w:type="dxa"/>
              <w:left w:w="12" w:type="dxa"/>
              <w:right w:w="12" w:type="dxa"/>
            </w:tcMar>
            <w:vAlign w:val="center"/>
          </w:tcPr>
          <w:p w14:paraId="1A2E2E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l2br w:val="nil"/>
              <w:tr2bl w:val="nil"/>
            </w:tcBorders>
            <w:shd w:val="clear" w:color="auto" w:fill="auto"/>
            <w:tcMar>
              <w:top w:w="12" w:type="dxa"/>
              <w:left w:w="12" w:type="dxa"/>
              <w:right w:w="12" w:type="dxa"/>
            </w:tcMar>
            <w:vAlign w:val="center"/>
          </w:tcPr>
          <w:p w14:paraId="7A2095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l2br w:val="nil"/>
              <w:tr2bl w:val="nil"/>
            </w:tcBorders>
            <w:shd w:val="clear" w:color="auto" w:fill="auto"/>
            <w:tcMar>
              <w:top w:w="12" w:type="dxa"/>
              <w:left w:w="12" w:type="dxa"/>
              <w:right w:w="12" w:type="dxa"/>
            </w:tcMar>
            <w:vAlign w:val="center"/>
          </w:tcPr>
          <w:p w14:paraId="1876BA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l2br w:val="nil"/>
              <w:tr2bl w:val="nil"/>
            </w:tcBorders>
            <w:shd w:val="clear" w:color="auto" w:fill="auto"/>
            <w:tcMar>
              <w:top w:w="12" w:type="dxa"/>
              <w:left w:w="12" w:type="dxa"/>
              <w:right w:w="12" w:type="dxa"/>
            </w:tcMar>
            <w:vAlign w:val="center"/>
          </w:tcPr>
          <w:p w14:paraId="41A35D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l2br w:val="nil"/>
              <w:tr2bl w:val="nil"/>
            </w:tcBorders>
            <w:shd w:val="clear" w:color="auto" w:fill="auto"/>
            <w:tcMar>
              <w:top w:w="12" w:type="dxa"/>
              <w:left w:w="12" w:type="dxa"/>
              <w:right w:w="12" w:type="dxa"/>
            </w:tcMar>
            <w:vAlign w:val="center"/>
          </w:tcPr>
          <w:p w14:paraId="260EA7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l2br w:val="nil"/>
              <w:tr2bl w:val="nil"/>
            </w:tcBorders>
            <w:shd w:val="clear" w:color="auto" w:fill="auto"/>
            <w:tcMar>
              <w:top w:w="12" w:type="dxa"/>
              <w:left w:w="12" w:type="dxa"/>
              <w:right w:w="12" w:type="dxa"/>
            </w:tcMar>
            <w:vAlign w:val="center"/>
          </w:tcPr>
          <w:p w14:paraId="2A1032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r>
      <w:tr w14:paraId="2C3DE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14:paraId="4BFD9B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tl2br w:val="nil"/>
              <w:tr2bl w:val="nil"/>
            </w:tcBorders>
            <w:shd w:val="clear" w:color="auto" w:fill="auto"/>
            <w:tcMar>
              <w:top w:w="12" w:type="dxa"/>
              <w:left w:w="12" w:type="dxa"/>
              <w:right w:w="12" w:type="dxa"/>
            </w:tcMar>
            <w:vAlign w:val="center"/>
          </w:tcPr>
          <w:p w14:paraId="12014B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l2br w:val="nil"/>
              <w:tr2bl w:val="nil"/>
            </w:tcBorders>
            <w:shd w:val="clear" w:color="auto" w:fill="auto"/>
            <w:tcMar>
              <w:top w:w="12" w:type="dxa"/>
              <w:left w:w="12" w:type="dxa"/>
              <w:right w:w="12" w:type="dxa"/>
            </w:tcMar>
            <w:vAlign w:val="center"/>
          </w:tcPr>
          <w:p w14:paraId="6D3012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l2br w:val="nil"/>
              <w:tr2bl w:val="nil"/>
            </w:tcBorders>
            <w:shd w:val="clear" w:color="auto" w:fill="auto"/>
            <w:tcMar>
              <w:top w:w="12" w:type="dxa"/>
              <w:left w:w="12" w:type="dxa"/>
              <w:right w:w="12" w:type="dxa"/>
            </w:tcMar>
            <w:vAlign w:val="center"/>
          </w:tcPr>
          <w:p w14:paraId="6E251C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l2br w:val="nil"/>
              <w:tr2bl w:val="nil"/>
            </w:tcBorders>
            <w:shd w:val="clear" w:color="auto" w:fill="auto"/>
            <w:tcMar>
              <w:top w:w="12" w:type="dxa"/>
              <w:left w:w="12" w:type="dxa"/>
              <w:right w:w="12" w:type="dxa"/>
            </w:tcMar>
            <w:vAlign w:val="center"/>
          </w:tcPr>
          <w:p w14:paraId="0DA238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l2br w:val="nil"/>
              <w:tr2bl w:val="nil"/>
            </w:tcBorders>
            <w:shd w:val="clear" w:color="auto" w:fill="auto"/>
            <w:tcMar>
              <w:top w:w="12" w:type="dxa"/>
              <w:left w:w="12" w:type="dxa"/>
              <w:right w:w="12" w:type="dxa"/>
            </w:tcMar>
            <w:vAlign w:val="center"/>
          </w:tcPr>
          <w:p w14:paraId="56B101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l2br w:val="nil"/>
              <w:tr2bl w:val="nil"/>
            </w:tcBorders>
            <w:shd w:val="clear" w:color="auto" w:fill="auto"/>
            <w:tcMar>
              <w:top w:w="12" w:type="dxa"/>
              <w:left w:w="12" w:type="dxa"/>
              <w:right w:w="12" w:type="dxa"/>
            </w:tcMar>
            <w:vAlign w:val="center"/>
          </w:tcPr>
          <w:p w14:paraId="4BEBBD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r>
      <w:tr w14:paraId="1F822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14:paraId="037AE0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tl2br w:val="nil"/>
              <w:tr2bl w:val="nil"/>
            </w:tcBorders>
            <w:shd w:val="clear" w:color="auto" w:fill="auto"/>
            <w:tcMar>
              <w:top w:w="12" w:type="dxa"/>
              <w:left w:w="12" w:type="dxa"/>
              <w:right w:w="12" w:type="dxa"/>
            </w:tcMar>
            <w:vAlign w:val="center"/>
          </w:tcPr>
          <w:p w14:paraId="7164D4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l2br w:val="nil"/>
              <w:tr2bl w:val="nil"/>
            </w:tcBorders>
            <w:shd w:val="clear" w:color="auto" w:fill="auto"/>
            <w:tcMar>
              <w:top w:w="12" w:type="dxa"/>
              <w:left w:w="12" w:type="dxa"/>
              <w:right w:w="12" w:type="dxa"/>
            </w:tcMar>
            <w:vAlign w:val="center"/>
          </w:tcPr>
          <w:p w14:paraId="30665D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l2br w:val="nil"/>
              <w:tr2bl w:val="nil"/>
            </w:tcBorders>
            <w:shd w:val="clear" w:color="auto" w:fill="auto"/>
            <w:tcMar>
              <w:top w:w="12" w:type="dxa"/>
              <w:left w:w="12" w:type="dxa"/>
              <w:right w:w="12" w:type="dxa"/>
            </w:tcMar>
            <w:vAlign w:val="center"/>
          </w:tcPr>
          <w:p w14:paraId="05CCBC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l2br w:val="nil"/>
              <w:tr2bl w:val="nil"/>
            </w:tcBorders>
            <w:shd w:val="clear" w:color="auto" w:fill="auto"/>
            <w:tcMar>
              <w:top w:w="12" w:type="dxa"/>
              <w:left w:w="12" w:type="dxa"/>
              <w:right w:w="12" w:type="dxa"/>
            </w:tcMar>
            <w:vAlign w:val="center"/>
          </w:tcPr>
          <w:p w14:paraId="441F9B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l2br w:val="nil"/>
              <w:tr2bl w:val="nil"/>
            </w:tcBorders>
            <w:shd w:val="clear" w:color="auto" w:fill="auto"/>
            <w:tcMar>
              <w:top w:w="12" w:type="dxa"/>
              <w:left w:w="12" w:type="dxa"/>
              <w:right w:w="12" w:type="dxa"/>
            </w:tcMar>
            <w:vAlign w:val="center"/>
          </w:tcPr>
          <w:p w14:paraId="4B0067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l2br w:val="nil"/>
              <w:tr2bl w:val="nil"/>
            </w:tcBorders>
            <w:shd w:val="clear" w:color="auto" w:fill="auto"/>
            <w:tcMar>
              <w:top w:w="12" w:type="dxa"/>
              <w:left w:w="12" w:type="dxa"/>
              <w:right w:w="12" w:type="dxa"/>
            </w:tcMar>
            <w:vAlign w:val="center"/>
          </w:tcPr>
          <w:p w14:paraId="042DCE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r>
      <w:tr w14:paraId="0967D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l2br w:val="nil"/>
              <w:tr2bl w:val="nil"/>
            </w:tcBorders>
            <w:shd w:val="clear" w:color="auto" w:fill="auto"/>
            <w:tcMar>
              <w:top w:w="12" w:type="dxa"/>
              <w:left w:w="12" w:type="dxa"/>
              <w:right w:w="12" w:type="dxa"/>
            </w:tcMar>
            <w:vAlign w:val="center"/>
          </w:tcPr>
          <w:p w14:paraId="62A4EB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tl2br w:val="nil"/>
              <w:tr2bl w:val="nil"/>
            </w:tcBorders>
            <w:shd w:val="clear" w:color="auto" w:fill="auto"/>
            <w:tcMar>
              <w:top w:w="12" w:type="dxa"/>
              <w:left w:w="12" w:type="dxa"/>
              <w:right w:w="12" w:type="dxa"/>
            </w:tcMar>
            <w:vAlign w:val="center"/>
          </w:tcPr>
          <w:p w14:paraId="6B7E1E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l2br w:val="nil"/>
              <w:tr2bl w:val="nil"/>
            </w:tcBorders>
            <w:shd w:val="clear" w:color="auto" w:fill="auto"/>
            <w:tcMar>
              <w:top w:w="12" w:type="dxa"/>
              <w:left w:w="12" w:type="dxa"/>
              <w:right w:w="12" w:type="dxa"/>
            </w:tcMar>
            <w:vAlign w:val="center"/>
          </w:tcPr>
          <w:p w14:paraId="70CE60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l2br w:val="nil"/>
              <w:tr2bl w:val="nil"/>
            </w:tcBorders>
            <w:shd w:val="clear" w:color="auto" w:fill="auto"/>
            <w:tcMar>
              <w:top w:w="12" w:type="dxa"/>
              <w:left w:w="12" w:type="dxa"/>
              <w:right w:w="12" w:type="dxa"/>
            </w:tcMar>
            <w:vAlign w:val="center"/>
          </w:tcPr>
          <w:p w14:paraId="5CF09D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l2br w:val="nil"/>
              <w:tr2bl w:val="nil"/>
            </w:tcBorders>
            <w:shd w:val="clear" w:color="auto" w:fill="auto"/>
            <w:tcMar>
              <w:top w:w="12" w:type="dxa"/>
              <w:left w:w="12" w:type="dxa"/>
              <w:right w:w="12" w:type="dxa"/>
            </w:tcMar>
            <w:vAlign w:val="center"/>
          </w:tcPr>
          <w:p w14:paraId="461A37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l2br w:val="nil"/>
              <w:tr2bl w:val="nil"/>
            </w:tcBorders>
            <w:shd w:val="clear" w:color="auto" w:fill="auto"/>
            <w:tcMar>
              <w:top w:w="12" w:type="dxa"/>
              <w:left w:w="12" w:type="dxa"/>
              <w:right w:w="12" w:type="dxa"/>
            </w:tcMar>
            <w:vAlign w:val="center"/>
          </w:tcPr>
          <w:p w14:paraId="346CB3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l2br w:val="nil"/>
              <w:tr2bl w:val="nil"/>
            </w:tcBorders>
            <w:shd w:val="clear" w:color="auto" w:fill="auto"/>
            <w:tcMar>
              <w:top w:w="12" w:type="dxa"/>
              <w:left w:w="12" w:type="dxa"/>
              <w:right w:w="12" w:type="dxa"/>
            </w:tcMar>
            <w:vAlign w:val="center"/>
          </w:tcPr>
          <w:p w14:paraId="225D6F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r>
      <w:tr w14:paraId="70247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4" w:hRule="atLeast"/>
          <w:tblHeader/>
          <w:jc w:val="center"/>
        </w:trPr>
        <w:tc>
          <w:tcPr>
            <w:tcW w:w="3285" w:type="dxa"/>
            <w:gridSpan w:val="3"/>
            <w:tcBorders>
              <w:tl2br w:val="nil"/>
              <w:tr2bl w:val="nil"/>
            </w:tcBorders>
            <w:shd w:val="clear" w:color="auto" w:fill="auto"/>
            <w:tcMar>
              <w:top w:w="12" w:type="dxa"/>
              <w:left w:w="12" w:type="dxa"/>
              <w:right w:w="12" w:type="dxa"/>
            </w:tcMar>
            <w:vAlign w:val="center"/>
          </w:tcPr>
          <w:p w14:paraId="2A51C7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l2br w:val="nil"/>
              <w:tr2bl w:val="nil"/>
            </w:tcBorders>
            <w:shd w:val="clear" w:color="auto" w:fill="auto"/>
            <w:tcMar>
              <w:top w:w="12" w:type="dxa"/>
              <w:left w:w="12" w:type="dxa"/>
              <w:right w:w="12" w:type="dxa"/>
            </w:tcMar>
            <w:vAlign w:val="center"/>
          </w:tcPr>
          <w:p w14:paraId="4327B7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l2br w:val="nil"/>
              <w:tr2bl w:val="nil"/>
            </w:tcBorders>
            <w:shd w:val="clear" w:color="auto" w:fill="auto"/>
            <w:tcMar>
              <w:top w:w="12" w:type="dxa"/>
              <w:left w:w="12" w:type="dxa"/>
              <w:right w:w="12" w:type="dxa"/>
            </w:tcMar>
            <w:vAlign w:val="center"/>
          </w:tcPr>
          <w:p w14:paraId="1841FF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l2br w:val="nil"/>
              <w:tr2bl w:val="nil"/>
            </w:tcBorders>
            <w:shd w:val="clear" w:color="auto" w:fill="auto"/>
            <w:tcMar>
              <w:top w:w="12" w:type="dxa"/>
              <w:left w:w="12" w:type="dxa"/>
              <w:right w:w="12" w:type="dxa"/>
            </w:tcMar>
            <w:vAlign w:val="center"/>
          </w:tcPr>
          <w:p w14:paraId="016369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l2br w:val="nil"/>
              <w:tr2bl w:val="nil"/>
            </w:tcBorders>
            <w:shd w:val="clear" w:color="auto" w:fill="auto"/>
            <w:tcMar>
              <w:top w:w="12" w:type="dxa"/>
              <w:left w:w="12" w:type="dxa"/>
              <w:right w:w="12" w:type="dxa"/>
            </w:tcMar>
            <w:vAlign w:val="center"/>
          </w:tcPr>
          <w:p w14:paraId="1D9098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w:t>
            </w:r>
          </w:p>
        </w:tc>
      </w:tr>
    </w:tbl>
    <w:p w14:paraId="58CB2C9B">
      <w:pPr>
        <w:bidi w:val="0"/>
        <w:outlineLvl w:val="2"/>
        <w:rPr>
          <w:rFonts w:hint="default"/>
          <w:b/>
          <w:bCs/>
          <w:color w:val="auto"/>
          <w:highlight w:val="none"/>
          <w:lang w:val="en-US" w:eastAsia="zh-CN"/>
        </w:rPr>
      </w:pPr>
      <w:bookmarkStart w:id="57" w:name="_Toc13522"/>
      <w:r>
        <w:rPr>
          <w:rFonts w:hint="eastAsia"/>
          <w:b/>
          <w:bCs/>
          <w:color w:val="auto"/>
          <w:highlight w:val="none"/>
          <w:lang w:val="en-US" w:eastAsia="zh-CN"/>
        </w:rPr>
        <w:t>1.立项依据充分性</w:t>
      </w:r>
      <w:bookmarkEnd w:id="57"/>
    </w:p>
    <w:p w14:paraId="64245F36">
      <w:pPr>
        <w:bidi w:val="0"/>
        <w:rPr>
          <w:rFonts w:hint="eastAsia"/>
          <w:color w:val="auto"/>
          <w:highlight w:val="none"/>
          <w:lang w:eastAsia="zh-CN"/>
        </w:rPr>
      </w:pPr>
      <w:r>
        <w:rPr>
          <w:rFonts w:hint="eastAsia"/>
          <w:color w:val="auto"/>
          <w:highlight w:val="none"/>
          <w:lang w:eastAsia="zh-CN"/>
        </w:rPr>
        <w:t>①项目立项符合《公共交通场站设计规范》、《城市轨道交通设施设计规范》国家法律法规、国民经济发展规划和相关政策；</w:t>
      </w:r>
    </w:p>
    <w:p w14:paraId="2CA81B89">
      <w:pPr>
        <w:bidi w:val="0"/>
        <w:rPr>
          <w:rFonts w:hint="eastAsia"/>
          <w:color w:val="auto"/>
          <w:highlight w:val="none"/>
          <w:lang w:eastAsia="zh-CN"/>
        </w:rPr>
      </w:pPr>
      <w:r>
        <w:rPr>
          <w:rFonts w:hint="eastAsia"/>
          <w:color w:val="auto"/>
          <w:highlight w:val="none"/>
          <w:lang w:eastAsia="zh-CN"/>
        </w:rPr>
        <w:t>②项目立项符合《城市轨道交通设施设计规范》行业发展规划和政策要求；</w:t>
      </w:r>
    </w:p>
    <w:p w14:paraId="44B56A0B">
      <w:pPr>
        <w:bidi w:val="0"/>
        <w:rPr>
          <w:rFonts w:hint="eastAsia"/>
          <w:color w:val="auto"/>
          <w:highlight w:val="none"/>
          <w:lang w:eastAsia="zh-CN"/>
        </w:rPr>
      </w:pPr>
      <w:r>
        <w:rPr>
          <w:rFonts w:hint="eastAsia"/>
          <w:color w:val="auto"/>
          <w:highlight w:val="none"/>
          <w:lang w:eastAsia="zh-CN"/>
        </w:rPr>
        <w:t>③项目立项与职责范围</w:t>
      </w:r>
      <w:r>
        <w:rPr>
          <w:rFonts w:hint="eastAsia"/>
          <w:color w:val="auto"/>
          <w:highlight w:val="none"/>
          <w:lang w:val="en-US" w:eastAsia="zh-CN"/>
        </w:rPr>
        <w:t>研究拟订阜康市城乡规划措施并组织实施，指导编制市域乡村建设规划、乡（镇）规划、村庄规划</w:t>
      </w:r>
      <w:r>
        <w:rPr>
          <w:rFonts w:hint="eastAsia"/>
          <w:color w:val="auto"/>
          <w:highlight w:val="none"/>
          <w:lang w:eastAsia="zh-CN"/>
        </w:rPr>
        <w:t>相符，属于部门履职所需；</w:t>
      </w:r>
    </w:p>
    <w:p w14:paraId="78B8A864">
      <w:pPr>
        <w:bidi w:val="0"/>
        <w:rPr>
          <w:rFonts w:hint="eastAsia"/>
          <w:color w:val="auto"/>
          <w:highlight w:val="none"/>
          <w:lang w:eastAsia="zh-CN"/>
        </w:rPr>
      </w:pPr>
      <w:r>
        <w:rPr>
          <w:rFonts w:hint="eastAsia"/>
          <w:color w:val="auto"/>
          <w:highlight w:val="none"/>
          <w:lang w:eastAsia="zh-CN"/>
        </w:rPr>
        <w:t>④项目属于公共财政支持范围，符合中央、地方事权支出责任划分原则；</w:t>
      </w:r>
    </w:p>
    <w:p w14:paraId="6F9B176B">
      <w:pPr>
        <w:bidi w:val="0"/>
        <w:rPr>
          <w:rFonts w:hint="eastAsia"/>
          <w:color w:val="auto"/>
          <w:highlight w:val="none"/>
          <w:lang w:eastAsia="zh-CN"/>
        </w:rPr>
      </w:pPr>
      <w:r>
        <w:rPr>
          <w:rFonts w:hint="eastAsia"/>
          <w:color w:val="auto"/>
          <w:highlight w:val="none"/>
          <w:lang w:eastAsia="zh-CN"/>
        </w:rPr>
        <w:t>⑤项目与相关部门同类项目或部门内部相关项目</w:t>
      </w:r>
      <w:r>
        <w:rPr>
          <w:rFonts w:hint="eastAsia"/>
          <w:color w:val="auto"/>
          <w:highlight w:val="none"/>
          <w:lang w:val="en-US" w:eastAsia="zh-CN"/>
        </w:rPr>
        <w:t>不</w:t>
      </w:r>
      <w:r>
        <w:rPr>
          <w:rFonts w:hint="eastAsia"/>
          <w:color w:val="auto"/>
          <w:highlight w:val="none"/>
          <w:lang w:eastAsia="zh-CN"/>
        </w:rPr>
        <w:t>重复。</w:t>
      </w:r>
    </w:p>
    <w:p w14:paraId="5D012D2C">
      <w:pPr>
        <w:bidi w:val="0"/>
        <w:rPr>
          <w:rFonts w:hint="default"/>
          <w:color w:val="auto"/>
          <w:highlight w:val="none"/>
          <w:lang w:val="en-US" w:eastAsia="zh-CN"/>
        </w:rPr>
      </w:pPr>
      <w:r>
        <w:rPr>
          <w:rFonts w:hint="eastAsia"/>
          <w:b/>
          <w:bCs/>
          <w:color w:val="auto"/>
          <w:highlight w:val="none"/>
          <w:lang w:val="en-US" w:eastAsia="zh-CN"/>
        </w:rPr>
        <w:t>综上，该项指标满分2分，得分2分。</w:t>
      </w:r>
    </w:p>
    <w:p w14:paraId="5A4D6458">
      <w:pPr>
        <w:bidi w:val="0"/>
        <w:outlineLvl w:val="2"/>
        <w:rPr>
          <w:rFonts w:hint="default"/>
          <w:b/>
          <w:bCs/>
          <w:color w:val="auto"/>
          <w:highlight w:val="none"/>
          <w:lang w:val="en-US" w:eastAsia="zh-CN"/>
        </w:rPr>
      </w:pPr>
      <w:bookmarkStart w:id="58" w:name="_Toc21976"/>
      <w:r>
        <w:rPr>
          <w:rFonts w:hint="eastAsia"/>
          <w:b/>
          <w:bCs/>
          <w:color w:val="auto"/>
          <w:highlight w:val="none"/>
          <w:lang w:val="en-US" w:eastAsia="zh-CN"/>
        </w:rPr>
        <w:t>2.立项程序规范性</w:t>
      </w:r>
      <w:bookmarkEnd w:id="58"/>
    </w:p>
    <w:p w14:paraId="4AA05176">
      <w:pPr>
        <w:bidi w:val="0"/>
        <w:rPr>
          <w:rFonts w:hint="eastAsia"/>
          <w:color w:val="auto"/>
          <w:highlight w:val="none"/>
          <w:lang w:eastAsia="zh-CN"/>
        </w:rPr>
      </w:pPr>
      <w:r>
        <w:rPr>
          <w:rFonts w:hint="eastAsia"/>
          <w:color w:val="auto"/>
          <w:highlight w:val="none"/>
          <w:lang w:eastAsia="zh-CN"/>
        </w:rPr>
        <w:t>①项目按照规定的程序申请设立；</w:t>
      </w:r>
    </w:p>
    <w:p w14:paraId="3E6BA7A6">
      <w:pPr>
        <w:bidi w:val="0"/>
        <w:rPr>
          <w:rFonts w:hint="eastAsia"/>
          <w:color w:val="auto"/>
          <w:highlight w:val="none"/>
          <w:lang w:eastAsia="zh-CN"/>
        </w:rPr>
      </w:pPr>
      <w:r>
        <w:rPr>
          <w:rFonts w:hint="eastAsia"/>
          <w:color w:val="auto"/>
          <w:highlight w:val="none"/>
          <w:lang w:eastAsia="zh-CN"/>
        </w:rPr>
        <w:t>②审批文件、材料符合相关要求；</w:t>
      </w:r>
    </w:p>
    <w:p w14:paraId="74B57DE4">
      <w:pPr>
        <w:bidi w:val="0"/>
        <w:rPr>
          <w:rFonts w:hint="eastAsia"/>
          <w:color w:val="auto"/>
          <w:highlight w:val="none"/>
          <w:lang w:eastAsia="zh-CN"/>
        </w:rPr>
      </w:pPr>
      <w:r>
        <w:rPr>
          <w:rFonts w:hint="eastAsia"/>
          <w:color w:val="auto"/>
          <w:highlight w:val="none"/>
          <w:lang w:eastAsia="zh-CN"/>
        </w:rPr>
        <w:t>③事前未经过必要的可行性研究、专家论证、风险评估、绩效评估、集体决策。</w:t>
      </w:r>
    </w:p>
    <w:p w14:paraId="1C714F95">
      <w:pPr>
        <w:bidi w:val="0"/>
        <w:rPr>
          <w:rFonts w:hint="eastAsia"/>
          <w:color w:val="auto"/>
          <w:highlight w:val="none"/>
          <w:lang w:eastAsia="zh-CN"/>
        </w:rPr>
      </w:pPr>
      <w:r>
        <w:rPr>
          <w:rFonts w:hint="eastAsia"/>
          <w:b/>
          <w:bCs/>
          <w:color w:val="auto"/>
          <w:highlight w:val="none"/>
          <w:lang w:val="en-US" w:eastAsia="zh-CN"/>
        </w:rPr>
        <w:t>综上，该项指标满分3分，得分2分。</w:t>
      </w:r>
    </w:p>
    <w:p w14:paraId="637E1A11">
      <w:pPr>
        <w:bidi w:val="0"/>
        <w:outlineLvl w:val="2"/>
        <w:rPr>
          <w:rFonts w:hint="default"/>
          <w:b/>
          <w:bCs/>
          <w:color w:val="auto"/>
          <w:highlight w:val="none"/>
          <w:lang w:val="en-US" w:eastAsia="zh-CN"/>
        </w:rPr>
      </w:pPr>
      <w:bookmarkStart w:id="59" w:name="_Toc15382"/>
      <w:r>
        <w:rPr>
          <w:rFonts w:hint="eastAsia"/>
          <w:b/>
          <w:bCs/>
          <w:color w:val="auto"/>
          <w:highlight w:val="none"/>
          <w:lang w:val="en-US" w:eastAsia="zh-CN"/>
        </w:rPr>
        <w:t>3.绩效目标合理性</w:t>
      </w:r>
      <w:bookmarkEnd w:id="59"/>
    </w:p>
    <w:p w14:paraId="1C9899AD">
      <w:pPr>
        <w:bidi w:val="0"/>
        <w:rPr>
          <w:rFonts w:hint="eastAsia"/>
          <w:color w:val="auto"/>
          <w:highlight w:val="none"/>
          <w:lang w:eastAsia="zh-CN"/>
        </w:rPr>
      </w:pPr>
      <w:r>
        <w:rPr>
          <w:rFonts w:hint="eastAsia"/>
          <w:color w:val="auto"/>
          <w:highlight w:val="none"/>
          <w:lang w:eastAsia="zh-CN"/>
        </w:rPr>
        <w:t>①项目有绩效目标；</w:t>
      </w:r>
    </w:p>
    <w:p w14:paraId="1DE1860F">
      <w:pPr>
        <w:pStyle w:val="5"/>
        <w:rPr>
          <w:rFonts w:hint="eastAsia"/>
          <w:color w:val="auto"/>
          <w:highlight w:val="none"/>
          <w:lang w:eastAsia="zh-CN"/>
        </w:rPr>
      </w:pPr>
      <w:r>
        <w:rPr>
          <w:rFonts w:hint="eastAsia"/>
          <w:color w:val="auto"/>
          <w:highlight w:val="none"/>
          <w:lang w:eastAsia="zh-CN"/>
        </w:rPr>
        <w:t>②项目绩效目标与实际工作内容</w:t>
      </w:r>
      <w:r>
        <w:rPr>
          <w:rFonts w:hint="eastAsia" w:ascii="宋体" w:hAnsi="宋体" w:eastAsia="宋体" w:cs="宋体"/>
          <w:color w:val="auto"/>
          <w:highlight w:val="none"/>
          <w:shd w:val="clear" w:color="auto" w:fill="auto"/>
          <w:lang w:val="en-US" w:eastAsia="zh-CN"/>
        </w:rPr>
        <w:t>2015年公交站台建设项目完成建设站台基础设施、候车厅、站台配套设施及相关的水路电路改造等施工图中所有内容，工程通过验收率100%，工程款10万元，工程欠款32万元，提升公共服务水平，改善人居环境，提高市民幸福感</w:t>
      </w:r>
      <w:r>
        <w:rPr>
          <w:rFonts w:hint="eastAsia"/>
          <w:color w:val="auto"/>
          <w:highlight w:val="none"/>
          <w:lang w:eastAsia="zh-CN"/>
        </w:rPr>
        <w:t>具有相关性；</w:t>
      </w:r>
    </w:p>
    <w:p w14:paraId="00F4D111">
      <w:pPr>
        <w:bidi w:val="0"/>
        <w:rPr>
          <w:rFonts w:hint="eastAsia"/>
          <w:color w:val="auto"/>
          <w:highlight w:val="none"/>
          <w:lang w:eastAsia="zh-CN"/>
        </w:rPr>
      </w:pPr>
      <w:r>
        <w:rPr>
          <w:rFonts w:hint="eastAsia"/>
          <w:color w:val="auto"/>
          <w:highlight w:val="none"/>
          <w:lang w:eastAsia="zh-CN"/>
        </w:rPr>
        <w:t>③项目预期产出效益和效果符合正常的业绩水平；</w:t>
      </w:r>
    </w:p>
    <w:p w14:paraId="6EB415A0">
      <w:pPr>
        <w:bidi w:val="0"/>
        <w:rPr>
          <w:rFonts w:hint="eastAsia"/>
          <w:color w:val="auto"/>
          <w:highlight w:val="none"/>
          <w:lang w:eastAsia="zh-CN"/>
        </w:rPr>
      </w:pPr>
      <w:r>
        <w:rPr>
          <w:rFonts w:hint="eastAsia"/>
          <w:color w:val="auto"/>
          <w:highlight w:val="none"/>
          <w:lang w:eastAsia="zh-CN"/>
        </w:rPr>
        <w:t>④与预算确定的项目投资额相匹配。</w:t>
      </w:r>
    </w:p>
    <w:p w14:paraId="7F1823D5">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6F44B0B0">
      <w:pPr>
        <w:bidi w:val="0"/>
        <w:outlineLvl w:val="2"/>
        <w:rPr>
          <w:rFonts w:hint="default"/>
          <w:b/>
          <w:bCs/>
          <w:color w:val="auto"/>
          <w:highlight w:val="none"/>
          <w:lang w:val="en-US" w:eastAsia="zh-CN"/>
        </w:rPr>
      </w:pPr>
      <w:bookmarkStart w:id="60" w:name="_Toc10650"/>
      <w:r>
        <w:rPr>
          <w:rFonts w:hint="eastAsia"/>
          <w:b/>
          <w:bCs/>
          <w:color w:val="auto"/>
          <w:highlight w:val="none"/>
          <w:lang w:val="en-US" w:eastAsia="zh-CN"/>
        </w:rPr>
        <w:t>4.绩效指标明确性</w:t>
      </w:r>
      <w:bookmarkEnd w:id="60"/>
    </w:p>
    <w:p w14:paraId="04F18ADB">
      <w:pPr>
        <w:bidi w:val="0"/>
        <w:rPr>
          <w:rFonts w:hint="eastAsia"/>
          <w:color w:val="auto"/>
          <w:highlight w:val="none"/>
          <w:lang w:eastAsia="zh-CN"/>
        </w:rPr>
      </w:pPr>
      <w:r>
        <w:rPr>
          <w:rFonts w:hint="eastAsia"/>
          <w:color w:val="auto"/>
          <w:highlight w:val="none"/>
          <w:lang w:eastAsia="zh-CN"/>
        </w:rPr>
        <w:t>①将项目绩效目标细化分解为具体的绩效指标，一级指标</w:t>
      </w:r>
      <w:r>
        <w:rPr>
          <w:rFonts w:hint="eastAsia"/>
          <w:color w:val="auto"/>
          <w:highlight w:val="none"/>
          <w:lang w:val="en-US" w:eastAsia="zh-CN"/>
        </w:rPr>
        <w:t>4个，二级指标7个，三级指标9个</w:t>
      </w:r>
      <w:r>
        <w:rPr>
          <w:rFonts w:hint="eastAsia"/>
          <w:color w:val="auto"/>
          <w:highlight w:val="none"/>
          <w:lang w:eastAsia="zh-CN"/>
        </w:rPr>
        <w:t>；</w:t>
      </w:r>
    </w:p>
    <w:p w14:paraId="3A1A6548">
      <w:pPr>
        <w:bidi w:val="0"/>
        <w:rPr>
          <w:rFonts w:hint="eastAsia"/>
          <w:color w:val="auto"/>
          <w:highlight w:val="none"/>
          <w:lang w:eastAsia="zh-CN"/>
        </w:rPr>
      </w:pPr>
      <w:r>
        <w:rPr>
          <w:rFonts w:hint="eastAsia"/>
          <w:color w:val="auto"/>
          <w:highlight w:val="none"/>
          <w:lang w:eastAsia="zh-CN"/>
        </w:rPr>
        <w:t>②通过清晰、可衡量的指标值予以体现，项目三级指标共</w:t>
      </w:r>
      <w:r>
        <w:rPr>
          <w:rFonts w:hint="eastAsia"/>
          <w:color w:val="auto"/>
          <w:highlight w:val="none"/>
          <w:lang w:val="en-US" w:eastAsia="zh-CN"/>
        </w:rPr>
        <w:t>9个，定量指标共7个，定性指标共2个，量化率77.78%</w:t>
      </w:r>
      <w:r>
        <w:rPr>
          <w:rFonts w:hint="eastAsia"/>
          <w:color w:val="auto"/>
          <w:highlight w:val="none"/>
          <w:lang w:eastAsia="zh-CN"/>
        </w:rPr>
        <w:t>；</w:t>
      </w:r>
    </w:p>
    <w:p w14:paraId="7F16E80B">
      <w:pPr>
        <w:bidi w:val="0"/>
        <w:rPr>
          <w:rFonts w:hint="eastAsia"/>
          <w:color w:val="auto"/>
          <w:highlight w:val="none"/>
          <w:lang w:eastAsia="zh-CN"/>
        </w:rPr>
      </w:pPr>
      <w:r>
        <w:rPr>
          <w:rFonts w:hint="eastAsia"/>
          <w:color w:val="auto"/>
          <w:highlight w:val="none"/>
          <w:lang w:eastAsia="zh-CN"/>
        </w:rPr>
        <w:t>③与项目目标任务数相对应。</w:t>
      </w:r>
    </w:p>
    <w:p w14:paraId="2D437704">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3BC8D3EC">
      <w:pPr>
        <w:bidi w:val="0"/>
        <w:outlineLvl w:val="2"/>
        <w:rPr>
          <w:rFonts w:hint="default"/>
          <w:b/>
          <w:bCs/>
          <w:color w:val="auto"/>
          <w:highlight w:val="none"/>
          <w:lang w:val="en-US" w:eastAsia="zh-CN"/>
        </w:rPr>
      </w:pPr>
      <w:bookmarkStart w:id="61" w:name="_Toc19401"/>
      <w:r>
        <w:rPr>
          <w:rFonts w:hint="eastAsia"/>
          <w:b/>
          <w:bCs/>
          <w:color w:val="auto"/>
          <w:highlight w:val="none"/>
          <w:lang w:val="en-US" w:eastAsia="zh-CN"/>
        </w:rPr>
        <w:t>5.预算编制科学性</w:t>
      </w:r>
      <w:bookmarkEnd w:id="61"/>
    </w:p>
    <w:p w14:paraId="15062374">
      <w:pPr>
        <w:bidi w:val="0"/>
        <w:rPr>
          <w:rFonts w:hint="eastAsia"/>
          <w:color w:val="auto"/>
          <w:highlight w:val="none"/>
          <w:lang w:eastAsia="zh-CN"/>
        </w:rPr>
      </w:pPr>
      <w:r>
        <w:rPr>
          <w:rFonts w:hint="eastAsia"/>
          <w:color w:val="auto"/>
          <w:highlight w:val="none"/>
          <w:lang w:eastAsia="zh-CN"/>
        </w:rPr>
        <w:t>①预算编制经过科学论证；</w:t>
      </w:r>
    </w:p>
    <w:p w14:paraId="42646519">
      <w:pPr>
        <w:bidi w:val="0"/>
        <w:rPr>
          <w:rFonts w:hint="eastAsia"/>
          <w:color w:val="auto"/>
          <w:highlight w:val="none"/>
          <w:lang w:eastAsia="zh-CN"/>
        </w:rPr>
      </w:pPr>
      <w:r>
        <w:rPr>
          <w:rFonts w:hint="eastAsia"/>
          <w:color w:val="auto"/>
          <w:highlight w:val="none"/>
          <w:lang w:eastAsia="zh-CN"/>
        </w:rPr>
        <w:t>②预算内容与项目内容</w:t>
      </w:r>
      <w:r>
        <w:rPr>
          <w:rFonts w:hint="eastAsia" w:ascii="宋体" w:hAnsi="宋体" w:eastAsia="宋体" w:cs="宋体"/>
          <w:color w:val="auto"/>
          <w:highlight w:val="none"/>
          <w:shd w:val="clear" w:color="auto" w:fill="auto"/>
          <w:lang w:val="en-US" w:eastAsia="zh-CN"/>
        </w:rPr>
        <w:t>2015年公交站台建设项目完成建设站台基础设施、候车厅、站台配套设施及相关的水路电路改造等施工图中所有内容，工程通过验收率100%，工程款10万元，工程欠款32万元，提升公共服务水平，改善人居环境，提高市民幸福感</w:t>
      </w:r>
      <w:r>
        <w:rPr>
          <w:rFonts w:hint="eastAsia"/>
          <w:color w:val="auto"/>
          <w:highlight w:val="none"/>
          <w:lang w:eastAsia="zh-CN"/>
        </w:rPr>
        <w:t>匹配</w:t>
      </w:r>
    </w:p>
    <w:p w14:paraId="432B52B3">
      <w:pPr>
        <w:bidi w:val="0"/>
        <w:rPr>
          <w:rFonts w:hint="eastAsia"/>
          <w:color w:val="auto"/>
          <w:highlight w:val="none"/>
          <w:lang w:eastAsia="zh-CN"/>
        </w:rPr>
      </w:pPr>
      <w:r>
        <w:rPr>
          <w:rFonts w:hint="eastAsia"/>
          <w:color w:val="auto"/>
          <w:highlight w:val="none"/>
          <w:lang w:eastAsia="zh-CN"/>
        </w:rPr>
        <w:t>③预算额度测算依据充分，按照标准编制；</w:t>
      </w:r>
    </w:p>
    <w:p w14:paraId="070B0872">
      <w:pPr>
        <w:bidi w:val="0"/>
        <w:rPr>
          <w:rFonts w:hint="eastAsia"/>
          <w:color w:val="auto"/>
          <w:highlight w:val="none"/>
          <w:lang w:eastAsia="zh-CN"/>
        </w:rPr>
      </w:pPr>
      <w:r>
        <w:rPr>
          <w:rFonts w:hint="eastAsia"/>
          <w:color w:val="auto"/>
          <w:highlight w:val="none"/>
          <w:lang w:eastAsia="zh-CN"/>
        </w:rPr>
        <w:t>④预算确定的项目投资额与工作任务相匹配。</w:t>
      </w:r>
    </w:p>
    <w:p w14:paraId="4AD4C621">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791867D2">
      <w:pPr>
        <w:bidi w:val="0"/>
        <w:outlineLvl w:val="2"/>
        <w:rPr>
          <w:rFonts w:hint="default"/>
          <w:b/>
          <w:bCs/>
          <w:color w:val="auto"/>
          <w:highlight w:val="none"/>
          <w:lang w:val="en-US" w:eastAsia="zh-CN"/>
        </w:rPr>
      </w:pPr>
      <w:bookmarkStart w:id="62" w:name="_Toc697"/>
      <w:r>
        <w:rPr>
          <w:rFonts w:hint="eastAsia"/>
          <w:b/>
          <w:bCs/>
          <w:color w:val="auto"/>
          <w:highlight w:val="none"/>
          <w:lang w:val="en-US" w:eastAsia="zh-CN"/>
        </w:rPr>
        <w:t>6.资金分配合理性</w:t>
      </w:r>
      <w:bookmarkEnd w:id="62"/>
    </w:p>
    <w:p w14:paraId="57A68570">
      <w:pPr>
        <w:bidi w:val="0"/>
        <w:rPr>
          <w:rFonts w:hint="eastAsia"/>
          <w:color w:val="auto"/>
          <w:highlight w:val="none"/>
          <w:lang w:eastAsia="zh-CN"/>
        </w:rPr>
      </w:pPr>
      <w:r>
        <w:rPr>
          <w:rFonts w:hint="eastAsia"/>
          <w:color w:val="auto"/>
          <w:highlight w:val="none"/>
          <w:lang w:eastAsia="zh-CN"/>
        </w:rPr>
        <w:t>①预算资金分配依据充分；</w:t>
      </w:r>
    </w:p>
    <w:p w14:paraId="3A422F37">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14:paraId="5F2ED6D7">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20EAE2D4">
      <w:pPr>
        <w:pStyle w:val="3"/>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63" w:name="_Toc11361"/>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bookmarkEnd w:id="63"/>
    </w:p>
    <w:p w14:paraId="2054AE02">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632B8B84">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17" w:type="dxa"/>
        <w:jc w:val="center"/>
        <w:shd w:val="clear" w:color="auto" w:fill="auto"/>
        <w:tblLayout w:type="fixed"/>
        <w:tblCellMar>
          <w:top w:w="0" w:type="dxa"/>
          <w:left w:w="0" w:type="dxa"/>
          <w:bottom w:w="0" w:type="dxa"/>
          <w:right w:w="0" w:type="dxa"/>
        </w:tblCellMar>
      </w:tblPr>
      <w:tblGrid>
        <w:gridCol w:w="1182"/>
        <w:gridCol w:w="738"/>
        <w:gridCol w:w="1248"/>
        <w:gridCol w:w="1176"/>
        <w:gridCol w:w="1833"/>
        <w:gridCol w:w="987"/>
        <w:gridCol w:w="1153"/>
      </w:tblGrid>
      <w:tr w14:paraId="1DF6A0C8">
        <w:tblPrEx>
          <w:shd w:val="clear" w:color="auto" w:fill="auto"/>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A78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CF2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0A8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7BB5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AA0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1A8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F10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21B6D154">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806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B17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40E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A71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C9B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086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403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2E31FF35">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4B6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017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48A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6085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04A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360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35A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7AFF027E">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B5D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A4E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2EF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A8B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C94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6F7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2ABD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6FEAFAD0">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71D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56E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CBC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C57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2D5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D1C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9F1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r>
      <w:tr w14:paraId="234BF88E">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D342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156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0A7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7F4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42E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BA9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505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4</w:t>
            </w:r>
          </w:p>
        </w:tc>
      </w:tr>
      <w:tr w14:paraId="248D12EF">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A1F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289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8D4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D98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C73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20AD4E57">
      <w:pPr>
        <w:bidi w:val="0"/>
        <w:outlineLvl w:val="2"/>
        <w:rPr>
          <w:rFonts w:hint="default"/>
          <w:b/>
          <w:bCs/>
          <w:color w:val="auto"/>
          <w:highlight w:val="none"/>
          <w:lang w:val="en-US" w:eastAsia="zh-CN"/>
        </w:rPr>
      </w:pPr>
      <w:bookmarkStart w:id="64" w:name="_Toc3886"/>
      <w:r>
        <w:rPr>
          <w:rFonts w:hint="eastAsia"/>
          <w:b/>
          <w:bCs/>
          <w:color w:val="auto"/>
          <w:highlight w:val="none"/>
          <w:lang w:val="en-US" w:eastAsia="zh-CN"/>
        </w:rPr>
        <w:t>1.资金到位率</w:t>
      </w:r>
      <w:bookmarkEnd w:id="64"/>
    </w:p>
    <w:p w14:paraId="48151D05">
      <w:pPr>
        <w:bidi w:val="0"/>
        <w:rPr>
          <w:rFonts w:hint="default"/>
          <w:b/>
          <w:bCs/>
          <w:color w:val="auto"/>
          <w:highlight w:val="none"/>
          <w:lang w:val="en-US" w:eastAsia="zh-CN"/>
        </w:rPr>
      </w:pPr>
      <w:r>
        <w:rPr>
          <w:rFonts w:hint="eastAsia"/>
          <w:color w:val="auto"/>
          <w:highlight w:val="none"/>
          <w:lang w:eastAsia="zh-CN"/>
        </w:rPr>
        <w:t>资金到位率=（</w:t>
      </w:r>
      <w:r>
        <w:rPr>
          <w:rFonts w:hint="eastAsia"/>
          <w:color w:val="auto"/>
          <w:highlight w:val="none"/>
          <w:lang w:val="en-US" w:eastAsia="zh-CN"/>
        </w:rPr>
        <w:t>42万元</w:t>
      </w:r>
      <w:r>
        <w:rPr>
          <w:rFonts w:hint="eastAsia"/>
          <w:color w:val="auto"/>
          <w:highlight w:val="none"/>
          <w:lang w:eastAsia="zh-CN"/>
        </w:rPr>
        <w:t>/</w:t>
      </w:r>
      <w:r>
        <w:rPr>
          <w:rFonts w:hint="eastAsia"/>
          <w:color w:val="auto"/>
          <w:highlight w:val="none"/>
          <w:lang w:val="en-US" w:eastAsia="zh-CN"/>
        </w:rPr>
        <w:t>42万元</w:t>
      </w:r>
      <w:r>
        <w:rPr>
          <w:rFonts w:hint="eastAsia"/>
          <w:color w:val="auto"/>
          <w:highlight w:val="none"/>
          <w:lang w:eastAsia="zh-CN"/>
        </w:rPr>
        <w:t>）×100%</w:t>
      </w:r>
      <w:r>
        <w:rPr>
          <w:rFonts w:hint="eastAsia"/>
          <w:color w:val="auto"/>
          <w:highlight w:val="none"/>
          <w:lang w:val="en-US" w:eastAsia="zh-CN"/>
        </w:rPr>
        <w:t>=100%</w:t>
      </w:r>
      <w:r>
        <w:rPr>
          <w:rFonts w:hint="eastAsia"/>
          <w:color w:val="auto"/>
          <w:highlight w:val="none"/>
          <w:lang w:eastAsia="zh-CN"/>
        </w:rPr>
        <w:t>。</w:t>
      </w:r>
    </w:p>
    <w:p w14:paraId="4BAF3A08">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E245ECE">
      <w:pPr>
        <w:bidi w:val="0"/>
        <w:outlineLvl w:val="2"/>
        <w:rPr>
          <w:rFonts w:hint="default"/>
          <w:b/>
          <w:bCs/>
          <w:color w:val="auto"/>
          <w:highlight w:val="none"/>
          <w:lang w:val="en-US" w:eastAsia="zh-CN"/>
        </w:rPr>
      </w:pPr>
      <w:bookmarkStart w:id="65" w:name="_Toc9705"/>
      <w:r>
        <w:rPr>
          <w:rFonts w:hint="eastAsia"/>
          <w:b/>
          <w:bCs/>
          <w:color w:val="auto"/>
          <w:highlight w:val="none"/>
          <w:lang w:val="en-US" w:eastAsia="zh-CN"/>
        </w:rPr>
        <w:t>2.预算执行率</w:t>
      </w:r>
      <w:bookmarkEnd w:id="65"/>
    </w:p>
    <w:p w14:paraId="620D5815">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42万元</w:t>
      </w:r>
      <w:r>
        <w:rPr>
          <w:rFonts w:hint="eastAsia"/>
          <w:color w:val="auto"/>
          <w:highlight w:val="none"/>
          <w:lang w:eastAsia="zh-CN"/>
        </w:rPr>
        <w:t>/</w:t>
      </w:r>
      <w:r>
        <w:rPr>
          <w:rFonts w:hint="eastAsia"/>
          <w:color w:val="auto"/>
          <w:highlight w:val="none"/>
          <w:lang w:val="en-US" w:eastAsia="zh-CN"/>
        </w:rPr>
        <w:t>42万元</w:t>
      </w:r>
      <w:r>
        <w:rPr>
          <w:rFonts w:hint="eastAsia"/>
          <w:color w:val="auto"/>
          <w:highlight w:val="none"/>
          <w:lang w:eastAsia="zh-CN"/>
        </w:rPr>
        <w:t>）×100%</w:t>
      </w:r>
      <w:r>
        <w:rPr>
          <w:rFonts w:hint="eastAsia"/>
          <w:color w:val="auto"/>
          <w:highlight w:val="none"/>
          <w:lang w:val="en-US" w:eastAsia="zh-CN"/>
        </w:rPr>
        <w:t>=100%</w:t>
      </w:r>
      <w:r>
        <w:rPr>
          <w:rFonts w:hint="eastAsia"/>
          <w:color w:val="auto"/>
          <w:highlight w:val="none"/>
          <w:lang w:eastAsia="zh-CN"/>
        </w:rPr>
        <w:t>。</w:t>
      </w:r>
    </w:p>
    <w:p w14:paraId="0B3BB608">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2395AD21">
      <w:pPr>
        <w:bidi w:val="0"/>
        <w:outlineLvl w:val="2"/>
        <w:rPr>
          <w:rFonts w:hint="default"/>
          <w:b/>
          <w:bCs/>
          <w:color w:val="auto"/>
          <w:highlight w:val="none"/>
          <w:lang w:val="en-US" w:eastAsia="zh-CN"/>
        </w:rPr>
      </w:pPr>
      <w:bookmarkStart w:id="66" w:name="_Toc18691"/>
      <w:r>
        <w:rPr>
          <w:rFonts w:hint="eastAsia"/>
          <w:b/>
          <w:bCs/>
          <w:color w:val="auto"/>
          <w:highlight w:val="none"/>
          <w:lang w:val="en-US" w:eastAsia="zh-CN"/>
        </w:rPr>
        <w:t>3.资金使用合规性</w:t>
      </w:r>
      <w:bookmarkEnd w:id="66"/>
    </w:p>
    <w:p w14:paraId="6FC54B42">
      <w:pPr>
        <w:bidi w:val="0"/>
        <w:rPr>
          <w:rFonts w:hint="eastAsia"/>
          <w:color w:val="auto"/>
          <w:highlight w:val="none"/>
          <w:lang w:eastAsia="zh-CN"/>
        </w:rPr>
      </w:pPr>
      <w:r>
        <w:rPr>
          <w:rFonts w:hint="eastAsia"/>
          <w:color w:val="auto"/>
          <w:highlight w:val="none"/>
          <w:lang w:eastAsia="zh-CN"/>
        </w:rPr>
        <w:t>①符合国家财经法规和财务管理制度以及有关专项资金管理办法的规定，《事业单位会计准则》、《阜康市自然资源局财务管理制度》；</w:t>
      </w:r>
    </w:p>
    <w:p w14:paraId="2F587629">
      <w:pPr>
        <w:bidi w:val="0"/>
        <w:rPr>
          <w:rFonts w:hint="eastAsia"/>
          <w:color w:val="auto"/>
          <w:highlight w:val="none"/>
          <w:lang w:eastAsia="zh-CN"/>
        </w:rPr>
      </w:pPr>
      <w:r>
        <w:rPr>
          <w:rFonts w:hint="eastAsia"/>
          <w:color w:val="auto"/>
          <w:highlight w:val="none"/>
          <w:lang w:eastAsia="zh-CN"/>
        </w:rPr>
        <w:t>②资金的拨付有完整的审批程序和手续；</w:t>
      </w:r>
    </w:p>
    <w:p w14:paraId="6A3251E7">
      <w:pPr>
        <w:bidi w:val="0"/>
        <w:rPr>
          <w:rFonts w:hint="eastAsia"/>
          <w:color w:val="auto"/>
          <w:highlight w:val="none"/>
          <w:lang w:eastAsia="zh-CN"/>
        </w:rPr>
      </w:pPr>
      <w:r>
        <w:rPr>
          <w:rFonts w:hint="eastAsia"/>
          <w:color w:val="auto"/>
          <w:highlight w:val="none"/>
          <w:lang w:eastAsia="zh-CN"/>
        </w:rPr>
        <w:t>③符合项目合同规定的用途；</w:t>
      </w:r>
    </w:p>
    <w:p w14:paraId="036AAF63">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14:paraId="25A65D6F">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4EDB8EA1">
      <w:pPr>
        <w:bidi w:val="0"/>
        <w:rPr>
          <w:rFonts w:hint="default"/>
          <w:b/>
          <w:bCs/>
          <w:color w:val="auto"/>
          <w:highlight w:val="none"/>
          <w:lang w:val="en-US" w:eastAsia="zh-CN"/>
        </w:rPr>
      </w:pPr>
      <w:r>
        <w:rPr>
          <w:rFonts w:hint="eastAsia"/>
          <w:b/>
          <w:bCs/>
          <w:color w:val="auto"/>
          <w:highlight w:val="none"/>
          <w:lang w:val="en-US" w:eastAsia="zh-CN"/>
        </w:rPr>
        <w:t>4.管理制度健全性</w:t>
      </w:r>
    </w:p>
    <w:p w14:paraId="7EFF1E0E">
      <w:pPr>
        <w:bidi w:val="0"/>
        <w:rPr>
          <w:rFonts w:hint="eastAsia"/>
          <w:color w:val="auto"/>
          <w:highlight w:val="none"/>
          <w:lang w:eastAsia="zh-CN"/>
        </w:rPr>
      </w:pPr>
      <w:r>
        <w:rPr>
          <w:rFonts w:hint="eastAsia"/>
          <w:color w:val="auto"/>
          <w:highlight w:val="none"/>
          <w:lang w:eastAsia="zh-CN"/>
        </w:rPr>
        <w:t>①已制定或具有相应的《阜康市自然资源局财务和业务管理制度》财务和业务管理制度；</w:t>
      </w:r>
    </w:p>
    <w:p w14:paraId="245ED01D">
      <w:pPr>
        <w:bidi w:val="0"/>
        <w:rPr>
          <w:rFonts w:hint="eastAsia"/>
          <w:color w:val="auto"/>
          <w:highlight w:val="none"/>
          <w:lang w:eastAsia="zh-CN"/>
        </w:rPr>
      </w:pPr>
      <w:r>
        <w:rPr>
          <w:rFonts w:hint="eastAsia"/>
          <w:color w:val="auto"/>
          <w:highlight w:val="none"/>
          <w:lang w:eastAsia="zh-CN"/>
        </w:rPr>
        <w:t>②财务和业务管理制度合法、合规、完整。</w:t>
      </w:r>
    </w:p>
    <w:p w14:paraId="2BD8522F">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19BE8B82">
      <w:pPr>
        <w:bidi w:val="0"/>
        <w:ind w:left="1403" w:leftChars="200" w:hanging="843" w:hangingChars="300"/>
        <w:outlineLvl w:val="2"/>
        <w:rPr>
          <w:rFonts w:hint="eastAsia"/>
          <w:b/>
          <w:bCs/>
          <w:color w:val="auto"/>
          <w:highlight w:val="none"/>
          <w:lang w:val="en-US" w:eastAsia="zh-CN"/>
        </w:rPr>
      </w:pPr>
      <w:bookmarkStart w:id="67" w:name="_Toc31684"/>
      <w:r>
        <w:rPr>
          <w:rFonts w:hint="eastAsia"/>
          <w:b/>
          <w:bCs/>
          <w:color w:val="auto"/>
          <w:highlight w:val="none"/>
          <w:lang w:val="en-US" w:eastAsia="zh-CN"/>
        </w:rPr>
        <w:t>5.制度执行有效性</w:t>
      </w:r>
      <w:bookmarkEnd w:id="67"/>
    </w:p>
    <w:p w14:paraId="66B78771">
      <w:pPr>
        <w:bidi w:val="0"/>
        <w:rPr>
          <w:rFonts w:hint="eastAsia"/>
          <w:color w:val="auto"/>
          <w:highlight w:val="none"/>
          <w:lang w:eastAsia="zh-CN"/>
        </w:rPr>
      </w:pPr>
      <w:r>
        <w:rPr>
          <w:rFonts w:hint="eastAsia"/>
          <w:color w:val="auto"/>
          <w:highlight w:val="none"/>
          <w:lang w:eastAsia="zh-CN"/>
        </w:rPr>
        <w:t>①遵守相关法律法规和相关管理规定；</w:t>
      </w:r>
    </w:p>
    <w:p w14:paraId="2791E572">
      <w:pPr>
        <w:bidi w:val="0"/>
        <w:rPr>
          <w:rFonts w:hint="eastAsia"/>
          <w:color w:val="auto"/>
          <w:highlight w:val="none"/>
          <w:lang w:eastAsia="zh-CN"/>
        </w:rPr>
      </w:pPr>
      <w:r>
        <w:rPr>
          <w:rFonts w:hint="eastAsia"/>
          <w:color w:val="auto"/>
          <w:highlight w:val="none"/>
          <w:lang w:eastAsia="zh-CN"/>
        </w:rPr>
        <w:t>②项目未调整；</w:t>
      </w:r>
    </w:p>
    <w:p w14:paraId="44885995">
      <w:pPr>
        <w:bidi w:val="0"/>
        <w:rPr>
          <w:rFonts w:hint="eastAsia"/>
          <w:color w:val="auto"/>
          <w:highlight w:val="none"/>
          <w:lang w:eastAsia="zh-CN"/>
        </w:rPr>
      </w:pPr>
      <w:r>
        <w:rPr>
          <w:rFonts w:hint="eastAsia"/>
          <w:color w:val="auto"/>
          <w:highlight w:val="none"/>
          <w:lang w:eastAsia="zh-CN"/>
        </w:rPr>
        <w:t>③项目合同书等资料齐全并及时归档；</w:t>
      </w:r>
    </w:p>
    <w:p w14:paraId="58D0D81C">
      <w:pPr>
        <w:bidi w:val="0"/>
        <w:rPr>
          <w:rFonts w:hint="eastAsia"/>
          <w:color w:val="auto"/>
          <w:highlight w:val="none"/>
          <w:lang w:eastAsia="zh-CN"/>
        </w:rPr>
      </w:pPr>
      <w:r>
        <w:rPr>
          <w:rFonts w:hint="eastAsia"/>
          <w:color w:val="auto"/>
          <w:highlight w:val="none"/>
          <w:lang w:eastAsia="zh-CN"/>
        </w:rPr>
        <w:t>④项目</w:t>
      </w:r>
      <w:r>
        <w:rPr>
          <w:rFonts w:hint="eastAsia" w:ascii="宋体" w:hAnsi="宋体" w:eastAsia="宋体" w:cs="宋体"/>
          <w:color w:val="auto"/>
          <w:highlight w:val="none"/>
          <w:shd w:val="clear" w:color="auto" w:fill="auto"/>
          <w:lang w:val="en-US" w:eastAsia="zh-CN"/>
        </w:rPr>
        <w:t>确定了项目领导小组，明确了责任分工：组长为罗奕，副组长为杜福林，</w:t>
      </w:r>
      <w:r>
        <w:rPr>
          <w:rFonts w:hint="eastAsia" w:cs="宋体"/>
          <w:color w:val="auto"/>
          <w:highlight w:val="none"/>
          <w:shd w:val="clear" w:color="auto" w:fill="auto"/>
          <w:lang w:val="en-US" w:eastAsia="zh-CN"/>
        </w:rPr>
        <w:t>项目负责人为</w:t>
      </w:r>
      <w:r>
        <w:rPr>
          <w:rFonts w:hint="eastAsia" w:ascii="宋体" w:hAnsi="宋体" w:eastAsia="宋体" w:cs="宋体"/>
          <w:color w:val="auto"/>
          <w:highlight w:val="none"/>
          <w:shd w:val="clear" w:color="auto" w:fill="auto"/>
          <w:lang w:val="en-US" w:eastAsia="zh-CN"/>
        </w:rPr>
        <w:t>康立斌</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组员为刘彩枫、任雪林，其中：任雪林负责监管工作，刘彩枫负责项目档案资料，李婷负责资金拨付工作。</w:t>
      </w:r>
      <w:r>
        <w:rPr>
          <w:rFonts w:hint="eastAsia"/>
          <w:color w:val="auto"/>
          <w:highlight w:val="none"/>
          <w:lang w:eastAsia="zh-CN"/>
        </w:rPr>
        <w:t>人员条件</w:t>
      </w:r>
      <w:r>
        <w:rPr>
          <w:rFonts w:hint="eastAsia"/>
          <w:color w:val="auto"/>
          <w:highlight w:val="none"/>
          <w:shd w:val="clear"/>
          <w:lang w:eastAsia="zh-CN"/>
        </w:rPr>
        <w:t>、场地设备、信息支撑等落实到</w:t>
      </w:r>
      <w:r>
        <w:rPr>
          <w:rFonts w:hint="eastAsia"/>
          <w:color w:val="auto"/>
          <w:highlight w:val="none"/>
          <w:lang w:eastAsia="zh-CN"/>
        </w:rPr>
        <w:t>位。</w:t>
      </w:r>
    </w:p>
    <w:p w14:paraId="078D8E34">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2C8AD1FC">
      <w:pPr>
        <w:pStyle w:val="3"/>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8"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8"/>
    </w:p>
    <w:p w14:paraId="75DAFBAA">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tbl>
      <w:tblPr>
        <w:tblStyle w:val="11"/>
        <w:tblpPr w:leftFromText="180" w:rightFromText="180" w:vertAnchor="text" w:horzAnchor="page" w:tblpX="1786" w:tblpY="540"/>
        <w:tblOverlap w:val="never"/>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2B34D7E2">
        <w:tblPrEx>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471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82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82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C5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29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55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D0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4C8D367B">
        <w:tblPrEx>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0B73C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127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0B6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建设数量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5E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r>
              <w:rPr>
                <w:rFonts w:hint="eastAsia" w:ascii="宋体" w:hAnsi="宋体" w:eastAsia="宋体" w:cs="宋体"/>
                <w:color w:val="auto"/>
                <w:kern w:val="0"/>
                <w:sz w:val="20"/>
                <w:szCs w:val="20"/>
                <w:highlight w:val="none"/>
                <w:shd w:val="clear" w:color="auto" w:fill="auto"/>
                <w:lang w:val="en-US" w:eastAsia="zh-CN"/>
              </w:rPr>
              <w:t>30个</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66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4D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30个</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85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4</w:t>
            </w:r>
          </w:p>
        </w:tc>
      </w:tr>
      <w:tr w14:paraId="6BC650E2">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4F523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41B8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09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工程通过验收率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DB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49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23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F88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0A0C42AB">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16AA1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ADB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19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公交站台建设完成率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07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C6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32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BD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7</w:t>
            </w:r>
          </w:p>
        </w:tc>
      </w:tr>
      <w:tr w14:paraId="2545774E">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FEB47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E1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E9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资金拨付及时率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3E7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29A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C9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40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3</w:t>
            </w:r>
          </w:p>
        </w:tc>
      </w:tr>
      <w:tr w14:paraId="3DC4260F">
        <w:tblPrEx>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9504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333C8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FCD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2015年公交停车港湾工程款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F9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≤10万</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4F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20E6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10万</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30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0971E1C8">
        <w:tblPrEx>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A8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5C9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29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2015公交站台港湾工程欠款</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38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≤32万</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FF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5C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32万</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95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4</w:t>
            </w:r>
          </w:p>
        </w:tc>
      </w:tr>
      <w:tr w14:paraId="6BBDC13B">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2C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07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C98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095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64F8DA0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p w14:paraId="70691A46">
      <w:pPr>
        <w:bidi w:val="0"/>
        <w:outlineLvl w:val="2"/>
        <w:rPr>
          <w:rFonts w:hint="eastAsia"/>
          <w:b/>
          <w:bCs/>
          <w:color w:val="auto"/>
          <w:highlight w:val="none"/>
          <w:lang w:val="en-US" w:eastAsia="zh-CN"/>
        </w:rPr>
      </w:pPr>
      <w:bookmarkStart w:id="69" w:name="_Toc11067"/>
      <w:r>
        <w:rPr>
          <w:rFonts w:hint="eastAsia"/>
          <w:b/>
          <w:bCs/>
          <w:color w:val="auto"/>
          <w:highlight w:val="none"/>
          <w:lang w:val="en-US" w:eastAsia="zh-CN"/>
        </w:rPr>
        <w:t>1.项目完成数量</w:t>
      </w:r>
      <w:bookmarkEnd w:id="69"/>
    </w:p>
    <w:p w14:paraId="3DC635D7">
      <w:pPr>
        <w:bidi w:val="0"/>
        <w:rPr>
          <w:rFonts w:hint="eastAsia"/>
          <w:color w:val="auto"/>
          <w:highlight w:val="none"/>
          <w:lang w:val="en-US" w:eastAsia="zh-CN"/>
        </w:rPr>
      </w:pPr>
      <w:r>
        <w:rPr>
          <w:rFonts w:hint="eastAsia"/>
          <w:color w:val="auto"/>
          <w:highlight w:val="none"/>
          <w:lang w:eastAsia="zh-CN"/>
        </w:rPr>
        <w:t>“</w:t>
      </w:r>
      <w:r>
        <w:rPr>
          <w:rFonts w:hint="eastAsia" w:ascii="宋体" w:hAnsi="宋体" w:eastAsia="宋体" w:cs="宋体"/>
          <w:color w:val="auto"/>
          <w:highlight w:val="none"/>
          <w:lang w:val="en-US" w:eastAsia="zh-CN"/>
        </w:rPr>
        <w:t>建设数量</w:t>
      </w:r>
      <w:r>
        <w:rPr>
          <w:rFonts w:hint="eastAsia"/>
          <w:color w:val="auto"/>
          <w:highlight w:val="none"/>
          <w:lang w:eastAsia="zh-CN"/>
        </w:rPr>
        <w:t>”</w:t>
      </w:r>
      <w:r>
        <w:rPr>
          <w:rFonts w:hint="eastAsia"/>
          <w:color w:val="auto"/>
          <w:highlight w:val="none"/>
          <w:lang w:val="en-US" w:eastAsia="zh-CN"/>
        </w:rPr>
        <w:t>指标，预期目标值为=30个，实际完成为30个。实际完成率=（30个/30个）×100%=100%。</w:t>
      </w:r>
    </w:p>
    <w:p w14:paraId="43093EA6">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3AD46503">
      <w:pPr>
        <w:bidi w:val="0"/>
        <w:outlineLvl w:val="2"/>
        <w:rPr>
          <w:rFonts w:hint="default"/>
          <w:b/>
          <w:bCs/>
          <w:color w:val="auto"/>
          <w:highlight w:val="none"/>
          <w:lang w:val="en-US" w:eastAsia="zh-CN"/>
        </w:rPr>
      </w:pPr>
      <w:bookmarkStart w:id="70" w:name="_Toc31739"/>
      <w:r>
        <w:rPr>
          <w:rFonts w:hint="eastAsia"/>
          <w:b/>
          <w:bCs/>
          <w:color w:val="auto"/>
          <w:highlight w:val="none"/>
          <w:lang w:val="en-US" w:eastAsia="zh-CN"/>
        </w:rPr>
        <w:t>2.项目完成质量</w:t>
      </w:r>
      <w:bookmarkEnd w:id="70"/>
    </w:p>
    <w:p w14:paraId="022EDFEF">
      <w:pPr>
        <w:bidi w:val="0"/>
        <w:rPr>
          <w:rFonts w:hint="eastAsia"/>
          <w:color w:val="auto"/>
          <w:highlight w:val="none"/>
          <w:lang w:val="en-US" w:eastAsia="zh-CN"/>
        </w:rPr>
      </w:pPr>
      <w:r>
        <w:rPr>
          <w:rFonts w:hint="eastAsia"/>
          <w:color w:val="auto"/>
          <w:highlight w:val="none"/>
          <w:lang w:val="en-US" w:eastAsia="zh-CN"/>
        </w:rPr>
        <w:t>“工程通过验收率”指标，预期目标值为100%，实际完成为100%。</w:t>
      </w:r>
    </w:p>
    <w:p w14:paraId="4EA70ED3">
      <w:pPr>
        <w:bidi w:val="0"/>
        <w:rPr>
          <w:rFonts w:hint="eastAsia"/>
          <w:color w:val="auto"/>
          <w:highlight w:val="none"/>
          <w:lang w:eastAsia="zh-CN"/>
        </w:rPr>
      </w:pPr>
      <w:r>
        <w:rPr>
          <w:rFonts w:hint="eastAsia"/>
          <w:b/>
          <w:bCs/>
          <w:color w:val="auto"/>
          <w:highlight w:val="none"/>
          <w:lang w:val="en-US" w:eastAsia="zh-CN"/>
        </w:rPr>
        <w:t>综上，该项指标满分6分，得分6分。</w:t>
      </w:r>
    </w:p>
    <w:p w14:paraId="1C6816D2">
      <w:pPr>
        <w:bidi w:val="0"/>
        <w:outlineLvl w:val="2"/>
        <w:rPr>
          <w:rFonts w:hint="default"/>
          <w:b/>
          <w:bCs/>
          <w:color w:val="auto"/>
          <w:highlight w:val="none"/>
          <w:lang w:val="en-US" w:eastAsia="zh-CN"/>
        </w:rPr>
      </w:pPr>
      <w:r>
        <w:rPr>
          <w:rFonts w:hint="eastAsia"/>
          <w:b/>
          <w:bCs/>
          <w:color w:val="auto"/>
          <w:highlight w:val="none"/>
          <w:lang w:val="en-US" w:eastAsia="zh-CN"/>
        </w:rPr>
        <w:t>3.项目完成质量</w:t>
      </w:r>
    </w:p>
    <w:p w14:paraId="3F26BFAB">
      <w:pPr>
        <w:bidi w:val="0"/>
        <w:rPr>
          <w:rFonts w:hint="eastAsia"/>
          <w:color w:val="auto"/>
          <w:highlight w:val="none"/>
          <w:lang w:val="en-US" w:eastAsia="zh-CN"/>
        </w:rPr>
      </w:pPr>
      <w:r>
        <w:rPr>
          <w:rFonts w:hint="eastAsia"/>
          <w:color w:val="auto"/>
          <w:highlight w:val="none"/>
          <w:lang w:val="en-US" w:eastAsia="zh-CN"/>
        </w:rPr>
        <w:t>“公交站台建设完成率”指标，预期目标值为100%，实际完成为100%。</w:t>
      </w:r>
    </w:p>
    <w:p w14:paraId="04548282">
      <w:pPr>
        <w:bidi w:val="0"/>
        <w:rPr>
          <w:rFonts w:hint="eastAsia"/>
          <w:color w:val="auto"/>
          <w:highlight w:val="none"/>
          <w:lang w:eastAsia="zh-CN"/>
        </w:rPr>
      </w:pPr>
      <w:r>
        <w:rPr>
          <w:rFonts w:hint="eastAsia"/>
          <w:b/>
          <w:bCs/>
          <w:color w:val="auto"/>
          <w:highlight w:val="none"/>
          <w:lang w:val="en-US" w:eastAsia="zh-CN"/>
        </w:rPr>
        <w:t>综上，该项指标满分7分，得分7分。</w:t>
      </w:r>
    </w:p>
    <w:p w14:paraId="149E9A35">
      <w:pPr>
        <w:bidi w:val="0"/>
        <w:outlineLvl w:val="2"/>
        <w:rPr>
          <w:rFonts w:hint="default"/>
          <w:b/>
          <w:bCs/>
          <w:color w:val="auto"/>
          <w:highlight w:val="none"/>
          <w:lang w:val="en-US" w:eastAsia="zh-CN"/>
        </w:rPr>
      </w:pPr>
      <w:bookmarkStart w:id="71" w:name="_Toc18307"/>
      <w:r>
        <w:rPr>
          <w:rFonts w:hint="eastAsia"/>
          <w:b/>
          <w:bCs/>
          <w:color w:val="auto"/>
          <w:highlight w:val="none"/>
          <w:lang w:val="en-US" w:eastAsia="zh-CN"/>
        </w:rPr>
        <w:t>4.项目完成时效</w:t>
      </w:r>
      <w:bookmarkEnd w:id="71"/>
    </w:p>
    <w:p w14:paraId="67B25C8C">
      <w:pPr>
        <w:bidi w:val="0"/>
        <w:rPr>
          <w:rFonts w:hint="eastAsia"/>
          <w:color w:val="auto"/>
          <w:highlight w:val="none"/>
          <w:lang w:val="en-US" w:eastAsia="zh-CN"/>
        </w:rPr>
      </w:pPr>
      <w:r>
        <w:rPr>
          <w:rFonts w:hint="eastAsia"/>
          <w:color w:val="auto"/>
          <w:highlight w:val="none"/>
          <w:lang w:val="en-US" w:eastAsia="zh-CN"/>
        </w:rPr>
        <w:t>“资金拨付及时率”指标，预期目标值为100%，实际完成为100%。</w:t>
      </w:r>
    </w:p>
    <w:p w14:paraId="0B5E2130">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229ADAE1">
      <w:pPr>
        <w:bidi w:val="0"/>
        <w:outlineLvl w:val="2"/>
        <w:rPr>
          <w:rFonts w:hint="default"/>
          <w:b/>
          <w:bCs/>
          <w:color w:val="auto"/>
          <w:highlight w:val="none"/>
          <w:lang w:val="en-US" w:eastAsia="zh-CN"/>
        </w:rPr>
      </w:pPr>
      <w:bookmarkStart w:id="72" w:name="_Toc32765"/>
      <w:r>
        <w:rPr>
          <w:rFonts w:hint="eastAsia"/>
          <w:b/>
          <w:bCs/>
          <w:color w:val="auto"/>
          <w:highlight w:val="none"/>
          <w:lang w:val="en-US" w:eastAsia="zh-CN"/>
        </w:rPr>
        <w:t>5.项目完成成本</w:t>
      </w:r>
      <w:bookmarkEnd w:id="72"/>
    </w:p>
    <w:p w14:paraId="1FB8670F">
      <w:pPr>
        <w:bidi w:val="0"/>
        <w:rPr>
          <w:rFonts w:hint="eastAsia"/>
          <w:color w:val="auto"/>
          <w:highlight w:val="none"/>
          <w:lang w:val="en-US" w:eastAsia="zh-CN"/>
        </w:rPr>
      </w:pPr>
      <w:r>
        <w:rPr>
          <w:rFonts w:hint="eastAsia"/>
          <w:color w:val="auto"/>
          <w:highlight w:val="none"/>
          <w:lang w:val="en-US" w:eastAsia="zh-CN"/>
        </w:rPr>
        <w:t>“2015年公交停车港湾工程款”指标，预期目标值为≤10万，实际完成为10万。实际完成率=（10万/10万）×100%=100%。</w:t>
      </w:r>
    </w:p>
    <w:p w14:paraId="48A8C4CF">
      <w:pPr>
        <w:bidi w:val="0"/>
        <w:rPr>
          <w:rFonts w:hint="eastAsia"/>
          <w:color w:val="auto"/>
          <w:highlight w:val="none"/>
          <w:lang w:eastAsia="zh-CN"/>
        </w:rPr>
      </w:pPr>
      <w:r>
        <w:rPr>
          <w:rFonts w:hint="eastAsia"/>
          <w:b/>
          <w:bCs/>
          <w:color w:val="auto"/>
          <w:highlight w:val="none"/>
          <w:lang w:val="en-US" w:eastAsia="zh-CN"/>
        </w:rPr>
        <w:t>综上，该项指标满分6分，得分6分。</w:t>
      </w:r>
    </w:p>
    <w:p w14:paraId="0F75AD04">
      <w:pPr>
        <w:bidi w:val="0"/>
        <w:outlineLvl w:val="2"/>
        <w:rPr>
          <w:rFonts w:hint="default"/>
          <w:b/>
          <w:bCs/>
          <w:color w:val="auto"/>
          <w:highlight w:val="none"/>
          <w:lang w:val="en-US" w:eastAsia="zh-CN"/>
        </w:rPr>
      </w:pPr>
      <w:r>
        <w:rPr>
          <w:rFonts w:hint="eastAsia"/>
          <w:b/>
          <w:bCs/>
          <w:color w:val="auto"/>
          <w:highlight w:val="none"/>
          <w:lang w:val="en-US" w:eastAsia="zh-CN"/>
        </w:rPr>
        <w:t>6.项目完成成本</w:t>
      </w:r>
    </w:p>
    <w:p w14:paraId="73916696">
      <w:pPr>
        <w:bidi w:val="0"/>
        <w:rPr>
          <w:rFonts w:hint="eastAsia"/>
          <w:color w:val="auto"/>
          <w:highlight w:val="none"/>
          <w:lang w:val="en-US" w:eastAsia="zh-CN"/>
        </w:rPr>
      </w:pPr>
      <w:r>
        <w:rPr>
          <w:rFonts w:hint="eastAsia"/>
          <w:color w:val="auto"/>
          <w:highlight w:val="none"/>
          <w:lang w:val="en-US" w:eastAsia="zh-CN"/>
        </w:rPr>
        <w:t>“2015年公交停车港湾</w:t>
      </w:r>
      <w:r>
        <w:rPr>
          <w:rFonts w:hint="eastAsia" w:ascii="宋体" w:hAnsi="宋体" w:eastAsia="宋体" w:cs="宋体"/>
          <w:color w:val="auto"/>
          <w:highlight w:val="none"/>
          <w:lang w:val="en-US" w:eastAsia="zh-CN"/>
        </w:rPr>
        <w:t>欠</w:t>
      </w:r>
      <w:r>
        <w:rPr>
          <w:rFonts w:hint="eastAsia"/>
          <w:color w:val="auto"/>
          <w:highlight w:val="none"/>
          <w:lang w:val="en-US" w:eastAsia="zh-CN"/>
        </w:rPr>
        <w:t>款”指标，预期目标值为≤32万，实际完成为32万。实际完成率=（32万/32万）×100%=100%。</w:t>
      </w:r>
    </w:p>
    <w:p w14:paraId="71758ED1">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D410E4F">
      <w:pPr>
        <w:pStyle w:val="3"/>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3"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3"/>
    </w:p>
    <w:p w14:paraId="3E1B2491">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7C463872">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7768DE22">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E4A2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5ED3F8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E7B1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9F8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30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3A21D6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70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16BA5F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9DA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140D9C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3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284E52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63F0C553">
        <w:tblPrEx>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60BD7C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1C28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AE2F3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232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09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E1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26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04331CD3">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F2365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8B50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51453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公共服务水平提高</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A9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CE8D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17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1E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719D73F9">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47A7B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A5436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9968D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改善人居环境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05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改善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0A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5C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6A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6FC9E7C5">
        <w:tblPrEx>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CAD1A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0091C8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08610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C4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76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BE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B84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73FAA91A">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E14E9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75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F1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受益群众满意度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51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FD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30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F6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6FF36668">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85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3E4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05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AF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221A5CC3">
      <w:pPr>
        <w:bidi w:val="0"/>
        <w:outlineLvl w:val="2"/>
        <w:rPr>
          <w:rFonts w:hint="default"/>
          <w:b/>
          <w:bCs/>
          <w:color w:val="auto"/>
          <w:highlight w:val="none"/>
          <w:lang w:val="en-US" w:eastAsia="zh-CN"/>
        </w:rPr>
      </w:pPr>
      <w:bookmarkStart w:id="74" w:name="_Toc8010"/>
      <w:r>
        <w:rPr>
          <w:rFonts w:hint="eastAsia"/>
          <w:b/>
          <w:bCs/>
          <w:color w:val="auto"/>
          <w:highlight w:val="none"/>
          <w:lang w:val="en-US" w:eastAsia="zh-CN"/>
        </w:rPr>
        <w:t>1.经济效益指标</w:t>
      </w:r>
      <w:bookmarkEnd w:id="74"/>
    </w:p>
    <w:p w14:paraId="5216C122">
      <w:pPr>
        <w:bidi w:val="0"/>
        <w:outlineLvl w:val="2"/>
        <w:rPr>
          <w:rFonts w:hint="eastAsia"/>
          <w:b/>
          <w:bCs/>
          <w:color w:val="auto"/>
          <w:highlight w:val="none"/>
          <w:lang w:val="en-US" w:eastAsia="zh-CN"/>
        </w:rPr>
      </w:pPr>
      <w:bookmarkStart w:id="75" w:name="_Toc27006"/>
      <w:r>
        <w:rPr>
          <w:rFonts w:hint="eastAsia"/>
          <w:b/>
          <w:bCs/>
          <w:color w:val="auto"/>
          <w:highlight w:val="none"/>
          <w:lang w:val="en-US" w:eastAsia="zh-CN"/>
        </w:rPr>
        <w:t>社会效益指标</w:t>
      </w:r>
      <w:bookmarkEnd w:id="75"/>
    </w:p>
    <w:p w14:paraId="5B2E1913">
      <w:pPr>
        <w:bidi w:val="0"/>
        <w:rPr>
          <w:rFonts w:hint="eastAsia"/>
          <w:b w:val="0"/>
          <w:bCs w:val="0"/>
          <w:color w:val="auto"/>
          <w:highlight w:val="none"/>
          <w:lang w:val="en-US" w:eastAsia="zh-CN"/>
        </w:rPr>
      </w:pPr>
      <w:r>
        <w:rPr>
          <w:rFonts w:hint="eastAsia"/>
          <w:color w:val="auto"/>
          <w:highlight w:val="none"/>
          <w:lang w:eastAsia="zh-CN"/>
        </w:rPr>
        <w:t>“</w:t>
      </w:r>
      <w:r>
        <w:rPr>
          <w:rFonts w:hint="eastAsia"/>
          <w:color w:val="auto"/>
          <w:highlight w:val="none"/>
          <w:lang w:val="en-US" w:eastAsia="zh-CN"/>
        </w:rPr>
        <w:t>公共服务水平提高</w:t>
      </w:r>
      <w:r>
        <w:rPr>
          <w:rFonts w:hint="eastAsia"/>
          <w:color w:val="auto"/>
          <w:highlight w:val="none"/>
          <w:lang w:eastAsia="zh-CN"/>
        </w:rPr>
        <w:t>”</w:t>
      </w:r>
      <w:r>
        <w:rPr>
          <w:rFonts w:hint="eastAsia"/>
          <w:color w:val="auto"/>
          <w:highlight w:val="none"/>
          <w:lang w:val="en-US" w:eastAsia="zh-CN"/>
        </w:rPr>
        <w:t>指标，预期目标值为提高，实际完成为100%。</w:t>
      </w:r>
    </w:p>
    <w:p w14:paraId="6159E0BE">
      <w:pPr>
        <w:bidi w:val="0"/>
        <w:rPr>
          <w:rFonts w:hint="eastAsia" w:eastAsia="宋体"/>
          <w:b w:val="0"/>
          <w:bCs w:val="0"/>
          <w:color w:val="auto"/>
          <w:highlight w:val="none"/>
          <w:lang w:val="en-US" w:eastAsia="zh-CN"/>
        </w:rPr>
      </w:pPr>
      <w:r>
        <w:rPr>
          <w:rFonts w:hint="eastAsia"/>
          <w:b w:val="0"/>
          <w:bCs w:val="0"/>
          <w:color w:val="auto"/>
          <w:highlight w:val="none"/>
          <w:lang w:val="en-US" w:eastAsia="zh-CN"/>
        </w:rPr>
        <w:t>通过项目的实施，达到提升公共服务水平,基本公共服务项目得到全面落实，进一步提高了基本公共服务均等化水平的效果。</w:t>
      </w:r>
    </w:p>
    <w:p w14:paraId="1792F51A">
      <w:pPr>
        <w:bidi w:val="0"/>
        <w:rPr>
          <w:rFonts w:hint="eastAsia"/>
          <w:color w:val="auto"/>
          <w:highlight w:val="none"/>
          <w:lang w:val="en-US" w:eastAsia="zh-CN"/>
        </w:rPr>
      </w:pPr>
      <w:r>
        <w:rPr>
          <w:rFonts w:hint="eastAsia"/>
          <w:b/>
          <w:bCs/>
          <w:color w:val="auto"/>
          <w:highlight w:val="none"/>
          <w:lang w:val="en-US" w:eastAsia="zh-CN"/>
        </w:rPr>
        <w:t>综上，该项指标满分10分，得分10分。</w:t>
      </w:r>
    </w:p>
    <w:p w14:paraId="69919259">
      <w:pPr>
        <w:bidi w:val="0"/>
        <w:outlineLvl w:val="2"/>
        <w:rPr>
          <w:rFonts w:hint="eastAsia"/>
          <w:color w:val="auto"/>
          <w:highlight w:val="none"/>
          <w:lang w:val="en-US" w:eastAsia="zh-CN"/>
        </w:rPr>
      </w:pPr>
      <w:bookmarkStart w:id="76" w:name="_Toc23106"/>
      <w:r>
        <w:rPr>
          <w:rFonts w:hint="eastAsia"/>
          <w:b/>
          <w:bCs/>
          <w:color w:val="auto"/>
          <w:highlight w:val="none"/>
          <w:lang w:val="en-US" w:eastAsia="zh-CN"/>
        </w:rPr>
        <w:t>2.生态效益指标</w:t>
      </w:r>
      <w:bookmarkEnd w:id="76"/>
    </w:p>
    <w:p w14:paraId="1D3B64CA">
      <w:pPr>
        <w:bidi w:val="0"/>
        <w:rPr>
          <w:rFonts w:hint="eastAsia"/>
          <w:b w:val="0"/>
          <w:bCs w:val="0"/>
          <w:color w:val="auto"/>
          <w:highlight w:val="none"/>
          <w:lang w:val="en-US" w:eastAsia="zh-CN"/>
        </w:rPr>
      </w:pPr>
      <w:r>
        <w:rPr>
          <w:rFonts w:hint="eastAsia"/>
          <w:color w:val="auto"/>
          <w:highlight w:val="none"/>
          <w:lang w:eastAsia="zh-CN"/>
        </w:rPr>
        <w:t>“</w:t>
      </w:r>
      <w:r>
        <w:rPr>
          <w:rFonts w:hint="eastAsia" w:ascii="宋体" w:hAnsi="宋体" w:eastAsia="宋体" w:cs="宋体"/>
          <w:color w:val="auto"/>
          <w:highlight w:val="none"/>
          <w:lang w:val="en-US" w:eastAsia="zh-CN"/>
        </w:rPr>
        <w:t>改善人居环境</w:t>
      </w:r>
      <w:r>
        <w:rPr>
          <w:rFonts w:hint="eastAsia"/>
          <w:color w:val="auto"/>
          <w:highlight w:val="none"/>
          <w:lang w:eastAsia="zh-CN"/>
        </w:rPr>
        <w:t>”</w:t>
      </w:r>
      <w:r>
        <w:rPr>
          <w:rFonts w:hint="eastAsia"/>
          <w:color w:val="auto"/>
          <w:highlight w:val="none"/>
          <w:lang w:val="en-US" w:eastAsia="zh-CN"/>
        </w:rPr>
        <w:t>指标，预期目标值为</w:t>
      </w:r>
      <w:r>
        <w:rPr>
          <w:rFonts w:hint="eastAsia" w:ascii="宋体" w:hAnsi="宋体" w:eastAsia="宋体" w:cs="宋体"/>
          <w:color w:val="auto"/>
          <w:kern w:val="0"/>
          <w:sz w:val="20"/>
          <w:szCs w:val="20"/>
          <w:highlight w:val="none"/>
          <w:shd w:val="clear" w:color="auto" w:fill="auto"/>
          <w:lang w:val="en-US" w:eastAsia="zh-CN"/>
        </w:rPr>
        <w:t>改善</w:t>
      </w:r>
      <w:r>
        <w:rPr>
          <w:rFonts w:hint="eastAsia"/>
          <w:color w:val="auto"/>
          <w:highlight w:val="none"/>
          <w:lang w:val="en-US" w:eastAsia="zh-CN"/>
        </w:rPr>
        <w:t>，实际完成为100%。</w:t>
      </w:r>
    </w:p>
    <w:p w14:paraId="4440440A">
      <w:pPr>
        <w:bidi w:val="0"/>
        <w:rPr>
          <w:rFonts w:hint="eastAsia"/>
          <w:b w:val="0"/>
          <w:bCs w:val="0"/>
          <w:color w:val="auto"/>
          <w:highlight w:val="none"/>
          <w:lang w:val="en-US" w:eastAsia="zh-CN"/>
        </w:rPr>
      </w:pPr>
      <w:r>
        <w:rPr>
          <w:rFonts w:hint="eastAsia"/>
          <w:b w:val="0"/>
          <w:bCs w:val="0"/>
          <w:color w:val="auto"/>
          <w:highlight w:val="none"/>
          <w:lang w:val="en-US" w:eastAsia="zh-CN"/>
        </w:rPr>
        <w:t>通过项目的实施，达到加快实现市域公交站台全覆盖，方便人员出行，改善人居环境的效果。</w:t>
      </w:r>
    </w:p>
    <w:p w14:paraId="452E7F13">
      <w:pPr>
        <w:bidi w:val="0"/>
        <w:rPr>
          <w:rFonts w:hint="eastAsia"/>
          <w:color w:val="auto"/>
          <w:highlight w:val="none"/>
          <w:lang w:val="en-US" w:eastAsia="zh-CN"/>
        </w:rPr>
      </w:pPr>
      <w:r>
        <w:rPr>
          <w:rFonts w:hint="eastAsia"/>
          <w:b/>
          <w:bCs/>
          <w:color w:val="auto"/>
          <w:highlight w:val="none"/>
          <w:lang w:val="en-US" w:eastAsia="zh-CN"/>
        </w:rPr>
        <w:t>综上，该项指标满分10分，得分10分。</w:t>
      </w:r>
    </w:p>
    <w:p w14:paraId="272865C4">
      <w:pPr>
        <w:bidi w:val="0"/>
        <w:outlineLvl w:val="2"/>
        <w:rPr>
          <w:rFonts w:hint="eastAsia"/>
          <w:b/>
          <w:bCs/>
          <w:color w:val="auto"/>
          <w:highlight w:val="none"/>
          <w:lang w:val="en-US" w:eastAsia="zh-CN"/>
        </w:rPr>
      </w:pPr>
      <w:bookmarkStart w:id="77" w:name="_Toc3271"/>
      <w:r>
        <w:rPr>
          <w:rFonts w:hint="eastAsia"/>
          <w:b/>
          <w:bCs/>
          <w:color w:val="auto"/>
          <w:highlight w:val="none"/>
          <w:lang w:val="en-US" w:eastAsia="zh-CN"/>
        </w:rPr>
        <w:t>3.满意度指标</w:t>
      </w:r>
      <w:bookmarkEnd w:id="77"/>
    </w:p>
    <w:p w14:paraId="218CEC7C">
      <w:pPr>
        <w:bidi w:val="0"/>
        <w:rPr>
          <w:rFonts w:hint="eastAsia"/>
          <w:color w:val="auto"/>
          <w:highlight w:val="none"/>
          <w:lang w:val="en-US" w:eastAsia="zh-CN"/>
        </w:rPr>
      </w:pPr>
      <w:r>
        <w:rPr>
          <w:rFonts w:hint="eastAsia"/>
          <w:color w:val="auto"/>
          <w:highlight w:val="none"/>
          <w:lang w:val="en-US" w:eastAsia="zh-CN"/>
        </w:rPr>
        <w:t>“受益群众满意度”指标，预期目标值为≥90%，实际完成为90%。</w:t>
      </w:r>
    </w:p>
    <w:p w14:paraId="5B92E7CD">
      <w:pPr>
        <w:bidi w:val="0"/>
        <w:rPr>
          <w:rFonts w:hint="eastAsia"/>
          <w:b/>
          <w:bCs/>
          <w:color w:val="auto"/>
          <w:highlight w:val="none"/>
          <w:lang w:val="en-US" w:eastAsia="zh-CN"/>
        </w:rPr>
      </w:pPr>
      <w:r>
        <w:rPr>
          <w:rFonts w:hint="eastAsia"/>
          <w:b/>
          <w:bCs/>
          <w:color w:val="auto"/>
          <w:highlight w:val="none"/>
          <w:lang w:val="en-US" w:eastAsia="zh-CN"/>
        </w:rPr>
        <w:t>综上，该项指标满分10分，得分10分。</w:t>
      </w:r>
    </w:p>
    <w:p w14:paraId="1C594730">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8" w:name="_Toc19962"/>
      <w:r>
        <w:rPr>
          <w:rFonts w:hint="eastAsia" w:ascii="宋体" w:hAnsi="宋体" w:eastAsia="宋体" w:cs="宋体"/>
          <w:b/>
          <w:bCs/>
          <w:color w:val="auto"/>
          <w:highlight w:val="none"/>
          <w:shd w:val="clear" w:color="auto" w:fill="auto"/>
          <w:lang w:val="en-US" w:eastAsia="zh-CN"/>
        </w:rPr>
        <w:t>五、预算执行进度与指标偏差</w:t>
      </w:r>
      <w:bookmarkEnd w:id="78"/>
    </w:p>
    <w:p w14:paraId="6671B8D1">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ascii="仿宋_GB2312" w:hAnsi="仿宋_GB2312" w:cs="仿宋_GB2312"/>
          <w:b w:val="0"/>
          <w:bCs w:val="0"/>
          <w:color w:val="auto"/>
          <w:sz w:val="28"/>
          <w:szCs w:val="28"/>
          <w:highlight w:val="none"/>
        </w:rPr>
      </w:pPr>
      <w:r>
        <w:rPr>
          <w:rFonts w:hint="eastAsia" w:cs="仿宋_GB2312"/>
          <w:color w:val="auto"/>
          <w:sz w:val="28"/>
          <w:szCs w:val="28"/>
          <w:highlight w:val="none"/>
          <w:lang w:val="en-US" w:eastAsia="zh-CN"/>
        </w:rPr>
        <w:t>该</w:t>
      </w:r>
      <w:r>
        <w:rPr>
          <w:rFonts w:hint="eastAsia" w:cs="仿宋_GB2312"/>
          <w:color w:val="auto"/>
          <w:sz w:val="28"/>
          <w:szCs w:val="28"/>
          <w:highlight w:val="none"/>
          <w:lang w:eastAsia="zh-CN"/>
        </w:rPr>
        <w:t>项目预算资金</w:t>
      </w:r>
      <w:r>
        <w:rPr>
          <w:rFonts w:hint="eastAsia" w:cs="仿宋_GB2312"/>
          <w:b w:val="0"/>
          <w:bCs w:val="0"/>
          <w:color w:val="auto"/>
          <w:sz w:val="28"/>
          <w:szCs w:val="28"/>
          <w:highlight w:val="none"/>
          <w:lang w:eastAsia="zh-CN"/>
        </w:rPr>
        <w:t>总额为</w:t>
      </w:r>
      <w:r>
        <w:rPr>
          <w:rFonts w:hint="eastAsia"/>
          <w:b w:val="0"/>
          <w:bCs w:val="0"/>
          <w:color w:val="auto"/>
          <w:highlight w:val="none"/>
          <w:lang w:val="en-US" w:eastAsia="zh-CN"/>
        </w:rPr>
        <w:t>42</w:t>
      </w:r>
      <w:r>
        <w:rPr>
          <w:rFonts w:hint="eastAsia" w:cs="仿宋_GB2312"/>
          <w:b w:val="0"/>
          <w:bCs w:val="0"/>
          <w:color w:val="auto"/>
          <w:sz w:val="28"/>
          <w:szCs w:val="28"/>
          <w:highlight w:val="none"/>
          <w:lang w:val="en-US" w:eastAsia="zh-CN"/>
        </w:rPr>
        <w:t>万元，全年执行数为</w:t>
      </w:r>
      <w:r>
        <w:rPr>
          <w:rFonts w:hint="eastAsia"/>
          <w:b w:val="0"/>
          <w:bCs w:val="0"/>
          <w:color w:val="auto"/>
          <w:highlight w:val="none"/>
          <w:lang w:val="en-US" w:eastAsia="zh-CN"/>
        </w:rPr>
        <w:t>42</w:t>
      </w:r>
      <w:r>
        <w:rPr>
          <w:rFonts w:hint="eastAsia" w:cs="仿宋_GB2312"/>
          <w:b w:val="0"/>
          <w:bCs w:val="0"/>
          <w:color w:val="auto"/>
          <w:sz w:val="28"/>
          <w:szCs w:val="28"/>
          <w:highlight w:val="none"/>
          <w:lang w:val="en-US" w:eastAsia="zh-CN"/>
        </w:rPr>
        <w:t>万元，预算执行率为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en-US" w:eastAsia="zh-CN"/>
        </w:rPr>
        <w:t>%，</w:t>
      </w:r>
      <w:r>
        <w:rPr>
          <w:rFonts w:hint="eastAsia" w:cs="仿宋_GB2312"/>
          <w:b w:val="0"/>
          <w:bCs w:val="0"/>
          <w:color w:val="auto"/>
          <w:sz w:val="28"/>
          <w:szCs w:val="28"/>
          <w:highlight w:val="none"/>
          <w:lang w:eastAsia="zh-CN"/>
        </w:rPr>
        <w:t>总体完成率为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zh-TW" w:eastAsia="zh-TW"/>
        </w:rPr>
        <w:t>%。</w:t>
      </w:r>
      <w:r>
        <w:rPr>
          <w:rFonts w:hint="eastAsia" w:cs="仿宋_GB2312"/>
          <w:b w:val="0"/>
          <w:bCs w:val="0"/>
          <w:color w:val="auto"/>
          <w:sz w:val="28"/>
          <w:szCs w:val="28"/>
          <w:highlight w:val="none"/>
          <w:lang w:val="en-US" w:eastAsia="zh-CN"/>
        </w:rPr>
        <w:t>预算执行率与总体完成率之间的偏差为</w:t>
      </w:r>
      <w:r>
        <w:rPr>
          <w:rFonts w:hint="eastAsia"/>
          <w:b w:val="0"/>
          <w:bCs w:val="0"/>
          <w:color w:val="auto"/>
          <w:highlight w:val="none"/>
          <w:lang w:val="en-US" w:eastAsia="zh-CN"/>
        </w:rPr>
        <w:t>0</w:t>
      </w:r>
      <w:r>
        <w:rPr>
          <w:rFonts w:hint="eastAsia" w:cs="仿宋_GB2312"/>
          <w:b w:val="0"/>
          <w:bCs w:val="0"/>
          <w:color w:val="auto"/>
          <w:sz w:val="28"/>
          <w:szCs w:val="28"/>
          <w:highlight w:val="none"/>
          <w:lang w:val="en-US" w:eastAsia="zh-CN"/>
        </w:rPr>
        <w:t>%，无</w:t>
      </w:r>
      <w:r>
        <w:rPr>
          <w:rFonts w:hint="eastAsia"/>
          <w:b w:val="0"/>
          <w:bCs w:val="0"/>
          <w:color w:val="auto"/>
          <w:highlight w:val="none"/>
        </w:rPr>
        <w:t>偏差</w:t>
      </w:r>
      <w:r>
        <w:rPr>
          <w:rFonts w:hint="eastAsia" w:ascii="仿宋_GB2312" w:hAnsi="仿宋_GB2312" w:cs="仿宋_GB2312"/>
          <w:b w:val="0"/>
          <w:bCs w:val="0"/>
          <w:color w:val="auto"/>
          <w:sz w:val="28"/>
          <w:szCs w:val="28"/>
          <w:highlight w:val="none"/>
        </w:rPr>
        <w:t>。</w:t>
      </w:r>
    </w:p>
    <w:p w14:paraId="0917B97B">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79" w:name="_Toc29934"/>
      <w:r>
        <w:rPr>
          <w:rFonts w:hint="eastAsia" w:ascii="宋体" w:hAnsi="宋体" w:eastAsia="宋体" w:cs="宋体"/>
          <w:b/>
          <w:bCs/>
          <w:color w:val="auto"/>
          <w:highlight w:val="none"/>
          <w:shd w:val="clear" w:color="auto" w:fill="auto"/>
          <w:lang w:val="en-US" w:eastAsia="zh-CN"/>
        </w:rPr>
        <w:t>六、主要经验及做法、存在的问题及原因分析</w:t>
      </w:r>
      <w:bookmarkEnd w:id="79"/>
    </w:p>
    <w:p w14:paraId="5BF2EE37">
      <w:pPr>
        <w:numPr>
          <w:ilvl w:val="0"/>
          <w:numId w:val="0"/>
        </w:numPr>
        <w:bidi w:val="0"/>
        <w:ind w:left="560" w:leftChars="0"/>
        <w:outlineLvl w:val="1"/>
        <w:rPr>
          <w:rFonts w:hint="eastAsia"/>
          <w:b/>
          <w:bCs/>
          <w:color w:val="auto"/>
          <w:highlight w:val="none"/>
          <w:lang w:eastAsia="zh-CN"/>
        </w:rPr>
      </w:pPr>
      <w:bookmarkStart w:id="80" w:name="_Toc13160"/>
      <w:bookmarkStart w:id="81" w:name="_Toc28290"/>
      <w:bookmarkStart w:id="82" w:name="_Toc1921"/>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bookmarkEnd w:id="80"/>
    </w:p>
    <w:p w14:paraId="56005074">
      <w:pPr>
        <w:bidi w:val="0"/>
        <w:rPr>
          <w:rFonts w:hint="eastAsia"/>
          <w:color w:val="auto"/>
          <w:highlight w:val="none"/>
          <w:lang w:eastAsia="zh-CN"/>
        </w:rPr>
      </w:pPr>
      <w:r>
        <w:rPr>
          <w:rFonts w:hint="eastAsia"/>
          <w:color w:val="auto"/>
          <w:highlight w:val="none"/>
          <w:lang w:val="en-US" w:eastAsia="zh-CN"/>
        </w:rPr>
        <w:t>2015年公交停车港湾工程款、欠款项目</w:t>
      </w:r>
      <w:r>
        <w:rPr>
          <w:rFonts w:hint="eastAsia"/>
          <w:color w:val="auto"/>
          <w:highlight w:val="none"/>
          <w:lang w:eastAsia="zh-CN"/>
        </w:rPr>
        <w:t>20</w:t>
      </w:r>
      <w:r>
        <w:rPr>
          <w:rFonts w:hint="eastAsia"/>
          <w:color w:val="auto"/>
          <w:highlight w:val="none"/>
          <w:lang w:val="en-US" w:eastAsia="zh-CN"/>
        </w:rPr>
        <w:t>23</w:t>
      </w:r>
      <w:r>
        <w:rPr>
          <w:rFonts w:hint="eastAsia"/>
          <w:color w:val="auto"/>
          <w:highlight w:val="none"/>
          <w:lang w:eastAsia="zh-CN"/>
        </w:rPr>
        <w:t>年预算</w:t>
      </w:r>
      <w:r>
        <w:rPr>
          <w:rFonts w:hint="eastAsia"/>
          <w:color w:val="auto"/>
          <w:highlight w:val="none"/>
          <w:lang w:val="en-US" w:eastAsia="zh-CN"/>
        </w:rPr>
        <w:t>数</w:t>
      </w:r>
      <w:r>
        <w:rPr>
          <w:rFonts w:hint="eastAsia"/>
          <w:color w:val="auto"/>
          <w:highlight w:val="none"/>
          <w:lang w:eastAsia="zh-CN"/>
        </w:rPr>
        <w:t>为</w:t>
      </w:r>
      <w:r>
        <w:rPr>
          <w:rFonts w:hint="eastAsia"/>
          <w:color w:val="auto"/>
          <w:highlight w:val="none"/>
          <w:lang w:val="en-US" w:eastAsia="zh-CN"/>
        </w:rPr>
        <w:t>42</w:t>
      </w:r>
      <w:r>
        <w:rPr>
          <w:rFonts w:hint="eastAsia"/>
          <w:color w:val="auto"/>
          <w:highlight w:val="none"/>
          <w:lang w:eastAsia="zh-CN"/>
        </w:rPr>
        <w:t>万元，</w:t>
      </w:r>
      <w:r>
        <w:rPr>
          <w:rFonts w:hint="eastAsia"/>
          <w:color w:val="auto"/>
          <w:highlight w:val="none"/>
          <w:lang w:val="en-US" w:eastAsia="zh-CN"/>
        </w:rPr>
        <w:t>截至2023年12月31日共</w:t>
      </w:r>
      <w:r>
        <w:rPr>
          <w:rFonts w:hint="eastAsia"/>
          <w:color w:val="auto"/>
          <w:highlight w:val="none"/>
          <w:lang w:eastAsia="zh-CN"/>
        </w:rPr>
        <w:t>支出</w:t>
      </w:r>
      <w:r>
        <w:rPr>
          <w:rFonts w:hint="eastAsia"/>
          <w:color w:val="auto"/>
          <w:highlight w:val="none"/>
          <w:lang w:val="en-US" w:eastAsia="zh-CN"/>
        </w:rPr>
        <w:t>42</w:t>
      </w:r>
      <w:r>
        <w:rPr>
          <w:rFonts w:hint="eastAsia"/>
          <w:color w:val="auto"/>
          <w:highlight w:val="none"/>
          <w:lang w:eastAsia="zh-CN"/>
        </w:rPr>
        <w:t>万元，预算</w:t>
      </w:r>
      <w:r>
        <w:rPr>
          <w:rFonts w:hint="eastAsia"/>
          <w:color w:val="auto"/>
          <w:highlight w:val="none"/>
          <w:lang w:val="en-US" w:eastAsia="zh-CN"/>
        </w:rPr>
        <w:t>执行</w:t>
      </w:r>
      <w:r>
        <w:rPr>
          <w:rFonts w:hint="eastAsia"/>
          <w:color w:val="auto"/>
          <w:highlight w:val="none"/>
          <w:lang w:eastAsia="zh-CN"/>
        </w:rPr>
        <w:t>率为</w:t>
      </w:r>
      <w:r>
        <w:rPr>
          <w:rFonts w:hint="eastAsia"/>
          <w:color w:val="auto"/>
          <w:highlight w:val="none"/>
          <w:lang w:val="en-US" w:eastAsia="zh-CN"/>
        </w:rPr>
        <w:t>100</w:t>
      </w:r>
      <w:r>
        <w:rPr>
          <w:rFonts w:hint="eastAsia"/>
          <w:color w:val="auto"/>
          <w:highlight w:val="none"/>
          <w:lang w:eastAsia="zh-CN"/>
        </w:rPr>
        <w:t>%。</w:t>
      </w:r>
    </w:p>
    <w:p w14:paraId="2C8C7D50">
      <w:pPr>
        <w:bidi w:val="0"/>
        <w:rPr>
          <w:rFonts w:hint="eastAsia"/>
          <w:color w:val="auto"/>
          <w:highlight w:val="none"/>
          <w:lang w:eastAsia="zh-CN"/>
        </w:rPr>
      </w:pPr>
      <w:r>
        <w:rPr>
          <w:rFonts w:hint="eastAsia"/>
          <w:color w:val="auto"/>
          <w:highlight w:val="none"/>
          <w:lang w:val="en-US" w:eastAsia="zh-CN"/>
        </w:rPr>
        <w:t>阜康市自然资源局</w:t>
      </w:r>
      <w:r>
        <w:rPr>
          <w:rFonts w:hint="eastAsia"/>
          <w:color w:val="auto"/>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阜康市自然资源局</w:t>
      </w:r>
      <w:r>
        <w:rPr>
          <w:rFonts w:hint="eastAsia"/>
          <w:color w:val="auto"/>
          <w:highlight w:val="none"/>
          <w:lang w:eastAsia="zh-CN"/>
        </w:rPr>
        <w:t>事业发展中关系民生与稳定的项目，切实优化资源配置，提高了资金使用的效率和效果。</w:t>
      </w:r>
    </w:p>
    <w:bookmarkEnd w:id="81"/>
    <w:bookmarkEnd w:id="82"/>
    <w:p w14:paraId="330A0171">
      <w:pPr>
        <w:pStyle w:val="2"/>
        <w:pageBreakBefore w:val="0"/>
        <w:kinsoku/>
        <w:wordWrap/>
        <w:overflowPunct/>
        <w:topLinePunct w:val="0"/>
        <w:autoSpaceDE/>
        <w:autoSpaceDN/>
        <w:bidi w:val="0"/>
        <w:adjustRightInd/>
        <w:spacing w:beforeLines="0" w:afterLines="0" w:line="360" w:lineRule="auto"/>
        <w:textAlignment w:val="auto"/>
        <w:rPr>
          <w:rFonts w:hint="eastAsia"/>
          <w:b/>
          <w:bCs/>
          <w:color w:val="auto"/>
          <w:highlight w:val="none"/>
        </w:rPr>
      </w:pPr>
      <w:bookmarkStart w:id="83" w:name="_Toc9582"/>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bookmarkEnd w:id="83"/>
      <w:bookmarkStart w:id="84" w:name="_Toc5230"/>
    </w:p>
    <w:p w14:paraId="4D79E048">
      <w:pPr>
        <w:keepNext w:val="0"/>
        <w:keepLines w:val="0"/>
        <w:widowControl/>
        <w:suppressLineNumbers w:val="0"/>
        <w:jc w:val="left"/>
        <w:rPr>
          <w:rFonts w:hint="eastAsia" w:ascii="宋体" w:hAnsi="宋体" w:eastAsia="宋体" w:cs="宋体"/>
          <w:color w:val="auto"/>
          <w:highlight w:val="none"/>
          <w:lang w:val="en-US" w:eastAsia="zh-CN"/>
        </w:rPr>
      </w:pPr>
      <w:r>
        <w:rPr>
          <w:rFonts w:hint="eastAsia" w:cs="宋体"/>
          <w:color w:val="auto"/>
          <w:highlight w:val="none"/>
          <w:lang w:val="en-US" w:eastAsia="zh-CN"/>
        </w:rPr>
        <w:t>1.没有制定合理的规划和计划</w:t>
      </w:r>
      <w:r>
        <w:rPr>
          <w:rFonts w:hint="eastAsia" w:ascii="宋体" w:hAnsi="宋体" w:eastAsia="宋体" w:cs="宋体"/>
          <w:color w:val="auto"/>
          <w:highlight w:val="none"/>
          <w:lang w:val="en-US" w:eastAsia="zh-CN"/>
        </w:rPr>
        <w:t>。</w:t>
      </w:r>
      <w:r>
        <w:rPr>
          <w:rFonts w:hint="eastAsia" w:cs="宋体"/>
          <w:color w:val="auto"/>
          <w:highlight w:val="none"/>
          <w:lang w:val="en-US" w:eastAsia="zh-CN"/>
        </w:rPr>
        <w:t>在项目建设之初没有制定出详细的计划和规划，导致项目执行困难。</w:t>
      </w:r>
    </w:p>
    <w:p w14:paraId="704659D5">
      <w:pPr>
        <w:keepNext w:val="0"/>
        <w:keepLines w:val="0"/>
        <w:widowControl/>
        <w:suppressLineNumbers w:val="0"/>
        <w:jc w:val="left"/>
        <w:rPr>
          <w:rFonts w:hint="eastAsia" w:eastAsia="宋体"/>
          <w:color w:val="auto"/>
          <w:highlight w:val="none"/>
          <w:lang w:eastAsia="zh-CN"/>
        </w:rPr>
      </w:pPr>
      <w:r>
        <w:rPr>
          <w:rFonts w:ascii="宋体" w:hAnsi="宋体" w:eastAsia="宋体" w:cs="宋体"/>
          <w:color w:val="auto"/>
          <w:kern w:val="0"/>
          <w:sz w:val="24"/>
          <w:szCs w:val="24"/>
          <w:highlight w:val="none"/>
          <w:lang w:val="en-US" w:eastAsia="zh-CN" w:bidi="ar"/>
        </w:rPr>
        <w:t xml:space="preserve"> </w:t>
      </w:r>
      <w:r>
        <w:rPr>
          <w:rFonts w:hint="eastAsia"/>
          <w:color w:val="auto"/>
          <w:highlight w:val="none"/>
          <w:lang w:val="en-US" w:eastAsia="zh-CN"/>
        </w:rPr>
        <w:t>2.</w:t>
      </w:r>
      <w:r>
        <w:rPr>
          <w:rFonts w:hint="eastAsia"/>
          <w:color w:val="auto"/>
          <w:highlight w:val="none"/>
          <w:lang w:eastAsia="zh-CN"/>
        </w:rPr>
        <w:t>技术人员能力不足</w:t>
      </w:r>
      <w:r>
        <w:rPr>
          <w:rFonts w:hint="eastAsia"/>
          <w:color w:val="auto"/>
          <w:highlight w:val="none"/>
        </w:rPr>
        <w:t>。</w:t>
      </w:r>
      <w:r>
        <w:rPr>
          <w:rFonts w:hint="eastAsia"/>
          <w:color w:val="auto"/>
          <w:highlight w:val="none"/>
          <w:lang w:eastAsia="zh-CN"/>
        </w:rPr>
        <w:t>项目建设使用技术过时，项目建设需要高技能人才，工作效率低下。</w:t>
      </w:r>
    </w:p>
    <w:p w14:paraId="0E931DD4">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七、有关建议</w:t>
      </w:r>
      <w:bookmarkEnd w:id="84"/>
    </w:p>
    <w:p w14:paraId="1C64C779">
      <w:pPr>
        <w:bidi w:val="0"/>
        <w:ind w:firstLine="560" w:firstLineChars="200"/>
        <w:rPr>
          <w:rFonts w:hint="eastAsia" w:asciiTheme="minorEastAsia" w:hAnsiTheme="minorEastAsia" w:eastAsiaTheme="minorEastAsia" w:cstheme="minorEastAsia"/>
          <w:color w:val="auto"/>
          <w:sz w:val="28"/>
          <w:szCs w:val="28"/>
          <w:highlight w:val="none"/>
          <w:lang w:eastAsia="zh-CN"/>
        </w:rPr>
      </w:pPr>
      <w:bookmarkStart w:id="85" w:name="_Toc15618"/>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eastAsia="zh-CN"/>
        </w:rPr>
        <w:t>）制定详实的规划和计划</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在项目建设之初尽可能地规划好每一项任务，让整个项目的执行分工更加明确。</w:t>
      </w:r>
    </w:p>
    <w:p w14:paraId="4DEFE32C">
      <w:pPr>
        <w:pStyle w:val="3"/>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（二）加强对技术人员的培训。对技术不足的人员进行必要的培训，尽可能关注新技术的动态变化，进行技术和设备更新。</w:t>
      </w:r>
    </w:p>
    <w:p w14:paraId="1F317CF2">
      <w:pPr>
        <w:pStyle w:val="2"/>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八、其他需要说明的问题</w:t>
      </w:r>
      <w:bookmarkEnd w:id="85"/>
    </w:p>
    <w:p w14:paraId="66AFF43F">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14:paraId="41E9E4E6">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14:paraId="7D8AFC09">
      <w:pPr>
        <w:ind w:left="0" w:leftChars="0" w:firstLine="0" w:firstLineChars="0"/>
        <w:rPr>
          <w:rFonts w:hint="eastAsia" w:ascii="宋体" w:hAnsi="宋体" w:eastAsia="宋体" w:cs="宋体"/>
          <w:b/>
          <w:bCs/>
          <w:color w:val="auto"/>
          <w:highlight w:val="none"/>
          <w:shd w:val="clear" w:color="auto" w:fill="auto"/>
          <w:lang w:val="en-US" w:eastAsia="zh-CN"/>
        </w:rPr>
        <w:sectPr>
          <w:footerReference r:id="rId5" w:type="default"/>
          <w:pgSz w:w="11906" w:h="16838"/>
          <w:pgMar w:top="1440" w:right="1800" w:bottom="1440" w:left="180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bookmarkStart w:id="86" w:name="_Toc11349"/>
    </w:p>
    <w:p w14:paraId="04BB6D7E">
      <w:pPr>
        <w:ind w:left="0" w:leftChars="0" w:firstLine="0" w:firstLineChars="0"/>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附件一、项目支出绩效自评表</w:t>
      </w:r>
      <w:bookmarkEnd w:id="86"/>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742"/>
        <w:gridCol w:w="862"/>
        <w:gridCol w:w="1120"/>
        <w:gridCol w:w="1136"/>
        <w:gridCol w:w="974"/>
        <w:gridCol w:w="709"/>
        <w:gridCol w:w="854"/>
        <w:gridCol w:w="855"/>
        <w:gridCol w:w="1181"/>
        <w:gridCol w:w="1130"/>
        <w:gridCol w:w="1251"/>
        <w:gridCol w:w="1534"/>
        <w:gridCol w:w="1084"/>
      </w:tblGrid>
      <w:tr w14:paraId="5E61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008C51AE">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7299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174" w:type="dxa"/>
            <w:gridSpan w:val="14"/>
            <w:tcBorders>
              <w:top w:val="nil"/>
              <w:left w:val="nil"/>
              <w:bottom w:val="nil"/>
              <w:right w:val="nil"/>
            </w:tcBorders>
            <w:shd w:val="clear" w:color="auto" w:fill="auto"/>
            <w:vAlign w:val="center"/>
          </w:tcPr>
          <w:p w14:paraId="46556A9E">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2D82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D289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6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FC503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2015年公交停车港湾工程款、欠款</w:t>
            </w:r>
          </w:p>
        </w:tc>
      </w:tr>
      <w:tr w14:paraId="23C0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4BF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E5F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阜康市自然资源局</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3EA2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CAB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阜康市自然资源局</w:t>
            </w:r>
          </w:p>
        </w:tc>
      </w:tr>
      <w:tr w14:paraId="3E37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0BA2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D42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017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E06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8CCF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DACD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5EC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ADF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427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D18A">
            <w:pPr>
              <w:jc w:val="center"/>
              <w:rPr>
                <w:rFonts w:hint="eastAsia" w:ascii="宋体" w:hAnsi="宋体" w:eastAsia="宋体" w:cs="宋体"/>
                <w:i w:val="0"/>
                <w:iCs w:val="0"/>
                <w:color w:val="000000"/>
                <w:sz w:val="20"/>
                <w:szCs w:val="20"/>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A12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F2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B7B4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C2BE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63A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AF6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BC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77F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ED76">
            <w:pPr>
              <w:jc w:val="center"/>
              <w:rPr>
                <w:rFonts w:hint="eastAsia" w:ascii="宋体" w:hAnsi="宋体" w:eastAsia="宋体" w:cs="宋体"/>
                <w:i w:val="0"/>
                <w:iCs w:val="0"/>
                <w:color w:val="000000"/>
                <w:sz w:val="20"/>
                <w:szCs w:val="20"/>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BE21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15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7B7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53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42.00 </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D83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3BB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21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647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6200">
            <w:pPr>
              <w:jc w:val="center"/>
              <w:rPr>
                <w:rFonts w:hint="eastAsia" w:ascii="宋体" w:hAnsi="宋体" w:eastAsia="宋体" w:cs="宋体"/>
                <w:i w:val="0"/>
                <w:iCs w:val="0"/>
                <w:color w:val="000000"/>
                <w:sz w:val="20"/>
                <w:szCs w:val="20"/>
                <w:u w:val="none"/>
              </w:rPr>
            </w:pPr>
          </w:p>
        </w:tc>
        <w:tc>
          <w:tcPr>
            <w:tcW w:w="1982" w:type="dxa"/>
            <w:gridSpan w:val="2"/>
            <w:tcBorders>
              <w:top w:val="single" w:color="000000" w:sz="4" w:space="0"/>
              <w:left w:val="single" w:color="000000" w:sz="4" w:space="0"/>
              <w:bottom w:val="nil"/>
              <w:right w:val="single" w:color="000000" w:sz="4" w:space="0"/>
            </w:tcBorders>
            <w:shd w:val="clear" w:color="auto" w:fill="auto"/>
            <w:vAlign w:val="center"/>
          </w:tcPr>
          <w:p w14:paraId="14CDAD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36" w:type="dxa"/>
            <w:tcBorders>
              <w:top w:val="single" w:color="000000" w:sz="4" w:space="0"/>
              <w:left w:val="single" w:color="000000" w:sz="4" w:space="0"/>
              <w:bottom w:val="nil"/>
              <w:right w:val="single" w:color="000000" w:sz="4" w:space="0"/>
            </w:tcBorders>
            <w:shd w:val="clear" w:color="auto" w:fill="auto"/>
            <w:vAlign w:val="center"/>
          </w:tcPr>
          <w:p w14:paraId="723792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683" w:type="dxa"/>
            <w:gridSpan w:val="2"/>
            <w:tcBorders>
              <w:top w:val="single" w:color="000000" w:sz="4" w:space="0"/>
              <w:left w:val="single" w:color="000000" w:sz="4" w:space="0"/>
              <w:bottom w:val="nil"/>
              <w:right w:val="single" w:color="000000" w:sz="4" w:space="0"/>
            </w:tcBorders>
            <w:shd w:val="clear" w:color="auto" w:fill="auto"/>
            <w:vAlign w:val="center"/>
          </w:tcPr>
          <w:p w14:paraId="1E8571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09" w:type="dxa"/>
            <w:gridSpan w:val="2"/>
            <w:tcBorders>
              <w:top w:val="single" w:color="000000" w:sz="4" w:space="0"/>
              <w:left w:val="single" w:color="000000" w:sz="4" w:space="0"/>
              <w:bottom w:val="nil"/>
              <w:right w:val="single" w:color="000000" w:sz="4" w:space="0"/>
            </w:tcBorders>
            <w:shd w:val="clear" w:color="auto" w:fill="auto"/>
            <w:vAlign w:val="center"/>
          </w:tcPr>
          <w:p w14:paraId="0A134A9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693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0376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3E6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B91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727B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8E72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6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C35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1F70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EFBBC">
            <w:pPr>
              <w:jc w:val="center"/>
              <w:rPr>
                <w:rFonts w:hint="eastAsia" w:ascii="宋体" w:hAnsi="宋体" w:eastAsia="宋体" w:cs="宋体"/>
                <w:i w:val="0"/>
                <w:iCs w:val="0"/>
                <w:color w:val="000000"/>
                <w:sz w:val="20"/>
                <w:szCs w:val="20"/>
                <w:u w:val="none"/>
              </w:rPr>
            </w:pPr>
          </w:p>
        </w:tc>
        <w:tc>
          <w:tcPr>
            <w:tcW w:w="7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015D0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年公交站台建设项目完成建设站台基础设施、候车厅、站台配套设施及相关的水路电路改造等施工图中所有内容，工程通过验收率100%，工程款10万元，工程欠款32万元，提升公共服务水平，改善人居环境，提高市民幸福感。</w:t>
            </w:r>
          </w:p>
        </w:tc>
        <w:tc>
          <w:tcPr>
            <w:tcW w:w="6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BAB16">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截至2023年12月31日，项目完成建设数量30个，工程验收率达到100%，公交站台建设完成率达到100%，完成42万元资金拨付，达到提升公共服务水平，改善人居环境，提高市民幸福感的效益,群众满意度达到90%。</w:t>
            </w:r>
          </w:p>
        </w:tc>
      </w:tr>
      <w:tr w14:paraId="58C2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F27E">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1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812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5ED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A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DB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810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F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2C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47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593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D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DA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85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1AD8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91C8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D729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34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69BFFC3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建设数量</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FDE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=30个</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BDD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151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=30个</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7D6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5E6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26F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工作资料、说明材料</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35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30个</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B5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5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D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C8D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E745">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7D20">
            <w:pPr>
              <w:jc w:val="center"/>
              <w:rPr>
                <w:rFonts w:hint="eastAsia" w:ascii="宋体" w:hAnsi="宋体" w:eastAsia="宋体" w:cs="宋体"/>
                <w:i w:val="0"/>
                <w:iCs w:val="0"/>
                <w:color w:val="000000"/>
                <w:sz w:val="20"/>
                <w:szCs w:val="20"/>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1B40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3CA27B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工程通过验收率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3E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8C5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FD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F8C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960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99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工作资料、说明材料</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78A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CF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C6C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1E3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2AC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5A51">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C153">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D7113">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0D0EF9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公交站台建设完成率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D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69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5F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D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30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E9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工作资料、说明材料</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19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E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92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EAD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931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32036">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ED45">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D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3E54F31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资金拨付及时率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F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55A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0C6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E81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F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DA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工作资料、说明材料</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F77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FD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2CC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51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BCC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A2DE9">
            <w:pPr>
              <w:jc w:val="center"/>
              <w:rPr>
                <w:rFonts w:hint="eastAsia" w:ascii="宋体" w:hAnsi="宋体" w:eastAsia="宋体" w:cs="宋体"/>
                <w:i w:val="0"/>
                <w:iCs w:val="0"/>
                <w:color w:val="000000"/>
                <w:sz w:val="20"/>
                <w:szCs w:val="20"/>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4AD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68E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762D75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2015年公交停车港湾工程款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AB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38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7F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27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E2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85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E4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AB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09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35B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6CB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076AC">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19D6">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8D9AF">
            <w:pPr>
              <w:jc w:val="center"/>
              <w:rPr>
                <w:rFonts w:hint="eastAsia" w:ascii="宋体" w:hAnsi="宋体" w:eastAsia="宋体" w:cs="宋体"/>
                <w:i w:val="0"/>
                <w:iCs w:val="0"/>
                <w:color w:val="000000"/>
                <w:sz w:val="20"/>
                <w:szCs w:val="20"/>
                <w:u w:val="none"/>
              </w:rPr>
            </w:pP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429F62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2015公交站台港湾工程欠款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21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D01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B47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39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EF7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0F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57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32万</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270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1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AC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7F7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CD4E">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1B8B">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20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ADC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289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460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7A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803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E9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9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637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389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43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5ED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7CB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EAE5F">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53758">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35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A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4FD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4A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5E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B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69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3C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34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AF2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3B9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013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487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42EB">
            <w:pPr>
              <w:jc w:val="center"/>
              <w:rPr>
                <w:rFonts w:hint="eastAsia" w:ascii="宋体" w:hAnsi="宋体" w:eastAsia="宋体" w:cs="宋体"/>
                <w:i w:val="0"/>
                <w:iCs w:val="0"/>
                <w:color w:val="000000"/>
                <w:sz w:val="20"/>
                <w:szCs w:val="20"/>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9253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1CE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CD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78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AE7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3E8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E93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8F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A1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4F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B5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EA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B1D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640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FEE83">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48031">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7F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48B7DA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公共服务水平提高</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5C8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0D1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A5B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C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184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D6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130" w:type="dxa"/>
            <w:tcBorders>
              <w:top w:val="single" w:color="000000" w:sz="4" w:space="0"/>
              <w:left w:val="single" w:color="000000" w:sz="4" w:space="0"/>
              <w:bottom w:val="nil"/>
              <w:right w:val="single" w:color="000000" w:sz="4" w:space="0"/>
            </w:tcBorders>
            <w:shd w:val="clear" w:color="auto" w:fill="auto"/>
            <w:vAlign w:val="center"/>
          </w:tcPr>
          <w:p w14:paraId="621B5B2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6E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AB2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DD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4B0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43AA">
            <w:pPr>
              <w:jc w:val="center"/>
              <w:rPr>
                <w:rFonts w:hint="eastAsia" w:ascii="宋体" w:hAnsi="宋体" w:eastAsia="宋体" w:cs="宋体"/>
                <w:i w:val="0"/>
                <w:iCs w:val="0"/>
                <w:color w:val="000000"/>
                <w:sz w:val="20"/>
                <w:szCs w:val="20"/>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7890">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B22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273F4C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改善人居环境</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7D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3C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F4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467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F2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50A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1130" w:type="dxa"/>
            <w:tcBorders>
              <w:top w:val="single" w:color="000000" w:sz="4" w:space="0"/>
              <w:left w:val="single" w:color="000000" w:sz="4" w:space="0"/>
              <w:bottom w:val="nil"/>
              <w:right w:val="single" w:color="000000" w:sz="4" w:space="0"/>
            </w:tcBorders>
            <w:shd w:val="clear" w:color="auto" w:fill="auto"/>
            <w:vAlign w:val="center"/>
          </w:tcPr>
          <w:p w14:paraId="47E065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55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CE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4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835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8F6F">
            <w:pPr>
              <w:jc w:val="center"/>
              <w:rPr>
                <w:rFonts w:hint="eastAsia" w:ascii="宋体" w:hAnsi="宋体" w:eastAsia="宋体" w:cs="宋体"/>
                <w:i w:val="0"/>
                <w:iCs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D7A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F2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20" w:type="dxa"/>
            <w:tcBorders>
              <w:top w:val="single" w:color="000000" w:sz="4" w:space="0"/>
              <w:left w:val="single" w:color="000000" w:sz="4" w:space="0"/>
              <w:bottom w:val="single" w:color="000000" w:sz="4" w:space="0"/>
              <w:right w:val="nil"/>
            </w:tcBorders>
            <w:shd w:val="clear" w:color="auto" w:fill="auto"/>
            <w:vAlign w:val="center"/>
          </w:tcPr>
          <w:p w14:paraId="5109C1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0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B7C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01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776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79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80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C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053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A9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7B9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7FD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66" w:type="dxa"/>
            <w:gridSpan w:val="4"/>
            <w:tcBorders>
              <w:top w:val="single" w:color="000000" w:sz="4" w:space="0"/>
              <w:left w:val="single" w:color="000000" w:sz="4" w:space="0"/>
              <w:bottom w:val="single" w:color="000000" w:sz="4" w:space="0"/>
              <w:right w:val="nil"/>
            </w:tcBorders>
            <w:shd w:val="clear" w:color="auto" w:fill="auto"/>
            <w:vAlign w:val="center"/>
          </w:tcPr>
          <w:p w14:paraId="4D1EE07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79A2">
            <w:pPr>
              <w:jc w:val="center"/>
              <w:rPr>
                <w:rFonts w:hint="eastAsia" w:ascii="宋体" w:hAnsi="宋体" w:eastAsia="宋体" w:cs="宋体"/>
                <w:i w:val="0"/>
                <w:iCs w:val="0"/>
                <w:color w:val="000000"/>
                <w:sz w:val="20"/>
                <w:szCs w:val="20"/>
                <w:u w:val="none"/>
              </w:rPr>
            </w:pPr>
          </w:p>
        </w:tc>
        <w:tc>
          <w:tcPr>
            <w:tcW w:w="974" w:type="dxa"/>
            <w:tcBorders>
              <w:top w:val="single" w:color="000000" w:sz="4" w:space="0"/>
              <w:left w:val="nil"/>
              <w:bottom w:val="single" w:color="000000" w:sz="4" w:space="0"/>
              <w:right w:val="single" w:color="000000" w:sz="4" w:space="0"/>
            </w:tcBorders>
            <w:shd w:val="clear" w:color="auto" w:fill="auto"/>
            <w:vAlign w:val="center"/>
          </w:tcPr>
          <w:p w14:paraId="794B589B">
            <w:pPr>
              <w:rPr>
                <w:rFonts w:hint="eastAsia" w:ascii="宋体" w:hAnsi="宋体" w:eastAsia="宋体" w:cs="宋体"/>
                <w:b/>
                <w:bCs/>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E799">
            <w:pPr>
              <w:jc w:val="center"/>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A21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57A">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A640">
            <w:pPr>
              <w:rPr>
                <w:rFonts w:hint="eastAsia" w:ascii="宋体" w:hAnsi="宋体" w:eastAsia="宋体" w:cs="宋体"/>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7B7F">
            <w:pPr>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7715">
            <w:pPr>
              <w:rPr>
                <w:rFonts w:hint="eastAsia" w:ascii="宋体" w:hAnsi="宋体" w:eastAsia="宋体" w:cs="宋体"/>
                <w:i w:val="0"/>
                <w:iCs w:val="0"/>
                <w:color w:val="000000"/>
                <w:sz w:val="20"/>
                <w:szCs w:val="20"/>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614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A9A4">
            <w:pPr>
              <w:rPr>
                <w:rFonts w:hint="eastAsia" w:ascii="宋体" w:hAnsi="宋体" w:eastAsia="宋体" w:cs="宋体"/>
                <w:i w:val="0"/>
                <w:iCs w:val="0"/>
                <w:color w:val="000000"/>
                <w:sz w:val="20"/>
                <w:szCs w:val="20"/>
                <w:u w:val="none"/>
              </w:rPr>
            </w:pPr>
          </w:p>
        </w:tc>
      </w:tr>
    </w:tbl>
    <w:p w14:paraId="1DA5E164">
      <w:pPr>
        <w:ind w:left="0" w:leftChars="0" w:firstLine="0" w:firstLineChars="0"/>
        <w:rPr>
          <w:rFonts w:hint="eastAsia" w:ascii="宋体" w:hAnsi="宋体" w:eastAsia="宋体" w:cs="宋体"/>
          <w:color w:val="auto"/>
          <w:kern w:val="2"/>
          <w:sz w:val="28"/>
          <w:szCs w:val="28"/>
          <w:highlight w:val="none"/>
          <w:lang w:val="en-US" w:eastAsia="zh-CN" w:bidi="ar-SA"/>
        </w:rPr>
      </w:pPr>
    </w:p>
    <w:p w14:paraId="0A47B5D1">
      <w:pPr>
        <w:bidi w:val="0"/>
        <w:jc w:val="left"/>
        <w:rPr>
          <w:rFonts w:hint="eastAsia"/>
          <w:color w:val="auto"/>
          <w:highlight w:val="none"/>
          <w:lang w:val="en-US" w:eastAsia="zh-CN"/>
        </w:rPr>
        <w:sectPr>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p>
    <w:p w14:paraId="221FA584">
      <w:pPr>
        <w:pStyle w:val="2"/>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7"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7"/>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86"/>
        <w:gridCol w:w="2376"/>
        <w:gridCol w:w="7520"/>
        <w:gridCol w:w="785"/>
        <w:gridCol w:w="769"/>
      </w:tblGrid>
      <w:tr w14:paraId="36B7C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auto"/>
            <w:noWrap w:val="0"/>
            <w:vAlign w:val="center"/>
          </w:tcPr>
          <w:p w14:paraId="4CAB5B51">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auto"/>
            <w:noWrap w:val="0"/>
            <w:vAlign w:val="center"/>
          </w:tcPr>
          <w:p w14:paraId="24A39310">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86" w:type="dxa"/>
            <w:shd w:val="clear" w:color="auto" w:fill="auto"/>
            <w:noWrap w:val="0"/>
            <w:vAlign w:val="center"/>
          </w:tcPr>
          <w:p w14:paraId="44705670">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376" w:type="dxa"/>
            <w:shd w:val="clear" w:color="auto" w:fill="auto"/>
            <w:noWrap w:val="0"/>
            <w:vAlign w:val="center"/>
          </w:tcPr>
          <w:p w14:paraId="6DB2175C">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520" w:type="dxa"/>
            <w:shd w:val="clear" w:color="auto" w:fill="auto"/>
            <w:noWrap w:val="0"/>
            <w:vAlign w:val="center"/>
          </w:tcPr>
          <w:p w14:paraId="5FD7C266">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auto"/>
            <w:noWrap w:val="0"/>
            <w:vAlign w:val="center"/>
          </w:tcPr>
          <w:p w14:paraId="089B63D2">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auto"/>
            <w:noWrap w:val="0"/>
            <w:vAlign w:val="center"/>
          </w:tcPr>
          <w:p w14:paraId="3413DABD">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14:paraId="389C4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2" w:hRule="atLeast"/>
          <w:jc w:val="center"/>
        </w:trPr>
        <w:tc>
          <w:tcPr>
            <w:tcW w:w="861" w:type="dxa"/>
            <w:vMerge w:val="restart"/>
            <w:shd w:val="clear" w:color="auto" w:fill="auto"/>
            <w:noWrap w:val="0"/>
            <w:vAlign w:val="center"/>
          </w:tcPr>
          <w:p w14:paraId="2BB3743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14:paraId="5553BAA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59C8A4FD">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auto"/>
            <w:noWrap w:val="0"/>
            <w:vAlign w:val="center"/>
          </w:tcPr>
          <w:p w14:paraId="64ECB83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86" w:type="dxa"/>
            <w:shd w:val="clear" w:color="auto" w:fill="auto"/>
            <w:noWrap w:val="0"/>
            <w:vAlign w:val="center"/>
          </w:tcPr>
          <w:p w14:paraId="685DFDFF">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14:paraId="0ABE700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376" w:type="dxa"/>
            <w:shd w:val="clear" w:color="auto" w:fill="auto"/>
            <w:noWrap w:val="0"/>
            <w:vAlign w:val="center"/>
          </w:tcPr>
          <w:p w14:paraId="34AA369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520" w:type="dxa"/>
            <w:shd w:val="clear" w:color="auto" w:fill="auto"/>
            <w:noWrap w:val="0"/>
            <w:vAlign w:val="center"/>
          </w:tcPr>
          <w:p w14:paraId="2229A16C">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ADCDE4C">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14:paraId="072F5EB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14:paraId="45123566">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14:paraId="391FB7D5">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14:paraId="5F8EEE3D">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auto"/>
            <w:noWrap w:val="0"/>
            <w:vAlign w:val="center"/>
          </w:tcPr>
          <w:p w14:paraId="76766B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49C8D565">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4DB8C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8" w:hRule="atLeast"/>
          <w:jc w:val="center"/>
        </w:trPr>
        <w:tc>
          <w:tcPr>
            <w:tcW w:w="861" w:type="dxa"/>
            <w:vMerge w:val="continue"/>
            <w:shd w:val="clear" w:color="auto" w:fill="auto"/>
            <w:noWrap w:val="0"/>
            <w:vAlign w:val="center"/>
          </w:tcPr>
          <w:p w14:paraId="6E83BD68">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1050B0A2">
            <w:pPr>
              <w:widowControl/>
              <w:spacing w:line="0" w:lineRule="atLeast"/>
              <w:ind w:firstLine="0" w:firstLineChars="0"/>
              <w:jc w:val="center"/>
              <w:rPr>
                <w:rFonts w:ascii="宋体" w:hAnsi="宋体" w:eastAsia="宋体" w:cs="宋体"/>
                <w:color w:val="auto"/>
                <w:kern w:val="0"/>
                <w:sz w:val="22"/>
                <w:szCs w:val="22"/>
                <w:highlight w:val="none"/>
              </w:rPr>
            </w:pPr>
          </w:p>
        </w:tc>
        <w:tc>
          <w:tcPr>
            <w:tcW w:w="886" w:type="dxa"/>
            <w:shd w:val="clear" w:color="auto" w:fill="auto"/>
            <w:noWrap w:val="0"/>
            <w:vAlign w:val="center"/>
          </w:tcPr>
          <w:p w14:paraId="1BFB0B86">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14:paraId="2D6BBBD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376" w:type="dxa"/>
            <w:shd w:val="clear" w:color="auto" w:fill="auto"/>
            <w:noWrap w:val="0"/>
            <w:vAlign w:val="center"/>
          </w:tcPr>
          <w:p w14:paraId="29FF04B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520" w:type="dxa"/>
            <w:shd w:val="clear" w:color="auto" w:fill="auto"/>
            <w:noWrap w:val="0"/>
            <w:vAlign w:val="center"/>
          </w:tcPr>
          <w:p w14:paraId="3280F6F9">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D720DAD">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14:paraId="6C1C362C">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14:paraId="633202CC">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auto"/>
            <w:noWrap w:val="0"/>
            <w:vAlign w:val="center"/>
          </w:tcPr>
          <w:p w14:paraId="6582E2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093F73DC">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45767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14:paraId="29DACAA9">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283AD97C">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86" w:type="dxa"/>
            <w:shd w:val="clear" w:color="auto" w:fill="auto"/>
            <w:noWrap w:val="0"/>
            <w:vAlign w:val="center"/>
          </w:tcPr>
          <w:p w14:paraId="56C7D681">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14:paraId="03CF1FE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376" w:type="dxa"/>
            <w:shd w:val="clear" w:color="auto" w:fill="auto"/>
            <w:noWrap w:val="0"/>
            <w:vAlign w:val="center"/>
          </w:tcPr>
          <w:p w14:paraId="19E10DE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520" w:type="dxa"/>
            <w:shd w:val="clear" w:color="auto" w:fill="auto"/>
            <w:noWrap w:val="0"/>
            <w:vAlign w:val="center"/>
          </w:tcPr>
          <w:p w14:paraId="5FD61C90">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58F83D8D">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14:paraId="7ABCCFFD">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14:paraId="3D2F45FF">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14:paraId="1E96BBBF">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14:paraId="1B86168A">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auto" w:fill="auto"/>
            <w:noWrap w:val="0"/>
            <w:vAlign w:val="center"/>
          </w:tcPr>
          <w:p w14:paraId="4FD1B1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4A71BBC1">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4EC9D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noWrap w:val="0"/>
            <w:vAlign w:val="center"/>
          </w:tcPr>
          <w:p w14:paraId="246D235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auto"/>
            <w:noWrap w:val="0"/>
            <w:vAlign w:val="center"/>
          </w:tcPr>
          <w:p w14:paraId="5FB95292">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86" w:type="dxa"/>
            <w:shd w:val="clear" w:color="auto" w:fill="auto"/>
            <w:noWrap w:val="0"/>
            <w:vAlign w:val="center"/>
          </w:tcPr>
          <w:p w14:paraId="2A18E41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14:paraId="0CACE86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376" w:type="dxa"/>
            <w:shd w:val="clear" w:color="auto" w:fill="auto"/>
            <w:noWrap w:val="0"/>
            <w:vAlign w:val="center"/>
          </w:tcPr>
          <w:p w14:paraId="75D1F3B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520" w:type="dxa"/>
            <w:shd w:val="clear" w:color="auto" w:fill="auto"/>
            <w:noWrap w:val="0"/>
            <w:vAlign w:val="center"/>
          </w:tcPr>
          <w:p w14:paraId="67B156C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7F6E2F0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14:paraId="2674349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14:paraId="2384068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14:paraId="02A47DD9">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shd w:val="clear" w:color="auto" w:fill="auto"/>
            <w:noWrap w:val="0"/>
            <w:vAlign w:val="center"/>
          </w:tcPr>
          <w:p w14:paraId="3A4721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75657205">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17DC3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noWrap w:val="0"/>
            <w:vAlign w:val="center"/>
          </w:tcPr>
          <w:p w14:paraId="74B59D9D">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noWrap w:val="0"/>
            <w:vAlign w:val="center"/>
          </w:tcPr>
          <w:p w14:paraId="3339B8B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14:paraId="73DCCB11">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86" w:type="dxa"/>
            <w:shd w:val="clear" w:color="auto" w:fill="auto"/>
            <w:noWrap w:val="0"/>
            <w:vAlign w:val="center"/>
          </w:tcPr>
          <w:p w14:paraId="5BBB1A4F">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14:paraId="6B92414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376" w:type="dxa"/>
            <w:shd w:val="clear" w:color="auto" w:fill="auto"/>
            <w:noWrap w:val="0"/>
            <w:vAlign w:val="center"/>
          </w:tcPr>
          <w:p w14:paraId="4355842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520" w:type="dxa"/>
            <w:shd w:val="clear" w:color="auto" w:fill="auto"/>
            <w:noWrap w:val="0"/>
            <w:vAlign w:val="center"/>
          </w:tcPr>
          <w:p w14:paraId="2B16D8C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40BB95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14:paraId="50E4F44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14:paraId="06EBD54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14:paraId="6271463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auto"/>
            <w:noWrap w:val="0"/>
            <w:vAlign w:val="center"/>
          </w:tcPr>
          <w:p w14:paraId="0A4C23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41F609E1">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3B7CC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noWrap w:val="0"/>
            <w:vAlign w:val="center"/>
          </w:tcPr>
          <w:p w14:paraId="0B33668C">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6ACFD81C">
            <w:pPr>
              <w:widowControl/>
              <w:spacing w:line="0" w:lineRule="atLeast"/>
              <w:ind w:firstLine="0" w:firstLineChars="0"/>
              <w:jc w:val="center"/>
              <w:rPr>
                <w:rFonts w:ascii="宋体" w:hAnsi="宋体" w:eastAsia="宋体" w:cs="宋体"/>
                <w:color w:val="auto"/>
                <w:kern w:val="0"/>
                <w:sz w:val="22"/>
                <w:szCs w:val="22"/>
                <w:highlight w:val="none"/>
              </w:rPr>
            </w:pPr>
          </w:p>
        </w:tc>
        <w:tc>
          <w:tcPr>
            <w:tcW w:w="886" w:type="dxa"/>
            <w:shd w:val="clear" w:color="auto" w:fill="auto"/>
            <w:noWrap w:val="0"/>
            <w:vAlign w:val="center"/>
          </w:tcPr>
          <w:p w14:paraId="0BF2DF19">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14:paraId="7DF52B3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376" w:type="dxa"/>
            <w:shd w:val="clear" w:color="auto" w:fill="auto"/>
            <w:noWrap w:val="0"/>
            <w:vAlign w:val="center"/>
          </w:tcPr>
          <w:p w14:paraId="18E6EFB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520" w:type="dxa"/>
            <w:shd w:val="clear" w:color="auto" w:fill="auto"/>
            <w:noWrap w:val="0"/>
            <w:vAlign w:val="center"/>
          </w:tcPr>
          <w:p w14:paraId="3A24CC9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3898B78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14:paraId="150A4DB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auto"/>
            <w:noWrap w:val="0"/>
            <w:vAlign w:val="center"/>
          </w:tcPr>
          <w:p w14:paraId="0479CD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3A1B6645">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2F03C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noWrap w:val="0"/>
            <w:vAlign w:val="center"/>
          </w:tcPr>
          <w:p w14:paraId="0606085E">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auto"/>
            <w:noWrap w:val="0"/>
            <w:vAlign w:val="center"/>
          </w:tcPr>
          <w:p w14:paraId="67B7530F">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86" w:type="dxa"/>
            <w:shd w:val="clear" w:color="auto" w:fill="auto"/>
            <w:noWrap w:val="0"/>
            <w:vAlign w:val="center"/>
          </w:tcPr>
          <w:p w14:paraId="6802453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376" w:type="dxa"/>
            <w:shd w:val="clear" w:color="auto" w:fill="auto"/>
            <w:noWrap w:val="0"/>
            <w:vAlign w:val="center"/>
          </w:tcPr>
          <w:p w14:paraId="5199F33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520" w:type="dxa"/>
            <w:shd w:val="clear" w:color="auto" w:fill="auto"/>
            <w:noWrap w:val="0"/>
            <w:vAlign w:val="center"/>
          </w:tcPr>
          <w:p w14:paraId="1934B0AD">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14:paraId="3A269378">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14:paraId="342650A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auto" w:fill="auto"/>
            <w:noWrap w:val="0"/>
            <w:vAlign w:val="center"/>
          </w:tcPr>
          <w:p w14:paraId="690212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7079611D">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31F39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861" w:type="dxa"/>
            <w:vMerge w:val="continue"/>
            <w:shd w:val="clear" w:color="auto" w:fill="auto"/>
            <w:noWrap w:val="0"/>
            <w:vAlign w:val="center"/>
          </w:tcPr>
          <w:p w14:paraId="43443A68">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65D9F3BB">
            <w:pPr>
              <w:spacing w:line="0" w:lineRule="atLeast"/>
              <w:ind w:firstLine="0" w:firstLineChars="0"/>
              <w:jc w:val="center"/>
              <w:rPr>
                <w:rFonts w:hint="eastAsia" w:ascii="宋体" w:hAnsi="宋体" w:eastAsia="宋体" w:cs="宋体"/>
                <w:color w:val="auto"/>
                <w:kern w:val="0"/>
                <w:sz w:val="22"/>
                <w:szCs w:val="22"/>
                <w:highlight w:val="none"/>
              </w:rPr>
            </w:pPr>
          </w:p>
        </w:tc>
        <w:tc>
          <w:tcPr>
            <w:tcW w:w="886" w:type="dxa"/>
            <w:shd w:val="clear" w:color="auto" w:fill="auto"/>
            <w:noWrap w:val="0"/>
            <w:vAlign w:val="center"/>
          </w:tcPr>
          <w:p w14:paraId="4560BAA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376" w:type="dxa"/>
            <w:shd w:val="clear" w:color="auto" w:fill="auto"/>
            <w:noWrap w:val="0"/>
            <w:vAlign w:val="center"/>
          </w:tcPr>
          <w:p w14:paraId="57EA578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520" w:type="dxa"/>
            <w:shd w:val="clear" w:color="auto" w:fill="auto"/>
            <w:noWrap w:val="0"/>
            <w:vAlign w:val="center"/>
          </w:tcPr>
          <w:p w14:paraId="6A9B581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14:paraId="3C41768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auto"/>
            <w:noWrap w:val="0"/>
            <w:vAlign w:val="center"/>
          </w:tcPr>
          <w:p w14:paraId="4F9261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1244B6EA">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23D0F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0" w:hRule="atLeast"/>
          <w:jc w:val="center"/>
        </w:trPr>
        <w:tc>
          <w:tcPr>
            <w:tcW w:w="861" w:type="dxa"/>
            <w:vMerge w:val="restart"/>
            <w:shd w:val="clear" w:color="auto" w:fill="auto"/>
            <w:noWrap w:val="0"/>
            <w:vAlign w:val="center"/>
          </w:tcPr>
          <w:p w14:paraId="44B7F94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4DFD94C1">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auto"/>
            <w:noWrap w:val="0"/>
            <w:vAlign w:val="center"/>
          </w:tcPr>
          <w:p w14:paraId="711DD89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86" w:type="dxa"/>
            <w:shd w:val="clear" w:color="auto" w:fill="auto"/>
            <w:noWrap w:val="0"/>
            <w:vAlign w:val="center"/>
          </w:tcPr>
          <w:p w14:paraId="4129CF3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14:paraId="3A81C44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376" w:type="dxa"/>
            <w:shd w:val="clear" w:color="auto" w:fill="auto"/>
            <w:noWrap w:val="0"/>
            <w:vAlign w:val="center"/>
          </w:tcPr>
          <w:p w14:paraId="4C1953A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520" w:type="dxa"/>
            <w:shd w:val="clear" w:color="auto" w:fill="auto"/>
            <w:noWrap w:val="0"/>
            <w:vAlign w:val="center"/>
          </w:tcPr>
          <w:p w14:paraId="45E0946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E2553CC">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14:paraId="0472A0E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14:paraId="3B08350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14:paraId="1DD1BA9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auto" w:fill="auto"/>
            <w:noWrap w:val="0"/>
            <w:vAlign w:val="center"/>
          </w:tcPr>
          <w:p w14:paraId="708FEA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4A2BDD55">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32DEE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1" w:hRule="atLeast"/>
          <w:jc w:val="center"/>
        </w:trPr>
        <w:tc>
          <w:tcPr>
            <w:tcW w:w="861" w:type="dxa"/>
            <w:vMerge w:val="continue"/>
            <w:shd w:val="clear" w:color="auto" w:fill="auto"/>
            <w:noWrap w:val="0"/>
            <w:vAlign w:val="center"/>
          </w:tcPr>
          <w:p w14:paraId="550AB7E0">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noWrap w:val="0"/>
            <w:vAlign w:val="center"/>
          </w:tcPr>
          <w:p w14:paraId="2DA83B2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14:paraId="6B12A0A2">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86" w:type="dxa"/>
            <w:shd w:val="clear" w:color="auto" w:fill="auto"/>
            <w:noWrap w:val="0"/>
            <w:vAlign w:val="center"/>
          </w:tcPr>
          <w:p w14:paraId="6AC678A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14:paraId="09CDA67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376" w:type="dxa"/>
            <w:shd w:val="clear" w:color="auto" w:fill="auto"/>
            <w:noWrap w:val="0"/>
            <w:vAlign w:val="center"/>
          </w:tcPr>
          <w:p w14:paraId="467F23D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520" w:type="dxa"/>
            <w:shd w:val="clear" w:color="auto" w:fill="auto"/>
            <w:noWrap w:val="0"/>
            <w:vAlign w:val="center"/>
          </w:tcPr>
          <w:p w14:paraId="75E2075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ABF75E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14:paraId="5C0512E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auto" w:fill="auto"/>
            <w:noWrap w:val="0"/>
            <w:vAlign w:val="center"/>
          </w:tcPr>
          <w:p w14:paraId="587C8B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398E3E0A">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2AE98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69" w:hRule="atLeast"/>
          <w:jc w:val="center"/>
        </w:trPr>
        <w:tc>
          <w:tcPr>
            <w:tcW w:w="861" w:type="dxa"/>
            <w:vMerge w:val="continue"/>
            <w:shd w:val="clear" w:color="auto" w:fill="auto"/>
            <w:noWrap w:val="0"/>
            <w:vAlign w:val="center"/>
          </w:tcPr>
          <w:p w14:paraId="770BDF95">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137B47B4">
            <w:pPr>
              <w:widowControl/>
              <w:spacing w:line="0" w:lineRule="atLeast"/>
              <w:ind w:firstLine="0" w:firstLineChars="0"/>
              <w:jc w:val="center"/>
              <w:rPr>
                <w:rFonts w:ascii="宋体" w:hAnsi="宋体" w:eastAsia="宋体" w:cs="宋体"/>
                <w:color w:val="auto"/>
                <w:kern w:val="0"/>
                <w:sz w:val="22"/>
                <w:szCs w:val="22"/>
                <w:highlight w:val="none"/>
              </w:rPr>
            </w:pPr>
          </w:p>
        </w:tc>
        <w:tc>
          <w:tcPr>
            <w:tcW w:w="886" w:type="dxa"/>
            <w:shd w:val="clear" w:color="auto" w:fill="auto"/>
            <w:noWrap w:val="0"/>
            <w:vAlign w:val="center"/>
          </w:tcPr>
          <w:p w14:paraId="5B913524">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14:paraId="3CBD88A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376" w:type="dxa"/>
            <w:shd w:val="clear" w:color="auto" w:fill="auto"/>
            <w:noWrap w:val="0"/>
            <w:vAlign w:val="center"/>
          </w:tcPr>
          <w:p w14:paraId="42EEE8D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520" w:type="dxa"/>
            <w:shd w:val="clear" w:color="auto" w:fill="auto"/>
            <w:noWrap w:val="0"/>
            <w:vAlign w:val="center"/>
          </w:tcPr>
          <w:p w14:paraId="253689D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CBD44C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14:paraId="27A309F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14:paraId="5C2ABD4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14:paraId="47C7EB7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auto" w:fill="auto"/>
            <w:noWrap w:val="0"/>
            <w:vAlign w:val="center"/>
          </w:tcPr>
          <w:p w14:paraId="619D63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3926CE4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321E7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auto"/>
            <w:noWrap w:val="0"/>
            <w:vAlign w:val="center"/>
          </w:tcPr>
          <w:p w14:paraId="72BD1DA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14:paraId="3014A69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产出数量</w:t>
            </w:r>
          </w:p>
        </w:tc>
        <w:tc>
          <w:tcPr>
            <w:tcW w:w="886" w:type="dxa"/>
            <w:shd w:val="clear" w:color="auto" w:fill="auto"/>
            <w:noWrap w:val="0"/>
            <w:vAlign w:val="center"/>
          </w:tcPr>
          <w:p w14:paraId="12C18C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color w:val="auto"/>
                <w:kern w:val="0"/>
                <w:sz w:val="22"/>
                <w:szCs w:val="22"/>
                <w:highlight w:val="none"/>
                <w:lang w:val="en-US" w:eastAsia="zh-CN"/>
              </w:rPr>
              <w:t>建设数量</w:t>
            </w:r>
          </w:p>
        </w:tc>
        <w:tc>
          <w:tcPr>
            <w:tcW w:w="2376" w:type="dxa"/>
            <w:shd w:val="clear" w:color="auto" w:fill="auto"/>
            <w:noWrap w:val="0"/>
            <w:vAlign w:val="center"/>
          </w:tcPr>
          <w:p w14:paraId="6C1A2E1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520" w:type="dxa"/>
            <w:shd w:val="clear" w:color="auto" w:fill="auto"/>
            <w:noWrap w:val="0"/>
            <w:vAlign w:val="center"/>
          </w:tcPr>
          <w:p w14:paraId="0EF5A9B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298E490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148AD45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noWrap w:val="0"/>
            <w:vAlign w:val="center"/>
          </w:tcPr>
          <w:p w14:paraId="5EF97A5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769" w:type="dxa"/>
            <w:shd w:val="clear" w:color="auto" w:fill="auto"/>
            <w:noWrap w:val="0"/>
            <w:vAlign w:val="center"/>
          </w:tcPr>
          <w:p w14:paraId="2481318B">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53E3B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6" w:hRule="atLeast"/>
          <w:jc w:val="center"/>
        </w:trPr>
        <w:tc>
          <w:tcPr>
            <w:tcW w:w="861" w:type="dxa"/>
            <w:vMerge w:val="restart"/>
            <w:shd w:val="clear" w:color="auto" w:fill="auto"/>
            <w:noWrap w:val="0"/>
            <w:vAlign w:val="center"/>
          </w:tcPr>
          <w:p w14:paraId="48493AE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noWrap w:val="0"/>
            <w:vAlign w:val="center"/>
          </w:tcPr>
          <w:p w14:paraId="0D159F7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886" w:type="dxa"/>
            <w:shd w:val="clear" w:color="auto" w:fill="auto"/>
            <w:noWrap w:val="0"/>
            <w:vAlign w:val="center"/>
          </w:tcPr>
          <w:p w14:paraId="13F1A90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工程通过验收率</w:t>
            </w:r>
          </w:p>
        </w:tc>
        <w:tc>
          <w:tcPr>
            <w:tcW w:w="2376" w:type="dxa"/>
            <w:shd w:val="clear" w:color="auto" w:fill="auto"/>
            <w:noWrap w:val="0"/>
            <w:vAlign w:val="center"/>
          </w:tcPr>
          <w:p w14:paraId="0033608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520" w:type="dxa"/>
            <w:shd w:val="clear" w:color="auto" w:fill="auto"/>
            <w:noWrap w:val="0"/>
            <w:vAlign w:val="center"/>
          </w:tcPr>
          <w:p w14:paraId="28CED044">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3698CFB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14:paraId="10EB3338">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noWrap w:val="0"/>
            <w:vAlign w:val="center"/>
          </w:tcPr>
          <w:p w14:paraId="5081E0A2">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r>
      <w:tr w14:paraId="1734A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auto"/>
            <w:noWrap w:val="0"/>
            <w:vAlign w:val="center"/>
          </w:tcPr>
          <w:p w14:paraId="1205689C">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shd w:val="clear" w:color="auto" w:fill="auto"/>
            <w:noWrap w:val="0"/>
            <w:vAlign w:val="center"/>
          </w:tcPr>
          <w:p w14:paraId="5902460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886" w:type="dxa"/>
            <w:shd w:val="clear" w:color="auto" w:fill="auto"/>
            <w:noWrap w:val="0"/>
            <w:vAlign w:val="center"/>
          </w:tcPr>
          <w:p w14:paraId="7F8DD952">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公交站台建设完成率</w:t>
            </w:r>
          </w:p>
        </w:tc>
        <w:tc>
          <w:tcPr>
            <w:tcW w:w="2376" w:type="dxa"/>
            <w:shd w:val="clear" w:color="auto" w:fill="auto"/>
            <w:noWrap w:val="0"/>
            <w:vAlign w:val="center"/>
          </w:tcPr>
          <w:p w14:paraId="418B30D0">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520" w:type="dxa"/>
            <w:shd w:val="clear" w:color="auto" w:fill="auto"/>
            <w:noWrap w:val="0"/>
            <w:vAlign w:val="center"/>
          </w:tcPr>
          <w:p w14:paraId="2FCF7320">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3EAB8508">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noWrap w:val="0"/>
            <w:vAlign w:val="center"/>
          </w:tcPr>
          <w:p w14:paraId="48DF85CB">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7</w:t>
            </w:r>
          </w:p>
        </w:tc>
        <w:tc>
          <w:tcPr>
            <w:tcW w:w="769" w:type="dxa"/>
            <w:shd w:val="clear" w:color="auto" w:fill="auto"/>
            <w:noWrap w:val="0"/>
            <w:vAlign w:val="center"/>
          </w:tcPr>
          <w:p w14:paraId="110E9AB8">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7</w:t>
            </w:r>
          </w:p>
        </w:tc>
      </w:tr>
      <w:tr w14:paraId="700B9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auto"/>
            <w:noWrap w:val="0"/>
            <w:vAlign w:val="center"/>
          </w:tcPr>
          <w:p w14:paraId="11DB7DB8">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598CC285">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886" w:type="dxa"/>
            <w:shd w:val="clear" w:color="auto" w:fill="auto"/>
            <w:noWrap w:val="0"/>
            <w:vAlign w:val="center"/>
          </w:tcPr>
          <w:p w14:paraId="0FB5B4E5">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完成及时性</w:t>
            </w:r>
          </w:p>
        </w:tc>
        <w:tc>
          <w:tcPr>
            <w:tcW w:w="2376" w:type="dxa"/>
            <w:shd w:val="clear" w:color="auto" w:fill="auto"/>
            <w:noWrap w:val="0"/>
            <w:vAlign w:val="center"/>
          </w:tcPr>
          <w:p w14:paraId="4736BED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520" w:type="dxa"/>
            <w:shd w:val="clear" w:color="auto" w:fill="auto"/>
            <w:noWrap w:val="0"/>
            <w:vAlign w:val="center"/>
          </w:tcPr>
          <w:p w14:paraId="16622AE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6AAD332B">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noWrap w:val="0"/>
            <w:vAlign w:val="center"/>
          </w:tcPr>
          <w:p w14:paraId="25B47BD3">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c>
          <w:tcPr>
            <w:tcW w:w="769" w:type="dxa"/>
            <w:shd w:val="clear" w:color="auto" w:fill="auto"/>
            <w:noWrap w:val="0"/>
            <w:vAlign w:val="center"/>
          </w:tcPr>
          <w:p w14:paraId="201B26DB">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551C8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16" w:hRule="atLeast"/>
          <w:jc w:val="center"/>
        </w:trPr>
        <w:tc>
          <w:tcPr>
            <w:tcW w:w="861" w:type="dxa"/>
            <w:vMerge w:val="continue"/>
            <w:shd w:val="clear" w:color="auto" w:fill="auto"/>
            <w:noWrap w:val="0"/>
            <w:vAlign w:val="center"/>
          </w:tcPr>
          <w:p w14:paraId="54D765F5">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5892D815">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产出成本</w:t>
            </w:r>
          </w:p>
        </w:tc>
        <w:tc>
          <w:tcPr>
            <w:tcW w:w="886" w:type="dxa"/>
            <w:shd w:val="clear" w:color="auto" w:fill="auto"/>
            <w:noWrap w:val="0"/>
            <w:vAlign w:val="center"/>
          </w:tcPr>
          <w:p w14:paraId="1A648846">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2015年公交停车港湾工程款</w:t>
            </w:r>
          </w:p>
        </w:tc>
        <w:tc>
          <w:tcPr>
            <w:tcW w:w="2376" w:type="dxa"/>
            <w:shd w:val="clear" w:color="auto" w:fill="auto"/>
            <w:noWrap w:val="0"/>
            <w:vAlign w:val="center"/>
          </w:tcPr>
          <w:p w14:paraId="29AE279A">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520" w:type="dxa"/>
            <w:shd w:val="clear" w:color="auto" w:fill="auto"/>
            <w:noWrap w:val="0"/>
            <w:vAlign w:val="center"/>
          </w:tcPr>
          <w:p w14:paraId="4A84BBBA">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12F9553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713F4BD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1CAE9236">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noWrap w:val="0"/>
            <w:vAlign w:val="center"/>
          </w:tcPr>
          <w:p w14:paraId="718A2FD1">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noWrap w:val="0"/>
            <w:vAlign w:val="center"/>
          </w:tcPr>
          <w:p w14:paraId="2FC5BD3C">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r>
      <w:tr w14:paraId="67778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jc w:val="center"/>
        </w:trPr>
        <w:tc>
          <w:tcPr>
            <w:tcW w:w="861" w:type="dxa"/>
            <w:vMerge w:val="continue"/>
            <w:shd w:val="clear" w:color="auto" w:fill="auto"/>
            <w:noWrap w:val="0"/>
            <w:vAlign w:val="center"/>
          </w:tcPr>
          <w:p w14:paraId="172F4A6C">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noWrap w:val="0"/>
            <w:vAlign w:val="center"/>
          </w:tcPr>
          <w:p w14:paraId="56F1142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86" w:type="dxa"/>
            <w:shd w:val="clear" w:color="auto" w:fill="auto"/>
            <w:noWrap w:val="0"/>
            <w:vAlign w:val="center"/>
          </w:tcPr>
          <w:p w14:paraId="7ABCC3E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2015公交站台港湾工程欠款</w:t>
            </w:r>
          </w:p>
        </w:tc>
        <w:tc>
          <w:tcPr>
            <w:tcW w:w="2376" w:type="dxa"/>
            <w:shd w:val="clear" w:color="auto" w:fill="auto"/>
            <w:noWrap w:val="0"/>
            <w:vAlign w:val="center"/>
          </w:tcPr>
          <w:p w14:paraId="431F919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520" w:type="dxa"/>
            <w:shd w:val="clear" w:color="auto" w:fill="auto"/>
            <w:noWrap w:val="0"/>
            <w:vAlign w:val="center"/>
          </w:tcPr>
          <w:p w14:paraId="7D592656">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44FB7FF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4B642B1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36FFCC6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noWrap w:val="0"/>
            <w:vAlign w:val="center"/>
          </w:tcPr>
          <w:p w14:paraId="238CFB03">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c>
          <w:tcPr>
            <w:tcW w:w="769" w:type="dxa"/>
            <w:shd w:val="clear" w:color="auto" w:fill="auto"/>
            <w:noWrap w:val="0"/>
            <w:vAlign w:val="center"/>
          </w:tcPr>
          <w:p w14:paraId="04A40B3B">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53736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restart"/>
            <w:shd w:val="clear" w:color="auto" w:fill="auto"/>
            <w:noWrap w:val="0"/>
            <w:vAlign w:val="center"/>
          </w:tcPr>
          <w:p w14:paraId="1504498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　</w:t>
            </w:r>
          </w:p>
        </w:tc>
        <w:tc>
          <w:tcPr>
            <w:tcW w:w="727" w:type="dxa"/>
            <w:vMerge w:val="restart"/>
            <w:shd w:val="clear" w:color="auto" w:fill="auto"/>
            <w:noWrap w:val="0"/>
            <w:vAlign w:val="center"/>
          </w:tcPr>
          <w:p w14:paraId="07CFFFE3">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886" w:type="dxa"/>
            <w:shd w:val="clear" w:color="auto" w:fill="auto"/>
            <w:noWrap w:val="0"/>
            <w:vAlign w:val="center"/>
          </w:tcPr>
          <w:p w14:paraId="62CA802D">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公共服务水平提高</w:t>
            </w:r>
          </w:p>
        </w:tc>
        <w:tc>
          <w:tcPr>
            <w:tcW w:w="2376" w:type="dxa"/>
            <w:shd w:val="clear" w:color="auto" w:fill="auto"/>
            <w:noWrap w:val="0"/>
            <w:vAlign w:val="center"/>
          </w:tcPr>
          <w:p w14:paraId="3765EC02">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520" w:type="dxa"/>
            <w:shd w:val="clear" w:color="auto" w:fill="auto"/>
            <w:noWrap w:val="0"/>
            <w:vAlign w:val="center"/>
          </w:tcPr>
          <w:p w14:paraId="535786C4">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noWrap w:val="0"/>
            <w:vAlign w:val="center"/>
          </w:tcPr>
          <w:p w14:paraId="4EFD6045">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noWrap w:val="0"/>
            <w:vAlign w:val="center"/>
          </w:tcPr>
          <w:p w14:paraId="6E518674">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2E887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jc w:val="center"/>
        </w:trPr>
        <w:tc>
          <w:tcPr>
            <w:tcW w:w="861" w:type="dxa"/>
            <w:vMerge w:val="continue"/>
            <w:shd w:val="clear" w:color="auto" w:fill="auto"/>
            <w:noWrap w:val="0"/>
            <w:vAlign w:val="center"/>
          </w:tcPr>
          <w:p w14:paraId="01E08351">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4F89202B">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86" w:type="dxa"/>
            <w:shd w:val="clear" w:color="auto" w:fill="auto"/>
            <w:noWrap w:val="0"/>
            <w:vAlign w:val="center"/>
          </w:tcPr>
          <w:p w14:paraId="012C2C49">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改善人居环境</w:t>
            </w:r>
          </w:p>
        </w:tc>
        <w:tc>
          <w:tcPr>
            <w:tcW w:w="2376" w:type="dxa"/>
            <w:shd w:val="clear" w:color="auto" w:fill="auto"/>
            <w:noWrap w:val="0"/>
            <w:vAlign w:val="center"/>
          </w:tcPr>
          <w:p w14:paraId="5B05FDA4">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项目实施所产生的效益。</w:t>
            </w:r>
          </w:p>
        </w:tc>
        <w:tc>
          <w:tcPr>
            <w:tcW w:w="7520" w:type="dxa"/>
            <w:shd w:val="clear" w:color="auto" w:fill="auto"/>
            <w:noWrap w:val="0"/>
            <w:vAlign w:val="center"/>
          </w:tcPr>
          <w:p w14:paraId="66DF9C39">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noWrap w:val="0"/>
            <w:vAlign w:val="center"/>
          </w:tcPr>
          <w:p w14:paraId="0B50A5C9">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noWrap w:val="0"/>
            <w:vAlign w:val="center"/>
          </w:tcPr>
          <w:p w14:paraId="6DE7AA5F">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428CD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auto"/>
            <w:noWrap w:val="0"/>
            <w:vAlign w:val="center"/>
          </w:tcPr>
          <w:p w14:paraId="1A967F3F">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noWrap w:val="0"/>
            <w:vAlign w:val="center"/>
          </w:tcPr>
          <w:p w14:paraId="37BE42EE">
            <w:pPr>
              <w:widowControl/>
              <w:spacing w:line="0" w:lineRule="atLeast"/>
              <w:ind w:firstLine="0" w:firstLineChars="0"/>
              <w:jc w:val="center"/>
              <w:rPr>
                <w:rFonts w:ascii="宋体" w:hAnsi="宋体" w:eastAsia="宋体" w:cs="宋体"/>
                <w:color w:val="auto"/>
                <w:kern w:val="0"/>
                <w:sz w:val="22"/>
                <w:szCs w:val="22"/>
                <w:highlight w:val="none"/>
              </w:rPr>
            </w:pPr>
          </w:p>
        </w:tc>
        <w:tc>
          <w:tcPr>
            <w:tcW w:w="886" w:type="dxa"/>
            <w:shd w:val="clear" w:color="auto" w:fill="auto"/>
            <w:noWrap w:val="0"/>
            <w:vAlign w:val="center"/>
          </w:tcPr>
          <w:p w14:paraId="059068A8">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受益群众满意度</w:t>
            </w:r>
          </w:p>
        </w:tc>
        <w:tc>
          <w:tcPr>
            <w:tcW w:w="2376" w:type="dxa"/>
            <w:shd w:val="clear" w:color="auto" w:fill="auto"/>
            <w:noWrap w:val="0"/>
            <w:vAlign w:val="center"/>
          </w:tcPr>
          <w:p w14:paraId="69B0CFA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520" w:type="dxa"/>
            <w:shd w:val="clear" w:color="auto" w:fill="auto"/>
            <w:noWrap w:val="0"/>
            <w:vAlign w:val="center"/>
          </w:tcPr>
          <w:p w14:paraId="354449E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auto" w:fill="auto"/>
            <w:noWrap w:val="0"/>
            <w:vAlign w:val="center"/>
          </w:tcPr>
          <w:p w14:paraId="51773796">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noWrap w:val="0"/>
            <w:vAlign w:val="center"/>
          </w:tcPr>
          <w:p w14:paraId="14571740">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2BB10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850" w:type="dxa"/>
            <w:gridSpan w:val="4"/>
            <w:shd w:val="clear" w:color="auto" w:fill="auto"/>
            <w:noWrap w:val="0"/>
            <w:vAlign w:val="center"/>
          </w:tcPr>
          <w:p w14:paraId="4E028B81">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520" w:type="dxa"/>
            <w:shd w:val="clear" w:color="auto" w:fill="auto"/>
            <w:noWrap w:val="0"/>
            <w:vAlign w:val="center"/>
          </w:tcPr>
          <w:p w14:paraId="1ABDF917">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noWrap w:val="0"/>
            <w:vAlign w:val="center"/>
          </w:tcPr>
          <w:p w14:paraId="10E208FE">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shd w:val="clear" w:color="auto" w:fill="auto"/>
            <w:noWrap w:val="0"/>
            <w:vAlign w:val="center"/>
          </w:tcPr>
          <w:p w14:paraId="4F006869">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99</w:t>
            </w:r>
          </w:p>
        </w:tc>
      </w:tr>
    </w:tbl>
    <w:p w14:paraId="22B950F7">
      <w:pPr>
        <w:ind w:left="0" w:leftChars="0" w:firstLine="0" w:firstLineChars="0"/>
        <w:rPr>
          <w:rFonts w:hint="default"/>
          <w:color w:val="auto"/>
          <w:highlight w:val="none"/>
          <w:lang w:val="en-US" w:eastAsia="zh-CN"/>
        </w:rPr>
      </w:pPr>
    </w:p>
    <w:sectPr>
      <w:pgSz w:w="16838" w:h="11906" w:orient="landscape"/>
      <w:pgMar w:top="1803" w:right="1440" w:bottom="1803" w:left="1440" w:header="737" w:footer="850" w:gutter="0"/>
      <w:pgBorders>
        <w:top w:val="none" w:sz="0" w:space="0"/>
        <w:left w:val="none" w:sz="0" w:space="0"/>
        <w:bottom w:val="none" w:sz="0" w:space="0"/>
        <w:right w:val="none" w:sz="0" w:space="0"/>
      </w:pgBorders>
      <w:pgNumType w:fmt="decimal"/>
      <w:cols w:space="0" w:num="1"/>
      <w:rtlGutter w:val="0"/>
      <w:docGrid w:type="lines" w:linePitch="4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9A01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ADDDA">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6ADDDA">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TY1Mjg5YTkwYTQzODE5MGVlMDdjY2YxMTFmODYifQ=="/>
  </w:docVars>
  <w:rsids>
    <w:rsidRoot w:val="00172A27"/>
    <w:rsid w:val="007D6A04"/>
    <w:rsid w:val="00E23C81"/>
    <w:rsid w:val="01253350"/>
    <w:rsid w:val="01282E62"/>
    <w:rsid w:val="014029CF"/>
    <w:rsid w:val="01470C4C"/>
    <w:rsid w:val="02200440"/>
    <w:rsid w:val="02284B43"/>
    <w:rsid w:val="02B015E2"/>
    <w:rsid w:val="02DC08FA"/>
    <w:rsid w:val="033B569D"/>
    <w:rsid w:val="039C3BA0"/>
    <w:rsid w:val="03A845BB"/>
    <w:rsid w:val="03B45AD1"/>
    <w:rsid w:val="03E23F30"/>
    <w:rsid w:val="04D12EE4"/>
    <w:rsid w:val="04D63993"/>
    <w:rsid w:val="054B5371"/>
    <w:rsid w:val="0680104B"/>
    <w:rsid w:val="07890F4F"/>
    <w:rsid w:val="08892439"/>
    <w:rsid w:val="08EB30F3"/>
    <w:rsid w:val="09237408"/>
    <w:rsid w:val="09781BD6"/>
    <w:rsid w:val="09F359DF"/>
    <w:rsid w:val="0A575E65"/>
    <w:rsid w:val="0ACA0AB6"/>
    <w:rsid w:val="0B5750D0"/>
    <w:rsid w:val="0C032502"/>
    <w:rsid w:val="0C27698C"/>
    <w:rsid w:val="0D4452F3"/>
    <w:rsid w:val="0F5E5042"/>
    <w:rsid w:val="0FE95707"/>
    <w:rsid w:val="10510571"/>
    <w:rsid w:val="10657EDB"/>
    <w:rsid w:val="10787A20"/>
    <w:rsid w:val="108672DE"/>
    <w:rsid w:val="10EC685A"/>
    <w:rsid w:val="11FA6155"/>
    <w:rsid w:val="12CF0947"/>
    <w:rsid w:val="12F1313F"/>
    <w:rsid w:val="136C678E"/>
    <w:rsid w:val="13EB2FF5"/>
    <w:rsid w:val="152A0AFF"/>
    <w:rsid w:val="158A2C51"/>
    <w:rsid w:val="15A46B04"/>
    <w:rsid w:val="165825BC"/>
    <w:rsid w:val="16BC5D73"/>
    <w:rsid w:val="176F36D7"/>
    <w:rsid w:val="1795226D"/>
    <w:rsid w:val="18456B1E"/>
    <w:rsid w:val="1C1171C5"/>
    <w:rsid w:val="1D265138"/>
    <w:rsid w:val="1D7B6BCA"/>
    <w:rsid w:val="1DA41A79"/>
    <w:rsid w:val="1DF53469"/>
    <w:rsid w:val="1E2F24F2"/>
    <w:rsid w:val="1E58492F"/>
    <w:rsid w:val="1E5B6757"/>
    <w:rsid w:val="1ED10AC6"/>
    <w:rsid w:val="1F89225F"/>
    <w:rsid w:val="1F900A1F"/>
    <w:rsid w:val="1FC0575D"/>
    <w:rsid w:val="206132C7"/>
    <w:rsid w:val="21B00C1D"/>
    <w:rsid w:val="23031BEB"/>
    <w:rsid w:val="23917691"/>
    <w:rsid w:val="244D65B8"/>
    <w:rsid w:val="245E1E24"/>
    <w:rsid w:val="25AD5E5D"/>
    <w:rsid w:val="2732478D"/>
    <w:rsid w:val="27661469"/>
    <w:rsid w:val="27900EAD"/>
    <w:rsid w:val="279B538A"/>
    <w:rsid w:val="286F545C"/>
    <w:rsid w:val="288676A9"/>
    <w:rsid w:val="29314FBC"/>
    <w:rsid w:val="29EF4028"/>
    <w:rsid w:val="2C024B86"/>
    <w:rsid w:val="2C927671"/>
    <w:rsid w:val="2D7C5CD6"/>
    <w:rsid w:val="2E483E7E"/>
    <w:rsid w:val="2E690493"/>
    <w:rsid w:val="2E9854BD"/>
    <w:rsid w:val="2F0D407F"/>
    <w:rsid w:val="2F454B19"/>
    <w:rsid w:val="304D2B0F"/>
    <w:rsid w:val="310224D9"/>
    <w:rsid w:val="31B4621C"/>
    <w:rsid w:val="31E3230A"/>
    <w:rsid w:val="330957E0"/>
    <w:rsid w:val="33356F64"/>
    <w:rsid w:val="33944516"/>
    <w:rsid w:val="34B62907"/>
    <w:rsid w:val="36BD137C"/>
    <w:rsid w:val="385D37E7"/>
    <w:rsid w:val="38782EDD"/>
    <w:rsid w:val="39F9650C"/>
    <w:rsid w:val="3A602E7D"/>
    <w:rsid w:val="3B42664A"/>
    <w:rsid w:val="3B7C0417"/>
    <w:rsid w:val="3CB03FC4"/>
    <w:rsid w:val="3D836A4E"/>
    <w:rsid w:val="3DA85AFF"/>
    <w:rsid w:val="3EA37E97"/>
    <w:rsid w:val="3FBE0BC5"/>
    <w:rsid w:val="4048103A"/>
    <w:rsid w:val="40736643"/>
    <w:rsid w:val="40D24A7A"/>
    <w:rsid w:val="42621029"/>
    <w:rsid w:val="435241E2"/>
    <w:rsid w:val="43975C51"/>
    <w:rsid w:val="439E3FA7"/>
    <w:rsid w:val="44B32266"/>
    <w:rsid w:val="44FC64F4"/>
    <w:rsid w:val="467F4585"/>
    <w:rsid w:val="470628CB"/>
    <w:rsid w:val="474876F3"/>
    <w:rsid w:val="47555BD4"/>
    <w:rsid w:val="47E96399"/>
    <w:rsid w:val="48E12B50"/>
    <w:rsid w:val="499441BE"/>
    <w:rsid w:val="499A6C1C"/>
    <w:rsid w:val="49B87FD0"/>
    <w:rsid w:val="4A2138F0"/>
    <w:rsid w:val="4A583887"/>
    <w:rsid w:val="4B9F6E02"/>
    <w:rsid w:val="4C89637B"/>
    <w:rsid w:val="4E6E48A8"/>
    <w:rsid w:val="4EEC036B"/>
    <w:rsid w:val="501D2673"/>
    <w:rsid w:val="50C80BF1"/>
    <w:rsid w:val="51852833"/>
    <w:rsid w:val="52F11AC8"/>
    <w:rsid w:val="534F49D9"/>
    <w:rsid w:val="53555F0F"/>
    <w:rsid w:val="535D23D5"/>
    <w:rsid w:val="56F4341A"/>
    <w:rsid w:val="575A7321"/>
    <w:rsid w:val="57996811"/>
    <w:rsid w:val="580C3AB9"/>
    <w:rsid w:val="583C7AE0"/>
    <w:rsid w:val="586C1E9A"/>
    <w:rsid w:val="586E0800"/>
    <w:rsid w:val="59216F96"/>
    <w:rsid w:val="598C4145"/>
    <w:rsid w:val="59957D1B"/>
    <w:rsid w:val="59D4294E"/>
    <w:rsid w:val="5B634312"/>
    <w:rsid w:val="5B9D2CCD"/>
    <w:rsid w:val="5B9E71EA"/>
    <w:rsid w:val="5E226FBC"/>
    <w:rsid w:val="5E2636F4"/>
    <w:rsid w:val="5FE72BD2"/>
    <w:rsid w:val="60120613"/>
    <w:rsid w:val="618D5292"/>
    <w:rsid w:val="622E78FA"/>
    <w:rsid w:val="63343F70"/>
    <w:rsid w:val="638B065B"/>
    <w:rsid w:val="64296E1C"/>
    <w:rsid w:val="649E64A2"/>
    <w:rsid w:val="64A370AD"/>
    <w:rsid w:val="64B25FB9"/>
    <w:rsid w:val="65E5270A"/>
    <w:rsid w:val="663D3C54"/>
    <w:rsid w:val="66862C89"/>
    <w:rsid w:val="66BB486D"/>
    <w:rsid w:val="67394C7D"/>
    <w:rsid w:val="68126B38"/>
    <w:rsid w:val="68291A1A"/>
    <w:rsid w:val="68352BB8"/>
    <w:rsid w:val="691B1594"/>
    <w:rsid w:val="693A016B"/>
    <w:rsid w:val="6A17429C"/>
    <w:rsid w:val="6A567EA3"/>
    <w:rsid w:val="6B4B4368"/>
    <w:rsid w:val="6B79100E"/>
    <w:rsid w:val="6C844C00"/>
    <w:rsid w:val="6E10212C"/>
    <w:rsid w:val="6E43561A"/>
    <w:rsid w:val="6E557973"/>
    <w:rsid w:val="6E9568DB"/>
    <w:rsid w:val="6F0D6C22"/>
    <w:rsid w:val="6F2D063E"/>
    <w:rsid w:val="6F47657F"/>
    <w:rsid w:val="6FAF23D9"/>
    <w:rsid w:val="6FDB228A"/>
    <w:rsid w:val="70635CF6"/>
    <w:rsid w:val="70670707"/>
    <w:rsid w:val="720E3691"/>
    <w:rsid w:val="724E244C"/>
    <w:rsid w:val="72DA6946"/>
    <w:rsid w:val="732764B3"/>
    <w:rsid w:val="74026044"/>
    <w:rsid w:val="74746410"/>
    <w:rsid w:val="75E5007C"/>
    <w:rsid w:val="76D67314"/>
    <w:rsid w:val="77813724"/>
    <w:rsid w:val="77861774"/>
    <w:rsid w:val="78DC0A91"/>
    <w:rsid w:val="78F31435"/>
    <w:rsid w:val="79300B45"/>
    <w:rsid w:val="794D3E18"/>
    <w:rsid w:val="79F3729A"/>
    <w:rsid w:val="7A880722"/>
    <w:rsid w:val="7ACB0498"/>
    <w:rsid w:val="7AED0B4D"/>
    <w:rsid w:val="7C1E4487"/>
    <w:rsid w:val="7C215E02"/>
    <w:rsid w:val="7CF23764"/>
    <w:rsid w:val="7D6942D1"/>
    <w:rsid w:val="7E797F7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3">
    <w:name w:val="heading 2"/>
    <w:basedOn w:val="1"/>
    <w:next w:val="1"/>
    <w:link w:val="14"/>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4">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before="240" w:after="240" w:line="360" w:lineRule="auto"/>
      <w:jc w:val="center"/>
    </w:pPr>
    <w:rPr>
      <w:b/>
      <w:sz w:val="44"/>
    </w:rPr>
  </w:style>
  <w:style w:type="paragraph" w:styleId="7">
    <w:name w:val="Body Text 2"/>
    <w:basedOn w:val="1"/>
    <w:autoRedefine/>
    <w:qFormat/>
    <w:uiPriority w:val="0"/>
    <w:pPr>
      <w:spacing w:after="120" w:line="480" w:lineRule="auto"/>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3"/>
    <w:autoRedefine/>
    <w:qFormat/>
    <w:uiPriority w:val="0"/>
    <w:rPr>
      <w:rFonts w:ascii="Arial" w:hAnsi="Arial" w:eastAsia="楷体"/>
      <w:b/>
      <w:sz w:val="3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 w:type="character" w:customStyle="1" w:styleId="18">
    <w:name w:val="font11"/>
    <w:basedOn w:val="1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8482</Words>
  <Characters>8930</Characters>
  <Lines>0</Lines>
  <Paragraphs>0</Paragraphs>
  <TotalTime>1</TotalTime>
  <ScaleCrop>false</ScaleCrop>
  <LinksUpToDate>false</LinksUpToDate>
  <CharactersWithSpaces>8987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WPS_1591167138</cp:lastModifiedBy>
  <dcterms:modified xsi:type="dcterms:W3CDTF">2024-10-10T08:15:00Z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