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D22D4">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599378A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40"/>
          <w:szCs w:val="40"/>
          <w:highlight w:val="none"/>
          <w:shd w:val="clear" w:color="auto" w:fill="auto"/>
        </w:rPr>
      </w:pPr>
      <w:bookmarkStart w:id="0" w:name="_Toc15679"/>
      <w:r>
        <w:rPr>
          <w:rFonts w:hint="eastAsia" w:cs="宋体"/>
          <w:b/>
          <w:bCs/>
          <w:color w:val="auto"/>
          <w:sz w:val="40"/>
          <w:szCs w:val="40"/>
          <w:highlight w:val="none"/>
          <w:shd w:val="clear" w:color="auto" w:fill="auto"/>
          <w:lang w:val="en-US" w:eastAsia="zh-CN"/>
        </w:rPr>
        <w:t>2022全民健康体检经费</w:t>
      </w:r>
      <w:r>
        <w:rPr>
          <w:rFonts w:hint="eastAsia" w:ascii="宋体" w:hAnsi="宋体" w:eastAsia="宋体" w:cs="宋体"/>
          <w:b/>
          <w:bCs/>
          <w:color w:val="auto"/>
          <w:sz w:val="40"/>
          <w:szCs w:val="40"/>
          <w:highlight w:val="none"/>
          <w:shd w:val="clear" w:color="auto" w:fill="auto"/>
          <w:lang w:val="en-US" w:eastAsia="zh-CN"/>
        </w:rPr>
        <w:t>项目</w:t>
      </w:r>
      <w:r>
        <w:rPr>
          <w:rFonts w:hint="eastAsia" w:ascii="宋体" w:hAnsi="宋体" w:eastAsia="宋体" w:cs="宋体"/>
          <w:b/>
          <w:bCs/>
          <w:color w:val="auto"/>
          <w:sz w:val="40"/>
          <w:szCs w:val="40"/>
          <w:highlight w:val="none"/>
          <w:shd w:val="clear" w:color="auto" w:fill="auto"/>
        </w:rPr>
        <w:t>支出</w:t>
      </w:r>
    </w:p>
    <w:p w14:paraId="7C0F14D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40"/>
          <w:szCs w:val="40"/>
          <w:highlight w:val="none"/>
          <w:shd w:val="clear" w:color="auto" w:fill="auto"/>
        </w:rPr>
      </w:pPr>
      <w:r>
        <w:rPr>
          <w:rFonts w:hint="eastAsia" w:ascii="宋体" w:hAnsi="宋体" w:eastAsia="宋体" w:cs="宋体"/>
          <w:b/>
          <w:bCs/>
          <w:color w:val="auto"/>
          <w:sz w:val="40"/>
          <w:szCs w:val="40"/>
          <w:highlight w:val="none"/>
          <w:shd w:val="clear" w:color="auto" w:fill="auto"/>
        </w:rPr>
        <w:t>绩效评价报告</w:t>
      </w:r>
      <w:bookmarkEnd w:id="0"/>
    </w:p>
    <w:p w14:paraId="785D999A">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highlight w:val="none"/>
          <w:shd w:val="clear" w:color="auto" w:fill="auto"/>
        </w:rPr>
      </w:pPr>
    </w:p>
    <w:p w14:paraId="5CF3E0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347562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297FBD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579A74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6369D3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7C69DC67">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23A70C0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default"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项目名称：202</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2</w:t>
      </w: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全民健康体检</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经费</w:t>
      </w:r>
    </w:p>
    <w:p w14:paraId="5DC83A9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default"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实施单位：</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阜康市滋泥泉子镇中心卫生院</w:t>
      </w:r>
    </w:p>
    <w:p w14:paraId="0F5331B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主管部门：</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阜康市卫生健康委员会</w:t>
      </w:r>
    </w:p>
    <w:p w14:paraId="6DBDA58A">
      <w:pPr>
        <w:pStyle w:val="2"/>
        <w:outlineLvl w:val="9"/>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p>
    <w:p w14:paraId="44A6F080">
      <w:pPr>
        <w:rPr>
          <w:rFonts w:hint="eastAsia"/>
          <w:lang w:val="en-US" w:eastAsia="zh-CN"/>
        </w:rPr>
      </w:pPr>
      <w:r>
        <w:rPr>
          <w:rFonts w:hint="eastAsia"/>
          <w:lang w:val="en-US" w:eastAsia="zh-CN"/>
        </w:rPr>
        <w:br w:type="page"/>
      </w:r>
    </w:p>
    <w:p w14:paraId="72854A37">
      <w:pPr>
        <w:rPr>
          <w:rFonts w:hint="eastAsia"/>
          <w:lang w:val="en-US" w:eastAsia="zh-CN"/>
        </w:rPr>
      </w:pPr>
    </w:p>
    <w:sdt>
      <w:sdtPr>
        <w:rPr>
          <w:rFonts w:ascii="宋体" w:hAnsi="宋体" w:eastAsia="宋体" w:cs="宋体"/>
          <w:b/>
          <w:bCs/>
          <w:kern w:val="2"/>
          <w:sz w:val="28"/>
          <w:szCs w:val="40"/>
          <w:lang w:val="en-US" w:eastAsia="zh-CN" w:bidi="ar-SA"/>
        </w:rPr>
        <w:id w:val="147474046"/>
        <w15:color w:val="DBDBDB"/>
      </w:sdtPr>
      <w:sdtEndPr>
        <w:rPr>
          <w:rFonts w:hint="eastAsia" w:ascii="宋体" w:hAnsi="宋体" w:eastAsia="宋体" w:cs="宋体"/>
          <w:b/>
          <w:bCs/>
          <w:kern w:val="2"/>
          <w:sz w:val="28"/>
          <w:szCs w:val="28"/>
          <w:lang w:val="en-US" w:eastAsia="zh-CN" w:bidi="ar-SA"/>
        </w:rPr>
      </w:sdtEndPr>
      <w:sdtContent>
        <w:p w14:paraId="53BB2B76">
          <w:pPr>
            <w:keepNext w:val="0"/>
            <w:keepLines w:val="0"/>
            <w:pageBreakBefore w:val="0"/>
            <w:shd w:val="clea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rPr>
              <w:b/>
              <w:bCs/>
              <w:sz w:val="40"/>
              <w:szCs w:val="40"/>
            </w:rPr>
          </w:pPr>
          <w:r>
            <w:rPr>
              <w:rFonts w:ascii="宋体" w:hAnsi="宋体" w:eastAsia="宋体"/>
              <w:b/>
              <w:bCs/>
              <w:sz w:val="40"/>
              <w:szCs w:val="40"/>
            </w:rPr>
            <w:t>目</w:t>
          </w:r>
          <w:r>
            <w:rPr>
              <w:rFonts w:hint="eastAsia"/>
              <w:b/>
              <w:bCs/>
              <w:sz w:val="40"/>
              <w:szCs w:val="40"/>
              <w:lang w:val="en-US" w:eastAsia="zh-CN"/>
            </w:rPr>
            <w:t xml:space="preserve">  </w:t>
          </w:r>
          <w:r>
            <w:rPr>
              <w:rFonts w:ascii="宋体" w:hAnsi="宋体" w:eastAsia="宋体"/>
              <w:b/>
              <w:bCs/>
              <w:sz w:val="40"/>
              <w:szCs w:val="40"/>
            </w:rPr>
            <w:t>录</w:t>
          </w:r>
        </w:p>
        <w:p w14:paraId="5AD1C14F">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TOC \o "1-3" \h \u </w:instrText>
          </w:r>
          <w:r>
            <w:rPr>
              <w:rFonts w:hint="eastAsia"/>
              <w:sz w:val="28"/>
              <w:szCs w:val="28"/>
              <w:lang w:val="en-US" w:eastAsia="zh-CN"/>
            </w:rPr>
            <w:fldChar w:fldCharType="separate"/>
          </w:r>
        </w:p>
        <w:p w14:paraId="393FF4EA">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_Toc17540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rPr>
            <w:t>一、基本情况</w:t>
          </w:r>
          <w:r>
            <w:rPr>
              <w:b/>
              <w:bCs/>
              <w:sz w:val="28"/>
              <w:szCs w:val="28"/>
            </w:rPr>
            <w:tab/>
          </w:r>
          <w:r>
            <w:rPr>
              <w:b/>
              <w:bCs/>
              <w:sz w:val="28"/>
              <w:szCs w:val="28"/>
            </w:rPr>
            <w:fldChar w:fldCharType="begin"/>
          </w:r>
          <w:r>
            <w:rPr>
              <w:b/>
              <w:bCs/>
              <w:sz w:val="28"/>
              <w:szCs w:val="28"/>
            </w:rPr>
            <w:instrText xml:space="preserve"> PAGEREF _Toc17540 \h </w:instrText>
          </w:r>
          <w:r>
            <w:rPr>
              <w:b/>
              <w:bCs/>
              <w:sz w:val="28"/>
              <w:szCs w:val="28"/>
            </w:rPr>
            <w:fldChar w:fldCharType="separate"/>
          </w:r>
          <w:r>
            <w:rPr>
              <w:b/>
              <w:bCs/>
              <w:sz w:val="28"/>
              <w:szCs w:val="28"/>
            </w:rPr>
            <w:t>1</w:t>
          </w:r>
          <w:r>
            <w:rPr>
              <w:b/>
              <w:bCs/>
              <w:sz w:val="28"/>
              <w:szCs w:val="28"/>
            </w:rPr>
            <w:fldChar w:fldCharType="end"/>
          </w:r>
          <w:r>
            <w:rPr>
              <w:rFonts w:hint="eastAsia"/>
              <w:b/>
              <w:bCs/>
              <w:sz w:val="28"/>
              <w:szCs w:val="28"/>
              <w:lang w:val="en-US" w:eastAsia="zh-CN"/>
            </w:rPr>
            <w:fldChar w:fldCharType="end"/>
          </w:r>
        </w:p>
        <w:p w14:paraId="55349167">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_Toc18966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rPr>
            <w:t>（一）项目概况</w:t>
          </w:r>
          <w:r>
            <w:rPr>
              <w:sz w:val="28"/>
              <w:szCs w:val="28"/>
            </w:rPr>
            <w:tab/>
          </w:r>
          <w:r>
            <w:rPr>
              <w:sz w:val="28"/>
              <w:szCs w:val="28"/>
            </w:rPr>
            <w:fldChar w:fldCharType="begin"/>
          </w:r>
          <w:r>
            <w:rPr>
              <w:sz w:val="28"/>
              <w:szCs w:val="28"/>
            </w:rPr>
            <w:instrText xml:space="preserve"> PAGEREF _Toc18966 \h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fldChar w:fldCharType="end"/>
          </w:r>
        </w:p>
        <w:p w14:paraId="47654680">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_Toc2879 </w:instrText>
          </w:r>
          <w:r>
            <w:rPr>
              <w:rFonts w:hint="eastAsia"/>
              <w:sz w:val="28"/>
              <w:szCs w:val="28"/>
              <w:lang w:val="en-US" w:eastAsia="zh-CN"/>
            </w:rPr>
            <w:fldChar w:fldCharType="separate"/>
          </w:r>
          <w:r>
            <w:rPr>
              <w:rFonts w:hint="eastAsia" w:ascii="宋体" w:hAnsi="宋体" w:eastAsia="宋体" w:cs="宋体"/>
              <w:sz w:val="28"/>
              <w:szCs w:val="28"/>
              <w:shd w:val="clear" w:fill="auto"/>
            </w:rPr>
            <w:t>（二）</w:t>
          </w:r>
          <w:r>
            <w:rPr>
              <w:rFonts w:hint="eastAsia" w:ascii="宋体" w:hAnsi="宋体" w:eastAsia="宋体" w:cs="宋体"/>
              <w:sz w:val="28"/>
              <w:szCs w:val="28"/>
              <w:highlight w:val="none"/>
              <w:shd w:val="clear" w:color="auto" w:fill="auto"/>
            </w:rPr>
            <w:t>项目绩效目标</w:t>
          </w:r>
          <w:r>
            <w:rPr>
              <w:sz w:val="28"/>
              <w:szCs w:val="28"/>
            </w:rPr>
            <w:tab/>
          </w:r>
          <w:r>
            <w:rPr>
              <w:sz w:val="28"/>
              <w:szCs w:val="28"/>
            </w:rPr>
            <w:fldChar w:fldCharType="begin"/>
          </w:r>
          <w:r>
            <w:rPr>
              <w:sz w:val="28"/>
              <w:szCs w:val="28"/>
            </w:rPr>
            <w:instrText xml:space="preserve"> PAGEREF _Toc2879 \h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fldChar w:fldCharType="end"/>
          </w:r>
        </w:p>
        <w:p w14:paraId="22FA7477">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_Toc2549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rPr>
            <w:t>二、绩效评价工作开展情况</w:t>
          </w:r>
          <w:r>
            <w:rPr>
              <w:b/>
              <w:bCs/>
              <w:sz w:val="28"/>
              <w:szCs w:val="28"/>
            </w:rPr>
            <w:tab/>
          </w:r>
          <w:r>
            <w:rPr>
              <w:b/>
              <w:bCs/>
              <w:sz w:val="28"/>
              <w:szCs w:val="28"/>
            </w:rPr>
            <w:fldChar w:fldCharType="begin"/>
          </w:r>
          <w:r>
            <w:rPr>
              <w:b/>
              <w:bCs/>
              <w:sz w:val="28"/>
              <w:szCs w:val="28"/>
            </w:rPr>
            <w:instrText xml:space="preserve"> PAGEREF _Toc2549 \h </w:instrText>
          </w:r>
          <w:r>
            <w:rPr>
              <w:b/>
              <w:bCs/>
              <w:sz w:val="28"/>
              <w:szCs w:val="28"/>
            </w:rPr>
            <w:fldChar w:fldCharType="separate"/>
          </w:r>
          <w:r>
            <w:rPr>
              <w:b/>
              <w:bCs/>
              <w:sz w:val="28"/>
              <w:szCs w:val="28"/>
            </w:rPr>
            <w:t>5</w:t>
          </w:r>
          <w:r>
            <w:rPr>
              <w:b/>
              <w:bCs/>
              <w:sz w:val="28"/>
              <w:szCs w:val="28"/>
            </w:rPr>
            <w:fldChar w:fldCharType="end"/>
          </w:r>
          <w:r>
            <w:rPr>
              <w:rFonts w:hint="eastAsia"/>
              <w:b/>
              <w:bCs/>
              <w:sz w:val="28"/>
              <w:szCs w:val="28"/>
              <w:lang w:val="en-US" w:eastAsia="zh-CN"/>
            </w:rPr>
            <w:fldChar w:fldCharType="end"/>
          </w:r>
        </w:p>
        <w:p w14:paraId="03AEBD17">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_Toc21778 </w:instrText>
          </w:r>
          <w:r>
            <w:rPr>
              <w:rFonts w:hint="eastAsia"/>
              <w:sz w:val="28"/>
              <w:szCs w:val="28"/>
              <w:lang w:val="en-US" w:eastAsia="zh-CN"/>
            </w:rPr>
            <w:fldChar w:fldCharType="separate"/>
          </w:r>
          <w:r>
            <w:rPr>
              <w:rFonts w:hint="eastAsia" w:ascii="宋体" w:hAnsi="宋体" w:eastAsia="宋体" w:cs="宋体"/>
              <w:sz w:val="28"/>
              <w:szCs w:val="28"/>
              <w:shd w:val="clear" w:fill="auto"/>
              <w:lang w:eastAsia="zh-CN"/>
            </w:rPr>
            <w:t>（一）</w:t>
          </w:r>
          <w:r>
            <w:rPr>
              <w:rFonts w:hint="eastAsia" w:ascii="宋体" w:hAnsi="宋体" w:eastAsia="宋体" w:cs="宋体"/>
              <w:sz w:val="28"/>
              <w:szCs w:val="28"/>
              <w:highlight w:val="none"/>
              <w:shd w:val="clear" w:color="auto" w:fill="auto"/>
              <w:lang w:eastAsia="zh-CN"/>
            </w:rPr>
            <w:t>绩效评价的目的、对象和范围</w:t>
          </w:r>
          <w:r>
            <w:rPr>
              <w:sz w:val="28"/>
              <w:szCs w:val="28"/>
            </w:rPr>
            <w:tab/>
          </w:r>
          <w:r>
            <w:rPr>
              <w:sz w:val="28"/>
              <w:szCs w:val="28"/>
            </w:rPr>
            <w:fldChar w:fldCharType="begin"/>
          </w:r>
          <w:r>
            <w:rPr>
              <w:sz w:val="28"/>
              <w:szCs w:val="28"/>
            </w:rPr>
            <w:instrText xml:space="preserve"> PAGEREF _Toc21778 \h </w:instrText>
          </w:r>
          <w:r>
            <w:rPr>
              <w:sz w:val="28"/>
              <w:szCs w:val="28"/>
            </w:rPr>
            <w:fldChar w:fldCharType="separate"/>
          </w:r>
          <w:r>
            <w:rPr>
              <w:sz w:val="28"/>
              <w:szCs w:val="28"/>
            </w:rPr>
            <w:t>5</w:t>
          </w:r>
          <w:r>
            <w:rPr>
              <w:sz w:val="28"/>
              <w:szCs w:val="28"/>
            </w:rPr>
            <w:fldChar w:fldCharType="end"/>
          </w:r>
          <w:r>
            <w:rPr>
              <w:rFonts w:hint="eastAsia"/>
              <w:sz w:val="28"/>
              <w:szCs w:val="28"/>
              <w:lang w:val="en-US" w:eastAsia="zh-CN"/>
            </w:rPr>
            <w:fldChar w:fldCharType="end"/>
          </w:r>
        </w:p>
        <w:p w14:paraId="0DAD4CC9">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_Toc15902 </w:instrText>
          </w:r>
          <w:r>
            <w:rPr>
              <w:rFonts w:hint="eastAsia"/>
              <w:sz w:val="28"/>
              <w:szCs w:val="28"/>
              <w:lang w:val="en-US" w:eastAsia="zh-CN"/>
            </w:rPr>
            <w:fldChar w:fldCharType="separate"/>
          </w:r>
          <w:r>
            <w:rPr>
              <w:rFonts w:hint="eastAsia" w:ascii="宋体" w:hAnsi="宋体" w:eastAsia="宋体" w:cs="宋体"/>
              <w:sz w:val="28"/>
              <w:szCs w:val="28"/>
              <w:shd w:val="clear" w:fill="auto"/>
              <w:lang w:val="en-US" w:eastAsia="zh-CN"/>
            </w:rPr>
            <w:t>（二）</w:t>
          </w:r>
          <w:r>
            <w:rPr>
              <w:rFonts w:hint="eastAsia" w:ascii="宋体" w:hAnsi="宋体" w:eastAsia="宋体" w:cs="宋体"/>
              <w:sz w:val="28"/>
              <w:szCs w:val="28"/>
              <w:highlight w:val="none"/>
              <w:shd w:val="clear" w:color="auto" w:fill="auto"/>
              <w:lang w:val="en-US" w:eastAsia="zh-CN"/>
            </w:rPr>
            <w:t>绩效评价原则、评价指标体系（附表说明）、评价方法、评价标准</w:t>
          </w:r>
          <w:r>
            <w:rPr>
              <w:sz w:val="28"/>
              <w:szCs w:val="28"/>
            </w:rPr>
            <w:tab/>
          </w:r>
          <w:r>
            <w:rPr>
              <w:sz w:val="28"/>
              <w:szCs w:val="28"/>
            </w:rPr>
            <w:fldChar w:fldCharType="begin"/>
          </w:r>
          <w:r>
            <w:rPr>
              <w:sz w:val="28"/>
              <w:szCs w:val="28"/>
            </w:rPr>
            <w:instrText xml:space="preserve"> PAGEREF _Toc15902 \h </w:instrText>
          </w:r>
          <w:r>
            <w:rPr>
              <w:sz w:val="28"/>
              <w:szCs w:val="28"/>
            </w:rPr>
            <w:fldChar w:fldCharType="separate"/>
          </w:r>
          <w:r>
            <w:rPr>
              <w:sz w:val="28"/>
              <w:szCs w:val="28"/>
            </w:rPr>
            <w:t>5</w:t>
          </w:r>
          <w:r>
            <w:rPr>
              <w:sz w:val="28"/>
              <w:szCs w:val="28"/>
            </w:rPr>
            <w:fldChar w:fldCharType="end"/>
          </w:r>
          <w:r>
            <w:rPr>
              <w:rFonts w:hint="eastAsia"/>
              <w:sz w:val="28"/>
              <w:szCs w:val="28"/>
              <w:lang w:val="en-US" w:eastAsia="zh-CN"/>
            </w:rPr>
            <w:fldChar w:fldCharType="end"/>
          </w:r>
        </w:p>
        <w:p w14:paraId="52921BA8">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ind w:left="0" w:leftChars="0" w:firstLine="560" w:firstLineChars="200"/>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_Toc1070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val="en-US" w:eastAsia="zh-CN"/>
            </w:rPr>
            <w:t>（三）绩效评价工作过程</w:t>
          </w:r>
          <w:r>
            <w:rPr>
              <w:sz w:val="28"/>
              <w:szCs w:val="28"/>
            </w:rPr>
            <w:tab/>
          </w:r>
          <w:r>
            <w:rPr>
              <w:sz w:val="28"/>
              <w:szCs w:val="28"/>
            </w:rPr>
            <w:fldChar w:fldCharType="begin"/>
          </w:r>
          <w:r>
            <w:rPr>
              <w:sz w:val="28"/>
              <w:szCs w:val="28"/>
            </w:rPr>
            <w:instrText xml:space="preserve"> PAGEREF _Toc1070 \h </w:instrText>
          </w:r>
          <w:r>
            <w:rPr>
              <w:sz w:val="28"/>
              <w:szCs w:val="28"/>
            </w:rPr>
            <w:fldChar w:fldCharType="separate"/>
          </w:r>
          <w:r>
            <w:rPr>
              <w:sz w:val="28"/>
              <w:szCs w:val="28"/>
            </w:rPr>
            <w:t>10</w:t>
          </w:r>
          <w:r>
            <w:rPr>
              <w:sz w:val="28"/>
              <w:szCs w:val="28"/>
            </w:rPr>
            <w:fldChar w:fldCharType="end"/>
          </w:r>
          <w:r>
            <w:rPr>
              <w:rFonts w:hint="eastAsia"/>
              <w:sz w:val="28"/>
              <w:szCs w:val="28"/>
              <w:lang w:val="en-US" w:eastAsia="zh-CN"/>
            </w:rPr>
            <w:fldChar w:fldCharType="end"/>
          </w:r>
        </w:p>
        <w:p w14:paraId="07A97D15">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_Toc1100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三、</w:t>
          </w:r>
          <w:r>
            <w:rPr>
              <w:rFonts w:hint="eastAsia" w:ascii="宋体" w:hAnsi="宋体" w:eastAsia="宋体" w:cs="宋体"/>
              <w:b/>
              <w:bCs/>
              <w:sz w:val="28"/>
              <w:szCs w:val="28"/>
              <w:highlight w:val="none"/>
              <w:shd w:val="clear" w:color="auto" w:fill="auto"/>
            </w:rPr>
            <w:t>综合评价情况及评价结论</w:t>
          </w:r>
          <w:r>
            <w:rPr>
              <w:b/>
              <w:bCs/>
              <w:sz w:val="28"/>
              <w:szCs w:val="28"/>
            </w:rPr>
            <w:tab/>
          </w:r>
          <w:r>
            <w:rPr>
              <w:b/>
              <w:bCs/>
              <w:sz w:val="28"/>
              <w:szCs w:val="28"/>
            </w:rPr>
            <w:fldChar w:fldCharType="begin"/>
          </w:r>
          <w:r>
            <w:rPr>
              <w:b/>
              <w:bCs/>
              <w:sz w:val="28"/>
              <w:szCs w:val="28"/>
            </w:rPr>
            <w:instrText xml:space="preserve"> PAGEREF _Toc1100 \h </w:instrText>
          </w:r>
          <w:r>
            <w:rPr>
              <w:b/>
              <w:bCs/>
              <w:sz w:val="28"/>
              <w:szCs w:val="28"/>
            </w:rPr>
            <w:fldChar w:fldCharType="separate"/>
          </w:r>
          <w:r>
            <w:rPr>
              <w:b/>
              <w:bCs/>
              <w:sz w:val="28"/>
              <w:szCs w:val="28"/>
            </w:rPr>
            <w:t>12</w:t>
          </w:r>
          <w:r>
            <w:rPr>
              <w:b/>
              <w:bCs/>
              <w:sz w:val="28"/>
              <w:szCs w:val="28"/>
            </w:rPr>
            <w:fldChar w:fldCharType="end"/>
          </w:r>
          <w:r>
            <w:rPr>
              <w:rFonts w:hint="eastAsia"/>
              <w:b/>
              <w:bCs/>
              <w:sz w:val="28"/>
              <w:szCs w:val="28"/>
              <w:lang w:val="en-US" w:eastAsia="zh-CN"/>
            </w:rPr>
            <w:fldChar w:fldCharType="end"/>
          </w:r>
        </w:p>
        <w:p w14:paraId="3FA5F42A">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_Toc9421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四、绩效评价指标分析</w:t>
          </w:r>
          <w:r>
            <w:rPr>
              <w:b/>
              <w:bCs/>
              <w:sz w:val="28"/>
              <w:szCs w:val="28"/>
            </w:rPr>
            <w:tab/>
          </w:r>
          <w:r>
            <w:rPr>
              <w:b/>
              <w:bCs/>
              <w:sz w:val="28"/>
              <w:szCs w:val="28"/>
            </w:rPr>
            <w:fldChar w:fldCharType="begin"/>
          </w:r>
          <w:r>
            <w:rPr>
              <w:b/>
              <w:bCs/>
              <w:sz w:val="28"/>
              <w:szCs w:val="28"/>
            </w:rPr>
            <w:instrText xml:space="preserve"> PAGEREF _Toc9421 \h </w:instrText>
          </w:r>
          <w:r>
            <w:rPr>
              <w:b/>
              <w:bCs/>
              <w:sz w:val="28"/>
              <w:szCs w:val="28"/>
            </w:rPr>
            <w:fldChar w:fldCharType="separate"/>
          </w:r>
          <w:r>
            <w:rPr>
              <w:b/>
              <w:bCs/>
              <w:sz w:val="28"/>
              <w:szCs w:val="28"/>
            </w:rPr>
            <w:t>12</w:t>
          </w:r>
          <w:r>
            <w:rPr>
              <w:b/>
              <w:bCs/>
              <w:sz w:val="28"/>
              <w:szCs w:val="28"/>
            </w:rPr>
            <w:fldChar w:fldCharType="end"/>
          </w:r>
          <w:r>
            <w:rPr>
              <w:rFonts w:hint="eastAsia"/>
              <w:b/>
              <w:bCs/>
              <w:sz w:val="28"/>
              <w:szCs w:val="28"/>
              <w:lang w:val="en-US" w:eastAsia="zh-CN"/>
            </w:rPr>
            <w:fldChar w:fldCharType="end"/>
          </w:r>
        </w:p>
        <w:p w14:paraId="4CFFEB24">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_Toc15355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rPr>
            <w:t>（一）项目决策情况</w:t>
          </w:r>
          <w:r>
            <w:rPr>
              <w:sz w:val="28"/>
              <w:szCs w:val="28"/>
            </w:rPr>
            <w:tab/>
          </w:r>
          <w:r>
            <w:rPr>
              <w:sz w:val="28"/>
              <w:szCs w:val="28"/>
            </w:rPr>
            <w:fldChar w:fldCharType="begin"/>
          </w:r>
          <w:r>
            <w:rPr>
              <w:sz w:val="28"/>
              <w:szCs w:val="28"/>
            </w:rPr>
            <w:instrText xml:space="preserve"> PAGEREF _Toc15355 \h </w:instrText>
          </w:r>
          <w:r>
            <w:rPr>
              <w:sz w:val="28"/>
              <w:szCs w:val="28"/>
            </w:rPr>
            <w:fldChar w:fldCharType="separate"/>
          </w:r>
          <w:r>
            <w:rPr>
              <w:sz w:val="28"/>
              <w:szCs w:val="28"/>
            </w:rPr>
            <w:t>12</w:t>
          </w:r>
          <w:r>
            <w:rPr>
              <w:sz w:val="28"/>
              <w:szCs w:val="28"/>
            </w:rPr>
            <w:fldChar w:fldCharType="end"/>
          </w:r>
          <w:r>
            <w:rPr>
              <w:rFonts w:hint="eastAsia"/>
              <w:sz w:val="28"/>
              <w:szCs w:val="28"/>
              <w:lang w:val="en-US" w:eastAsia="zh-CN"/>
            </w:rPr>
            <w:fldChar w:fldCharType="end"/>
          </w:r>
        </w:p>
        <w:p w14:paraId="28EDADF9">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_Toc11361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lang w:val="en-US" w:eastAsia="zh-CN"/>
            </w:rPr>
            <w:t>二</w:t>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rPr>
            <w:t>项目过程情况</w:t>
          </w:r>
          <w:r>
            <w:rPr>
              <w:sz w:val="28"/>
              <w:szCs w:val="28"/>
            </w:rPr>
            <w:tab/>
          </w:r>
          <w:r>
            <w:rPr>
              <w:sz w:val="28"/>
              <w:szCs w:val="28"/>
            </w:rPr>
            <w:fldChar w:fldCharType="begin"/>
          </w:r>
          <w:r>
            <w:rPr>
              <w:sz w:val="28"/>
              <w:szCs w:val="28"/>
            </w:rPr>
            <w:instrText xml:space="preserve"> PAGEREF _Toc11361 \h </w:instrText>
          </w:r>
          <w:r>
            <w:rPr>
              <w:sz w:val="28"/>
              <w:szCs w:val="28"/>
            </w:rPr>
            <w:fldChar w:fldCharType="separate"/>
          </w:r>
          <w:r>
            <w:rPr>
              <w:sz w:val="28"/>
              <w:szCs w:val="28"/>
            </w:rPr>
            <w:t>14</w:t>
          </w:r>
          <w:r>
            <w:rPr>
              <w:sz w:val="28"/>
              <w:szCs w:val="28"/>
            </w:rPr>
            <w:fldChar w:fldCharType="end"/>
          </w:r>
          <w:r>
            <w:rPr>
              <w:rFonts w:hint="eastAsia"/>
              <w:sz w:val="28"/>
              <w:szCs w:val="28"/>
              <w:lang w:val="en-US" w:eastAsia="zh-CN"/>
            </w:rPr>
            <w:fldChar w:fldCharType="end"/>
          </w:r>
        </w:p>
        <w:p w14:paraId="355DFBE6">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_Toc16268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lang w:val="en-US" w:eastAsia="zh-CN"/>
            </w:rPr>
            <w:t>三</w:t>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rPr>
            <w:t>项目产出情况</w:t>
          </w:r>
          <w:r>
            <w:rPr>
              <w:sz w:val="28"/>
              <w:szCs w:val="28"/>
            </w:rPr>
            <w:tab/>
          </w:r>
          <w:r>
            <w:rPr>
              <w:sz w:val="28"/>
              <w:szCs w:val="28"/>
            </w:rPr>
            <w:fldChar w:fldCharType="begin"/>
          </w:r>
          <w:r>
            <w:rPr>
              <w:sz w:val="28"/>
              <w:szCs w:val="28"/>
            </w:rPr>
            <w:instrText xml:space="preserve"> PAGEREF _Toc16268 \h </w:instrText>
          </w:r>
          <w:r>
            <w:rPr>
              <w:sz w:val="28"/>
              <w:szCs w:val="28"/>
            </w:rPr>
            <w:fldChar w:fldCharType="separate"/>
          </w:r>
          <w:r>
            <w:rPr>
              <w:sz w:val="28"/>
              <w:szCs w:val="28"/>
            </w:rPr>
            <w:t>16</w:t>
          </w:r>
          <w:r>
            <w:rPr>
              <w:sz w:val="28"/>
              <w:szCs w:val="28"/>
            </w:rPr>
            <w:fldChar w:fldCharType="end"/>
          </w:r>
          <w:r>
            <w:rPr>
              <w:rFonts w:hint="eastAsia"/>
              <w:sz w:val="28"/>
              <w:szCs w:val="28"/>
              <w:lang w:val="en-US" w:eastAsia="zh-CN"/>
            </w:rPr>
            <w:fldChar w:fldCharType="end"/>
          </w:r>
        </w:p>
        <w:p w14:paraId="5BA5D82C">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_Toc18446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lang w:val="en-US" w:eastAsia="zh-CN"/>
            </w:rPr>
            <w:t>四</w:t>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rPr>
            <w:t>项目效益情况</w:t>
          </w:r>
          <w:r>
            <w:rPr>
              <w:sz w:val="28"/>
              <w:szCs w:val="28"/>
            </w:rPr>
            <w:tab/>
          </w:r>
          <w:r>
            <w:rPr>
              <w:sz w:val="28"/>
              <w:szCs w:val="28"/>
            </w:rPr>
            <w:fldChar w:fldCharType="begin"/>
          </w:r>
          <w:r>
            <w:rPr>
              <w:sz w:val="28"/>
              <w:szCs w:val="28"/>
            </w:rPr>
            <w:instrText xml:space="preserve"> PAGEREF _Toc18446 \h </w:instrText>
          </w:r>
          <w:r>
            <w:rPr>
              <w:sz w:val="28"/>
              <w:szCs w:val="28"/>
            </w:rPr>
            <w:fldChar w:fldCharType="separate"/>
          </w:r>
          <w:r>
            <w:rPr>
              <w:sz w:val="28"/>
              <w:szCs w:val="28"/>
            </w:rPr>
            <w:t>18</w:t>
          </w:r>
          <w:r>
            <w:rPr>
              <w:sz w:val="28"/>
              <w:szCs w:val="28"/>
            </w:rPr>
            <w:fldChar w:fldCharType="end"/>
          </w:r>
          <w:r>
            <w:rPr>
              <w:rFonts w:hint="eastAsia"/>
              <w:sz w:val="28"/>
              <w:szCs w:val="28"/>
              <w:lang w:val="en-US" w:eastAsia="zh-CN"/>
            </w:rPr>
            <w:fldChar w:fldCharType="end"/>
          </w:r>
        </w:p>
        <w:p w14:paraId="10FE4921">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_Toc19962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五、预算执行进度与指标偏差</w:t>
          </w:r>
          <w:r>
            <w:rPr>
              <w:b/>
              <w:bCs/>
              <w:sz w:val="28"/>
              <w:szCs w:val="28"/>
            </w:rPr>
            <w:tab/>
          </w:r>
          <w:r>
            <w:rPr>
              <w:b/>
              <w:bCs/>
              <w:sz w:val="28"/>
              <w:szCs w:val="28"/>
            </w:rPr>
            <w:fldChar w:fldCharType="begin"/>
          </w:r>
          <w:r>
            <w:rPr>
              <w:b/>
              <w:bCs/>
              <w:sz w:val="28"/>
              <w:szCs w:val="28"/>
            </w:rPr>
            <w:instrText xml:space="preserve"> PAGEREF _Toc19962 \h </w:instrText>
          </w:r>
          <w:r>
            <w:rPr>
              <w:b/>
              <w:bCs/>
              <w:sz w:val="28"/>
              <w:szCs w:val="28"/>
            </w:rPr>
            <w:fldChar w:fldCharType="separate"/>
          </w:r>
          <w:r>
            <w:rPr>
              <w:b/>
              <w:bCs/>
              <w:sz w:val="28"/>
              <w:szCs w:val="28"/>
            </w:rPr>
            <w:t>19</w:t>
          </w:r>
          <w:r>
            <w:rPr>
              <w:b/>
              <w:bCs/>
              <w:sz w:val="28"/>
              <w:szCs w:val="28"/>
            </w:rPr>
            <w:fldChar w:fldCharType="end"/>
          </w:r>
          <w:r>
            <w:rPr>
              <w:rFonts w:hint="eastAsia"/>
              <w:b/>
              <w:bCs/>
              <w:sz w:val="28"/>
              <w:szCs w:val="28"/>
              <w:lang w:val="en-US" w:eastAsia="zh-CN"/>
            </w:rPr>
            <w:fldChar w:fldCharType="end"/>
          </w:r>
        </w:p>
        <w:p w14:paraId="74739825">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_Toc29934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六、主要经验及做法、存在的问题及原因分析</w:t>
          </w:r>
          <w:r>
            <w:rPr>
              <w:b/>
              <w:bCs/>
              <w:sz w:val="28"/>
              <w:szCs w:val="28"/>
            </w:rPr>
            <w:tab/>
          </w:r>
          <w:r>
            <w:rPr>
              <w:b/>
              <w:bCs/>
              <w:sz w:val="28"/>
              <w:szCs w:val="28"/>
            </w:rPr>
            <w:fldChar w:fldCharType="begin"/>
          </w:r>
          <w:r>
            <w:rPr>
              <w:b/>
              <w:bCs/>
              <w:sz w:val="28"/>
              <w:szCs w:val="28"/>
            </w:rPr>
            <w:instrText xml:space="preserve"> PAGEREF _Toc29934 \h </w:instrText>
          </w:r>
          <w:r>
            <w:rPr>
              <w:b/>
              <w:bCs/>
              <w:sz w:val="28"/>
              <w:szCs w:val="28"/>
            </w:rPr>
            <w:fldChar w:fldCharType="separate"/>
          </w:r>
          <w:r>
            <w:rPr>
              <w:b/>
              <w:bCs/>
              <w:sz w:val="28"/>
              <w:szCs w:val="28"/>
            </w:rPr>
            <w:t>19</w:t>
          </w:r>
          <w:r>
            <w:rPr>
              <w:b/>
              <w:bCs/>
              <w:sz w:val="28"/>
              <w:szCs w:val="28"/>
            </w:rPr>
            <w:fldChar w:fldCharType="end"/>
          </w:r>
          <w:r>
            <w:rPr>
              <w:rFonts w:hint="eastAsia"/>
              <w:b/>
              <w:bCs/>
              <w:sz w:val="28"/>
              <w:szCs w:val="28"/>
              <w:lang w:val="en-US" w:eastAsia="zh-CN"/>
            </w:rPr>
            <w:fldChar w:fldCharType="end"/>
          </w:r>
        </w:p>
        <w:p w14:paraId="61DB0A2C">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_Toc13160 </w:instrText>
          </w:r>
          <w:r>
            <w:rPr>
              <w:rFonts w:hint="eastAsia"/>
              <w:sz w:val="28"/>
              <w:szCs w:val="28"/>
              <w:lang w:val="en-US" w:eastAsia="zh-CN"/>
            </w:rPr>
            <w:fldChar w:fldCharType="separate"/>
          </w:r>
          <w:r>
            <w:rPr>
              <w:rFonts w:hint="eastAsia"/>
              <w:bCs/>
              <w:sz w:val="28"/>
              <w:szCs w:val="28"/>
              <w:lang w:eastAsia="zh-CN"/>
            </w:rPr>
            <w:t>（</w:t>
          </w:r>
          <w:r>
            <w:rPr>
              <w:rFonts w:hint="eastAsia"/>
              <w:bCs/>
              <w:sz w:val="28"/>
              <w:szCs w:val="28"/>
              <w:lang w:val="en-US" w:eastAsia="zh-CN"/>
            </w:rPr>
            <w:t>一</w:t>
          </w:r>
          <w:r>
            <w:rPr>
              <w:rFonts w:hint="eastAsia"/>
              <w:bCs/>
              <w:sz w:val="28"/>
              <w:szCs w:val="28"/>
              <w:lang w:eastAsia="zh-CN"/>
            </w:rPr>
            <w:t>）</w:t>
          </w:r>
          <w:r>
            <w:rPr>
              <w:rFonts w:hint="eastAsia"/>
              <w:bCs/>
              <w:sz w:val="28"/>
              <w:szCs w:val="28"/>
            </w:rPr>
            <w:t>主要经验及做法</w:t>
          </w:r>
          <w:r>
            <w:rPr>
              <w:sz w:val="28"/>
              <w:szCs w:val="28"/>
            </w:rPr>
            <w:tab/>
          </w:r>
          <w:r>
            <w:rPr>
              <w:sz w:val="28"/>
              <w:szCs w:val="28"/>
            </w:rPr>
            <w:fldChar w:fldCharType="begin"/>
          </w:r>
          <w:r>
            <w:rPr>
              <w:sz w:val="28"/>
              <w:szCs w:val="28"/>
            </w:rPr>
            <w:instrText xml:space="preserve"> PAGEREF _Toc13160 \h </w:instrText>
          </w:r>
          <w:r>
            <w:rPr>
              <w:sz w:val="28"/>
              <w:szCs w:val="28"/>
            </w:rPr>
            <w:fldChar w:fldCharType="separate"/>
          </w:r>
          <w:r>
            <w:rPr>
              <w:sz w:val="28"/>
              <w:szCs w:val="28"/>
            </w:rPr>
            <w:t>19</w:t>
          </w:r>
          <w:r>
            <w:rPr>
              <w:sz w:val="28"/>
              <w:szCs w:val="28"/>
            </w:rPr>
            <w:fldChar w:fldCharType="end"/>
          </w:r>
          <w:r>
            <w:rPr>
              <w:rFonts w:hint="eastAsia"/>
              <w:sz w:val="28"/>
              <w:szCs w:val="28"/>
              <w:lang w:val="en-US" w:eastAsia="zh-CN"/>
            </w:rPr>
            <w:fldChar w:fldCharType="end"/>
          </w:r>
        </w:p>
        <w:p w14:paraId="24A366E8">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_Toc9582 </w:instrText>
          </w:r>
          <w:r>
            <w:rPr>
              <w:rFonts w:hint="eastAsia"/>
              <w:sz w:val="28"/>
              <w:szCs w:val="28"/>
              <w:lang w:val="en-US" w:eastAsia="zh-CN"/>
            </w:rPr>
            <w:fldChar w:fldCharType="separate"/>
          </w:r>
          <w:r>
            <w:rPr>
              <w:rFonts w:hint="eastAsia"/>
              <w:bCs/>
              <w:sz w:val="28"/>
              <w:szCs w:val="28"/>
              <w:lang w:eastAsia="zh-CN"/>
            </w:rPr>
            <w:t>（</w:t>
          </w:r>
          <w:r>
            <w:rPr>
              <w:rFonts w:hint="eastAsia"/>
              <w:bCs/>
              <w:sz w:val="28"/>
              <w:szCs w:val="28"/>
              <w:lang w:val="en-US" w:eastAsia="zh-CN"/>
            </w:rPr>
            <w:t>二</w:t>
          </w:r>
          <w:r>
            <w:rPr>
              <w:rFonts w:hint="eastAsia"/>
              <w:bCs/>
              <w:sz w:val="28"/>
              <w:szCs w:val="28"/>
              <w:lang w:eastAsia="zh-CN"/>
            </w:rPr>
            <w:t>）</w:t>
          </w:r>
          <w:r>
            <w:rPr>
              <w:rFonts w:hint="eastAsia"/>
              <w:bCs/>
              <w:sz w:val="28"/>
              <w:szCs w:val="28"/>
            </w:rPr>
            <w:t>存在的问题及原因分析</w:t>
          </w:r>
          <w:r>
            <w:rPr>
              <w:sz w:val="28"/>
              <w:szCs w:val="28"/>
            </w:rPr>
            <w:tab/>
          </w:r>
          <w:r>
            <w:rPr>
              <w:sz w:val="28"/>
              <w:szCs w:val="28"/>
            </w:rPr>
            <w:fldChar w:fldCharType="begin"/>
          </w:r>
          <w:r>
            <w:rPr>
              <w:sz w:val="28"/>
              <w:szCs w:val="28"/>
            </w:rPr>
            <w:instrText xml:space="preserve"> PAGEREF _Toc9582 \h </w:instrText>
          </w:r>
          <w:r>
            <w:rPr>
              <w:sz w:val="28"/>
              <w:szCs w:val="28"/>
            </w:rPr>
            <w:fldChar w:fldCharType="separate"/>
          </w:r>
          <w:r>
            <w:rPr>
              <w:sz w:val="28"/>
              <w:szCs w:val="28"/>
            </w:rPr>
            <w:t>20</w:t>
          </w:r>
          <w:r>
            <w:rPr>
              <w:sz w:val="28"/>
              <w:szCs w:val="28"/>
            </w:rPr>
            <w:fldChar w:fldCharType="end"/>
          </w:r>
          <w:r>
            <w:rPr>
              <w:rFonts w:hint="eastAsia"/>
              <w:sz w:val="28"/>
              <w:szCs w:val="28"/>
              <w:lang w:val="en-US" w:eastAsia="zh-CN"/>
            </w:rPr>
            <w:fldChar w:fldCharType="end"/>
          </w:r>
        </w:p>
        <w:p w14:paraId="470C7424">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_Toc5230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七、有关建议</w:t>
          </w:r>
          <w:r>
            <w:rPr>
              <w:b/>
              <w:bCs/>
              <w:sz w:val="28"/>
              <w:szCs w:val="28"/>
            </w:rPr>
            <w:tab/>
          </w:r>
          <w:r>
            <w:rPr>
              <w:b/>
              <w:bCs/>
              <w:sz w:val="28"/>
              <w:szCs w:val="28"/>
            </w:rPr>
            <w:fldChar w:fldCharType="begin"/>
          </w:r>
          <w:r>
            <w:rPr>
              <w:b/>
              <w:bCs/>
              <w:sz w:val="28"/>
              <w:szCs w:val="28"/>
            </w:rPr>
            <w:instrText xml:space="preserve"> PAGEREF _Toc5230 \h </w:instrText>
          </w:r>
          <w:r>
            <w:rPr>
              <w:b/>
              <w:bCs/>
              <w:sz w:val="28"/>
              <w:szCs w:val="28"/>
            </w:rPr>
            <w:fldChar w:fldCharType="separate"/>
          </w:r>
          <w:r>
            <w:rPr>
              <w:b/>
              <w:bCs/>
              <w:sz w:val="28"/>
              <w:szCs w:val="28"/>
            </w:rPr>
            <w:t>20</w:t>
          </w:r>
          <w:r>
            <w:rPr>
              <w:b/>
              <w:bCs/>
              <w:sz w:val="28"/>
              <w:szCs w:val="28"/>
            </w:rPr>
            <w:fldChar w:fldCharType="end"/>
          </w:r>
          <w:r>
            <w:rPr>
              <w:rFonts w:hint="eastAsia"/>
              <w:b/>
              <w:bCs/>
              <w:sz w:val="28"/>
              <w:szCs w:val="28"/>
              <w:lang w:val="en-US" w:eastAsia="zh-CN"/>
            </w:rPr>
            <w:fldChar w:fldCharType="end"/>
          </w:r>
        </w:p>
        <w:p w14:paraId="00E85091">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_Toc15618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八、其他需要说明的问题</w:t>
          </w:r>
          <w:r>
            <w:rPr>
              <w:b/>
              <w:bCs/>
              <w:sz w:val="28"/>
              <w:szCs w:val="28"/>
            </w:rPr>
            <w:tab/>
          </w:r>
          <w:r>
            <w:rPr>
              <w:b/>
              <w:bCs/>
              <w:sz w:val="28"/>
              <w:szCs w:val="28"/>
            </w:rPr>
            <w:fldChar w:fldCharType="begin"/>
          </w:r>
          <w:r>
            <w:rPr>
              <w:b/>
              <w:bCs/>
              <w:sz w:val="28"/>
              <w:szCs w:val="28"/>
            </w:rPr>
            <w:instrText xml:space="preserve"> PAGEREF _Toc15618 \h </w:instrText>
          </w:r>
          <w:r>
            <w:rPr>
              <w:b/>
              <w:bCs/>
              <w:sz w:val="28"/>
              <w:szCs w:val="28"/>
            </w:rPr>
            <w:fldChar w:fldCharType="separate"/>
          </w:r>
          <w:r>
            <w:rPr>
              <w:b/>
              <w:bCs/>
              <w:sz w:val="28"/>
              <w:szCs w:val="28"/>
            </w:rPr>
            <w:t>20</w:t>
          </w:r>
          <w:r>
            <w:rPr>
              <w:b/>
              <w:bCs/>
              <w:sz w:val="28"/>
              <w:szCs w:val="28"/>
            </w:rPr>
            <w:fldChar w:fldCharType="end"/>
          </w:r>
          <w:r>
            <w:rPr>
              <w:rFonts w:hint="eastAsia"/>
              <w:b/>
              <w:bCs/>
              <w:sz w:val="28"/>
              <w:szCs w:val="28"/>
              <w:lang w:val="en-US" w:eastAsia="zh-CN"/>
            </w:rPr>
            <w:fldChar w:fldCharType="end"/>
          </w:r>
        </w:p>
        <w:p w14:paraId="66562F50">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p>
        <w:p w14:paraId="2D6BB68E">
          <w:pPr>
            <w:keepNext w:val="0"/>
            <w:keepLines w:val="0"/>
            <w:pageBreakBefore w:val="0"/>
            <w:shd w:val="clear"/>
            <w:kinsoku/>
            <w:wordWrap/>
            <w:overflowPunct/>
            <w:topLinePunct w:val="0"/>
            <w:autoSpaceDE/>
            <w:autoSpaceDN/>
            <w:bidi w:val="0"/>
            <w:adjustRightInd/>
            <w:snapToGrid/>
            <w:spacing w:line="520" w:lineRule="exact"/>
            <w:textAlignment w:val="auto"/>
            <w:rPr>
              <w:rFonts w:hint="eastAsia"/>
              <w:lang w:val="en-US" w:eastAsia="zh-CN"/>
            </w:rPr>
            <w:sectPr>
              <w:pgSz w:w="11906" w:h="16838"/>
              <w:pgMar w:top="1928" w:right="1531" w:bottom="1701" w:left="1531" w:header="737" w:footer="851" w:gutter="0"/>
              <w:cols w:space="720" w:num="1"/>
              <w:docGrid w:type="lines" w:linePitch="408" w:charSpace="0"/>
            </w:sectPr>
          </w:pPr>
          <w:r>
            <w:rPr>
              <w:rFonts w:hint="eastAsia"/>
              <w:sz w:val="28"/>
              <w:szCs w:val="28"/>
              <w:lang w:val="en-US" w:eastAsia="zh-CN"/>
            </w:rPr>
            <w:fldChar w:fldCharType="end"/>
          </w:r>
        </w:p>
      </w:sdtContent>
    </w:sdt>
    <w:p w14:paraId="5C79702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highlight w:val="none"/>
          <w:shd w:val="clear" w:color="auto" w:fill="auto"/>
        </w:rPr>
      </w:pPr>
      <w:bookmarkStart w:id="1" w:name="_Toc1194"/>
      <w:r>
        <w:rPr>
          <w:rFonts w:hint="eastAsia" w:cs="宋体"/>
          <w:b/>
          <w:bCs/>
          <w:color w:val="auto"/>
          <w:sz w:val="36"/>
          <w:szCs w:val="36"/>
          <w:highlight w:val="none"/>
          <w:shd w:val="clear" w:color="auto" w:fill="auto"/>
          <w:lang w:val="en-US" w:eastAsia="zh-CN"/>
        </w:rPr>
        <w:t>2022全民健康体检项目</w:t>
      </w:r>
      <w:r>
        <w:rPr>
          <w:rFonts w:hint="eastAsia" w:ascii="宋体" w:hAnsi="宋体" w:eastAsia="宋体" w:cs="宋体"/>
          <w:b/>
          <w:bCs/>
          <w:color w:val="auto"/>
          <w:sz w:val="36"/>
          <w:szCs w:val="36"/>
          <w:highlight w:val="none"/>
          <w:shd w:val="clear" w:color="auto" w:fill="auto"/>
        </w:rPr>
        <w:t>支出绩效评价报告</w:t>
      </w:r>
      <w:bookmarkEnd w:id="1"/>
    </w:p>
    <w:p w14:paraId="6FE55393">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bookmarkStart w:id="2" w:name="_Toc17540"/>
      <w:r>
        <w:rPr>
          <w:rFonts w:hint="eastAsia" w:ascii="宋体" w:hAnsi="宋体" w:eastAsia="宋体" w:cs="宋体"/>
          <w:b/>
          <w:bCs/>
          <w:color w:val="auto"/>
          <w:highlight w:val="none"/>
          <w:shd w:val="clear" w:color="auto" w:fill="auto"/>
        </w:rPr>
        <w:t>一、基本情况</w:t>
      </w:r>
      <w:bookmarkEnd w:id="2"/>
    </w:p>
    <w:p w14:paraId="5B86FA78">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bookmarkStart w:id="3" w:name="_Toc18966"/>
      <w:r>
        <w:rPr>
          <w:rFonts w:hint="eastAsia" w:ascii="宋体" w:hAnsi="宋体" w:eastAsia="宋体" w:cs="宋体"/>
          <w:color w:val="auto"/>
          <w:highlight w:val="none"/>
          <w:shd w:val="clear" w:color="auto" w:fill="auto"/>
        </w:rPr>
        <w:t>（一）项目概况</w:t>
      </w:r>
      <w:bookmarkEnd w:id="3"/>
    </w:p>
    <w:p w14:paraId="2A81B2A4">
      <w:pPr>
        <w:rPr>
          <w:rFonts w:hint="eastAsia" w:ascii="宋体" w:hAnsi="宋体" w:eastAsia="宋体" w:cs="宋体"/>
          <w:b/>
          <w:bCs/>
          <w:color w:val="auto"/>
          <w:highlight w:val="none"/>
          <w:shd w:val="clear" w:color="auto" w:fill="auto"/>
        </w:rPr>
      </w:pPr>
      <w:bookmarkStart w:id="4" w:name="_Toc5043"/>
      <w:r>
        <w:rPr>
          <w:rFonts w:hint="eastAsia" w:ascii="宋体" w:hAnsi="宋体" w:eastAsia="宋体" w:cs="宋体"/>
          <w:b/>
          <w:bCs/>
          <w:color w:val="auto"/>
          <w:highlight w:val="none"/>
          <w:shd w:val="clear" w:color="auto" w:fill="auto"/>
          <w:lang w:val="en-US" w:eastAsia="zh-CN"/>
        </w:rPr>
        <w:t>1.</w:t>
      </w:r>
      <w:r>
        <w:rPr>
          <w:rFonts w:hint="eastAsia" w:ascii="宋体" w:hAnsi="宋体" w:eastAsia="宋体" w:cs="宋体"/>
          <w:b/>
          <w:bCs/>
          <w:color w:val="auto"/>
          <w:highlight w:val="none"/>
          <w:shd w:val="clear" w:color="auto" w:fill="auto"/>
        </w:rPr>
        <w:t>项目背景</w:t>
      </w:r>
    </w:p>
    <w:p w14:paraId="2B2EBC6E">
      <w:pPr>
        <w:rPr>
          <w:rFonts w:hint="eastAsia" w:ascii="宋体" w:hAnsi="宋体" w:eastAsia="宋体" w:cs="宋体"/>
          <w:b w:val="0"/>
          <w:bCs w:val="0"/>
          <w:color w:val="auto"/>
          <w:kern w:val="0"/>
          <w:sz w:val="28"/>
          <w:szCs w:val="32"/>
          <w:highlight w:val="none"/>
          <w:shd w:val="clear" w:color="auto" w:fill="auto"/>
          <w:lang w:val="en-US" w:eastAsia="zh-CN" w:bidi="ar-SA"/>
        </w:rPr>
      </w:pPr>
      <w:r>
        <w:rPr>
          <w:rFonts w:hint="eastAsia"/>
          <w:color w:val="auto"/>
          <w:highlight w:val="none"/>
          <w:lang w:eastAsia="zh-CN"/>
        </w:rPr>
        <w:t>《</w:t>
      </w:r>
      <w:r>
        <w:rPr>
          <w:rFonts w:hint="eastAsia"/>
          <w:color w:val="auto"/>
          <w:highlight w:val="none"/>
          <w:lang w:val="en-US" w:eastAsia="zh-CN"/>
        </w:rPr>
        <w:t>关于印发国民健康政策纲要（2019-2030年）的通知</w:t>
      </w:r>
      <w:r>
        <w:rPr>
          <w:rFonts w:hint="eastAsia"/>
          <w:color w:val="auto"/>
          <w:highlight w:val="none"/>
          <w:lang w:eastAsia="zh-CN"/>
        </w:rPr>
        <w:t>》</w:t>
      </w:r>
      <w:r>
        <w:rPr>
          <w:rFonts w:hint="eastAsia"/>
          <w:color w:val="auto"/>
          <w:highlight w:val="none"/>
          <w:lang w:val="en-US" w:eastAsia="zh-CN"/>
        </w:rPr>
        <w:t>中提到</w:t>
      </w:r>
      <w:r>
        <w:rPr>
          <w:rFonts w:hint="eastAsia" w:ascii="宋体" w:hAnsi="宋体" w:eastAsia="宋体" w:cs="宋体"/>
          <w:color w:val="auto"/>
          <w:highlight w:val="none"/>
          <w:shd w:val="clear" w:color="auto" w:fill="auto"/>
          <w:lang w:eastAsia="zh-CN"/>
        </w:rPr>
        <w:t>全民健康体检可以更加全面地进行健康管理，落实“健康中国2030”战略目标，防治传染性疾病，提高全民健康意识，提高预防保健措施，推动健康产业的发展。它的实施将更加全面、精准地保障人民的健康，从而推动国家的经济和社会发展。</w:t>
      </w:r>
      <w:r>
        <w:rPr>
          <w:rFonts w:hint="eastAsia" w:cs="宋体"/>
          <w:color w:val="auto"/>
          <w:highlight w:val="none"/>
          <w:shd w:val="clear" w:color="auto" w:fill="auto"/>
          <w:lang w:val="en-US" w:eastAsia="zh-CN"/>
        </w:rPr>
        <w:t>一是</w:t>
      </w:r>
      <w:r>
        <w:rPr>
          <w:rFonts w:hint="eastAsia" w:ascii="宋体" w:hAnsi="宋体" w:eastAsia="宋体" w:cs="宋体"/>
          <w:b w:val="0"/>
          <w:bCs w:val="0"/>
          <w:color w:val="auto"/>
          <w:kern w:val="0"/>
          <w:sz w:val="28"/>
          <w:szCs w:val="32"/>
          <w:highlight w:val="none"/>
          <w:shd w:val="clear" w:color="auto" w:fill="auto"/>
          <w:lang w:val="en-US" w:eastAsia="zh-CN" w:bidi="ar-SA"/>
        </w:rPr>
        <w:t>随着我国人口的老龄化不断加剧，老年人的健康问题凸显，因此全民</w:t>
      </w:r>
      <w:r>
        <w:rPr>
          <w:rFonts w:hint="eastAsia" w:cs="宋体"/>
          <w:b w:val="0"/>
          <w:bCs w:val="0"/>
          <w:color w:val="auto"/>
          <w:kern w:val="0"/>
          <w:sz w:val="28"/>
          <w:szCs w:val="32"/>
          <w:highlight w:val="none"/>
          <w:shd w:val="clear" w:color="auto" w:fill="auto"/>
          <w:lang w:val="en-US" w:eastAsia="zh-CN" w:bidi="ar-SA"/>
        </w:rPr>
        <w:t>健康</w:t>
      </w:r>
      <w:r>
        <w:rPr>
          <w:rFonts w:hint="eastAsia" w:ascii="宋体" w:hAnsi="宋体" w:eastAsia="宋体" w:cs="宋体"/>
          <w:b w:val="0"/>
          <w:bCs w:val="0"/>
          <w:color w:val="auto"/>
          <w:kern w:val="0"/>
          <w:sz w:val="28"/>
          <w:szCs w:val="32"/>
          <w:highlight w:val="none"/>
          <w:shd w:val="clear" w:color="auto" w:fill="auto"/>
          <w:lang w:val="en-US" w:eastAsia="zh-CN" w:bidi="ar-SA"/>
        </w:rPr>
        <w:t>体检能够及时掌握人口的身体健康状况，预防和治疗一些潜在的疾病。二是随着社会的发展和人们健康意识的提高，人们对健康的关注度越来越高，全民</w:t>
      </w:r>
      <w:r>
        <w:rPr>
          <w:rFonts w:hint="eastAsia" w:cs="宋体"/>
          <w:b w:val="0"/>
          <w:bCs w:val="0"/>
          <w:color w:val="auto"/>
          <w:kern w:val="0"/>
          <w:sz w:val="28"/>
          <w:szCs w:val="32"/>
          <w:highlight w:val="none"/>
          <w:shd w:val="clear" w:color="auto" w:fill="auto"/>
          <w:lang w:val="en-US" w:eastAsia="zh-CN" w:bidi="ar-SA"/>
        </w:rPr>
        <w:t>健康</w:t>
      </w:r>
      <w:r>
        <w:rPr>
          <w:rFonts w:hint="eastAsia" w:ascii="宋体" w:hAnsi="宋体" w:eastAsia="宋体" w:cs="宋体"/>
          <w:b w:val="0"/>
          <w:bCs w:val="0"/>
          <w:color w:val="auto"/>
          <w:kern w:val="0"/>
          <w:sz w:val="28"/>
          <w:szCs w:val="32"/>
          <w:highlight w:val="none"/>
          <w:shd w:val="clear" w:color="auto" w:fill="auto"/>
          <w:lang w:val="en-US" w:eastAsia="zh-CN" w:bidi="ar-SA"/>
        </w:rPr>
        <w:t>体检可以帮助人们及时了解自己的健康状况，提高健康意识，从而彻底预防健康问题的出现。</w:t>
      </w:r>
      <w:r>
        <w:rPr>
          <w:rFonts w:hint="eastAsia" w:cs="宋体"/>
          <w:b w:val="0"/>
          <w:bCs w:val="0"/>
          <w:color w:val="auto"/>
          <w:kern w:val="0"/>
          <w:sz w:val="28"/>
          <w:szCs w:val="32"/>
          <w:highlight w:val="none"/>
          <w:shd w:val="clear" w:color="auto" w:fill="auto"/>
          <w:lang w:val="en-US" w:eastAsia="zh-CN" w:bidi="ar-SA"/>
        </w:rPr>
        <w:t>三是</w:t>
      </w:r>
      <w:r>
        <w:rPr>
          <w:rFonts w:hint="eastAsia" w:ascii="宋体" w:hAnsi="宋体" w:eastAsia="宋体" w:cs="宋体"/>
          <w:b w:val="0"/>
          <w:bCs w:val="0"/>
          <w:color w:val="auto"/>
          <w:kern w:val="0"/>
          <w:sz w:val="28"/>
          <w:szCs w:val="32"/>
          <w:highlight w:val="none"/>
          <w:shd w:val="clear" w:color="auto" w:fill="auto"/>
          <w:lang w:val="en-US" w:eastAsia="zh-CN" w:bidi="ar-SA"/>
        </w:rPr>
        <w:t>全民</w:t>
      </w:r>
      <w:r>
        <w:rPr>
          <w:rFonts w:hint="eastAsia" w:cs="宋体"/>
          <w:b w:val="0"/>
          <w:bCs w:val="0"/>
          <w:color w:val="auto"/>
          <w:kern w:val="0"/>
          <w:sz w:val="28"/>
          <w:szCs w:val="32"/>
          <w:highlight w:val="none"/>
          <w:shd w:val="clear" w:color="auto" w:fill="auto"/>
          <w:lang w:val="en-US" w:eastAsia="zh-CN" w:bidi="ar-SA"/>
        </w:rPr>
        <w:t>健康</w:t>
      </w:r>
      <w:r>
        <w:rPr>
          <w:rFonts w:hint="eastAsia" w:ascii="宋体" w:hAnsi="宋体" w:eastAsia="宋体" w:cs="宋体"/>
          <w:b w:val="0"/>
          <w:bCs w:val="0"/>
          <w:color w:val="auto"/>
          <w:kern w:val="0"/>
          <w:sz w:val="28"/>
          <w:szCs w:val="32"/>
          <w:highlight w:val="none"/>
          <w:shd w:val="clear" w:color="auto" w:fill="auto"/>
          <w:lang w:val="en-US" w:eastAsia="zh-CN" w:bidi="ar-SA"/>
        </w:rPr>
        <w:t>体检能够对疾病传播进行及时预防和控制，大大减少疾病的发生和传播，保护人民的健康。</w:t>
      </w:r>
      <w:bookmarkEnd w:id="4"/>
      <w:bookmarkStart w:id="5" w:name="_Toc27343"/>
    </w:p>
    <w:p w14:paraId="3E25A973">
      <w:pPr>
        <w:numPr>
          <w:ilvl w:val="0"/>
          <w:numId w:val="1"/>
        </w:numPr>
        <w:rPr>
          <w:rFonts w:hint="eastAsia" w:ascii="宋体" w:hAnsi="宋体" w:eastAsia="宋体" w:cs="宋体"/>
          <w:b/>
          <w:bCs/>
          <w:color w:val="000000" w:themeColor="text1"/>
          <w:highlight w:val="none"/>
          <w:shd w:val="clear" w:color="auto" w:fill="auto"/>
          <w14:textFill>
            <w14:solidFill>
              <w14:schemeClr w14:val="tx1"/>
            </w14:solidFill>
          </w14:textFill>
        </w:rPr>
      </w:pPr>
      <w:r>
        <w:rPr>
          <w:rFonts w:hint="eastAsia" w:ascii="宋体" w:hAnsi="宋体" w:eastAsia="宋体" w:cs="宋体"/>
          <w:b/>
          <w:bCs/>
          <w:color w:val="000000" w:themeColor="text1"/>
          <w:highlight w:val="none"/>
          <w:shd w:val="clear" w:color="auto" w:fill="auto"/>
          <w14:textFill>
            <w14:solidFill>
              <w14:schemeClr w14:val="tx1"/>
            </w14:solidFill>
          </w14:textFill>
        </w:rPr>
        <w:t>主要内容及实施情况</w:t>
      </w:r>
      <w:bookmarkEnd w:id="5"/>
      <w:bookmarkStart w:id="6" w:name="_Toc16592"/>
    </w:p>
    <w:p w14:paraId="7D2742C0">
      <w:pPr>
        <w:numPr>
          <w:ilvl w:val="0"/>
          <w:numId w:val="0"/>
        </w:numPr>
        <w:ind w:firstLine="562" w:firstLineChars="200"/>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cs="宋体"/>
          <w:b/>
          <w:bCs/>
          <w:color w:val="auto"/>
          <w:highlight w:val="none"/>
          <w:shd w:val="clear" w:color="auto" w:fill="auto"/>
          <w:lang w:val="en-US" w:eastAsia="zh-CN"/>
        </w:rPr>
        <w:t>主要内容</w:t>
      </w:r>
      <w:r>
        <w:rPr>
          <w:rFonts w:hint="eastAsia" w:ascii="宋体" w:hAnsi="宋体" w:eastAsia="宋体" w:cs="宋体"/>
          <w:b/>
          <w:bCs/>
          <w:color w:val="auto"/>
          <w:highlight w:val="none"/>
          <w:shd w:val="clear" w:color="auto" w:fill="auto"/>
          <w:lang w:val="en-US" w:eastAsia="zh-CN"/>
        </w:rPr>
        <w:t>：</w:t>
      </w:r>
      <w:r>
        <w:rPr>
          <w:rFonts w:hint="eastAsia" w:ascii="宋体" w:hAnsi="宋体" w:eastAsia="宋体" w:cs="宋体"/>
          <w:b w:val="0"/>
          <w:bCs w:val="0"/>
          <w:color w:val="auto"/>
          <w:kern w:val="2"/>
          <w:sz w:val="28"/>
          <w:szCs w:val="28"/>
          <w:highlight w:val="none"/>
          <w:shd w:val="clear" w:color="auto" w:fill="auto"/>
          <w:lang w:val="en-US" w:eastAsia="zh-CN" w:bidi="ar-SA"/>
        </w:rPr>
        <w:t>根据各乡镇、街道办事处区域特点和医疗资源配置情况，合理设置固定体检点1个，采取集中体检和上门服务体检的方式开展体检。建立健全各项阳性结果报告、追踪登记管理，严格落实危急值立即反馈、重要异常结果24-48小时内通知体检者复查，一般体检结果15天内通过手机短信、微信推送、面对面、体检报告单复印等多种方式一对一反馈、一对一指导。</w:t>
      </w:r>
      <w:bookmarkEnd w:id="6"/>
    </w:p>
    <w:p w14:paraId="6052CCD1">
      <w:pPr>
        <w:numPr>
          <w:ilvl w:val="0"/>
          <w:numId w:val="0"/>
        </w:numPr>
        <w:bidi w:val="0"/>
        <w:ind w:firstLine="560" w:firstLineChars="200"/>
        <w:rPr>
          <w:rFonts w:hint="eastAsia"/>
          <w:color w:val="auto"/>
          <w:lang w:val="en-US" w:eastAsia="zh-CN"/>
        </w:rPr>
      </w:pPr>
      <w:r>
        <w:rPr>
          <w:rFonts w:hint="eastAsia" w:ascii="宋体" w:hAnsi="宋体" w:eastAsia="宋体" w:cs="宋体"/>
          <w:b w:val="0"/>
          <w:bCs w:val="0"/>
          <w:color w:val="auto"/>
          <w:kern w:val="2"/>
          <w:sz w:val="28"/>
          <w:szCs w:val="28"/>
          <w:highlight w:val="none"/>
          <w:shd w:val="clear" w:color="auto" w:fill="auto"/>
          <w:lang w:val="en-US" w:eastAsia="zh-CN" w:bidi="ar-SA"/>
        </w:rPr>
        <w:t>为顺利完成</w:t>
      </w:r>
      <w:r>
        <w:rPr>
          <w:rFonts w:hint="eastAsia"/>
        </w:rPr>
        <w:t>阜康市</w:t>
      </w:r>
      <w:r>
        <w:rPr>
          <w:rFonts w:hint="eastAsia"/>
          <w:lang w:val="en-US" w:eastAsia="zh-CN"/>
        </w:rPr>
        <w:t>滋泥泉子镇中心卫生院</w:t>
      </w:r>
      <w:r>
        <w:rPr>
          <w:rFonts w:hint="eastAsia" w:ascii="宋体" w:hAnsi="宋体" w:eastAsia="宋体" w:cs="宋体"/>
          <w:b w:val="0"/>
          <w:bCs w:val="0"/>
          <w:color w:val="auto"/>
          <w:kern w:val="2"/>
          <w:sz w:val="28"/>
          <w:szCs w:val="28"/>
          <w:highlight w:val="none"/>
          <w:shd w:val="clear" w:color="auto" w:fill="auto"/>
          <w:lang w:val="en-US" w:eastAsia="zh-CN" w:bidi="ar-SA"/>
        </w:rPr>
        <w:t>全民健康体检工作，确保全市各族人民的健康意识得到进一步提高，该项目今年拟设定于2023年12月31日前完成辖区约</w:t>
      </w:r>
      <w:r>
        <w:rPr>
          <w:rFonts w:hint="eastAsia" w:cs="宋体"/>
          <w:b w:val="0"/>
          <w:bCs w:val="0"/>
          <w:color w:val="auto"/>
          <w:kern w:val="2"/>
          <w:sz w:val="28"/>
          <w:szCs w:val="28"/>
          <w:highlight w:val="none"/>
          <w:shd w:val="clear" w:color="auto" w:fill="auto"/>
          <w:lang w:val="en-US" w:eastAsia="zh-CN" w:bidi="ar-SA"/>
        </w:rPr>
        <w:t>8264</w:t>
      </w:r>
      <w:r>
        <w:rPr>
          <w:rFonts w:hint="eastAsia" w:ascii="宋体" w:hAnsi="宋体" w:eastAsia="宋体" w:cs="宋体"/>
          <w:b w:val="0"/>
          <w:bCs w:val="0"/>
          <w:color w:val="auto"/>
          <w:kern w:val="2"/>
          <w:sz w:val="28"/>
          <w:szCs w:val="28"/>
          <w:highlight w:val="none"/>
          <w:shd w:val="clear" w:color="auto" w:fill="auto"/>
          <w:lang w:val="en-US" w:eastAsia="zh-CN" w:bidi="ar-SA"/>
        </w:rPr>
        <w:t>人的全民健康体检工作，累计投入资金</w:t>
      </w:r>
      <w:r>
        <w:rPr>
          <w:rFonts w:hint="eastAsia" w:cs="宋体"/>
          <w:b w:val="0"/>
          <w:bCs w:val="0"/>
          <w:color w:val="auto"/>
          <w:kern w:val="2"/>
          <w:sz w:val="28"/>
          <w:szCs w:val="28"/>
          <w:highlight w:val="none"/>
          <w:shd w:val="clear" w:color="auto" w:fill="auto"/>
          <w:lang w:val="en-US" w:eastAsia="zh-CN" w:bidi="ar-SA"/>
        </w:rPr>
        <w:t>34.25</w:t>
      </w:r>
      <w:r>
        <w:rPr>
          <w:rFonts w:hint="eastAsia" w:ascii="宋体" w:hAnsi="宋体" w:eastAsia="宋体" w:cs="宋体"/>
          <w:b w:val="0"/>
          <w:bCs w:val="0"/>
          <w:color w:val="auto"/>
          <w:kern w:val="2"/>
          <w:sz w:val="28"/>
          <w:szCs w:val="28"/>
          <w:highlight w:val="none"/>
          <w:shd w:val="clear" w:color="auto" w:fill="auto"/>
          <w:lang w:val="en-US" w:eastAsia="zh-CN" w:bidi="ar-SA"/>
        </w:rPr>
        <w:t>万元。</w:t>
      </w:r>
    </w:p>
    <w:p w14:paraId="4C6B95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b/>
          <w:bCs/>
          <w:color w:val="auto"/>
          <w:highlight w:val="none"/>
          <w:shd w:val="clear" w:color="auto" w:fill="auto"/>
          <w:lang w:val="en-US" w:eastAsia="zh-CN"/>
        </w:rPr>
        <w:t>组织实施</w:t>
      </w:r>
      <w:r>
        <w:rPr>
          <w:rFonts w:hint="eastAsia" w:ascii="宋体" w:hAnsi="宋体" w:eastAsia="宋体" w:cs="宋体"/>
          <w:b/>
          <w:bCs/>
          <w:color w:val="auto"/>
          <w:highlight w:val="none"/>
          <w:shd w:val="clear" w:color="auto" w:fill="auto"/>
          <w:lang w:val="en-US" w:eastAsia="zh-CN"/>
        </w:rPr>
        <w:t>：</w:t>
      </w:r>
      <w:r>
        <w:rPr>
          <w:rFonts w:hint="eastAsia" w:ascii="宋体" w:hAnsi="宋体" w:eastAsia="宋体" w:cs="宋体"/>
          <w:color w:val="auto"/>
          <w:highlight w:val="none"/>
          <w:shd w:val="clear" w:color="auto" w:fill="auto"/>
          <w:lang w:val="en-US" w:eastAsia="zh-CN"/>
        </w:rPr>
        <w:t>本项目自</w:t>
      </w:r>
      <w:r>
        <w:rPr>
          <w:rFonts w:hint="eastAsia" w:cs="宋体"/>
          <w:color w:val="auto"/>
          <w:highlight w:val="none"/>
          <w:shd w:val="clear" w:color="auto" w:fill="auto"/>
          <w:lang w:val="en-US" w:eastAsia="zh-CN"/>
        </w:rPr>
        <w:t>2023</w:t>
      </w:r>
      <w:r>
        <w:rPr>
          <w:rFonts w:hint="eastAsia" w:ascii="宋体" w:hAnsi="宋体" w:eastAsia="宋体" w:cs="宋体"/>
          <w:color w:val="auto"/>
          <w:highlight w:val="none"/>
          <w:shd w:val="clear" w:color="auto" w:fill="auto"/>
          <w:lang w:val="en-US" w:eastAsia="zh-CN"/>
        </w:rPr>
        <w:t>年</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月</w:t>
      </w:r>
      <w:r>
        <w:rPr>
          <w:rFonts w:hint="eastAsia" w:cs="宋体"/>
          <w:color w:val="auto"/>
          <w:highlight w:val="none"/>
          <w:shd w:val="clear" w:color="auto" w:fill="auto"/>
          <w:lang w:val="en-US" w:eastAsia="zh-CN"/>
        </w:rPr>
        <w:t>10</w:t>
      </w:r>
      <w:r>
        <w:rPr>
          <w:rFonts w:hint="eastAsia" w:ascii="宋体" w:hAnsi="宋体" w:eastAsia="宋体" w:cs="宋体"/>
          <w:color w:val="auto"/>
          <w:highlight w:val="none"/>
          <w:shd w:val="clear" w:color="auto" w:fill="auto"/>
          <w:lang w:val="en-US" w:eastAsia="zh-CN"/>
        </w:rPr>
        <w:t>日</w:t>
      </w:r>
      <w:r>
        <w:rPr>
          <w:rFonts w:hint="eastAsia" w:cs="宋体"/>
          <w:color w:val="auto"/>
          <w:highlight w:val="none"/>
          <w:shd w:val="clear" w:color="auto" w:fill="auto"/>
          <w:lang w:val="en-US" w:eastAsia="zh-CN"/>
        </w:rPr>
        <w:t>，</w:t>
      </w:r>
      <w:r>
        <w:rPr>
          <w:rFonts w:hint="eastAsia" w:ascii="宋体" w:hAnsi="宋体" w:eastAsia="宋体" w:cs="宋体"/>
          <w:color w:val="auto"/>
          <w:highlight w:val="none"/>
          <w:shd w:val="clear" w:color="auto" w:fill="auto"/>
          <w:lang w:val="en-US" w:eastAsia="zh-CN"/>
        </w:rPr>
        <w:t>经</w:t>
      </w:r>
      <w:r>
        <w:rPr>
          <w:rFonts w:hint="eastAsia" w:cs="宋体"/>
          <w:color w:val="auto"/>
          <w:highlight w:val="none"/>
          <w:shd w:val="clear" w:color="auto" w:fill="auto"/>
          <w:lang w:val="en-US" w:eastAsia="zh-CN"/>
        </w:rPr>
        <w:t>阜体检办发【2023】1号</w:t>
      </w:r>
      <w:r>
        <w:rPr>
          <w:rFonts w:hint="eastAsia" w:ascii="宋体" w:hAnsi="宋体" w:eastAsia="宋体" w:cs="宋体"/>
          <w:color w:val="auto"/>
          <w:highlight w:val="none"/>
          <w:shd w:val="clear" w:color="auto" w:fill="auto"/>
          <w:lang w:val="en-US" w:eastAsia="zh-CN"/>
        </w:rPr>
        <w:t>文件批复，经</w:t>
      </w:r>
      <w:r>
        <w:rPr>
          <w:rFonts w:hint="eastAsia" w:cs="宋体"/>
          <w:color w:val="auto"/>
          <w:highlight w:val="none"/>
          <w:shd w:val="clear" w:color="auto" w:fill="auto"/>
          <w:lang w:val="en-US" w:eastAsia="zh-CN"/>
        </w:rPr>
        <w:t>院长办公</w:t>
      </w:r>
      <w:r>
        <w:rPr>
          <w:rFonts w:hint="eastAsia" w:ascii="宋体" w:hAnsi="宋体" w:eastAsia="宋体" w:cs="宋体"/>
          <w:color w:val="auto"/>
          <w:highlight w:val="none"/>
          <w:shd w:val="clear" w:color="auto" w:fill="auto"/>
          <w:lang w:val="en-US" w:eastAsia="zh-CN"/>
        </w:rPr>
        <w:t>会议，确定了项目领导小组，明确了责任分工：组长为</w:t>
      </w:r>
      <w:r>
        <w:rPr>
          <w:rFonts w:hint="eastAsia" w:cs="宋体"/>
          <w:color w:val="auto"/>
          <w:highlight w:val="none"/>
          <w:shd w:val="clear" w:color="auto" w:fill="auto"/>
          <w:lang w:val="en-US" w:eastAsia="zh-CN"/>
        </w:rPr>
        <w:t>杨兵</w:t>
      </w:r>
      <w:r>
        <w:rPr>
          <w:rFonts w:hint="eastAsia" w:ascii="宋体" w:hAnsi="宋体" w:eastAsia="宋体" w:cs="宋体"/>
          <w:color w:val="auto"/>
          <w:highlight w:val="none"/>
          <w:shd w:val="clear" w:color="auto" w:fill="auto"/>
          <w:lang w:val="en-US" w:eastAsia="zh-CN"/>
        </w:rPr>
        <w:t>，副组长为</w:t>
      </w:r>
      <w:r>
        <w:rPr>
          <w:rFonts w:hint="eastAsia" w:cs="宋体"/>
          <w:color w:val="auto"/>
          <w:highlight w:val="none"/>
          <w:shd w:val="clear" w:color="auto" w:fill="auto"/>
          <w:lang w:val="en-US" w:eastAsia="zh-CN"/>
        </w:rPr>
        <w:t>周兆虎</w:t>
      </w:r>
      <w:r>
        <w:rPr>
          <w:rFonts w:hint="eastAsia" w:ascii="宋体" w:hAnsi="宋体" w:eastAsia="宋体" w:cs="宋体"/>
          <w:color w:val="auto"/>
          <w:highlight w:val="none"/>
          <w:shd w:val="clear" w:color="auto" w:fill="auto"/>
          <w:lang w:val="en-US" w:eastAsia="zh-CN"/>
        </w:rPr>
        <w:t>，</w:t>
      </w:r>
      <w:r>
        <w:rPr>
          <w:rFonts w:hint="eastAsia" w:cs="宋体"/>
          <w:color w:val="auto"/>
          <w:highlight w:val="none"/>
          <w:shd w:val="clear" w:color="auto" w:fill="auto"/>
          <w:lang w:val="en-US" w:eastAsia="zh-CN"/>
        </w:rPr>
        <w:t>项目负责人为邵文坛,</w:t>
      </w:r>
      <w:r>
        <w:rPr>
          <w:rFonts w:hint="eastAsia" w:ascii="宋体" w:hAnsi="宋体" w:eastAsia="宋体" w:cs="宋体"/>
          <w:color w:val="auto"/>
          <w:highlight w:val="none"/>
          <w:shd w:val="clear" w:color="auto" w:fill="auto"/>
          <w:lang w:val="en-US" w:eastAsia="zh-CN"/>
        </w:rPr>
        <w:t>组员为</w:t>
      </w:r>
      <w:r>
        <w:rPr>
          <w:rFonts w:hint="eastAsia" w:cs="宋体"/>
          <w:color w:val="auto"/>
          <w:highlight w:val="none"/>
          <w:shd w:val="clear" w:color="auto" w:fill="auto"/>
          <w:lang w:val="en-US" w:eastAsia="zh-CN"/>
        </w:rPr>
        <w:t>陆彦、齐玉花</w:t>
      </w:r>
      <w:r>
        <w:rPr>
          <w:rFonts w:hint="eastAsia" w:ascii="宋体" w:hAnsi="宋体" w:eastAsia="宋体" w:cs="宋体"/>
          <w:color w:val="auto"/>
          <w:highlight w:val="none"/>
          <w:shd w:val="clear" w:color="auto" w:fill="auto"/>
          <w:lang w:val="en-US" w:eastAsia="zh-CN"/>
        </w:rPr>
        <w:t>，其中：</w:t>
      </w:r>
      <w:r>
        <w:rPr>
          <w:rFonts w:hint="eastAsia" w:cs="宋体"/>
          <w:color w:val="auto"/>
          <w:highlight w:val="none"/>
          <w:shd w:val="clear" w:color="auto" w:fill="auto"/>
          <w:lang w:val="en-US" w:eastAsia="zh-CN"/>
        </w:rPr>
        <w:t>周兆虎</w:t>
      </w:r>
      <w:r>
        <w:rPr>
          <w:rFonts w:hint="eastAsia" w:ascii="宋体" w:hAnsi="宋体" w:eastAsia="宋体" w:cs="宋体"/>
          <w:color w:val="auto"/>
          <w:highlight w:val="none"/>
          <w:shd w:val="clear" w:color="auto" w:fill="auto"/>
          <w:lang w:val="en-US" w:eastAsia="zh-CN"/>
        </w:rPr>
        <w:t>负责监管工作，</w:t>
      </w:r>
      <w:r>
        <w:rPr>
          <w:rFonts w:hint="eastAsia" w:cs="宋体"/>
          <w:color w:val="auto"/>
          <w:highlight w:val="none"/>
          <w:shd w:val="clear" w:color="auto" w:fill="auto"/>
          <w:lang w:val="en-US" w:eastAsia="zh-CN"/>
        </w:rPr>
        <w:t>陆彦</w:t>
      </w:r>
      <w:r>
        <w:rPr>
          <w:rFonts w:hint="eastAsia" w:ascii="宋体" w:hAnsi="宋体" w:eastAsia="宋体" w:cs="宋体"/>
          <w:color w:val="auto"/>
          <w:highlight w:val="none"/>
          <w:shd w:val="clear" w:color="auto" w:fill="auto"/>
          <w:lang w:val="en-US" w:eastAsia="zh-CN"/>
        </w:rPr>
        <w:t>负责项目档案资料，</w:t>
      </w:r>
      <w:r>
        <w:rPr>
          <w:rFonts w:hint="eastAsia" w:cs="宋体"/>
          <w:color w:val="auto"/>
          <w:highlight w:val="none"/>
          <w:shd w:val="clear" w:color="auto" w:fill="auto"/>
          <w:lang w:val="en-US" w:eastAsia="zh-CN"/>
        </w:rPr>
        <w:t>邱芳</w:t>
      </w:r>
      <w:r>
        <w:rPr>
          <w:rFonts w:hint="eastAsia" w:ascii="宋体" w:hAnsi="宋体" w:eastAsia="宋体" w:cs="宋体"/>
          <w:color w:val="auto"/>
          <w:highlight w:val="none"/>
          <w:shd w:val="clear" w:color="auto" w:fill="auto"/>
          <w:lang w:val="en-US" w:eastAsia="zh-CN"/>
        </w:rPr>
        <w:t>负责资金拨付工作。</w:t>
      </w:r>
    </w:p>
    <w:p w14:paraId="59684422">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7" w:name="_Toc1858"/>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3.资金投入和使用情况</w:t>
      </w:r>
      <w:bookmarkEnd w:id="7"/>
    </w:p>
    <w:p w14:paraId="344C60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项目资金安排落实、总投入等情况分析</w:t>
      </w:r>
    </w:p>
    <w:p w14:paraId="597A28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202</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全民健康体检项目预算安排总额为</w:t>
      </w:r>
      <w:r>
        <w:rPr>
          <w:rFonts w:hint="eastAsia" w:cs="宋体"/>
          <w:color w:val="auto"/>
          <w:highlight w:val="none"/>
          <w:shd w:val="clear" w:color="auto" w:fill="auto"/>
          <w:lang w:val="en-US" w:eastAsia="zh-CN"/>
        </w:rPr>
        <w:t>34.15</w:t>
      </w:r>
      <w:r>
        <w:rPr>
          <w:rFonts w:hint="eastAsia" w:ascii="宋体" w:hAnsi="宋体" w:eastAsia="宋体" w:cs="宋体"/>
          <w:color w:val="auto"/>
          <w:highlight w:val="none"/>
          <w:shd w:val="clear" w:color="auto" w:fill="auto"/>
          <w:lang w:val="en-US" w:eastAsia="zh-CN"/>
        </w:rPr>
        <w:t>万元，其中财政资</w:t>
      </w:r>
      <w:r>
        <w:rPr>
          <w:rFonts w:hint="eastAsia" w:cs="宋体"/>
          <w:color w:val="auto"/>
          <w:highlight w:val="none"/>
          <w:shd w:val="clear" w:color="auto" w:fill="auto"/>
          <w:lang w:val="en-US" w:eastAsia="zh-CN"/>
        </w:rPr>
        <w:t>金34.15</w:t>
      </w:r>
      <w:r>
        <w:rPr>
          <w:rFonts w:hint="eastAsia" w:ascii="宋体" w:hAnsi="宋体" w:eastAsia="宋体" w:cs="宋体"/>
          <w:color w:val="auto"/>
          <w:highlight w:val="none"/>
          <w:shd w:val="clear" w:color="auto" w:fill="auto"/>
          <w:lang w:val="en-US" w:eastAsia="zh-CN"/>
        </w:rPr>
        <w:t>万元，其他资金</w:t>
      </w:r>
      <w:r>
        <w:rPr>
          <w:rFonts w:hint="eastAsia"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lang w:val="en-US" w:eastAsia="zh-CN"/>
        </w:rPr>
        <w:t>万元，</w:t>
      </w:r>
      <w:r>
        <w:rPr>
          <w:rFonts w:hint="eastAsia" w:cs="宋体"/>
          <w:color w:val="auto"/>
          <w:highlight w:val="none"/>
          <w:shd w:val="clear" w:color="auto" w:fill="auto"/>
          <w:lang w:val="en-US" w:eastAsia="zh-CN"/>
        </w:rPr>
        <w:t>2023</w:t>
      </w:r>
      <w:r>
        <w:rPr>
          <w:rFonts w:hint="eastAsia" w:ascii="宋体" w:hAnsi="宋体" w:eastAsia="宋体" w:cs="宋体"/>
          <w:color w:val="auto"/>
          <w:highlight w:val="none"/>
          <w:shd w:val="clear" w:color="auto" w:fill="auto"/>
          <w:lang w:val="en-US" w:eastAsia="zh-CN"/>
        </w:rPr>
        <w:t>年实际收到预算资金</w:t>
      </w:r>
      <w:r>
        <w:rPr>
          <w:rFonts w:hint="eastAsia" w:cs="宋体"/>
          <w:color w:val="auto"/>
          <w:highlight w:val="none"/>
          <w:shd w:val="clear" w:color="auto" w:fill="auto"/>
          <w:lang w:val="en-US" w:eastAsia="zh-CN"/>
        </w:rPr>
        <w:t>34.15</w:t>
      </w:r>
      <w:r>
        <w:rPr>
          <w:rFonts w:hint="eastAsia" w:ascii="宋体" w:hAnsi="宋体" w:eastAsia="宋体" w:cs="宋体"/>
          <w:color w:val="auto"/>
          <w:highlight w:val="none"/>
          <w:shd w:val="clear" w:color="auto" w:fill="auto"/>
          <w:lang w:val="en-US" w:eastAsia="zh-CN"/>
        </w:rPr>
        <w:t>万元，预算资金到位率为</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lang w:val="en-US" w:eastAsia="zh-CN"/>
        </w:rPr>
        <w:t>%。</w:t>
      </w:r>
    </w:p>
    <w:p w14:paraId="1B3870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4" w:firstLineChars="200"/>
        <w:textAlignment w:val="auto"/>
        <w:rPr>
          <w:rFonts w:hint="eastAsia" w:ascii="宋体" w:hAnsi="宋体" w:eastAsia="宋体" w:cs="宋体"/>
          <w:bCs/>
          <w:color w:val="auto"/>
          <w:spacing w:val="-4"/>
          <w:highlight w:val="none"/>
          <w:shd w:val="clear" w:color="auto" w:fill="auto"/>
        </w:rPr>
      </w:pP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lang w:val="en-US" w:eastAsia="zh-CN"/>
        </w:rPr>
        <w:t>2</w:t>
      </w: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rPr>
        <w:t>项目资金实际使用情况分析</w:t>
      </w:r>
    </w:p>
    <w:p w14:paraId="1F6B4AD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截至2023年12月31日，</w:t>
      </w:r>
      <w:r>
        <w:rPr>
          <w:rFonts w:hint="eastAsia" w:ascii="宋体" w:hAnsi="宋体" w:eastAsia="宋体" w:cs="宋体"/>
          <w:color w:val="auto"/>
          <w:highlight w:val="none"/>
          <w:shd w:val="clear" w:color="auto" w:fill="auto"/>
          <w:lang w:val="en-US" w:eastAsia="zh-CN"/>
        </w:rPr>
        <w:t>202</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全民健康体检项目</w:t>
      </w:r>
      <w:r>
        <w:rPr>
          <w:rFonts w:hint="eastAsia" w:ascii="宋体" w:hAnsi="宋体" w:eastAsia="宋体" w:cs="宋体"/>
          <w:color w:val="auto"/>
          <w:highlight w:val="none"/>
          <w:shd w:val="clear" w:color="auto" w:fill="auto"/>
        </w:rPr>
        <w:t>实际支付资金</w:t>
      </w:r>
      <w:r>
        <w:rPr>
          <w:rFonts w:hint="eastAsia" w:cs="宋体"/>
          <w:color w:val="auto"/>
          <w:highlight w:val="none"/>
          <w:shd w:val="clear" w:color="auto" w:fill="auto"/>
          <w:lang w:val="en-US" w:eastAsia="zh-CN"/>
        </w:rPr>
        <w:t>32.66</w:t>
      </w:r>
      <w:r>
        <w:rPr>
          <w:rFonts w:hint="eastAsia" w:ascii="宋体" w:hAnsi="宋体" w:eastAsia="宋体" w:cs="宋体"/>
          <w:color w:val="auto"/>
          <w:highlight w:val="none"/>
          <w:shd w:val="clear" w:color="auto" w:fill="auto"/>
        </w:rPr>
        <w:t>万元，预算执行率</w:t>
      </w:r>
      <w:r>
        <w:rPr>
          <w:rFonts w:hint="eastAsia" w:cs="宋体"/>
          <w:color w:val="auto"/>
          <w:highlight w:val="none"/>
          <w:shd w:val="clear" w:color="auto" w:fill="auto"/>
          <w:lang w:val="en-US" w:eastAsia="zh-CN"/>
        </w:rPr>
        <w:t>95.64</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结</w:t>
      </w:r>
      <w:r>
        <w:rPr>
          <w:rFonts w:hint="eastAsia" w:cs="宋体"/>
          <w:color w:val="auto"/>
          <w:highlight w:val="none"/>
          <w:shd w:val="clear" w:color="auto" w:fill="auto"/>
          <w:lang w:val="en-US" w:eastAsia="zh-CN"/>
        </w:rPr>
        <w:t>转</w:t>
      </w:r>
      <w:r>
        <w:rPr>
          <w:rFonts w:hint="eastAsia" w:ascii="宋体" w:hAnsi="宋体" w:eastAsia="宋体" w:cs="宋体"/>
          <w:color w:val="auto"/>
          <w:highlight w:val="none"/>
          <w:shd w:val="clear" w:color="auto" w:fill="auto"/>
          <w:lang w:eastAsia="zh-CN"/>
        </w:rPr>
        <w:t>结余资金</w:t>
      </w:r>
      <w:r>
        <w:rPr>
          <w:rFonts w:hint="eastAsia" w:cs="宋体"/>
          <w:color w:val="auto"/>
          <w:highlight w:val="none"/>
          <w:shd w:val="clear" w:color="auto" w:fill="auto"/>
          <w:lang w:val="en-US" w:eastAsia="zh-CN"/>
        </w:rPr>
        <w:t>1.49</w:t>
      </w:r>
      <w:r>
        <w:rPr>
          <w:rFonts w:hint="eastAsia" w:ascii="宋体" w:hAnsi="宋体" w:eastAsia="宋体" w:cs="宋体"/>
          <w:color w:val="auto"/>
          <w:highlight w:val="none"/>
          <w:shd w:val="clear" w:color="auto" w:fill="auto"/>
          <w:lang w:val="en-US" w:eastAsia="zh-CN"/>
        </w:rPr>
        <w:t>万元。</w:t>
      </w:r>
      <w:r>
        <w:rPr>
          <w:rFonts w:hint="eastAsia" w:ascii="宋体" w:hAnsi="宋体" w:eastAsia="宋体" w:cs="宋体"/>
          <w:color w:val="auto"/>
          <w:highlight w:val="none"/>
          <w:shd w:val="clear" w:color="auto" w:fill="auto"/>
        </w:rPr>
        <w:t>项目资金主要用于</w:t>
      </w:r>
      <w:r>
        <w:rPr>
          <w:rFonts w:hint="eastAsia" w:cs="宋体"/>
          <w:color w:val="auto"/>
          <w:highlight w:val="none"/>
          <w:shd w:val="clear" w:color="auto" w:fill="auto"/>
          <w:lang w:val="en-US" w:eastAsia="zh-CN"/>
        </w:rPr>
        <w:t>体检试剂耗材购置、体检人员劳务费、体检所需办公用品耗材购置及体检设备维护保养等方面。</w:t>
      </w:r>
    </w:p>
    <w:p w14:paraId="6339FA4F">
      <w:pPr>
        <w:pStyle w:val="4"/>
        <w:pageBreakBefore w:val="0"/>
        <w:numPr>
          <w:ilvl w:val="0"/>
          <w:numId w:val="2"/>
        </w:numPr>
        <w:kinsoku/>
        <w:wordWrap/>
        <w:overflowPunct/>
        <w:topLinePunct w:val="0"/>
        <w:autoSpaceDE/>
        <w:autoSpaceDN/>
        <w:bidi w:val="0"/>
        <w:adjustRightInd/>
        <w:spacing w:beforeLines="0" w:afterLines="0" w:line="360" w:lineRule="auto"/>
        <w:ind w:left="-404" w:leftChars="0" w:firstLineChars="0"/>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8" w:name="_Toc2879"/>
      <w:r>
        <w:rPr>
          <w:rFonts w:hint="eastAsia" w:ascii="宋体" w:hAnsi="宋体" w:eastAsia="宋体" w:cs="宋体"/>
          <w:color w:val="000000" w:themeColor="text1"/>
          <w:highlight w:val="none"/>
          <w:shd w:val="clear" w:color="auto" w:fill="auto"/>
          <w14:textFill>
            <w14:solidFill>
              <w14:schemeClr w14:val="tx1"/>
            </w14:solidFill>
          </w14:textFill>
        </w:rPr>
        <w:t>项目绩效目标</w:t>
      </w:r>
      <w:bookmarkEnd w:id="8"/>
    </w:p>
    <w:p w14:paraId="2A37BAEA">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bookmarkStart w:id="9" w:name="_Toc10047"/>
      <w:r>
        <w:rPr>
          <w:rFonts w:hint="eastAsia" w:ascii="宋体" w:hAnsi="宋体" w:eastAsia="宋体" w:cs="宋体"/>
          <w:color w:val="auto"/>
          <w:highlight w:val="none"/>
          <w:shd w:val="clear" w:color="auto" w:fill="auto"/>
          <w:lang w:val="en-US" w:eastAsia="zh-CN"/>
        </w:rPr>
        <w:t>1.总体目标</w:t>
      </w:r>
      <w:bookmarkEnd w:id="9"/>
    </w:p>
    <w:p w14:paraId="187115A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2022全民健康体检项目绩效总体目标为：阜康市</w:t>
      </w:r>
      <w:r>
        <w:rPr>
          <w:rFonts w:hint="eastAsia" w:cs="宋体"/>
          <w:color w:val="auto"/>
          <w:highlight w:val="none"/>
          <w:shd w:val="clear" w:color="auto" w:fill="auto"/>
          <w:lang w:val="en-US" w:eastAsia="zh-CN"/>
        </w:rPr>
        <w:t>滋泥泉子镇中心卫生院</w:t>
      </w:r>
      <w:r>
        <w:rPr>
          <w:rFonts w:hint="eastAsia" w:ascii="宋体" w:hAnsi="宋体" w:eastAsia="宋体" w:cs="宋体"/>
          <w:color w:val="auto"/>
          <w:highlight w:val="none"/>
          <w:shd w:val="clear" w:color="auto" w:fill="auto"/>
          <w:lang w:val="en-US" w:eastAsia="zh-CN"/>
        </w:rPr>
        <w:t>计划对辖区内居住群众进行一年一度的全民健康检查，全民健康体检人次数达到</w:t>
      </w:r>
      <w:r>
        <w:rPr>
          <w:rFonts w:hint="eastAsia" w:cs="宋体"/>
          <w:color w:val="auto"/>
          <w:highlight w:val="none"/>
          <w:shd w:val="clear" w:color="auto" w:fill="auto"/>
          <w:lang w:val="en-US" w:eastAsia="zh-CN"/>
        </w:rPr>
        <w:t>8264</w:t>
      </w:r>
      <w:r>
        <w:rPr>
          <w:rFonts w:hint="eastAsia" w:ascii="宋体" w:hAnsi="宋体" w:eastAsia="宋体" w:cs="宋体"/>
          <w:color w:val="auto"/>
          <w:highlight w:val="none"/>
          <w:shd w:val="clear" w:color="auto" w:fill="auto"/>
          <w:lang w:val="en-US" w:eastAsia="zh-CN"/>
        </w:rPr>
        <w:t>人次，全民健康体检胸部X线片人次数达到</w:t>
      </w:r>
      <w:r>
        <w:rPr>
          <w:rFonts w:hint="eastAsia" w:cs="宋体"/>
          <w:color w:val="auto"/>
          <w:highlight w:val="none"/>
          <w:shd w:val="clear" w:color="auto" w:fill="auto"/>
          <w:lang w:val="en-US" w:eastAsia="zh-CN"/>
        </w:rPr>
        <w:t>8264人</w:t>
      </w:r>
      <w:r>
        <w:rPr>
          <w:rFonts w:hint="eastAsia" w:ascii="宋体" w:hAnsi="宋体" w:eastAsia="宋体" w:cs="宋体"/>
          <w:color w:val="auto"/>
          <w:highlight w:val="none"/>
          <w:shd w:val="clear" w:color="auto" w:fill="auto"/>
          <w:lang w:val="en-US" w:eastAsia="zh-CN"/>
        </w:rPr>
        <w:t>次，系统录入人次数达到</w:t>
      </w:r>
      <w:r>
        <w:rPr>
          <w:rFonts w:hint="eastAsia" w:cs="宋体"/>
          <w:color w:val="auto"/>
          <w:highlight w:val="none"/>
          <w:shd w:val="clear" w:color="auto" w:fill="auto"/>
          <w:lang w:val="en-US" w:eastAsia="zh-CN"/>
        </w:rPr>
        <w:t>8264</w:t>
      </w:r>
      <w:r>
        <w:rPr>
          <w:rFonts w:hint="eastAsia" w:ascii="宋体" w:hAnsi="宋体" w:eastAsia="宋体" w:cs="宋体"/>
          <w:color w:val="auto"/>
          <w:highlight w:val="none"/>
          <w:shd w:val="clear" w:color="auto" w:fill="auto"/>
          <w:lang w:val="en-US" w:eastAsia="zh-CN"/>
        </w:rPr>
        <w:t>人次；系统录入合格率达到100%；2023年</w:t>
      </w:r>
      <w:r>
        <w:rPr>
          <w:rFonts w:hint="eastAsia" w:cs="宋体"/>
          <w:color w:val="auto"/>
          <w:highlight w:val="none"/>
          <w:shd w:val="clear" w:color="auto" w:fill="auto"/>
          <w:lang w:val="en-US" w:eastAsia="zh-CN"/>
        </w:rPr>
        <w:t>10</w:t>
      </w:r>
      <w:r>
        <w:rPr>
          <w:rFonts w:hint="eastAsia" w:ascii="宋体" w:hAnsi="宋体" w:eastAsia="宋体" w:cs="宋体"/>
          <w:color w:val="auto"/>
          <w:highlight w:val="none"/>
          <w:shd w:val="clear" w:color="auto" w:fill="auto"/>
          <w:lang w:val="en-US" w:eastAsia="zh-CN"/>
        </w:rPr>
        <w:t>月完成，居民健康保健意识和知晓率逐步提高；居民健康水平提高。</w:t>
      </w:r>
    </w:p>
    <w:p w14:paraId="63BF6F25">
      <w:pPr>
        <w:pStyle w:val="5"/>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宋体" w:hAnsi="宋体" w:eastAsia="宋体" w:cs="宋体"/>
          <w:color w:val="auto"/>
          <w:highlight w:val="none"/>
          <w:shd w:val="clear" w:color="auto" w:fill="auto"/>
          <w:lang w:val="en-US" w:eastAsia="zh-CN"/>
        </w:rPr>
      </w:pPr>
      <w:bookmarkStart w:id="10" w:name="_Toc4487"/>
      <w:r>
        <w:rPr>
          <w:rFonts w:hint="eastAsia" w:ascii="宋体" w:hAnsi="宋体" w:eastAsia="宋体" w:cs="宋体"/>
          <w:color w:val="auto"/>
          <w:highlight w:val="none"/>
          <w:shd w:val="clear" w:color="auto" w:fill="auto"/>
          <w:lang w:val="en-US" w:eastAsia="zh-CN"/>
        </w:rPr>
        <w:t>2.阶段性目标</w:t>
      </w:r>
      <w:bookmarkEnd w:id="10"/>
    </w:p>
    <w:p w14:paraId="45237FA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highlight w:val="none"/>
          <w:shd w:val="clear" w:color="auto" w:fill="auto"/>
          <w:lang w:eastAsia="zh-CN"/>
          <w14:textFill>
            <w14:solidFill>
              <w14:schemeClr w14:val="tx1"/>
            </w14:solidFill>
          </w14:textFill>
        </w:rPr>
      </w:pPr>
      <w:r>
        <w:rPr>
          <w:rFonts w:hint="eastAsia" w:ascii="宋体" w:hAnsi="宋体" w:eastAsia="宋体" w:cs="宋体"/>
          <w:bCs/>
          <w:color w:val="auto"/>
          <w:highlight w:val="none"/>
          <w:shd w:val="clear" w:color="auto" w:fill="auto"/>
          <w:lang w:eastAsia="zh-CN"/>
        </w:rPr>
        <w:t>根据《预算法</w:t>
      </w:r>
      <w:r>
        <w:rPr>
          <w:rFonts w:hint="eastAsia"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eastAsia="zh-CN"/>
        </w:rPr>
        <w:t>财政支出绩效评价管理暂行办法》（财预〔20</w:t>
      </w:r>
      <w:r>
        <w:rPr>
          <w:rFonts w:hint="eastAsia" w:ascii="宋体" w:hAnsi="宋体" w:eastAsia="宋体" w:cs="宋体"/>
          <w:bCs/>
          <w:color w:val="auto"/>
          <w:highlight w:val="none"/>
          <w:shd w:val="clear" w:color="auto" w:fill="auto"/>
          <w:lang w:val="en-US" w:eastAsia="zh-CN"/>
        </w:rPr>
        <w:t>20</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10</w:t>
      </w:r>
      <w:r>
        <w:rPr>
          <w:rFonts w:hint="eastAsia" w:ascii="宋体" w:hAnsi="宋体" w:eastAsia="宋体" w:cs="宋体"/>
          <w:bCs/>
          <w:color w:val="auto"/>
          <w:highlight w:val="none"/>
          <w:shd w:val="clear" w:color="auto" w:fill="auto"/>
          <w:lang w:eastAsia="zh-CN"/>
        </w:rPr>
        <w:t>号）、《自治区党委自治区人民政府关于全面实施预算绩效管理的实施意见》（新党发〔2018〕30号）、</w:t>
      </w:r>
      <w:r>
        <w:rPr>
          <w:rFonts w:hint="eastAsia" w:ascii="宋体" w:hAnsi="宋体" w:eastAsia="宋体" w:cs="宋体"/>
          <w:color w:val="auto"/>
          <w:highlight w:val="none"/>
          <w:shd w:val="clear" w:color="auto" w:fill="auto"/>
        </w:rPr>
        <w:t>《自治区财政支出绩效评价管理暂行办法》</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新财预〔2018〕189号</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等文件</w:t>
      </w:r>
      <w:r>
        <w:rPr>
          <w:rFonts w:hint="eastAsia" w:ascii="宋体" w:hAnsi="宋体" w:eastAsia="宋体" w:cs="宋体"/>
          <w:bCs/>
          <w:color w:val="auto"/>
          <w:highlight w:val="none"/>
          <w:shd w:val="clear" w:color="auto" w:fill="auto"/>
          <w:lang w:eastAsia="zh-CN"/>
        </w:rPr>
        <w:t>的规定，结合项目实施单位的规章制度以及财务</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相关资料，评价小组对项目绩效目标进行了进一步的完善，完善</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后</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绩效目标如下：</w:t>
      </w:r>
    </w:p>
    <w:p w14:paraId="4C9FFA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项目产出</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目标</w:t>
      </w:r>
    </w:p>
    <w:p w14:paraId="7D9234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①数量指标</w:t>
      </w:r>
    </w:p>
    <w:p w14:paraId="193DF45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highlight w:val="none"/>
          <w:shd w:val="clear" w:color="auto" w:fill="auto"/>
          <w:lang w:val="en-US" w:eastAsia="zh-CN"/>
        </w:rPr>
      </w:pP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完成全民体检人次数</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指标，预期目标值为≥</w:t>
      </w:r>
      <w:r>
        <w:rPr>
          <w:rFonts w:hint="eastAsia" w:cs="宋体"/>
          <w:bCs/>
          <w:color w:val="auto"/>
          <w:highlight w:val="none"/>
          <w:shd w:val="clear" w:color="auto" w:fill="auto"/>
          <w:lang w:val="en-US" w:eastAsia="zh-CN"/>
        </w:rPr>
        <w:t>8264</w:t>
      </w:r>
      <w:r>
        <w:rPr>
          <w:rFonts w:hint="eastAsia" w:ascii="宋体" w:hAnsi="宋体" w:eastAsia="宋体" w:cs="宋体"/>
          <w:bCs/>
          <w:color w:val="auto"/>
          <w:highlight w:val="none"/>
          <w:shd w:val="clear" w:color="auto" w:fill="auto"/>
          <w:lang w:val="en-US" w:eastAsia="zh-CN"/>
        </w:rPr>
        <w:t>人次；</w:t>
      </w:r>
    </w:p>
    <w:p w14:paraId="602F79B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highlight w:val="none"/>
          <w:shd w:val="clear" w:color="auto" w:fill="auto"/>
          <w:lang w:val="en-US" w:eastAsia="zh-CN"/>
        </w:rPr>
      </w:pPr>
      <w:r>
        <w:rPr>
          <w:rFonts w:hint="eastAsia" w:ascii="宋体" w:hAnsi="宋体" w:eastAsia="宋体" w:cs="宋体"/>
          <w:bCs/>
          <w:color w:val="auto"/>
          <w:highlight w:val="none"/>
          <w:shd w:val="clear" w:color="auto" w:fill="auto"/>
          <w:lang w:val="en-US" w:eastAsia="zh-CN"/>
        </w:rPr>
        <w:t>“胸部X线片人次”指标，预期目标值为≥</w:t>
      </w:r>
      <w:r>
        <w:rPr>
          <w:rFonts w:hint="eastAsia" w:cs="宋体"/>
          <w:bCs/>
          <w:color w:val="auto"/>
          <w:highlight w:val="none"/>
          <w:shd w:val="clear" w:color="auto" w:fill="auto"/>
          <w:lang w:val="en-US" w:eastAsia="zh-CN"/>
        </w:rPr>
        <w:t>8264</w:t>
      </w:r>
      <w:r>
        <w:rPr>
          <w:rFonts w:hint="eastAsia" w:ascii="宋体" w:hAnsi="宋体" w:eastAsia="宋体" w:cs="宋体"/>
          <w:bCs/>
          <w:color w:val="auto"/>
          <w:highlight w:val="none"/>
          <w:shd w:val="clear" w:color="auto" w:fill="auto"/>
          <w:lang w:val="en-US" w:eastAsia="zh-CN"/>
        </w:rPr>
        <w:t>人次；</w:t>
      </w:r>
    </w:p>
    <w:p w14:paraId="31A3099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highlight w:val="none"/>
          <w:shd w:val="clear" w:color="auto" w:fill="auto"/>
          <w:lang w:val="en-US" w:eastAsia="zh-CN"/>
        </w:rPr>
      </w:pPr>
      <w:r>
        <w:rPr>
          <w:rFonts w:hint="eastAsia" w:ascii="宋体" w:hAnsi="宋体" w:eastAsia="宋体" w:cs="宋体"/>
          <w:bCs/>
          <w:color w:val="auto"/>
          <w:highlight w:val="none"/>
          <w:shd w:val="clear" w:color="auto" w:fill="auto"/>
          <w:lang w:val="en-US" w:eastAsia="zh-CN"/>
        </w:rPr>
        <w:t>“</w:t>
      </w:r>
      <w:r>
        <w:rPr>
          <w:rFonts w:hint="default" w:ascii="宋体" w:hAnsi="宋体" w:eastAsia="宋体" w:cs="宋体"/>
          <w:bCs/>
          <w:color w:val="auto"/>
          <w:highlight w:val="none"/>
          <w:shd w:val="clear" w:color="auto" w:fill="auto"/>
          <w:lang w:val="en-US" w:eastAsia="zh-CN"/>
        </w:rPr>
        <w:t>系统录入人次</w:t>
      </w:r>
      <w:r>
        <w:rPr>
          <w:rFonts w:hint="eastAsia" w:ascii="宋体" w:hAnsi="宋体" w:eastAsia="宋体" w:cs="宋体"/>
          <w:bCs/>
          <w:color w:val="auto"/>
          <w:highlight w:val="none"/>
          <w:shd w:val="clear" w:color="auto" w:fill="auto"/>
          <w:lang w:val="en-US" w:eastAsia="zh-CN"/>
        </w:rPr>
        <w:t>”指标，预期目标值为≥</w:t>
      </w:r>
      <w:r>
        <w:rPr>
          <w:rFonts w:hint="eastAsia" w:cs="宋体"/>
          <w:bCs/>
          <w:color w:val="auto"/>
          <w:highlight w:val="none"/>
          <w:shd w:val="clear" w:color="auto" w:fill="auto"/>
          <w:lang w:val="en-US" w:eastAsia="zh-CN"/>
        </w:rPr>
        <w:t>8264</w:t>
      </w:r>
      <w:r>
        <w:rPr>
          <w:rFonts w:hint="eastAsia" w:ascii="宋体" w:hAnsi="宋体" w:eastAsia="宋体" w:cs="宋体"/>
          <w:bCs/>
          <w:color w:val="auto"/>
          <w:highlight w:val="none"/>
          <w:shd w:val="clear" w:color="auto" w:fill="auto"/>
          <w:lang w:val="en-US" w:eastAsia="zh-CN"/>
        </w:rPr>
        <w:t>人次；</w:t>
      </w:r>
    </w:p>
    <w:p w14:paraId="088A16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②质量指标</w:t>
      </w:r>
    </w:p>
    <w:p w14:paraId="6FDD32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bCs/>
          <w:color w:val="auto"/>
          <w:highlight w:val="none"/>
          <w:shd w:val="clear" w:color="auto" w:fill="auto"/>
          <w:lang w:val="en-US" w:eastAsia="zh-CN"/>
        </w:rPr>
        <w:t>“录入合格率100%”指标，预期目标值为=100%</w:t>
      </w:r>
      <w:r>
        <w:rPr>
          <w:rFonts w:hint="eastAsia" w:ascii="宋体" w:hAnsi="宋体" w:eastAsia="宋体" w:cs="宋体"/>
          <w:color w:val="auto"/>
          <w:highlight w:val="none"/>
          <w:shd w:val="clear" w:color="auto" w:fill="auto"/>
          <w:lang w:val="en-US" w:eastAsia="zh-CN"/>
        </w:rPr>
        <w:t>；</w:t>
      </w:r>
    </w:p>
    <w:p w14:paraId="7F4B2D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w:t>
      </w:r>
      <w:r>
        <w:rPr>
          <w:rFonts w:hint="eastAsia" w:cs="宋体"/>
          <w:color w:val="auto"/>
          <w:highlight w:val="none"/>
          <w:shd w:val="clear" w:color="auto" w:fill="auto"/>
          <w:lang w:val="en-US" w:eastAsia="zh-CN"/>
        </w:rPr>
        <w:t>时效</w:t>
      </w:r>
      <w:r>
        <w:rPr>
          <w:rFonts w:hint="eastAsia" w:ascii="宋体" w:hAnsi="宋体" w:eastAsia="宋体" w:cs="宋体"/>
          <w:color w:val="auto"/>
          <w:highlight w:val="none"/>
          <w:shd w:val="clear" w:color="auto" w:fill="auto"/>
          <w:lang w:val="en-US" w:eastAsia="zh-CN"/>
        </w:rPr>
        <w:t>指标</w:t>
      </w:r>
    </w:p>
    <w:p w14:paraId="7D4B66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完成时限</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为2023</w:t>
      </w:r>
      <w:r>
        <w:rPr>
          <w:rFonts w:hint="eastAsia" w:cs="宋体"/>
          <w:color w:val="auto"/>
          <w:highlight w:val="none"/>
          <w:shd w:val="clear" w:color="auto" w:fill="auto"/>
          <w:lang w:val="en-US" w:eastAsia="zh-CN"/>
        </w:rPr>
        <w:t>年10月31日</w:t>
      </w:r>
      <w:r>
        <w:rPr>
          <w:rFonts w:hint="eastAsia" w:ascii="宋体" w:hAnsi="宋体" w:eastAsia="宋体" w:cs="宋体"/>
          <w:color w:val="auto"/>
          <w:highlight w:val="none"/>
          <w:shd w:val="clear" w:color="auto" w:fill="auto"/>
          <w:lang w:val="en-US" w:eastAsia="zh-CN"/>
        </w:rPr>
        <w:t>；</w:t>
      </w:r>
    </w:p>
    <w:p w14:paraId="3AAB0A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（2）项目</w:t>
      </w:r>
      <w:r>
        <w:rPr>
          <w:rFonts w:hint="eastAsia" w:ascii="宋体" w:hAnsi="宋体" w:eastAsia="宋体" w:cs="宋体"/>
          <w:color w:val="auto"/>
          <w:highlight w:val="none"/>
          <w:shd w:val="clear" w:color="auto" w:fill="auto"/>
          <w:lang w:val="en-US" w:eastAsia="zh-CN"/>
        </w:rPr>
        <w:t>成本指标</w:t>
      </w:r>
    </w:p>
    <w:p w14:paraId="2275E2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val="en-US" w:eastAsia="zh-CN"/>
        </w:rPr>
        <w:t>①经济成本指标</w:t>
      </w:r>
    </w:p>
    <w:p w14:paraId="4F427F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体检费用补贴费用区间</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w:t>
      </w:r>
      <w:r>
        <w:rPr>
          <w:rFonts w:hint="eastAsia"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lang w:val="en-US" w:eastAsia="zh-CN"/>
        </w:rPr>
        <w:t>0元/人；</w:t>
      </w:r>
    </w:p>
    <w:p w14:paraId="42F4A9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全民体检投入经费</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w:t>
      </w:r>
      <w:r>
        <w:rPr>
          <w:rFonts w:hint="eastAsia" w:cs="宋体"/>
          <w:color w:val="auto"/>
          <w:highlight w:val="none"/>
          <w:shd w:val="clear" w:color="auto" w:fill="auto"/>
          <w:lang w:val="en-US" w:eastAsia="zh-CN"/>
        </w:rPr>
        <w:t>34.15</w:t>
      </w:r>
      <w:r>
        <w:rPr>
          <w:rFonts w:hint="eastAsia" w:ascii="宋体" w:hAnsi="宋体" w:eastAsia="宋体" w:cs="宋体"/>
          <w:color w:val="auto"/>
          <w:highlight w:val="none"/>
          <w:shd w:val="clear" w:color="auto" w:fill="auto"/>
          <w:lang w:val="en-US" w:eastAsia="zh-CN"/>
        </w:rPr>
        <w:t>万元；</w:t>
      </w:r>
    </w:p>
    <w:p w14:paraId="062554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②社会成本指标</w:t>
      </w:r>
    </w:p>
    <w:p w14:paraId="562E05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（本项目不涉及社会成本指标）；</w:t>
      </w:r>
    </w:p>
    <w:p w14:paraId="3C8092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③生态环境成本指标</w:t>
      </w:r>
    </w:p>
    <w:p w14:paraId="33F570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（本项目不涉及生态环境成本指标）；</w:t>
      </w:r>
    </w:p>
    <w:p w14:paraId="0A572C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（3）项目效益目标</w:t>
      </w:r>
    </w:p>
    <w:p w14:paraId="589E62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①经济效益指标</w:t>
      </w:r>
    </w:p>
    <w:p w14:paraId="672AC3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（本项目不涉及经济效益）；</w:t>
      </w:r>
    </w:p>
    <w:p w14:paraId="3DC877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②社会效益指标</w:t>
      </w:r>
    </w:p>
    <w:p w14:paraId="7E0669BB">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“居民健康水平提高”指标，预期目标值为逐步提高；</w:t>
      </w:r>
    </w:p>
    <w:p w14:paraId="4822DF8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“优化服务流程，提高居民满意度”指标，预期目标值为逐步提高；</w:t>
      </w:r>
    </w:p>
    <w:p w14:paraId="2B2EDFE6">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③</w:t>
      </w:r>
      <w:r>
        <w:rPr>
          <w:rFonts w:hint="eastAsia" w:cs="宋体"/>
          <w:color w:val="000000" w:themeColor="text1"/>
          <w:highlight w:val="none"/>
          <w:shd w:val="clear" w:color="auto" w:fill="auto"/>
          <w:lang w:val="en-US" w:eastAsia="zh-CN"/>
          <w14:textFill>
            <w14:solidFill>
              <w14:schemeClr w14:val="tx1"/>
            </w14:solidFill>
          </w14:textFill>
        </w:rPr>
        <w:t>生态效益指标</w:t>
      </w:r>
    </w:p>
    <w:p w14:paraId="08AC3F9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cs="宋体"/>
          <w:color w:val="auto"/>
          <w:highlight w:val="none"/>
          <w:shd w:val="clear" w:color="auto" w:fill="auto"/>
          <w:lang w:val="en-US" w:eastAsia="zh-CN"/>
        </w:rPr>
        <w:t>（本项目不涉及</w:t>
      </w:r>
      <w:r>
        <w:rPr>
          <w:rFonts w:hint="eastAsia" w:cs="宋体"/>
          <w:color w:val="000000" w:themeColor="text1"/>
          <w:highlight w:val="none"/>
          <w:shd w:val="clear" w:color="auto" w:fill="auto"/>
          <w:lang w:val="en-US" w:eastAsia="zh-CN"/>
          <w14:textFill>
            <w14:solidFill>
              <w14:schemeClr w14:val="tx1"/>
            </w14:solidFill>
          </w14:textFill>
        </w:rPr>
        <w:t>生态</w:t>
      </w:r>
      <w:r>
        <w:rPr>
          <w:rFonts w:hint="eastAsia" w:cs="宋体"/>
          <w:color w:val="auto"/>
          <w:highlight w:val="none"/>
          <w:shd w:val="clear" w:color="auto" w:fill="auto"/>
          <w:lang w:val="en-US" w:eastAsia="zh-CN"/>
        </w:rPr>
        <w:t>效益）</w:t>
      </w:r>
      <w:r>
        <w:rPr>
          <w:rFonts w:hint="eastAsia" w:ascii="宋体" w:hAnsi="宋体" w:eastAsia="宋体" w:cs="宋体"/>
          <w:color w:val="auto"/>
          <w:highlight w:val="none"/>
          <w:shd w:val="clear" w:color="auto" w:fill="auto"/>
          <w:lang w:val="en-US" w:eastAsia="zh-CN"/>
        </w:rPr>
        <w:t>；</w:t>
      </w:r>
    </w:p>
    <w:p w14:paraId="0B88547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④可持续影响</w:t>
      </w:r>
    </w:p>
    <w:p w14:paraId="69AB06B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（本项目不涉及</w:t>
      </w:r>
      <w:r>
        <w:rPr>
          <w:rFonts w:hint="eastAsia" w:ascii="宋体" w:hAnsi="宋体" w:eastAsia="宋体" w:cs="宋体"/>
          <w:color w:val="auto"/>
          <w:highlight w:val="none"/>
          <w:shd w:val="clear" w:color="auto" w:fill="auto"/>
          <w:lang w:val="en-US" w:eastAsia="zh-CN"/>
        </w:rPr>
        <w:t>可持续影响</w:t>
      </w:r>
      <w:r>
        <w:rPr>
          <w:rFonts w:hint="eastAsia" w:cs="宋体"/>
          <w:color w:val="auto"/>
          <w:highlight w:val="none"/>
          <w:shd w:val="clear" w:color="auto" w:fill="auto"/>
          <w:lang w:val="en-US" w:eastAsia="zh-CN"/>
        </w:rPr>
        <w:t>）</w:t>
      </w:r>
      <w:r>
        <w:rPr>
          <w:rFonts w:hint="eastAsia" w:ascii="宋体" w:hAnsi="宋体" w:eastAsia="宋体" w:cs="宋体"/>
          <w:color w:val="auto"/>
          <w:highlight w:val="none"/>
          <w:shd w:val="clear" w:color="auto" w:fill="auto"/>
          <w:lang w:val="en-US" w:eastAsia="zh-CN"/>
        </w:rPr>
        <w:t>；</w:t>
      </w:r>
    </w:p>
    <w:p w14:paraId="37FA62B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⑤</w:t>
      </w:r>
      <w:r>
        <w:rPr>
          <w:rFonts w:hint="eastAsia" w:ascii="宋体" w:hAnsi="宋体" w:eastAsia="宋体" w:cs="宋体"/>
          <w:color w:val="auto"/>
          <w:highlight w:val="none"/>
          <w:shd w:val="clear" w:color="auto" w:fill="auto"/>
          <w:lang w:val="en-US" w:eastAsia="zh-CN"/>
        </w:rPr>
        <w:t>满意度指标</w:t>
      </w:r>
    </w:p>
    <w:p w14:paraId="05A0043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体检居民满意度</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为≥90%</w:t>
      </w:r>
      <w:r>
        <w:rPr>
          <w:rFonts w:hint="eastAsia" w:cs="宋体"/>
          <w:color w:val="auto"/>
          <w:highlight w:val="none"/>
          <w:shd w:val="clear" w:color="auto" w:fill="auto"/>
          <w:lang w:val="en-US" w:eastAsia="zh-CN"/>
        </w:rPr>
        <w:t>。</w:t>
      </w:r>
    </w:p>
    <w:p w14:paraId="5FFA4960">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11" w:name="_Toc2549"/>
      <w:r>
        <w:rPr>
          <w:rFonts w:hint="eastAsia" w:ascii="宋体" w:hAnsi="宋体" w:eastAsia="宋体" w:cs="宋体"/>
          <w:b/>
          <w:bCs/>
          <w:color w:val="000000" w:themeColor="text1"/>
          <w:highlight w:val="none"/>
          <w:shd w:val="clear" w:color="auto" w:fill="auto"/>
          <w14:textFill>
            <w14:solidFill>
              <w14:schemeClr w14:val="tx1"/>
            </w14:solidFill>
          </w14:textFill>
        </w:rPr>
        <w:t>二、绩效评价工作开展情况</w:t>
      </w:r>
      <w:bookmarkEnd w:id="11"/>
    </w:p>
    <w:p w14:paraId="4A72C1C6">
      <w:pPr>
        <w:pStyle w:val="4"/>
        <w:pageBreakBefore w:val="0"/>
        <w:numPr>
          <w:ilvl w:val="0"/>
          <w:numId w:val="3"/>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pPr>
      <w:bookmarkStart w:id="12" w:name="_Toc22922"/>
      <w:bookmarkStart w:id="13" w:name="_Toc12868"/>
      <w:bookmarkStart w:id="14" w:name="_Toc5258"/>
      <w:bookmarkStart w:id="15" w:name="_Toc22169_WPSOffice_Level2"/>
      <w:bookmarkStart w:id="16" w:name="_Toc5462343"/>
      <w:bookmarkStart w:id="17" w:name="_Toc480473081"/>
      <w:bookmarkStart w:id="18" w:name="_Toc26632"/>
      <w:bookmarkStart w:id="19" w:name="_Toc21664"/>
      <w:bookmarkStart w:id="20" w:name="_Toc21778"/>
      <w:r>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t>绩效评价的目的</w:t>
      </w:r>
      <w:bookmarkEnd w:id="12"/>
      <w:bookmarkEnd w:id="13"/>
      <w:bookmarkEnd w:id="14"/>
      <w:bookmarkEnd w:id="15"/>
      <w:bookmarkEnd w:id="16"/>
      <w:bookmarkEnd w:id="17"/>
      <w:bookmarkEnd w:id="18"/>
      <w:bookmarkEnd w:id="19"/>
      <w:r>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t>、对象和范围</w:t>
      </w:r>
      <w:bookmarkEnd w:id="20"/>
    </w:p>
    <w:p w14:paraId="296462AF">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21" w:name="_Toc15732"/>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t>绩效评价的目的</w:t>
      </w:r>
      <w:bookmarkEnd w:id="21"/>
    </w:p>
    <w:p w14:paraId="65827392">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为全面了解</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该</w:t>
      </w:r>
      <w:r>
        <w:rPr>
          <w:rFonts w:hint="eastAsia" w:ascii="宋体" w:hAnsi="宋体" w:eastAsia="宋体" w:cs="宋体"/>
          <w:color w:val="000000" w:themeColor="text1"/>
          <w:highlight w:val="none"/>
          <w:shd w:val="clear" w:color="auto" w:fill="auto"/>
          <w:lang w:eastAsia="zh-CN"/>
          <w14:textFill>
            <w14:solidFill>
              <w14:schemeClr w14:val="tx1"/>
            </w14:solidFill>
          </w14:textFill>
        </w:rPr>
        <w:t>项目预算编制合理性、资金使用合规性、项目管理的规范性、</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绩效</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目标的实现情况、服务对象的满意度等，通过本次</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部门</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绩效评价来总结经验和教训，促进项目成果转化和应用，为今后类似项目的长效管理，提供可行性参考建议。</w:t>
      </w:r>
    </w:p>
    <w:p w14:paraId="664A9A74">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22" w:name="_Toc30609"/>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2.绩效评价的对象和范围</w:t>
      </w:r>
      <w:bookmarkEnd w:id="22"/>
    </w:p>
    <w:p w14:paraId="2C3C06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此次我单位根据</w:t>
      </w:r>
      <w:r>
        <w:rPr>
          <w:rFonts w:hint="eastAsia" w:ascii="宋体" w:hAnsi="宋体" w:eastAsia="宋体" w:cs="宋体"/>
          <w:color w:val="000000" w:themeColor="text1"/>
          <w:highlight w:val="none"/>
          <w:shd w:val="clear" w:color="auto" w:fill="auto"/>
          <w14:textFill>
            <w14:solidFill>
              <w14:schemeClr w14:val="tx1"/>
            </w14:solidFill>
          </w14:textFill>
        </w:rPr>
        <w:t>《财政支出绩效评价管理暂行办法》（</w:t>
      </w:r>
      <w:r>
        <w:rPr>
          <w:rFonts w:hint="eastAsia" w:ascii="宋体" w:hAnsi="宋体" w:eastAsia="宋体" w:cs="宋体"/>
          <w:color w:val="000000" w:themeColor="text1"/>
          <w:highlight w:val="none"/>
          <w:shd w:val="clear" w:color="auto" w:fill="auto"/>
          <w:lang w:eastAsia="zh-CN"/>
          <w14:textFill>
            <w14:solidFill>
              <w14:schemeClr w14:val="tx1"/>
            </w14:solidFill>
          </w14:textFill>
        </w:rPr>
        <w:t>财预〔2020〕10号</w:t>
      </w: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文件要求对</w:t>
      </w:r>
      <w:r>
        <w:rPr>
          <w:rFonts w:hint="eastAsia" w:cs="宋体"/>
          <w:color w:val="000000" w:themeColor="text1"/>
          <w:highlight w:val="none"/>
          <w:shd w:val="clear" w:color="auto" w:fill="auto"/>
          <w:lang w:val="en-US" w:eastAsia="zh-CN"/>
          <w14:textFill>
            <w14:solidFill>
              <w14:schemeClr w14:val="tx1"/>
            </w14:solidFill>
          </w14:textFill>
        </w:rPr>
        <w:t>2023</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年度我单位</w:t>
      </w:r>
      <w:r>
        <w:rPr>
          <w:rFonts w:hint="eastAsia" w:ascii="宋体" w:hAnsi="宋体" w:eastAsia="宋体" w:cs="宋体"/>
          <w:color w:val="auto"/>
          <w:highlight w:val="none"/>
          <w:shd w:val="clear" w:color="auto" w:fill="auto"/>
          <w:lang w:val="en-US" w:eastAsia="zh-CN"/>
        </w:rPr>
        <w:t>实施的202</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全民健康体检项目开展部门绩效评价。</w:t>
      </w:r>
    </w:p>
    <w:p w14:paraId="39C168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auto"/>
          <w:highlight w:val="none"/>
          <w:shd w:val="clear" w:color="auto" w:fill="auto"/>
          <w:lang w:val="en-US" w:eastAsia="zh-CN"/>
        </w:rPr>
        <w:t>本次绩效评价主要围绕项目决策、项目管理、项目产出、项目效益四个维度，对该专项资金的预算编制、</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项目实施、监督管理、资金支出使用、绩效目标的实现情况以及受益对象的满意度等开展综合评价。</w:t>
      </w:r>
    </w:p>
    <w:p w14:paraId="2135F592">
      <w:pPr>
        <w:pStyle w:val="4"/>
        <w:pageBreakBefore w:val="0"/>
        <w:numPr>
          <w:ilvl w:val="0"/>
          <w:numId w:val="3"/>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000000" w:themeColor="text1"/>
          <w:sz w:val="32"/>
          <w:szCs w:val="32"/>
          <w:highlight w:val="none"/>
          <w:shd w:val="clear" w:color="auto" w:fill="auto"/>
          <w:lang w:val="en-US" w:eastAsia="zh-CN"/>
          <w14:textFill>
            <w14:solidFill>
              <w14:schemeClr w14:val="tx1"/>
            </w14:solidFill>
          </w14:textFill>
        </w:rPr>
      </w:pPr>
      <w:bookmarkStart w:id="23" w:name="_Toc15902"/>
      <w:r>
        <w:rPr>
          <w:rFonts w:hint="eastAsia" w:ascii="宋体" w:hAnsi="宋体" w:eastAsia="宋体" w:cs="宋体"/>
          <w:color w:val="000000" w:themeColor="text1"/>
          <w:sz w:val="32"/>
          <w:szCs w:val="32"/>
          <w:highlight w:val="none"/>
          <w:shd w:val="clear" w:color="auto" w:fill="auto"/>
          <w:lang w:val="en-US" w:eastAsia="zh-CN"/>
          <w14:textFill>
            <w14:solidFill>
              <w14:schemeClr w14:val="tx1"/>
            </w14:solidFill>
          </w14:textFill>
        </w:rPr>
        <w:t>绩效评价原则、评价指标体系（附表说明）、评价方法、评价标准</w:t>
      </w:r>
      <w:bookmarkEnd w:id="23"/>
    </w:p>
    <w:p w14:paraId="4A4E610C">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24" w:name="_Toc24506"/>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绩效评价原则</w:t>
      </w:r>
      <w:bookmarkEnd w:id="24"/>
    </w:p>
    <w:p w14:paraId="5FAAAE3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依据</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《财政支出绩效评价管理暂行办法》（财预〔20</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20</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10</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号）</w:t>
      </w:r>
      <w:r>
        <w:rPr>
          <w:rFonts w:hint="eastAsia" w:ascii="宋体" w:hAnsi="宋体" w:eastAsia="宋体" w:cs="宋体"/>
          <w:color w:val="000000" w:themeColor="text1"/>
          <w:highlight w:val="none"/>
          <w:shd w:val="clear" w:color="auto" w:fill="auto"/>
          <w:lang w:eastAsia="zh-CN"/>
          <w14:textFill>
            <w14:solidFill>
              <w14:schemeClr w14:val="tx1"/>
            </w14:solidFill>
          </w14:textFill>
        </w:rPr>
        <w:t>本次绩效评价秉承科学规范、公正公开、分级分类、绩效相关等原则，按照从投入、过程</w:t>
      </w:r>
      <w:r>
        <w:rPr>
          <w:rFonts w:hint="eastAsia" w:ascii="宋体" w:hAnsi="宋体" w:eastAsia="宋体" w:cs="宋体"/>
          <w:color w:val="auto"/>
          <w:highlight w:val="none"/>
          <w:shd w:val="clear" w:color="auto" w:fill="auto"/>
          <w:lang w:eastAsia="zh-CN"/>
        </w:rPr>
        <w:t>到产出效果和影响的绩效逻辑路径，结合</w:t>
      </w:r>
      <w:r>
        <w:rPr>
          <w:rFonts w:hint="eastAsia" w:ascii="宋体" w:hAnsi="宋体" w:eastAsia="宋体" w:cs="宋体"/>
          <w:color w:val="auto"/>
          <w:highlight w:val="none"/>
          <w:shd w:val="clear" w:color="auto" w:fill="auto"/>
          <w:lang w:val="en-US" w:eastAsia="zh-CN"/>
        </w:rPr>
        <w:t>202</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全民健康体检项目</w:t>
      </w:r>
      <w:r>
        <w:rPr>
          <w:rFonts w:hint="eastAsia" w:ascii="宋体" w:hAnsi="宋体" w:eastAsia="宋体" w:cs="宋体"/>
          <w:color w:val="auto"/>
          <w:highlight w:val="none"/>
          <w:shd w:val="clear" w:color="auto" w:fill="auto"/>
          <w:lang w:eastAsia="zh-CN"/>
        </w:rPr>
        <w:t>实际开展情况，运用定量和定性分析相结合的方法，总结经验做法，反思项目实施和管理中的问题，以切实提升财政资金管理的科学化、规范化和精</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细化水平。</w:t>
      </w:r>
    </w:p>
    <w:p w14:paraId="7818C63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根据以上原则，绩效评价应遵循如下要求：</w:t>
      </w:r>
    </w:p>
    <w:p w14:paraId="7589648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1</w:t>
      </w:r>
      <w:r>
        <w:rPr>
          <w:rFonts w:hint="eastAsia"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科学公正。绩效评价应当运用科学合理的方法，按照规范的程序，对项目绩效进行客观、公正的反映。</w:t>
      </w:r>
    </w:p>
    <w:p w14:paraId="02AEADA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）统筹兼顾。单位自评、部门评价和财政评价应职责明确，各有侧重，相互衔接。单位自评应由项目单位自主实施，即“谁支出、谁自评”。</w:t>
      </w:r>
    </w:p>
    <w:p w14:paraId="4107C97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lang w:eastAsia="zh-CN"/>
          <w14:textFill>
            <w14:solidFill>
              <w14:schemeClr w14:val="tx1"/>
            </w14:solidFill>
          </w14:textFill>
        </w:rPr>
        <w:t>）激励约束。绩效评价结果应与预算安排、政策调整、改进管理实质性挂钩，体现奖优罚劣和激励相容导向，有效要安排、低效要压减、无效要问责。</w:t>
      </w:r>
    </w:p>
    <w:p w14:paraId="0204DA0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highlight w:val="none"/>
          <w:shd w:val="clear" w:color="auto" w:fill="auto"/>
          <w:lang w:eastAsia="zh-CN"/>
          <w14:textFill>
            <w14:solidFill>
              <w14:schemeClr w14:val="tx1"/>
            </w14:solidFill>
          </w14:textFill>
        </w:rPr>
        <w:t>）公开透明。绩效评价结果应依法依规公开，并自觉接受社会监督。</w:t>
      </w:r>
    </w:p>
    <w:p w14:paraId="42226BB2">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bookmarkStart w:id="25" w:name="_Toc26131"/>
      <w:bookmarkStart w:id="26" w:name="_Toc1913"/>
      <w:bookmarkStart w:id="27" w:name="_Toc428278230"/>
      <w:bookmarkStart w:id="28" w:name="_Toc419984722"/>
      <w:bookmarkStart w:id="29" w:name="_Toc24396"/>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绩效评价指标体系及绩效评价</w:t>
      </w:r>
      <w:bookmarkEnd w:id="25"/>
      <w:bookmarkEnd w:id="26"/>
      <w:bookmarkEnd w:id="27"/>
      <w:bookmarkEnd w:id="28"/>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标准</w:t>
      </w:r>
      <w:bookmarkEnd w:id="29"/>
    </w:p>
    <w:p w14:paraId="6A59CBC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我单位</w:t>
      </w:r>
      <w:r>
        <w:rPr>
          <w:rFonts w:hint="eastAsia" w:ascii="宋体" w:hAnsi="宋体" w:eastAsia="宋体" w:cs="宋体"/>
          <w:color w:val="000000" w:themeColor="text1"/>
          <w:highlight w:val="none"/>
          <w:shd w:val="clear" w:color="auto" w:fill="auto"/>
          <w:lang w:val="zh-TW" w:eastAsia="zh-TW"/>
          <w14:textFill>
            <w14:solidFill>
              <w14:schemeClr w14:val="tx1"/>
            </w14:solidFill>
          </w14:textFill>
        </w:rPr>
        <w:t>根据项目的</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实施</w:t>
      </w:r>
      <w:r>
        <w:rPr>
          <w:rFonts w:hint="eastAsia" w:ascii="宋体" w:hAnsi="宋体" w:eastAsia="宋体" w:cs="宋体"/>
          <w:color w:val="000000" w:themeColor="text1"/>
          <w:highlight w:val="none"/>
          <w:shd w:val="clear" w:color="auto" w:fill="auto"/>
          <w:lang w:val="zh-TW" w:eastAsia="zh-TW"/>
          <w14:textFill>
            <w14:solidFill>
              <w14:schemeClr w14:val="tx1"/>
            </w14:solidFill>
          </w14:textFill>
        </w:rPr>
        <w:t>资料研读及前期调研，结合项目的实际开展情况，最终形成了项目绩效评价指标体系</w:t>
      </w:r>
      <w:r>
        <w:rPr>
          <w:rFonts w:hint="eastAsia" w:ascii="宋体" w:hAnsi="宋体" w:eastAsia="宋体" w:cs="宋体"/>
          <w:color w:val="000000" w:themeColor="text1"/>
          <w:highlight w:val="none"/>
          <w:shd w:val="clear" w:color="auto" w:fill="auto"/>
          <w:lang w:val="zh-TW"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指标体系结构如下</w:t>
      </w:r>
      <w:r>
        <w:rPr>
          <w:rFonts w:hint="eastAsia" w:cs="宋体"/>
          <w:b/>
          <w:bCs/>
          <w:color w:val="000000" w:themeColor="text1"/>
          <w:highlight w:val="none"/>
          <w:shd w:val="clear" w:color="auto" w:fill="auto"/>
          <w:lang w:val="en-US" w:eastAsia="zh-CN"/>
          <w14:textFill>
            <w14:solidFill>
              <w14:schemeClr w14:val="tx1"/>
            </w14:solidFill>
          </w14:textFill>
        </w:rPr>
        <w:t>（详见上传的附件）</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w:t>
      </w:r>
    </w:p>
    <w:p w14:paraId="534A364D">
      <w:pPr>
        <w:jc w:val="center"/>
        <w:rPr>
          <w:rFonts w:hint="default"/>
          <w:b/>
          <w:bCs/>
          <w:sz w:val="28"/>
          <w:szCs w:val="28"/>
          <w:lang w:val="en-US" w:eastAsia="zh-CN"/>
        </w:rPr>
      </w:pPr>
      <w:r>
        <w:rPr>
          <w:rFonts w:hint="eastAsia"/>
          <w:b/>
          <w:bCs/>
          <w:sz w:val="28"/>
          <w:szCs w:val="28"/>
          <w:lang w:val="zh-TW" w:eastAsia="zh-TW"/>
        </w:rPr>
        <w:t>项目绩效评价指标体系</w:t>
      </w:r>
    </w:p>
    <w:tbl>
      <w:tblPr>
        <w:tblStyle w:val="11"/>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2"/>
        <w:gridCol w:w="1196"/>
        <w:gridCol w:w="1050"/>
        <w:gridCol w:w="1996"/>
        <w:gridCol w:w="3793"/>
      </w:tblGrid>
      <w:tr w14:paraId="3B30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642" w:type="dxa"/>
            <w:shd w:val="clear" w:color="auto" w:fill="auto"/>
            <w:vAlign w:val="center"/>
          </w:tcPr>
          <w:p w14:paraId="361EB60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一级指标</w:t>
            </w:r>
          </w:p>
        </w:tc>
        <w:tc>
          <w:tcPr>
            <w:tcW w:w="1196" w:type="dxa"/>
            <w:shd w:val="clear" w:color="auto" w:fill="auto"/>
            <w:vAlign w:val="center"/>
          </w:tcPr>
          <w:p w14:paraId="26CCAB3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二级指标</w:t>
            </w:r>
          </w:p>
        </w:tc>
        <w:tc>
          <w:tcPr>
            <w:tcW w:w="1050" w:type="dxa"/>
            <w:shd w:val="clear" w:color="auto" w:fill="auto"/>
            <w:vAlign w:val="center"/>
          </w:tcPr>
          <w:p w14:paraId="4E14214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三级指标</w:t>
            </w:r>
          </w:p>
        </w:tc>
        <w:tc>
          <w:tcPr>
            <w:tcW w:w="1996" w:type="dxa"/>
            <w:shd w:val="clear" w:color="auto" w:fill="auto"/>
            <w:vAlign w:val="center"/>
          </w:tcPr>
          <w:p w14:paraId="0DF8B18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指标解释</w:t>
            </w:r>
          </w:p>
        </w:tc>
        <w:tc>
          <w:tcPr>
            <w:tcW w:w="3793" w:type="dxa"/>
            <w:shd w:val="clear" w:color="auto" w:fill="auto"/>
            <w:vAlign w:val="center"/>
          </w:tcPr>
          <w:p w14:paraId="39B9CE6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指标说明</w:t>
            </w:r>
          </w:p>
        </w:tc>
      </w:tr>
      <w:tr w14:paraId="2BAB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4" w:hRule="atLeast"/>
          <w:jc w:val="center"/>
        </w:trPr>
        <w:tc>
          <w:tcPr>
            <w:tcW w:w="642" w:type="dxa"/>
            <w:vMerge w:val="restart"/>
            <w:shd w:val="clear" w:color="auto" w:fill="auto"/>
            <w:vAlign w:val="center"/>
          </w:tcPr>
          <w:p w14:paraId="445A473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决策</w:t>
            </w:r>
          </w:p>
        </w:tc>
        <w:tc>
          <w:tcPr>
            <w:tcW w:w="1196" w:type="dxa"/>
            <w:vMerge w:val="restart"/>
            <w:shd w:val="clear" w:color="auto" w:fill="auto"/>
            <w:vAlign w:val="center"/>
          </w:tcPr>
          <w:p w14:paraId="62CB185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项目立项</w:t>
            </w:r>
          </w:p>
        </w:tc>
        <w:tc>
          <w:tcPr>
            <w:tcW w:w="1050" w:type="dxa"/>
            <w:shd w:val="clear" w:color="auto" w:fill="auto"/>
            <w:vAlign w:val="center"/>
          </w:tcPr>
          <w:p w14:paraId="27C4141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立项依据</w:t>
            </w:r>
          </w:p>
          <w:p w14:paraId="72AEAC4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充分性</w:t>
            </w:r>
          </w:p>
        </w:tc>
        <w:tc>
          <w:tcPr>
            <w:tcW w:w="1996" w:type="dxa"/>
            <w:shd w:val="clear" w:color="auto" w:fill="auto"/>
            <w:vAlign w:val="center"/>
          </w:tcPr>
          <w:p w14:paraId="413F7C0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项目立项是否符合法律法规、相关政策、发展规划以及部门职责，用以反映和考核项目立项依据情况。</w:t>
            </w:r>
          </w:p>
        </w:tc>
        <w:tc>
          <w:tcPr>
            <w:tcW w:w="3793" w:type="dxa"/>
            <w:shd w:val="clear" w:color="auto" w:fill="auto"/>
            <w:vAlign w:val="center"/>
          </w:tcPr>
          <w:p w14:paraId="20AEF1C9">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6830B808">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①项目立项是否符合国家法律法规、国民经济发展规划和相关政策；</w:t>
            </w:r>
          </w:p>
          <w:p w14:paraId="2F37C13B">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②项目立项是否符合行业发展规划和政策要求；</w:t>
            </w:r>
          </w:p>
          <w:p w14:paraId="6647E874">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③项目立项是否与部门职责范围相符，属于部门履职所需；</w:t>
            </w:r>
          </w:p>
          <w:p w14:paraId="5B78D19C">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④项目是否属于公共财政支持范围，是否符合中央、地方事权支出责任划分原则；</w:t>
            </w:r>
          </w:p>
          <w:p w14:paraId="5BB59A22">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⑤项目是否与相关部门同类项目或部门内部相关项目重复。</w:t>
            </w:r>
          </w:p>
        </w:tc>
      </w:tr>
      <w:tr w14:paraId="3037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642" w:type="dxa"/>
            <w:vMerge w:val="continue"/>
            <w:shd w:val="clear" w:color="auto" w:fill="auto"/>
            <w:vAlign w:val="center"/>
          </w:tcPr>
          <w:p w14:paraId="7680816B">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4A7B94B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495A929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立项程序</w:t>
            </w:r>
          </w:p>
          <w:p w14:paraId="559BCEE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规范性</w:t>
            </w:r>
          </w:p>
        </w:tc>
        <w:tc>
          <w:tcPr>
            <w:tcW w:w="1996" w:type="dxa"/>
            <w:shd w:val="clear" w:color="auto" w:fill="auto"/>
            <w:vAlign w:val="center"/>
          </w:tcPr>
          <w:p w14:paraId="532D25C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项目申请、设立过程是否符合相关要求，用以反映和考核项目立项的规范情况。</w:t>
            </w:r>
          </w:p>
        </w:tc>
        <w:tc>
          <w:tcPr>
            <w:tcW w:w="3793" w:type="dxa"/>
            <w:shd w:val="clear" w:color="auto" w:fill="auto"/>
            <w:vAlign w:val="center"/>
          </w:tcPr>
          <w:p w14:paraId="31C172A5">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0AFA3AD4">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①项目是否按照规定的程序申请设立；</w:t>
            </w:r>
          </w:p>
          <w:p w14:paraId="0BEB7E9E">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②审批文件、材料是否符合相关要求；</w:t>
            </w:r>
          </w:p>
          <w:p w14:paraId="1854FFF8">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③事前是否已经过必要的可行性研究、专家论证、风险评估、绩效评估、集体决策。</w:t>
            </w:r>
          </w:p>
        </w:tc>
      </w:tr>
      <w:tr w14:paraId="77E0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jc w:val="center"/>
        </w:trPr>
        <w:tc>
          <w:tcPr>
            <w:tcW w:w="642" w:type="dxa"/>
            <w:vMerge w:val="continue"/>
            <w:shd w:val="clear" w:color="auto" w:fill="auto"/>
            <w:vAlign w:val="center"/>
          </w:tcPr>
          <w:p w14:paraId="12855E5D">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auto"/>
            <w:vAlign w:val="center"/>
          </w:tcPr>
          <w:p w14:paraId="59AE26C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绩效目标</w:t>
            </w:r>
          </w:p>
        </w:tc>
        <w:tc>
          <w:tcPr>
            <w:tcW w:w="1050" w:type="dxa"/>
            <w:shd w:val="clear" w:color="auto" w:fill="auto"/>
            <w:vAlign w:val="center"/>
          </w:tcPr>
          <w:p w14:paraId="3582268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绩效目标</w:t>
            </w:r>
          </w:p>
          <w:p w14:paraId="107594D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合理性</w:t>
            </w:r>
          </w:p>
        </w:tc>
        <w:tc>
          <w:tcPr>
            <w:tcW w:w="1996" w:type="dxa"/>
            <w:shd w:val="clear" w:color="auto" w:fill="auto"/>
            <w:vAlign w:val="center"/>
          </w:tcPr>
          <w:p w14:paraId="72A20C5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项目所设定的绩效目标是否依据充分，是否符合客观实际，用以反映和考核项目绩效目标与项目实施的相符情况。</w:t>
            </w:r>
          </w:p>
        </w:tc>
        <w:tc>
          <w:tcPr>
            <w:tcW w:w="3793" w:type="dxa"/>
            <w:shd w:val="clear" w:color="auto" w:fill="auto"/>
            <w:vAlign w:val="center"/>
          </w:tcPr>
          <w:p w14:paraId="732B5877">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4765F79F">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（如未设定预算绩效目标，也可考核其他工作任务目标）</w:t>
            </w:r>
          </w:p>
          <w:p w14:paraId="6C446B73">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①项目是否有绩效目标；</w:t>
            </w:r>
          </w:p>
          <w:p w14:paraId="675F477A">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②项目绩效目标与实际工作内容是否具有相关性；</w:t>
            </w:r>
          </w:p>
          <w:p w14:paraId="4137AF57">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③项目预期产出效益和效果是否符合正常的业绩水平；</w:t>
            </w:r>
          </w:p>
          <w:p w14:paraId="752A3323">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④是否与预算确定的项目投资额或资金量相匹配。</w:t>
            </w:r>
          </w:p>
        </w:tc>
      </w:tr>
      <w:tr w14:paraId="0A01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14:paraId="2144220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72BF406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55BBE49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绩效指标</w:t>
            </w:r>
          </w:p>
          <w:p w14:paraId="2CF3378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明确性</w:t>
            </w:r>
          </w:p>
        </w:tc>
        <w:tc>
          <w:tcPr>
            <w:tcW w:w="1996" w:type="dxa"/>
            <w:shd w:val="clear" w:color="auto" w:fill="auto"/>
            <w:vAlign w:val="center"/>
          </w:tcPr>
          <w:p w14:paraId="73E61FC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依据绩效目标设定的绩效指标是否清晰、细化、可衡量等，用以反映和考核项目绩效目标的明细化情况。</w:t>
            </w:r>
          </w:p>
        </w:tc>
        <w:tc>
          <w:tcPr>
            <w:tcW w:w="3793" w:type="dxa"/>
            <w:shd w:val="clear" w:color="auto" w:fill="auto"/>
            <w:vAlign w:val="center"/>
          </w:tcPr>
          <w:p w14:paraId="6B16501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0F17C88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①是否将项目绩效目标细化分解为具体的绩效指标；</w:t>
            </w:r>
          </w:p>
          <w:p w14:paraId="0C0587B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②是否通过清晰、可衡量的指标值予以体现；</w:t>
            </w:r>
          </w:p>
          <w:p w14:paraId="0F66A93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③是否与项目目标任务数或计划数相对应。</w:t>
            </w:r>
          </w:p>
        </w:tc>
      </w:tr>
      <w:tr w14:paraId="3E72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14:paraId="73B5DC5A">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auto"/>
            <w:vAlign w:val="center"/>
          </w:tcPr>
          <w:p w14:paraId="5B9E8FC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资金投入</w:t>
            </w:r>
          </w:p>
        </w:tc>
        <w:tc>
          <w:tcPr>
            <w:tcW w:w="1050" w:type="dxa"/>
            <w:shd w:val="clear" w:color="auto" w:fill="auto"/>
            <w:vAlign w:val="center"/>
          </w:tcPr>
          <w:p w14:paraId="2758293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预算编制</w:t>
            </w:r>
          </w:p>
          <w:p w14:paraId="4CAA062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科学性</w:t>
            </w:r>
          </w:p>
        </w:tc>
        <w:tc>
          <w:tcPr>
            <w:tcW w:w="1996" w:type="dxa"/>
            <w:shd w:val="clear" w:color="auto" w:fill="auto"/>
            <w:vAlign w:val="center"/>
          </w:tcPr>
          <w:p w14:paraId="67FAB20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项目预算编制是否经过科学论证、有明确标准，资金额度与年度目标是否相适应，用以反映和考核项目预算编制的科学性、合理性情况。</w:t>
            </w:r>
          </w:p>
        </w:tc>
        <w:tc>
          <w:tcPr>
            <w:tcW w:w="3793" w:type="dxa"/>
            <w:shd w:val="clear" w:color="auto" w:fill="auto"/>
            <w:vAlign w:val="center"/>
          </w:tcPr>
          <w:p w14:paraId="30FA50A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75F5874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①预算编制是否经过科学论证；</w:t>
            </w:r>
          </w:p>
          <w:p w14:paraId="01EBCC6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②预算内容与项目内容是否匹配；</w:t>
            </w:r>
          </w:p>
          <w:p w14:paraId="5BCC3F3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③预算额度测算依据是否充分，是否按照标准编制；</w:t>
            </w:r>
          </w:p>
          <w:p w14:paraId="3D39EE0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④预算确定的项目投资额或资金量是否与工作任务相匹配。</w:t>
            </w:r>
          </w:p>
        </w:tc>
      </w:tr>
      <w:tr w14:paraId="58827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642" w:type="dxa"/>
            <w:vMerge w:val="continue"/>
            <w:shd w:val="clear" w:color="auto" w:fill="auto"/>
            <w:vAlign w:val="center"/>
          </w:tcPr>
          <w:p w14:paraId="731253D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60A0197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2C10BC7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资金分配</w:t>
            </w:r>
          </w:p>
          <w:p w14:paraId="49D9AAA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合理性</w:t>
            </w:r>
          </w:p>
        </w:tc>
        <w:tc>
          <w:tcPr>
            <w:tcW w:w="1996" w:type="dxa"/>
            <w:shd w:val="clear" w:color="auto" w:fill="auto"/>
            <w:vAlign w:val="center"/>
          </w:tcPr>
          <w:p w14:paraId="5D7560F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项目预算资金分配是否有测算依据，与补助单位或地方实际是否相适应，用以反映和考核项目预算资金分配的科学性、合理性情况。</w:t>
            </w:r>
          </w:p>
        </w:tc>
        <w:tc>
          <w:tcPr>
            <w:tcW w:w="3793" w:type="dxa"/>
            <w:shd w:val="clear" w:color="auto" w:fill="auto"/>
            <w:vAlign w:val="center"/>
          </w:tcPr>
          <w:p w14:paraId="1082735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066F505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①预算资金分配依据是否充分；</w:t>
            </w:r>
          </w:p>
          <w:p w14:paraId="71833AD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②资金分配额度是否合理，与项目单位或地方实际是否相适应。</w:t>
            </w:r>
          </w:p>
        </w:tc>
      </w:tr>
      <w:tr w14:paraId="1BD4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642" w:type="dxa"/>
            <w:vMerge w:val="restart"/>
            <w:shd w:val="clear" w:color="auto" w:fill="auto"/>
            <w:vAlign w:val="center"/>
          </w:tcPr>
          <w:p w14:paraId="27DF20D1">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过程</w:t>
            </w:r>
          </w:p>
        </w:tc>
        <w:tc>
          <w:tcPr>
            <w:tcW w:w="1196" w:type="dxa"/>
            <w:vMerge w:val="restart"/>
            <w:shd w:val="clear" w:color="auto" w:fill="auto"/>
            <w:vAlign w:val="center"/>
          </w:tcPr>
          <w:p w14:paraId="217F701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资金管理</w:t>
            </w:r>
          </w:p>
        </w:tc>
        <w:tc>
          <w:tcPr>
            <w:tcW w:w="1050" w:type="dxa"/>
            <w:shd w:val="clear" w:color="auto" w:fill="auto"/>
            <w:vAlign w:val="center"/>
          </w:tcPr>
          <w:p w14:paraId="23D212F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资金到位率</w:t>
            </w:r>
          </w:p>
        </w:tc>
        <w:tc>
          <w:tcPr>
            <w:tcW w:w="1996" w:type="dxa"/>
            <w:shd w:val="clear" w:color="auto" w:fill="auto"/>
            <w:vAlign w:val="center"/>
          </w:tcPr>
          <w:p w14:paraId="1E22BD3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实际到位资金与预算资金的比率，用以反映和考核资金落实情况对项目实施的总体保障程度。</w:t>
            </w:r>
          </w:p>
        </w:tc>
        <w:tc>
          <w:tcPr>
            <w:tcW w:w="3793" w:type="dxa"/>
            <w:shd w:val="clear" w:color="auto" w:fill="auto"/>
            <w:vAlign w:val="center"/>
          </w:tcPr>
          <w:p w14:paraId="490D449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资金到位率=（实际到位资金/预算资金）×100%。</w:t>
            </w:r>
          </w:p>
          <w:p w14:paraId="4C1A7D4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实际到位资金：一定时期（本年度或项目期）内落实到具体项目的资金。</w:t>
            </w:r>
          </w:p>
          <w:p w14:paraId="54F7B4B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预算资金：一定时期（本年度或项目期）内预算安排到具体项目的资金。</w:t>
            </w:r>
          </w:p>
        </w:tc>
      </w:tr>
      <w:tr w14:paraId="7DF1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642" w:type="dxa"/>
            <w:vMerge w:val="continue"/>
            <w:shd w:val="clear" w:color="auto" w:fill="auto"/>
            <w:vAlign w:val="center"/>
          </w:tcPr>
          <w:p w14:paraId="343A15C0">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6B1EF7AD">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0C16DCE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预算执行率</w:t>
            </w:r>
          </w:p>
        </w:tc>
        <w:tc>
          <w:tcPr>
            <w:tcW w:w="1996" w:type="dxa"/>
            <w:shd w:val="clear" w:color="auto" w:fill="auto"/>
            <w:vAlign w:val="center"/>
          </w:tcPr>
          <w:p w14:paraId="092F278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项目预算资金是否按照计划执行，用以反映或考核项目预算执行情况。</w:t>
            </w:r>
          </w:p>
        </w:tc>
        <w:tc>
          <w:tcPr>
            <w:tcW w:w="3793" w:type="dxa"/>
            <w:shd w:val="clear" w:color="auto" w:fill="auto"/>
            <w:vAlign w:val="center"/>
          </w:tcPr>
          <w:p w14:paraId="65BDEA8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预算执行率=（实际支出资金/实际到位资金）×100%。</w:t>
            </w:r>
          </w:p>
          <w:p w14:paraId="3F15F2D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实际支出资金：一定时期（本年度或项目期）内项目实际拨付的资金。</w:t>
            </w:r>
          </w:p>
        </w:tc>
      </w:tr>
      <w:tr w14:paraId="3E5F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642" w:type="dxa"/>
            <w:vMerge w:val="continue"/>
            <w:shd w:val="clear" w:color="auto" w:fill="auto"/>
            <w:vAlign w:val="center"/>
          </w:tcPr>
          <w:p w14:paraId="7F8B3F1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3FF02CD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249161F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资金使用</w:t>
            </w:r>
          </w:p>
          <w:p w14:paraId="3202E1D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合规性</w:t>
            </w:r>
          </w:p>
        </w:tc>
        <w:tc>
          <w:tcPr>
            <w:tcW w:w="1996" w:type="dxa"/>
            <w:shd w:val="clear" w:color="auto" w:fill="auto"/>
            <w:vAlign w:val="center"/>
          </w:tcPr>
          <w:p w14:paraId="4DEE476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项目资金使用是否符合相关的财务管理制度规定，用以反映和考核项目资金的规范运行情况。</w:t>
            </w:r>
          </w:p>
        </w:tc>
        <w:tc>
          <w:tcPr>
            <w:tcW w:w="3793" w:type="dxa"/>
            <w:shd w:val="clear" w:color="auto" w:fill="auto"/>
            <w:vAlign w:val="center"/>
          </w:tcPr>
          <w:p w14:paraId="5E0DB12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1EEBA30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①是否符合国家财经法规和财务管理制度以及有关专项资金管理办法的规定；</w:t>
            </w:r>
          </w:p>
          <w:p w14:paraId="2DDA36E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②资金的拨付是否有完整的审批程序和手续；</w:t>
            </w:r>
          </w:p>
          <w:p w14:paraId="39C7605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③是否符合项目预算批复或合同规定的用途；</w:t>
            </w:r>
          </w:p>
          <w:p w14:paraId="55DC83A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④是否存在截留、挤占、挪用、虚列支出等情况。</w:t>
            </w:r>
          </w:p>
        </w:tc>
      </w:tr>
      <w:tr w14:paraId="4FD4F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14:paraId="2154C47B">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auto"/>
            <w:vAlign w:val="center"/>
          </w:tcPr>
          <w:p w14:paraId="43272BF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组织实施</w:t>
            </w:r>
          </w:p>
        </w:tc>
        <w:tc>
          <w:tcPr>
            <w:tcW w:w="1050" w:type="dxa"/>
            <w:shd w:val="clear" w:color="auto" w:fill="auto"/>
            <w:vAlign w:val="center"/>
          </w:tcPr>
          <w:p w14:paraId="5FA6C60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管理制度</w:t>
            </w:r>
          </w:p>
          <w:p w14:paraId="5C8D8D3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健全性</w:t>
            </w:r>
          </w:p>
        </w:tc>
        <w:tc>
          <w:tcPr>
            <w:tcW w:w="1996" w:type="dxa"/>
            <w:shd w:val="clear" w:color="auto" w:fill="auto"/>
            <w:vAlign w:val="center"/>
          </w:tcPr>
          <w:p w14:paraId="78BA5AB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项目实施单位的财务和业务管理制度是否健全，用以反映和考核财务和业务管理制度对项目顺利实施的保障情况。</w:t>
            </w:r>
          </w:p>
        </w:tc>
        <w:tc>
          <w:tcPr>
            <w:tcW w:w="3793" w:type="dxa"/>
            <w:shd w:val="clear" w:color="auto" w:fill="auto"/>
            <w:vAlign w:val="center"/>
          </w:tcPr>
          <w:p w14:paraId="29F66CB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6AA6A94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①是否已制定或具有相应的财务和业务管理制度；</w:t>
            </w:r>
          </w:p>
          <w:p w14:paraId="6BAB43D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②财务和业务管理制度是否合法、合规、完整。</w:t>
            </w:r>
          </w:p>
        </w:tc>
      </w:tr>
      <w:tr w14:paraId="41195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14:paraId="58F63BB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04CCB06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66077D9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制度执行</w:t>
            </w:r>
          </w:p>
          <w:p w14:paraId="32D673C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有效性</w:t>
            </w:r>
          </w:p>
        </w:tc>
        <w:tc>
          <w:tcPr>
            <w:tcW w:w="1996" w:type="dxa"/>
            <w:shd w:val="clear" w:color="auto" w:fill="auto"/>
            <w:vAlign w:val="center"/>
          </w:tcPr>
          <w:p w14:paraId="25994D2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项目实施是否符合相关管理规定，用以反映和考核相关管理制度的有效执行情况。</w:t>
            </w:r>
          </w:p>
        </w:tc>
        <w:tc>
          <w:tcPr>
            <w:tcW w:w="3793" w:type="dxa"/>
            <w:shd w:val="clear" w:color="auto" w:fill="auto"/>
            <w:vAlign w:val="center"/>
          </w:tcPr>
          <w:p w14:paraId="4D52BA7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3E114F3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①是否遵守相关法律法规和相关管理规定；</w:t>
            </w:r>
          </w:p>
          <w:p w14:paraId="6E841B5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②项目调整及支出调整手续是否完备；</w:t>
            </w:r>
          </w:p>
          <w:p w14:paraId="10A9E48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③项目合同书、验收报告、技术鉴定等资料是否齐全并及时归档；</w:t>
            </w:r>
          </w:p>
          <w:p w14:paraId="6351241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④项目实施的人员条件、场地设备、信息支撑等是否落实到位。</w:t>
            </w:r>
          </w:p>
        </w:tc>
      </w:tr>
      <w:tr w14:paraId="379E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642" w:type="dxa"/>
            <w:vMerge w:val="restart"/>
            <w:shd w:val="clear" w:color="auto" w:fill="auto"/>
            <w:vAlign w:val="center"/>
          </w:tcPr>
          <w:p w14:paraId="67B09B6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w:t>
            </w:r>
          </w:p>
        </w:tc>
        <w:tc>
          <w:tcPr>
            <w:tcW w:w="1196" w:type="dxa"/>
            <w:shd w:val="clear" w:color="auto" w:fill="auto"/>
            <w:vAlign w:val="center"/>
          </w:tcPr>
          <w:p w14:paraId="3B209BC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产出数量</w:t>
            </w:r>
          </w:p>
        </w:tc>
        <w:tc>
          <w:tcPr>
            <w:tcW w:w="1050" w:type="dxa"/>
            <w:shd w:val="clear" w:color="auto" w:fill="auto"/>
            <w:vAlign w:val="center"/>
          </w:tcPr>
          <w:p w14:paraId="4510EF7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实际完成率</w:t>
            </w:r>
          </w:p>
        </w:tc>
        <w:tc>
          <w:tcPr>
            <w:tcW w:w="1996" w:type="dxa"/>
            <w:shd w:val="clear" w:color="auto" w:fill="auto"/>
            <w:vAlign w:val="center"/>
          </w:tcPr>
          <w:p w14:paraId="4419A36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项目实施的实际产出数与计划产出数的比率，用以反映和考核项目产出数量目标的实现程度。</w:t>
            </w:r>
          </w:p>
        </w:tc>
        <w:tc>
          <w:tcPr>
            <w:tcW w:w="3793" w:type="dxa"/>
            <w:shd w:val="clear" w:color="auto" w:fill="auto"/>
            <w:vAlign w:val="center"/>
          </w:tcPr>
          <w:p w14:paraId="7402CDB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实际完成率=（实际产出数/计划产出数）×100%。</w:t>
            </w:r>
          </w:p>
          <w:p w14:paraId="0FF59D5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实际产出数：一定时期（本年度或项目期）内项目实际产出的产品或提供的服务数量。</w:t>
            </w:r>
          </w:p>
          <w:p w14:paraId="7F3114E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计划产出数：项目绩效目标确定的在一定时期（本年度或项目期）内计划产出的产品或提供的服务数量。</w:t>
            </w:r>
          </w:p>
        </w:tc>
      </w:tr>
      <w:tr w14:paraId="41D5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14:paraId="41188B7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auto"/>
            <w:vAlign w:val="center"/>
          </w:tcPr>
          <w:p w14:paraId="573C03E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产出质量</w:t>
            </w:r>
          </w:p>
        </w:tc>
        <w:tc>
          <w:tcPr>
            <w:tcW w:w="1050" w:type="dxa"/>
            <w:shd w:val="clear" w:color="auto" w:fill="auto"/>
            <w:vAlign w:val="center"/>
          </w:tcPr>
          <w:p w14:paraId="5557358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质量达标率</w:t>
            </w:r>
          </w:p>
        </w:tc>
        <w:tc>
          <w:tcPr>
            <w:tcW w:w="1996" w:type="dxa"/>
            <w:shd w:val="clear" w:color="auto" w:fill="auto"/>
            <w:vAlign w:val="center"/>
          </w:tcPr>
          <w:p w14:paraId="2894983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项目完成的质量达标产出数与实际产出数的比率，用以反映和考核项目产出质量目标的实现程度。</w:t>
            </w:r>
          </w:p>
        </w:tc>
        <w:tc>
          <w:tcPr>
            <w:tcW w:w="3793" w:type="dxa"/>
            <w:shd w:val="clear" w:color="auto" w:fill="auto"/>
            <w:vAlign w:val="center"/>
          </w:tcPr>
          <w:p w14:paraId="7882792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质量达标率=（质量达标产出数/实际产出数）×100%。</w:t>
            </w:r>
          </w:p>
          <w:p w14:paraId="0FF9DCA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14:paraId="5EDD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2" w:type="dxa"/>
            <w:vMerge w:val="continue"/>
            <w:shd w:val="clear" w:color="auto" w:fill="auto"/>
            <w:vAlign w:val="center"/>
          </w:tcPr>
          <w:p w14:paraId="3D965F56">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auto"/>
            <w:vAlign w:val="center"/>
          </w:tcPr>
          <w:p w14:paraId="67E5A219">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产出时效</w:t>
            </w:r>
          </w:p>
        </w:tc>
        <w:tc>
          <w:tcPr>
            <w:tcW w:w="1050" w:type="dxa"/>
            <w:shd w:val="clear" w:color="auto" w:fill="auto"/>
            <w:vAlign w:val="center"/>
          </w:tcPr>
          <w:p w14:paraId="3CDD726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完成及时性</w:t>
            </w:r>
          </w:p>
        </w:tc>
        <w:tc>
          <w:tcPr>
            <w:tcW w:w="1996" w:type="dxa"/>
            <w:shd w:val="clear" w:color="auto" w:fill="auto"/>
            <w:vAlign w:val="center"/>
          </w:tcPr>
          <w:p w14:paraId="4E26701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项目实际完成时间与计划完成时间的比较，用以反映和考核项目产出时效目标的实现程度。</w:t>
            </w:r>
          </w:p>
        </w:tc>
        <w:tc>
          <w:tcPr>
            <w:tcW w:w="3793" w:type="dxa"/>
            <w:shd w:val="clear" w:color="auto" w:fill="auto"/>
            <w:vAlign w:val="center"/>
          </w:tcPr>
          <w:p w14:paraId="57388AB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实际完成时间：项目实施单位完成该项目实际所耗用的时间。</w:t>
            </w:r>
          </w:p>
          <w:p w14:paraId="7F46D38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计划完成时间：按照项目实施计划或相关规定完成该项目所需的时间。</w:t>
            </w:r>
          </w:p>
        </w:tc>
      </w:tr>
      <w:tr w14:paraId="33F1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14:paraId="59E93B6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auto"/>
            <w:vAlign w:val="center"/>
          </w:tcPr>
          <w:p w14:paraId="37B689F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产出成本</w:t>
            </w:r>
          </w:p>
        </w:tc>
        <w:tc>
          <w:tcPr>
            <w:tcW w:w="1050" w:type="dxa"/>
            <w:shd w:val="clear" w:color="auto" w:fill="auto"/>
            <w:vAlign w:val="center"/>
          </w:tcPr>
          <w:p w14:paraId="1979B21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成本节约率</w:t>
            </w:r>
          </w:p>
        </w:tc>
        <w:tc>
          <w:tcPr>
            <w:tcW w:w="1996" w:type="dxa"/>
            <w:shd w:val="clear" w:color="auto" w:fill="auto"/>
            <w:vAlign w:val="center"/>
          </w:tcPr>
          <w:p w14:paraId="73D5085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完成项目计划工作目标的实际节约成本与计划成本的比率，用以反映和考核项目的成本节约程度。</w:t>
            </w:r>
          </w:p>
        </w:tc>
        <w:tc>
          <w:tcPr>
            <w:tcW w:w="3793" w:type="dxa"/>
            <w:shd w:val="clear" w:color="auto" w:fill="auto"/>
            <w:vAlign w:val="center"/>
          </w:tcPr>
          <w:p w14:paraId="735FBAD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成本节约率=[（计划成本-实际成本）/计划成本]×100%。</w:t>
            </w:r>
          </w:p>
          <w:p w14:paraId="2C6723B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实际成本：项目实施单位如期、保质、保量完成既定工作目标实际所耗费的支出。</w:t>
            </w:r>
          </w:p>
          <w:p w14:paraId="19E2522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计划成本：项目实施单位为完成工作目标计划安排的支出，一般以项目预算为参考。</w:t>
            </w:r>
          </w:p>
        </w:tc>
      </w:tr>
      <w:tr w14:paraId="1357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42" w:type="dxa"/>
            <w:vMerge w:val="restart"/>
            <w:shd w:val="clear" w:color="auto" w:fill="auto"/>
            <w:vAlign w:val="center"/>
          </w:tcPr>
          <w:p w14:paraId="0F22327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效益</w:t>
            </w:r>
          </w:p>
        </w:tc>
        <w:tc>
          <w:tcPr>
            <w:tcW w:w="1196" w:type="dxa"/>
            <w:vMerge w:val="restart"/>
            <w:shd w:val="clear" w:color="auto" w:fill="auto"/>
            <w:vAlign w:val="center"/>
          </w:tcPr>
          <w:p w14:paraId="79F8DC5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项目效益</w:t>
            </w:r>
          </w:p>
        </w:tc>
        <w:tc>
          <w:tcPr>
            <w:tcW w:w="1050" w:type="dxa"/>
            <w:shd w:val="clear" w:color="auto" w:fill="auto"/>
            <w:vAlign w:val="center"/>
          </w:tcPr>
          <w:p w14:paraId="5472614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实施效益</w:t>
            </w:r>
          </w:p>
        </w:tc>
        <w:tc>
          <w:tcPr>
            <w:tcW w:w="1996" w:type="dxa"/>
            <w:shd w:val="clear" w:color="auto" w:fill="auto"/>
            <w:vAlign w:val="center"/>
          </w:tcPr>
          <w:p w14:paraId="36D49621">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项目实施所产生的效益。</w:t>
            </w:r>
          </w:p>
        </w:tc>
        <w:tc>
          <w:tcPr>
            <w:tcW w:w="3793" w:type="dxa"/>
            <w:shd w:val="clear" w:color="auto" w:fill="auto"/>
            <w:vAlign w:val="center"/>
          </w:tcPr>
          <w:p w14:paraId="49CD005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项目实施所产生的社会效益、经济效益、生态效益、可持续影响等。可根据项目实际情况有选择地设置和细化。</w:t>
            </w:r>
          </w:p>
        </w:tc>
      </w:tr>
      <w:tr w14:paraId="576F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42" w:type="dxa"/>
            <w:vMerge w:val="continue"/>
            <w:shd w:val="clear" w:color="auto" w:fill="auto"/>
            <w:vAlign w:val="center"/>
          </w:tcPr>
          <w:p w14:paraId="15DFC7D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2D27A68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73C3DFB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满意度</w:t>
            </w:r>
          </w:p>
        </w:tc>
        <w:tc>
          <w:tcPr>
            <w:tcW w:w="1996" w:type="dxa"/>
            <w:shd w:val="clear" w:color="auto" w:fill="auto"/>
            <w:vAlign w:val="center"/>
          </w:tcPr>
          <w:p w14:paraId="6150F30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社会公众或服务对象对项目实施效果的满意程度。</w:t>
            </w:r>
          </w:p>
        </w:tc>
        <w:tc>
          <w:tcPr>
            <w:tcW w:w="3793" w:type="dxa"/>
            <w:shd w:val="clear" w:color="auto" w:fill="auto"/>
            <w:vAlign w:val="center"/>
          </w:tcPr>
          <w:p w14:paraId="107CC20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社会公众或服务对象是指因该项目实施而受到影响的部门（单位）、群体或个人。一般采取社会调查的方式。</w:t>
            </w:r>
          </w:p>
        </w:tc>
      </w:tr>
    </w:tbl>
    <w:p w14:paraId="7461EECA">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30" w:name="_Toc9941"/>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14:textFill>
            <w14:solidFill>
              <w14:schemeClr w14:val="tx1"/>
            </w14:solidFill>
          </w14:textFill>
        </w:rPr>
        <w:t>评价</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方法</w:t>
      </w:r>
      <w:bookmarkEnd w:id="30"/>
      <w:bookmarkStart w:id="89" w:name="_GoBack"/>
      <w:bookmarkEnd w:id="89"/>
    </w:p>
    <w:p w14:paraId="5A33A3A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000000" w:themeColor="text1"/>
          <w:highlight w:val="none"/>
          <w:shd w:val="clear" w:color="auto" w:fill="auto"/>
          <w14:textFill>
            <w14:solidFill>
              <w14:schemeClr w14:val="tx1"/>
            </w14:solidFill>
          </w14:textFill>
        </w:rPr>
        <w:t>本次绩效评</w:t>
      </w:r>
      <w:r>
        <w:rPr>
          <w:rFonts w:hint="eastAsia" w:ascii="宋体" w:hAnsi="宋体" w:eastAsia="宋体" w:cs="宋体"/>
          <w:color w:val="auto"/>
          <w:highlight w:val="none"/>
          <w:shd w:val="clear" w:color="auto" w:fill="auto"/>
        </w:rPr>
        <w:t>价采用的方法</w:t>
      </w:r>
      <w:r>
        <w:rPr>
          <w:rFonts w:hint="eastAsia" w:cs="宋体"/>
          <w:color w:val="auto"/>
          <w:highlight w:val="none"/>
          <w:shd w:val="clear" w:color="auto" w:fill="auto"/>
          <w:lang w:val="en-US" w:eastAsia="zh-CN"/>
        </w:rPr>
        <w:t>为</w:t>
      </w:r>
      <w:r>
        <w:rPr>
          <w:rFonts w:hint="eastAsia" w:ascii="宋体" w:hAnsi="宋体" w:eastAsia="宋体" w:cs="宋体"/>
          <w:color w:val="auto"/>
          <w:highlight w:val="none"/>
          <w:shd w:val="clear" w:color="auto" w:fill="auto"/>
        </w:rPr>
        <w:t>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color w:val="auto"/>
          <w:highlight w:val="none"/>
          <w:shd w:val="clear" w:color="auto" w:fill="auto"/>
          <w:lang w:val="en-US" w:eastAsia="zh-CN"/>
        </w:rPr>
        <w:t>对项目绩效目标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与实施情况进行比较，以及采取公众问卷及抽样调查等方式进行评判的方法对202</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全民健康体检项目进行评价。</w:t>
      </w:r>
    </w:p>
    <w:p w14:paraId="27FAB7E8">
      <w:pPr>
        <w:pStyle w:val="5"/>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bookmarkStart w:id="31" w:name="_Toc25391"/>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4.评价标准</w:t>
      </w:r>
      <w:bookmarkEnd w:id="31"/>
    </w:p>
    <w:p w14:paraId="7BF032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（1）计划标准。指以预先制定的目标、计划、预算、定额等作为评价标准。</w:t>
      </w:r>
    </w:p>
    <w:p w14:paraId="2BE207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（2）行业标准。指参照国家公布的行业指标数据制定的评价标准。</w:t>
      </w:r>
    </w:p>
    <w:p w14:paraId="54ECB3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（3）历史标准。指参照历史数据制定的评价标准，为体现绩效改进的原则，在可实现的条件下应当确定相对较高的评价标准。</w:t>
      </w:r>
    </w:p>
    <w:p w14:paraId="0CB07920">
      <w:pP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（4）财政部门和预算部门确认或认可的其他标准。</w:t>
      </w:r>
    </w:p>
    <w:p w14:paraId="19A075B9">
      <w:pPr>
        <w:pStyle w:val="5"/>
        <w:outlineLvl w:val="1"/>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bookmarkStart w:id="32" w:name="_Toc1070"/>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（三）绩效评价工作过程</w:t>
      </w:r>
      <w:bookmarkEnd w:id="32"/>
    </w:p>
    <w:p w14:paraId="50AF69A4">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33" w:name="_Toc12862"/>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1.前期准备</w:t>
      </w:r>
      <w:bookmarkEnd w:id="33"/>
    </w:p>
    <w:p w14:paraId="4FB72994">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（1）成立绩效评价项目小组</w:t>
      </w:r>
    </w:p>
    <w:p w14:paraId="0F22A935">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为确保该项目绩效评价的顺利实施，评价机构组建了绩效评价项目小组。项目小组负责建立联络制度、明确评价责任人、制定评价方案、实施具体评价等工作。</w:t>
      </w:r>
    </w:p>
    <w:p w14:paraId="439851E6">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4" w:name="_Toc3157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（2）开展前期调研</w:t>
      </w:r>
      <w:bookmarkEnd w:id="34"/>
    </w:p>
    <w:p w14:paraId="1B0A2BB7">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5" w:name="_Toc21240"/>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绩效评价项目小组</w:t>
      </w:r>
      <w:r>
        <w:rPr>
          <w:rFonts w:hint="eastAsia" w:ascii="宋体" w:hAnsi="宋体" w:eastAsia="宋体" w:cs="宋体"/>
          <w:b w:val="0"/>
          <w:bCs w:val="0"/>
          <w:color w:val="auto"/>
          <w:kern w:val="2"/>
          <w:sz w:val="28"/>
          <w:szCs w:val="24"/>
          <w:highlight w:val="none"/>
          <w:shd w:val="clear" w:color="auto" w:fill="auto"/>
          <w:lang w:val="en-US" w:eastAsia="zh-CN" w:bidi="ar-SA"/>
        </w:rPr>
        <w:t>依据此次绩效评价受委托内容，对拟评价的项目实施前期调研。通过调研对</w:t>
      </w:r>
      <w:r>
        <w:rPr>
          <w:rFonts w:hint="eastAsia" w:ascii="宋体" w:hAnsi="宋体" w:eastAsia="宋体" w:cs="宋体"/>
          <w:b w:val="0"/>
          <w:bCs w:val="0"/>
          <w:color w:val="auto"/>
          <w:sz w:val="28"/>
          <w:szCs w:val="28"/>
          <w:highlight w:val="none"/>
          <w:shd w:val="clear" w:color="auto" w:fill="auto"/>
          <w:lang w:val="en-US" w:eastAsia="zh-CN"/>
        </w:rPr>
        <w:t>202</w:t>
      </w:r>
      <w:r>
        <w:rPr>
          <w:rFonts w:hint="eastAsia" w:ascii="宋体" w:hAnsi="宋体" w:cs="宋体"/>
          <w:b w:val="0"/>
          <w:bCs w:val="0"/>
          <w:color w:val="auto"/>
          <w:sz w:val="28"/>
          <w:szCs w:val="28"/>
          <w:highlight w:val="none"/>
          <w:shd w:val="clear" w:color="auto" w:fill="auto"/>
          <w:lang w:val="en-US" w:eastAsia="zh-CN"/>
        </w:rPr>
        <w:t>3</w:t>
      </w:r>
      <w:r>
        <w:rPr>
          <w:rFonts w:hint="eastAsia" w:ascii="宋体" w:hAnsi="宋体" w:eastAsia="宋体" w:cs="宋体"/>
          <w:b w:val="0"/>
          <w:bCs w:val="0"/>
          <w:color w:val="auto"/>
          <w:sz w:val="28"/>
          <w:szCs w:val="28"/>
          <w:highlight w:val="none"/>
          <w:shd w:val="clear" w:color="auto" w:fill="auto"/>
          <w:lang w:val="en-US" w:eastAsia="zh-CN"/>
        </w:rPr>
        <w:t>全民健康体检项目</w:t>
      </w:r>
      <w:r>
        <w:rPr>
          <w:rFonts w:hint="eastAsia" w:ascii="宋体" w:hAnsi="宋体" w:eastAsia="宋体" w:cs="宋体"/>
          <w:b w:val="0"/>
          <w:bCs w:val="0"/>
          <w:color w:val="auto"/>
          <w:kern w:val="2"/>
          <w:sz w:val="28"/>
          <w:szCs w:val="24"/>
          <w:highlight w:val="none"/>
          <w:shd w:val="clear" w:color="auto" w:fill="auto"/>
          <w:lang w:val="en-US" w:eastAsia="zh-CN" w:bidi="ar-SA"/>
        </w:rPr>
        <w:t>实施内容、目标信息、预算信息以及其</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他的一些项目基本信息，有了初步了解，为制定绩效评价工作方案做好准备。</w:t>
      </w:r>
      <w:bookmarkEnd w:id="35"/>
    </w:p>
    <w:p w14:paraId="2A3B01A9">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6" w:name="_Toc27977"/>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（3）制订绩效评价工作方案</w:t>
      </w:r>
      <w:bookmarkEnd w:id="36"/>
    </w:p>
    <w:p w14:paraId="3CC49867">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7" w:name="_Toc19659"/>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绩效评价项目小组根据有关规定和评价对象的特点以及前期调研收集的一些信息，拟定详细的绩效评价工作方案</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w:t>
      </w:r>
      <w:bookmarkEnd w:id="37"/>
    </w:p>
    <w:p w14:paraId="38C66061">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8" w:name="_Toc11353"/>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2.具体实施</w:t>
      </w:r>
      <w:bookmarkEnd w:id="38"/>
    </w:p>
    <w:p w14:paraId="1806D4AE">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9" w:name="_Toc1411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（1）收集基础资料</w:t>
      </w:r>
      <w:bookmarkEnd w:id="39"/>
    </w:p>
    <w:p w14:paraId="721B3E8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0" w:name="_Toc28524"/>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根据评价工作的需要和要求，在前期调研的基础上，通过多种渠道全面收集项目基础信息资料，主要包括：</w:t>
      </w:r>
      <w:bookmarkEnd w:id="40"/>
    </w:p>
    <w:p w14:paraId="6C49D5B2">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1" w:name="_Toc32216"/>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①被评价单位基本概况，如单位职能、事业发展规划、预决算情况、项目立项依据等；</w:t>
      </w:r>
      <w:bookmarkEnd w:id="41"/>
    </w:p>
    <w:p w14:paraId="5CB0540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2" w:name="_Toc10505"/>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②绩效目标及其设立依据和调整情况；</w:t>
      </w:r>
      <w:bookmarkEnd w:id="42"/>
    </w:p>
    <w:p w14:paraId="1E997697">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3" w:name="_Toc28365"/>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③管理措施及组织实施情况；</w:t>
      </w:r>
      <w:bookmarkEnd w:id="43"/>
    </w:p>
    <w:p w14:paraId="39958CC6">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4" w:name="_Toc1009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④被评价单位总结分析的绩效目标完成情况及绩效报告；</w:t>
      </w:r>
      <w:bookmarkEnd w:id="44"/>
    </w:p>
    <w:p w14:paraId="605E6704">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5" w:name="_Toc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⑤与绩效评价相关的计划标准、行业标准、历史标准等；</w:t>
      </w:r>
      <w:bookmarkEnd w:id="45"/>
    </w:p>
    <w:p w14:paraId="4A5FD91C">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6" w:name="_Toc20059"/>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⑥</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其他必要的相关资料等。</w:t>
      </w:r>
      <w:bookmarkEnd w:id="46"/>
    </w:p>
    <w:p w14:paraId="0101BC70">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7" w:name="_Toc3191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（2）整理、研读基础资料</w:t>
      </w:r>
      <w:bookmarkEnd w:id="47"/>
    </w:p>
    <w:p w14:paraId="067266A2">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8" w:name="_Toc167"/>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对收集的基础资料进行分类整理、研读，并对所收集的资料进行核实和全面分析。通过基础资料的整理、研读，了解被评价对象的具体情况，分析被评价对象可能存在的问题，根据工作需要确定实地核查的内容，为现场核查做好准备。</w:t>
      </w:r>
      <w:bookmarkEnd w:id="48"/>
    </w:p>
    <w:p w14:paraId="10471258">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default"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9" w:name="_Toc30513"/>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3.</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分析评价和撰写报告</w:t>
      </w:r>
      <w:bookmarkEnd w:id="49"/>
    </w:p>
    <w:p w14:paraId="2CB7F476">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50" w:name="_Toc15974"/>
      <w:r>
        <w:rPr>
          <w:rFonts w:hint="eastAsia"/>
          <w:b w:val="0"/>
          <w:bCs w:val="0"/>
          <w:sz w:val="28"/>
          <w:szCs w:val="28"/>
        </w:rPr>
        <w:t>（</w:t>
      </w:r>
      <w:r>
        <w:rPr>
          <w:rFonts w:hint="eastAsia" w:ascii="宋体" w:hAnsi="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）综合分析评价</w:t>
      </w:r>
      <w:bookmarkEnd w:id="50"/>
    </w:p>
    <w:p w14:paraId="36130DA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51" w:name="_Toc4352"/>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①根据所收集的基础资料，结合现场核查的有关情况，整理出绩效评价所需的项目材料和基础数据。</w:t>
      </w:r>
      <w:bookmarkEnd w:id="51"/>
    </w:p>
    <w:p w14:paraId="36DF6D3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bCs/>
          <w:color w:val="000000" w:themeColor="text1"/>
          <w:kern w:val="2"/>
          <w:sz w:val="28"/>
          <w:szCs w:val="24"/>
          <w:highlight w:val="none"/>
          <w:shd w:val="clear" w:color="auto" w:fill="auto"/>
          <w:lang w:val="en-US" w:eastAsia="zh-CN" w:bidi="ar-SA"/>
          <w14:textFill>
            <w14:solidFill>
              <w14:schemeClr w14:val="tx1"/>
            </w14:solidFill>
          </w14:textFill>
        </w:rPr>
      </w:pPr>
      <w:bookmarkStart w:id="52" w:name="_Toc26231"/>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②将初步评价结论、调整</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事项、专家咨询意见和有关说明等</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提交单位内部讨论</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并征求意见。之后，对所征求的意见及时地进行收集和整理。</w:t>
      </w:r>
      <w:bookmarkEnd w:id="52"/>
    </w:p>
    <w:p w14:paraId="003A938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53" w:name="_Toc27759"/>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）撰写报告</w:t>
      </w:r>
      <w:bookmarkEnd w:id="53"/>
    </w:p>
    <w:p w14:paraId="5CD392D4">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54" w:name="_Toc15579"/>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绩效评价项目小组依照整理、分析后的项目材料、数据资料，依据评价形成的初步结论，按照既定的格式和内容要求撰写绩效评价初步报告，</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最终</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形成评价结果。</w:t>
      </w:r>
      <w:bookmarkEnd w:id="54"/>
    </w:p>
    <w:p w14:paraId="619E3162">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14:textFill>
            <w14:solidFill>
              <w14:schemeClr w14:val="tx1"/>
            </w14:solidFill>
          </w14:textFill>
        </w:rPr>
      </w:pPr>
      <w:bookmarkStart w:id="55" w:name="_Toc1100"/>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三、</w:t>
      </w:r>
      <w:r>
        <w:rPr>
          <w:rFonts w:hint="eastAsia" w:ascii="宋体" w:hAnsi="宋体" w:eastAsia="宋体" w:cs="宋体"/>
          <w:b/>
          <w:bCs/>
          <w:color w:val="000000" w:themeColor="text1"/>
          <w:highlight w:val="none"/>
          <w:shd w:val="clear" w:color="auto" w:fill="auto"/>
          <w14:textFill>
            <w14:solidFill>
              <w14:schemeClr w14:val="tx1"/>
            </w14:solidFill>
          </w14:textFill>
        </w:rPr>
        <w:t>综合评价情况及评价结论</w:t>
      </w:r>
      <w:bookmarkEnd w:id="55"/>
    </w:p>
    <w:p w14:paraId="5E3397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zh-TW" w:eastAsia="zh-TW"/>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此次绩效评价</w:t>
      </w:r>
      <w:r>
        <w:rPr>
          <w:rFonts w:hint="eastAsia" w:ascii="宋体" w:hAnsi="宋体" w:eastAsia="宋体" w:cs="宋体"/>
          <w:color w:val="000000" w:themeColor="text1"/>
          <w:highlight w:val="none"/>
          <w:shd w:val="clear" w:color="auto" w:fill="auto"/>
          <w:lang w:val="zh-TW" w:eastAsia="zh-TW"/>
          <w14:textFill>
            <w14:solidFill>
              <w14:schemeClr w14:val="tx1"/>
            </w14:solidFill>
          </w14:textFill>
        </w:rPr>
        <w:t>通过组论证的评价指标体系及评分标准，</w:t>
      </w:r>
      <w:r>
        <w:rPr>
          <w:rFonts w:hint="eastAsia" w:ascii="宋体" w:hAnsi="宋体" w:eastAsia="宋体" w:cs="宋体"/>
          <w:color w:val="000000" w:themeColor="text1"/>
          <w:highlight w:val="none"/>
          <w:shd w:val="clear" w:color="auto" w:fill="auto"/>
          <w14:textFill>
            <w14:solidFill>
              <w14:schemeClr w14:val="tx1"/>
            </w14:solidFill>
          </w14:textFill>
        </w:rPr>
        <w:t>采用的方法比较法</w:t>
      </w:r>
      <w:r>
        <w:rPr>
          <w:rFonts w:hint="eastAsia" w:ascii="宋体" w:hAnsi="宋体" w:eastAsia="宋体" w:cs="宋体"/>
          <w:color w:val="000000" w:themeColor="text1"/>
          <w:highlight w:val="none"/>
          <w:shd w:val="clear" w:color="auto" w:fill="auto"/>
          <w:lang w:eastAsia="zh-CN"/>
          <w14:textFill>
            <w14:solidFill>
              <w14:schemeClr w14:val="tx1"/>
            </w14:solidFill>
          </w14:textFill>
        </w:rPr>
        <w:t>、因素分析法、公众评判法，</w:t>
      </w:r>
      <w:r>
        <w:rPr>
          <w:rFonts w:hint="eastAsia" w:ascii="宋体" w:hAnsi="宋体" w:eastAsia="宋体" w:cs="宋体"/>
          <w:color w:val="auto"/>
          <w:highlight w:val="none"/>
          <w:shd w:val="clear" w:color="auto" w:fill="auto"/>
          <w:lang w:val="zh-TW" w:eastAsia="zh-TW"/>
        </w:rPr>
        <w:t>对</w:t>
      </w:r>
      <w:r>
        <w:rPr>
          <w:rFonts w:hint="eastAsia" w:ascii="宋体" w:hAnsi="宋体" w:eastAsia="宋体" w:cs="宋体"/>
          <w:color w:val="auto"/>
          <w:highlight w:val="none"/>
          <w:shd w:val="clear" w:color="auto" w:fill="auto"/>
          <w:lang w:val="en-US" w:eastAsia="zh-CN"/>
        </w:rPr>
        <w:t>202</w:t>
      </w:r>
      <w:r>
        <w:rPr>
          <w:rFonts w:hint="eastAsia"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val="en-US" w:eastAsia="zh-CN"/>
        </w:rPr>
        <w:t>全民健康体检项目</w:t>
      </w:r>
      <w:r>
        <w:rPr>
          <w:rFonts w:hint="eastAsia" w:ascii="宋体" w:hAnsi="宋体" w:eastAsia="宋体" w:cs="宋体"/>
          <w:color w:val="auto"/>
          <w:highlight w:val="none"/>
          <w:shd w:val="clear" w:color="auto" w:fill="auto"/>
          <w:lang w:val="zh-TW" w:eastAsia="zh-TW"/>
        </w:rPr>
        <w:t>绩效进行客观评价，最终评分结果：总分为</w:t>
      </w:r>
      <w:r>
        <w:rPr>
          <w:rFonts w:hint="eastAsia" w:cs="宋体"/>
          <w:color w:val="auto"/>
          <w:highlight w:val="none"/>
          <w:shd w:val="clear" w:color="auto" w:fill="auto"/>
          <w:lang w:val="en-US" w:eastAsia="zh-CN"/>
        </w:rPr>
        <w:t>93.5</w:t>
      </w:r>
      <w:r>
        <w:rPr>
          <w:rFonts w:hint="eastAsia" w:ascii="宋体" w:hAnsi="宋体" w:eastAsia="宋体" w:cs="宋体"/>
          <w:color w:val="auto"/>
          <w:highlight w:val="none"/>
          <w:shd w:val="clear" w:color="auto" w:fill="auto"/>
          <w:lang w:val="zh-TW" w:eastAsia="zh-TW"/>
        </w:rPr>
        <w:t>分，绩效评级为“</w:t>
      </w:r>
      <w:r>
        <w:rPr>
          <w:rFonts w:hint="eastAsia" w:cs="宋体"/>
          <w:color w:val="auto"/>
          <w:highlight w:val="none"/>
          <w:shd w:val="clear" w:color="auto" w:fill="auto"/>
          <w:lang w:val="en-US" w:eastAsia="zh-CN"/>
        </w:rPr>
        <w:t>优</w:t>
      </w:r>
      <w:r>
        <w:rPr>
          <w:rFonts w:hint="eastAsia" w:ascii="宋体" w:hAnsi="宋体" w:eastAsia="宋体" w:cs="宋体"/>
          <w:color w:val="auto"/>
          <w:highlight w:val="none"/>
          <w:shd w:val="clear" w:color="auto" w:fill="auto"/>
          <w:lang w:val="zh-TW" w:eastAsia="zh-TW"/>
        </w:rPr>
        <w:t>”。各部分权重和绩效</w:t>
      </w:r>
      <w:r>
        <w:rPr>
          <w:rFonts w:hint="eastAsia" w:ascii="宋体" w:hAnsi="宋体" w:eastAsia="宋体" w:cs="宋体"/>
          <w:color w:val="auto"/>
          <w:highlight w:val="none"/>
          <w:shd w:val="clear" w:color="auto" w:fill="auto"/>
          <w:lang w:val="en-US" w:eastAsia="zh-CN"/>
        </w:rPr>
        <w:t>汇总</w:t>
      </w:r>
      <w:r>
        <w:rPr>
          <w:rFonts w:hint="eastAsia" w:ascii="宋体" w:hAnsi="宋体" w:eastAsia="宋体" w:cs="宋体"/>
          <w:color w:val="auto"/>
          <w:highlight w:val="none"/>
          <w:shd w:val="clear" w:color="auto" w:fill="auto"/>
          <w:lang w:val="zh-TW" w:eastAsia="zh-TW"/>
        </w:rPr>
        <w:t>分值如下表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3-1</w:t>
      </w:r>
      <w:r>
        <w:rPr>
          <w:rFonts w:hint="eastAsia" w:ascii="宋体" w:hAnsi="宋体" w:eastAsia="宋体" w:cs="宋体"/>
          <w:color w:val="auto"/>
          <w:highlight w:val="none"/>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zh-TW" w:eastAsia="zh-TW"/>
        </w:rPr>
        <w:t>：</w:t>
      </w:r>
    </w:p>
    <w:tbl>
      <w:tblPr>
        <w:tblStyle w:val="11"/>
        <w:tblW w:w="8289" w:type="dxa"/>
        <w:jc w:val="center"/>
        <w:shd w:val="clear" w:color="auto" w:fill="auto"/>
        <w:tblLayout w:type="fixed"/>
        <w:tblCellMar>
          <w:top w:w="0" w:type="dxa"/>
          <w:left w:w="0" w:type="dxa"/>
          <w:bottom w:w="0" w:type="dxa"/>
          <w:right w:w="0" w:type="dxa"/>
        </w:tblCellMar>
      </w:tblPr>
      <w:tblGrid>
        <w:gridCol w:w="1094"/>
        <w:gridCol w:w="1361"/>
        <w:gridCol w:w="1361"/>
        <w:gridCol w:w="1361"/>
        <w:gridCol w:w="1623"/>
        <w:gridCol w:w="1489"/>
      </w:tblGrid>
      <w:tr w14:paraId="3AD4CB18">
        <w:tblPrEx>
          <w:shd w:val="clear" w:color="auto" w:fill="auto"/>
          <w:tblCellMar>
            <w:top w:w="0" w:type="dxa"/>
            <w:left w:w="0" w:type="dxa"/>
            <w:bottom w:w="0" w:type="dxa"/>
            <w:right w:w="0" w:type="dxa"/>
          </w:tblCellMar>
        </w:tblPrEx>
        <w:trPr>
          <w:trHeight w:val="375" w:hRule="atLeast"/>
          <w:jc w:val="center"/>
        </w:trPr>
        <w:tc>
          <w:tcPr>
            <w:tcW w:w="8289" w:type="dxa"/>
            <w:gridSpan w:val="6"/>
            <w:tcBorders>
              <w:top w:val="nil"/>
              <w:left w:val="nil"/>
              <w:bottom w:val="nil"/>
              <w:right w:val="nil"/>
            </w:tcBorders>
            <w:shd w:val="clear" w:color="auto" w:fill="auto"/>
            <w:tcMar>
              <w:top w:w="15" w:type="dxa"/>
              <w:left w:w="15" w:type="dxa"/>
              <w:right w:w="15" w:type="dxa"/>
            </w:tcMar>
            <w:vAlign w:val="center"/>
          </w:tcPr>
          <w:p w14:paraId="431D614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表3-1：</w:t>
            </w:r>
            <w:r>
              <w:rPr>
                <w:rFonts w:hint="eastAsia" w:ascii="宋体" w:hAnsi="宋体" w:eastAsia="宋体" w:cs="宋体"/>
                <w:b/>
                <w:bCs/>
                <w:color w:val="auto"/>
                <w:highlight w:val="none"/>
                <w:shd w:val="clear" w:color="auto" w:fill="auto"/>
                <w:lang w:val="en-US" w:eastAsia="zh-CN"/>
              </w:rPr>
              <w:t>202</w:t>
            </w:r>
            <w:r>
              <w:rPr>
                <w:rFonts w:hint="eastAsia" w:cs="宋体"/>
                <w:b/>
                <w:bCs/>
                <w:color w:val="auto"/>
                <w:highlight w:val="none"/>
                <w:shd w:val="clear" w:color="auto" w:fill="auto"/>
                <w:lang w:val="en-US" w:eastAsia="zh-CN"/>
              </w:rPr>
              <w:t>2</w:t>
            </w:r>
            <w:r>
              <w:rPr>
                <w:rFonts w:hint="eastAsia" w:ascii="宋体" w:hAnsi="宋体" w:eastAsia="宋体" w:cs="宋体"/>
                <w:b/>
                <w:bCs/>
                <w:color w:val="auto"/>
                <w:highlight w:val="none"/>
                <w:shd w:val="clear" w:color="auto" w:fill="auto"/>
                <w:lang w:val="en-US" w:eastAsia="zh-CN"/>
              </w:rPr>
              <w:t>全民健康体检项目</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得分表</w:t>
            </w:r>
          </w:p>
          <w:p w14:paraId="7D3C4F4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r>
      <w:tr w14:paraId="5FA45271">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C583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指标类别</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95C0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1.项目决策</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C99C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2.过程管理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B4D8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3.项目产出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ED0B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4.项目效益</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A919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合计</w:t>
            </w:r>
          </w:p>
        </w:tc>
      </w:tr>
      <w:tr w14:paraId="7403C5B2">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E41A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t>权重</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0478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9871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83E6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1633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C6A9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100</w:t>
            </w:r>
          </w:p>
        </w:tc>
      </w:tr>
      <w:tr w14:paraId="6F96CD75">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22E5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分值</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2E46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19</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4349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19.83</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8612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24.67</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A4BF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B3B3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93.5</w:t>
            </w:r>
          </w:p>
        </w:tc>
      </w:tr>
      <w:tr w14:paraId="01D01468">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1DD4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得分率</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16B9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95</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CE96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99.15</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41F4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82.23</w:t>
            </w:r>
            <w:r>
              <w:rPr>
                <w:rFonts w:hint="eastAsia" w:ascii="宋体" w:hAnsi="宋体" w:eastAsia="宋体" w:cs="宋体"/>
                <w:color w:val="auto"/>
                <w:kern w:val="0"/>
                <w:sz w:val="21"/>
                <w:szCs w:val="21"/>
                <w:highlight w:val="none"/>
                <w:shd w:val="clear" w:color="auto" w:fill="auto"/>
                <w:lang w:val="en-US" w:eastAsia="zh-CN"/>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CA0A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D4C0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93.5</w:t>
            </w:r>
            <w:r>
              <w:rPr>
                <w:rFonts w:hint="eastAsia" w:ascii="宋体" w:hAnsi="宋体" w:eastAsia="宋体" w:cs="宋体"/>
                <w:color w:val="auto"/>
                <w:kern w:val="0"/>
                <w:sz w:val="21"/>
                <w:szCs w:val="21"/>
                <w:highlight w:val="none"/>
                <w:shd w:val="clear" w:color="auto" w:fill="auto"/>
                <w:lang w:val="en-US" w:eastAsia="zh-CN"/>
              </w:rPr>
              <w:t>%</w:t>
            </w:r>
          </w:p>
        </w:tc>
      </w:tr>
    </w:tbl>
    <w:p w14:paraId="3B194D4F">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56" w:name="_Toc9421"/>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四、绩效评价指标分析</w:t>
      </w:r>
      <w:bookmarkEnd w:id="56"/>
    </w:p>
    <w:p w14:paraId="2AE75B38">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57" w:name="_Toc15355"/>
      <w:r>
        <w:rPr>
          <w:rFonts w:hint="eastAsia" w:ascii="宋体" w:hAnsi="宋体" w:eastAsia="宋体" w:cs="宋体"/>
          <w:color w:val="000000" w:themeColor="text1"/>
          <w:highlight w:val="none"/>
          <w:shd w:val="clear" w:color="auto" w:fill="auto"/>
          <w14:textFill>
            <w14:solidFill>
              <w14:schemeClr w14:val="tx1"/>
            </w14:solidFill>
          </w14:textFill>
        </w:rPr>
        <w:t>（一）项目决策情况</w:t>
      </w:r>
      <w:bookmarkEnd w:id="57"/>
    </w:p>
    <w:p w14:paraId="58D7FC20">
      <w:pPr>
        <w:keepNext w:val="0"/>
        <w:keepLines w:val="0"/>
        <w:pageBreakBefore w:val="0"/>
        <w:widowControl w:val="0"/>
        <w:kinsoku/>
        <w:wordWrap/>
        <w:overflowPunct/>
        <w:topLinePunct w:val="0"/>
        <w:autoSpaceDE/>
        <w:autoSpaceDN/>
        <w:bidi w:val="0"/>
        <w:adjustRightInd/>
        <w:snapToGrid/>
        <w:spacing w:line="360" w:lineRule="auto"/>
        <w:ind w:firstLine="723"/>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项目决策由</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个二级指标和</w:t>
      </w:r>
      <w:r>
        <w:rPr>
          <w:rFonts w:hint="eastAsia" w:cs="宋体"/>
          <w:color w:val="auto"/>
          <w:highlight w:val="none"/>
          <w:shd w:val="clear" w:color="auto" w:fill="auto"/>
          <w:lang w:val="en-US" w:eastAsia="zh-CN"/>
        </w:rPr>
        <w:t>6</w:t>
      </w:r>
      <w:r>
        <w:rPr>
          <w:rFonts w:hint="eastAsia" w:ascii="宋体" w:hAnsi="宋体" w:eastAsia="宋体" w:cs="宋体"/>
          <w:color w:val="auto"/>
          <w:highlight w:val="none"/>
          <w:shd w:val="clear" w:color="auto" w:fill="auto"/>
          <w:lang w:val="en-US" w:eastAsia="zh-CN"/>
        </w:rPr>
        <w:t>个三级指标构成，权重分20分，实际得分</w:t>
      </w:r>
      <w:r>
        <w:rPr>
          <w:rFonts w:hint="eastAsia" w:cs="宋体"/>
          <w:color w:val="auto"/>
          <w:highlight w:val="none"/>
          <w:shd w:val="clear" w:color="auto" w:fill="auto"/>
          <w:lang w:val="en-US" w:eastAsia="zh-CN"/>
        </w:rPr>
        <w:t>19</w:t>
      </w:r>
      <w:r>
        <w:rPr>
          <w:rFonts w:hint="eastAsia" w:ascii="宋体" w:hAnsi="宋体" w:eastAsia="宋体" w:cs="宋体"/>
          <w:color w:val="auto"/>
          <w:highlight w:val="none"/>
          <w:shd w:val="clear" w:color="auto" w:fill="auto"/>
          <w:lang w:val="en-US" w:eastAsia="zh-CN"/>
        </w:rPr>
        <w:t>分，</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b/>
          <w:bCs/>
          <w:color w:val="auto"/>
          <w:kern w:val="2"/>
          <w:highlight w:val="none"/>
          <w:u w:color="000000"/>
          <w:shd w:val="clear" w:color="auto" w:fill="auto"/>
          <w:lang w:val="en-US" w:eastAsia="zh-CN"/>
        </w:rPr>
        <w:t>4</w:t>
      </w:r>
      <w:r>
        <w:rPr>
          <w:rFonts w:hint="eastAsia" w:ascii="宋体" w:hAnsi="宋体" w:eastAsia="宋体" w:cs="宋体"/>
          <w:b/>
          <w:bCs/>
          <w:color w:val="auto"/>
          <w:kern w:val="2"/>
          <w:highlight w:val="none"/>
          <w:u w:color="000000"/>
          <w:shd w:val="clear" w:color="auto" w:fill="auto"/>
          <w:lang w:eastAsia="zh-CN"/>
        </w:rPr>
        <w:t>-1</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w:t>
      </w:r>
    </w:p>
    <w:p w14:paraId="29A688D9">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4-1</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项目决策指标及分值</w:t>
      </w:r>
    </w:p>
    <w:tbl>
      <w:tblPr>
        <w:tblStyle w:val="11"/>
        <w:tblW w:w="8447" w:type="dxa"/>
        <w:jc w:val="center"/>
        <w:tblLayout w:type="fixed"/>
        <w:tblCellMar>
          <w:top w:w="0" w:type="dxa"/>
          <w:left w:w="0" w:type="dxa"/>
          <w:bottom w:w="0" w:type="dxa"/>
          <w:right w:w="0" w:type="dxa"/>
        </w:tblCellMar>
      </w:tblPr>
      <w:tblGrid>
        <w:gridCol w:w="1077"/>
        <w:gridCol w:w="960"/>
        <w:gridCol w:w="1248"/>
        <w:gridCol w:w="794"/>
        <w:gridCol w:w="3"/>
        <w:gridCol w:w="1868"/>
        <w:gridCol w:w="3"/>
        <w:gridCol w:w="1414"/>
        <w:gridCol w:w="3"/>
        <w:gridCol w:w="1074"/>
        <w:gridCol w:w="3"/>
      </w:tblGrid>
      <w:tr w14:paraId="3384C77F">
        <w:tblPrEx>
          <w:tblCellMar>
            <w:top w:w="0" w:type="dxa"/>
            <w:left w:w="0" w:type="dxa"/>
            <w:bottom w:w="0" w:type="dxa"/>
            <w:right w:w="0" w:type="dxa"/>
          </w:tblCellMar>
        </w:tblPrEx>
        <w:trPr>
          <w:gridAfter w:val="1"/>
          <w:wAfter w:w="3" w:type="dxa"/>
          <w:trHeight w:val="522" w:hRule="atLeast"/>
          <w:tblHeader/>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05E18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AA000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2C26D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6EFB9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A0AC4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777EF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E6AF4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得分</w:t>
            </w:r>
          </w:p>
        </w:tc>
      </w:tr>
      <w:tr w14:paraId="72125F35">
        <w:tblPrEx>
          <w:tblCellMar>
            <w:top w:w="0" w:type="dxa"/>
            <w:left w:w="0" w:type="dxa"/>
            <w:bottom w:w="0" w:type="dxa"/>
            <w:right w:w="0" w:type="dxa"/>
          </w:tblCellMar>
        </w:tblPrEx>
        <w:trPr>
          <w:gridAfter w:val="1"/>
          <w:wAfter w:w="3" w:type="dxa"/>
          <w:trHeight w:val="334" w:hRule="atLeast"/>
          <w:tblHeader/>
          <w:jc w:val="center"/>
        </w:trPr>
        <w:tc>
          <w:tcPr>
            <w:tcW w:w="107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356100F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项目决策</w:t>
            </w:r>
          </w:p>
        </w:tc>
        <w:tc>
          <w:tcPr>
            <w:tcW w:w="96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5E28479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6EC5CB1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项目立项</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4DD0441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42232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立项依据充分性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D578E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AC419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14:paraId="3D42E8AD">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4D0FD08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02D750E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EF585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377DF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CEC39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立项程序规范性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10BF9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34175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14:paraId="0C58B433">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705A91E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027426F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6A1E6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绩效目标</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C9419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AB77D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绩效目标合理性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F9AFC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3D294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5CB4C501">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0AF7C1C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1FF102A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EDB29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F3AED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D1906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绩效指标明确性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379C8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0B0B0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604CDE96">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176D013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487CC3A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22483D0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资金投入</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56E2281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7E346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预算编制科学性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A7471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D90CD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14:paraId="23302070">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07B4D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925D7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A8F20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73F1A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F3825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资金分配合理性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8F2E4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41FC9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14:paraId="53458234">
        <w:tblPrEx>
          <w:tblCellMar>
            <w:top w:w="0" w:type="dxa"/>
            <w:left w:w="0" w:type="dxa"/>
            <w:bottom w:w="0" w:type="dxa"/>
            <w:right w:w="0" w:type="dxa"/>
          </w:tblCellMar>
        </w:tblPrEx>
        <w:trPr>
          <w:trHeight w:val="334" w:hRule="atLeast"/>
          <w:tblHeader/>
          <w:jc w:val="center"/>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B5F0D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合计</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B24EE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FA9E9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A8513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2BF8D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19</w:t>
            </w:r>
          </w:p>
        </w:tc>
      </w:tr>
    </w:tbl>
    <w:p w14:paraId="5FDA9800">
      <w:pPr>
        <w:bidi w:val="0"/>
        <w:outlineLvl w:val="2"/>
        <w:rPr>
          <w:rFonts w:hint="default"/>
          <w:b/>
          <w:bCs/>
          <w:lang w:val="en-US" w:eastAsia="zh-CN"/>
        </w:rPr>
      </w:pPr>
      <w:bookmarkStart w:id="58" w:name="_Toc13522"/>
      <w:r>
        <w:rPr>
          <w:rFonts w:hint="eastAsia"/>
          <w:b/>
          <w:bCs/>
          <w:lang w:val="en-US" w:eastAsia="zh-CN"/>
        </w:rPr>
        <w:t>1.立项依据充分性</w:t>
      </w:r>
      <w:bookmarkEnd w:id="58"/>
    </w:p>
    <w:p w14:paraId="50E50840">
      <w:pPr>
        <w:bidi w:val="0"/>
        <w:rPr>
          <w:rFonts w:hint="eastAsia"/>
          <w:color w:val="auto"/>
          <w:lang w:eastAsia="zh-CN"/>
        </w:rPr>
      </w:pPr>
      <w:r>
        <w:rPr>
          <w:rFonts w:hint="eastAsia"/>
          <w:lang w:eastAsia="zh-CN"/>
        </w:rPr>
        <w:t>①项目立</w:t>
      </w:r>
      <w:r>
        <w:rPr>
          <w:rFonts w:hint="eastAsia"/>
          <w:color w:val="auto"/>
          <w:lang w:eastAsia="zh-CN"/>
        </w:rPr>
        <w:t>项符合《</w:t>
      </w:r>
      <w:r>
        <w:rPr>
          <w:rFonts w:hint="eastAsia"/>
          <w:color w:val="auto"/>
          <w:lang w:val="en-US" w:eastAsia="zh-CN"/>
        </w:rPr>
        <w:t>关于印发国民健康政策纲要（2019-2030年）的通知</w:t>
      </w:r>
      <w:r>
        <w:rPr>
          <w:rFonts w:hint="eastAsia"/>
          <w:color w:val="auto"/>
          <w:lang w:eastAsia="zh-CN"/>
        </w:rPr>
        <w:t>》；</w:t>
      </w:r>
    </w:p>
    <w:p w14:paraId="0BE05CA1">
      <w:pPr>
        <w:bidi w:val="0"/>
        <w:rPr>
          <w:rFonts w:hint="eastAsia"/>
          <w:color w:val="auto"/>
          <w:lang w:eastAsia="zh-CN"/>
        </w:rPr>
      </w:pPr>
      <w:r>
        <w:rPr>
          <w:rFonts w:hint="eastAsia"/>
          <w:color w:val="auto"/>
          <w:lang w:eastAsia="zh-CN"/>
        </w:rPr>
        <w:t>②项目立项符合</w:t>
      </w:r>
      <w:r>
        <w:rPr>
          <w:rFonts w:hint="eastAsia"/>
          <w:color w:val="auto"/>
          <w:lang w:val="en-US" w:eastAsia="zh-CN"/>
        </w:rPr>
        <w:t>各级卫生健康行政部门要在健康体检工作中加强健康管理服务能力建设，提高健康管理服务</w:t>
      </w:r>
      <w:r>
        <w:rPr>
          <w:rFonts w:hint="eastAsia"/>
          <w:color w:val="auto"/>
          <w:lang w:eastAsia="zh-CN"/>
        </w:rPr>
        <w:t>；</w:t>
      </w:r>
    </w:p>
    <w:p w14:paraId="52B6E253">
      <w:pPr>
        <w:bidi w:val="0"/>
        <w:rPr>
          <w:rFonts w:hint="eastAsia"/>
          <w:color w:val="auto"/>
          <w:lang w:eastAsia="zh-CN"/>
        </w:rPr>
      </w:pPr>
      <w:r>
        <w:rPr>
          <w:rFonts w:hint="eastAsia"/>
          <w:color w:val="auto"/>
          <w:lang w:eastAsia="zh-CN"/>
        </w:rPr>
        <w:t>③项目立项与</w:t>
      </w:r>
      <w:r>
        <w:rPr>
          <w:rFonts w:hint="eastAsia"/>
          <w:color w:val="auto"/>
          <w:highlight w:val="none"/>
          <w:lang w:val="en-US" w:eastAsia="zh-CN"/>
        </w:rPr>
        <w:t>切实保障辖区内居民全民健康体检、提升居民健康意识的部</w:t>
      </w:r>
      <w:r>
        <w:rPr>
          <w:rFonts w:hint="eastAsia"/>
          <w:color w:val="auto"/>
          <w:highlight w:val="none"/>
          <w:lang w:eastAsia="zh-CN"/>
        </w:rPr>
        <w:t>门职责范围</w:t>
      </w:r>
      <w:r>
        <w:rPr>
          <w:rFonts w:hint="eastAsia"/>
          <w:color w:val="auto"/>
          <w:lang w:eastAsia="zh-CN"/>
        </w:rPr>
        <w:t>相符，属于部门履职所需；</w:t>
      </w:r>
    </w:p>
    <w:p w14:paraId="10665E65">
      <w:pPr>
        <w:bidi w:val="0"/>
        <w:rPr>
          <w:rFonts w:hint="eastAsia"/>
          <w:lang w:eastAsia="zh-CN"/>
        </w:rPr>
      </w:pPr>
      <w:r>
        <w:rPr>
          <w:rFonts w:hint="eastAsia"/>
          <w:color w:val="auto"/>
          <w:lang w:eastAsia="zh-CN"/>
        </w:rPr>
        <w:t>④项目属于公共财政支持范围，符合中央、地方事权</w:t>
      </w:r>
      <w:r>
        <w:rPr>
          <w:rFonts w:hint="eastAsia"/>
          <w:lang w:eastAsia="zh-CN"/>
        </w:rPr>
        <w:t>支出责任划分原则；</w:t>
      </w:r>
    </w:p>
    <w:p w14:paraId="48DBC5B4">
      <w:pPr>
        <w:bidi w:val="0"/>
        <w:rPr>
          <w:rFonts w:hint="eastAsia"/>
          <w:lang w:eastAsia="zh-CN"/>
        </w:rPr>
      </w:pPr>
      <w:r>
        <w:rPr>
          <w:rFonts w:hint="eastAsia"/>
          <w:lang w:eastAsia="zh-CN"/>
        </w:rPr>
        <w:t>⑤项目与相关部门同类项目或部门内部相关项目</w:t>
      </w:r>
      <w:r>
        <w:rPr>
          <w:rFonts w:hint="eastAsia"/>
          <w:lang w:val="en-US" w:eastAsia="zh-CN"/>
        </w:rPr>
        <w:t>不</w:t>
      </w:r>
      <w:r>
        <w:rPr>
          <w:rFonts w:hint="eastAsia"/>
          <w:lang w:eastAsia="zh-CN"/>
        </w:rPr>
        <w:t>重复。</w:t>
      </w:r>
    </w:p>
    <w:p w14:paraId="685B74B3">
      <w:pPr>
        <w:bidi w:val="0"/>
        <w:rPr>
          <w:rFonts w:hint="default"/>
          <w:color w:val="auto"/>
          <w:lang w:val="en-US" w:eastAsia="zh-CN"/>
        </w:rPr>
      </w:pPr>
      <w:r>
        <w:rPr>
          <w:rFonts w:hint="eastAsia"/>
          <w:b/>
          <w:bCs/>
          <w:lang w:val="en-US" w:eastAsia="zh-CN"/>
        </w:rPr>
        <w:t>综上，该项指标</w:t>
      </w:r>
      <w:r>
        <w:rPr>
          <w:rFonts w:hint="eastAsia"/>
          <w:b/>
          <w:bCs/>
          <w:color w:val="auto"/>
          <w:lang w:val="en-US" w:eastAsia="zh-CN"/>
        </w:rPr>
        <w:t>满分2分，得分2分。</w:t>
      </w:r>
    </w:p>
    <w:p w14:paraId="22CFF168">
      <w:pPr>
        <w:bidi w:val="0"/>
        <w:outlineLvl w:val="2"/>
        <w:rPr>
          <w:rFonts w:hint="default"/>
          <w:b/>
          <w:bCs/>
          <w:color w:val="auto"/>
          <w:lang w:val="en-US" w:eastAsia="zh-CN"/>
        </w:rPr>
      </w:pPr>
      <w:bookmarkStart w:id="59" w:name="_Toc21976"/>
      <w:r>
        <w:rPr>
          <w:rFonts w:hint="eastAsia"/>
          <w:b/>
          <w:bCs/>
          <w:color w:val="auto"/>
          <w:lang w:val="en-US" w:eastAsia="zh-CN"/>
        </w:rPr>
        <w:t>2.立项程序规范性</w:t>
      </w:r>
      <w:bookmarkEnd w:id="59"/>
    </w:p>
    <w:p w14:paraId="69982938">
      <w:pPr>
        <w:bidi w:val="0"/>
        <w:rPr>
          <w:rFonts w:hint="eastAsia"/>
          <w:lang w:eastAsia="zh-CN"/>
        </w:rPr>
      </w:pPr>
      <w:r>
        <w:rPr>
          <w:rFonts w:hint="eastAsia"/>
          <w:lang w:eastAsia="zh-CN"/>
        </w:rPr>
        <w:t>①项目按照规定的程序申请设立；</w:t>
      </w:r>
    </w:p>
    <w:p w14:paraId="37DEF2D0">
      <w:pPr>
        <w:bidi w:val="0"/>
        <w:rPr>
          <w:rFonts w:hint="eastAsia"/>
          <w:color w:val="auto"/>
          <w:lang w:eastAsia="zh-CN"/>
        </w:rPr>
      </w:pPr>
      <w:r>
        <w:rPr>
          <w:rFonts w:hint="eastAsia"/>
          <w:lang w:eastAsia="zh-CN"/>
        </w:rPr>
        <w:t>②</w:t>
      </w:r>
      <w:r>
        <w:rPr>
          <w:rFonts w:hint="eastAsia"/>
          <w:color w:val="auto"/>
          <w:lang w:eastAsia="zh-CN"/>
        </w:rPr>
        <w:t>审批文件、材料符合相关要求；</w:t>
      </w:r>
    </w:p>
    <w:p w14:paraId="3C321BD7">
      <w:pPr>
        <w:bidi w:val="0"/>
        <w:rPr>
          <w:rFonts w:hint="eastAsia"/>
          <w:color w:val="auto"/>
          <w:highlight w:val="none"/>
          <w:lang w:eastAsia="zh-CN"/>
        </w:rPr>
      </w:pPr>
      <w:r>
        <w:rPr>
          <w:rFonts w:hint="eastAsia"/>
          <w:color w:val="auto"/>
          <w:highlight w:val="none"/>
          <w:lang w:eastAsia="zh-CN"/>
        </w:rPr>
        <w:t>③事前未经过必要的可行性研究、专家论证、风险评估、绩效评估、集体决策，扣</w:t>
      </w:r>
      <w:r>
        <w:rPr>
          <w:rFonts w:hint="eastAsia"/>
          <w:color w:val="auto"/>
          <w:highlight w:val="none"/>
          <w:lang w:val="en-US" w:eastAsia="zh-CN"/>
        </w:rPr>
        <w:t>1分</w:t>
      </w:r>
      <w:r>
        <w:rPr>
          <w:rFonts w:hint="eastAsia"/>
          <w:color w:val="auto"/>
          <w:highlight w:val="none"/>
          <w:lang w:eastAsia="zh-CN"/>
        </w:rPr>
        <w:t>。</w:t>
      </w:r>
    </w:p>
    <w:p w14:paraId="64BBCAE1">
      <w:pPr>
        <w:bidi w:val="0"/>
        <w:rPr>
          <w:rFonts w:hint="eastAsia"/>
          <w:color w:val="auto"/>
          <w:lang w:eastAsia="zh-CN"/>
        </w:rPr>
      </w:pPr>
      <w:r>
        <w:rPr>
          <w:rFonts w:hint="eastAsia"/>
          <w:b/>
          <w:bCs/>
          <w:color w:val="auto"/>
          <w:lang w:val="en-US" w:eastAsia="zh-CN"/>
        </w:rPr>
        <w:t>综上，该项指标满分3分，得分2分。</w:t>
      </w:r>
    </w:p>
    <w:p w14:paraId="3F41713D">
      <w:pPr>
        <w:bidi w:val="0"/>
        <w:outlineLvl w:val="2"/>
        <w:rPr>
          <w:rFonts w:hint="default"/>
          <w:b/>
          <w:bCs/>
          <w:color w:val="auto"/>
          <w:lang w:val="en-US" w:eastAsia="zh-CN"/>
        </w:rPr>
      </w:pPr>
      <w:bookmarkStart w:id="60" w:name="_Toc15382"/>
      <w:r>
        <w:rPr>
          <w:rFonts w:hint="eastAsia"/>
          <w:b/>
          <w:bCs/>
          <w:color w:val="auto"/>
          <w:lang w:val="en-US" w:eastAsia="zh-CN"/>
        </w:rPr>
        <w:t>3.绩效目标合理性</w:t>
      </w:r>
      <w:bookmarkEnd w:id="60"/>
    </w:p>
    <w:p w14:paraId="2F506184">
      <w:pPr>
        <w:bidi w:val="0"/>
        <w:rPr>
          <w:rFonts w:hint="eastAsia"/>
          <w:lang w:eastAsia="zh-CN"/>
        </w:rPr>
      </w:pPr>
      <w:r>
        <w:rPr>
          <w:rFonts w:hint="eastAsia"/>
          <w:lang w:eastAsia="zh-CN"/>
        </w:rPr>
        <w:t>①项目有绩效目标；</w:t>
      </w:r>
    </w:p>
    <w:p w14:paraId="1E4E581B">
      <w:pPr>
        <w:bidi w:val="0"/>
        <w:rPr>
          <w:rFonts w:hint="eastAsia"/>
          <w:lang w:eastAsia="zh-CN"/>
        </w:rPr>
      </w:pPr>
      <w:r>
        <w:rPr>
          <w:rFonts w:hint="eastAsia"/>
          <w:lang w:eastAsia="zh-CN"/>
        </w:rPr>
        <w:t>②项目绩效目标与实际工作内容具有相关性；</w:t>
      </w:r>
    </w:p>
    <w:p w14:paraId="0C5EE3DE">
      <w:pPr>
        <w:bidi w:val="0"/>
        <w:rPr>
          <w:rFonts w:hint="eastAsia"/>
          <w:lang w:eastAsia="zh-CN"/>
        </w:rPr>
      </w:pPr>
      <w:r>
        <w:rPr>
          <w:rFonts w:hint="eastAsia"/>
          <w:lang w:eastAsia="zh-CN"/>
        </w:rPr>
        <w:t>③项目预期产出效益和效果符合正常的业绩水平；</w:t>
      </w:r>
    </w:p>
    <w:p w14:paraId="7FAE3F61">
      <w:pPr>
        <w:bidi w:val="0"/>
        <w:rPr>
          <w:rFonts w:hint="eastAsia"/>
          <w:color w:val="auto"/>
          <w:highlight w:val="none"/>
          <w:lang w:eastAsia="zh-CN"/>
        </w:rPr>
      </w:pPr>
      <w:r>
        <w:rPr>
          <w:rFonts w:hint="eastAsia"/>
          <w:lang w:eastAsia="zh-CN"/>
        </w:rPr>
        <w:t>④与</w:t>
      </w:r>
      <w:r>
        <w:rPr>
          <w:rFonts w:hint="eastAsia"/>
          <w:highlight w:val="none"/>
          <w:lang w:eastAsia="zh-CN"/>
        </w:rPr>
        <w:t>预算确定的项目投</w:t>
      </w:r>
      <w:r>
        <w:rPr>
          <w:rFonts w:hint="eastAsia"/>
          <w:color w:val="auto"/>
          <w:highlight w:val="none"/>
          <w:lang w:eastAsia="zh-CN"/>
        </w:rPr>
        <w:t>资额或资金量相匹配。</w:t>
      </w:r>
    </w:p>
    <w:p w14:paraId="724E68C0">
      <w:pPr>
        <w:bidi w:val="0"/>
        <w:rPr>
          <w:rFonts w:hint="eastAsia"/>
          <w:color w:val="auto"/>
          <w:highlight w:val="none"/>
          <w:lang w:eastAsia="zh-CN"/>
        </w:rPr>
      </w:pPr>
      <w:r>
        <w:rPr>
          <w:rFonts w:hint="eastAsia"/>
          <w:b/>
          <w:bCs/>
          <w:color w:val="auto"/>
          <w:highlight w:val="none"/>
          <w:lang w:val="en-US" w:eastAsia="zh-CN"/>
        </w:rPr>
        <w:t>综上，该项指标满分5分，得分5分。</w:t>
      </w:r>
    </w:p>
    <w:p w14:paraId="7A67FC31">
      <w:pPr>
        <w:bidi w:val="0"/>
        <w:outlineLvl w:val="2"/>
        <w:rPr>
          <w:rFonts w:hint="default"/>
          <w:b/>
          <w:bCs/>
          <w:highlight w:val="none"/>
          <w:lang w:val="en-US" w:eastAsia="zh-CN"/>
        </w:rPr>
      </w:pPr>
      <w:bookmarkStart w:id="61" w:name="_Toc10650"/>
      <w:r>
        <w:rPr>
          <w:rFonts w:hint="eastAsia"/>
          <w:b/>
          <w:bCs/>
          <w:highlight w:val="none"/>
          <w:lang w:val="en-US" w:eastAsia="zh-CN"/>
        </w:rPr>
        <w:t>4.绩效指标明确性</w:t>
      </w:r>
      <w:bookmarkEnd w:id="61"/>
    </w:p>
    <w:p w14:paraId="21E27969">
      <w:pPr>
        <w:bidi w:val="0"/>
        <w:rPr>
          <w:rFonts w:hint="eastAsia"/>
          <w:highlight w:val="none"/>
          <w:lang w:eastAsia="zh-CN"/>
        </w:rPr>
      </w:pPr>
      <w:r>
        <w:rPr>
          <w:rFonts w:hint="eastAsia"/>
          <w:highlight w:val="none"/>
          <w:lang w:eastAsia="zh-CN"/>
        </w:rPr>
        <w:t>①将项目绩效目标细化分解为</w:t>
      </w:r>
      <w:r>
        <w:rPr>
          <w:rFonts w:hint="eastAsia"/>
          <w:highlight w:val="none"/>
          <w:lang w:val="en-US" w:eastAsia="zh-CN"/>
        </w:rPr>
        <w:t>6</w:t>
      </w:r>
      <w:r>
        <w:rPr>
          <w:rFonts w:hint="eastAsia" w:ascii="宋体" w:hAnsi="宋体" w:eastAsia="宋体" w:cs="宋体"/>
          <w:color w:val="auto"/>
          <w:highlight w:val="none"/>
          <w:shd w:val="clear" w:color="auto" w:fill="auto"/>
          <w:lang w:val="en-US" w:eastAsia="zh-CN"/>
        </w:rPr>
        <w:t>个二级指标和</w:t>
      </w:r>
      <w:r>
        <w:rPr>
          <w:rFonts w:hint="eastAsia" w:cs="宋体"/>
          <w:color w:val="auto"/>
          <w:highlight w:val="none"/>
          <w:shd w:val="clear" w:color="auto" w:fill="auto"/>
          <w:lang w:val="en-US" w:eastAsia="zh-CN"/>
        </w:rPr>
        <w:t>10</w:t>
      </w:r>
      <w:r>
        <w:rPr>
          <w:rFonts w:hint="eastAsia" w:ascii="宋体" w:hAnsi="宋体" w:eastAsia="宋体" w:cs="宋体"/>
          <w:color w:val="auto"/>
          <w:highlight w:val="none"/>
          <w:shd w:val="clear" w:color="auto" w:fill="auto"/>
          <w:lang w:val="en-US" w:eastAsia="zh-CN"/>
        </w:rPr>
        <w:t>个三级指标</w:t>
      </w:r>
      <w:r>
        <w:rPr>
          <w:rFonts w:hint="eastAsia"/>
          <w:highlight w:val="none"/>
          <w:lang w:eastAsia="zh-CN"/>
        </w:rPr>
        <w:t>；</w:t>
      </w:r>
    </w:p>
    <w:p w14:paraId="37611EE7">
      <w:pPr>
        <w:bidi w:val="0"/>
        <w:rPr>
          <w:rFonts w:hint="eastAsia"/>
          <w:highlight w:val="none"/>
          <w:lang w:eastAsia="zh-CN"/>
        </w:rPr>
      </w:pPr>
      <w:r>
        <w:rPr>
          <w:rFonts w:hint="eastAsia"/>
          <w:highlight w:val="none"/>
          <w:lang w:eastAsia="zh-CN"/>
        </w:rPr>
        <w:t>②通过清晰、可衡量的</w:t>
      </w:r>
      <w:r>
        <w:rPr>
          <w:rFonts w:hint="eastAsia"/>
          <w:highlight w:val="none"/>
          <w:lang w:val="en-US" w:eastAsia="zh-CN"/>
        </w:rPr>
        <w:t>指标值</w:t>
      </w:r>
      <w:r>
        <w:rPr>
          <w:rFonts w:hint="eastAsia"/>
          <w:highlight w:val="none"/>
          <w:lang w:eastAsia="zh-CN"/>
        </w:rPr>
        <w:t>予以体现，</w:t>
      </w:r>
      <w:r>
        <w:rPr>
          <w:rFonts w:hint="eastAsia"/>
          <w:highlight w:val="none"/>
          <w:lang w:val="en-US" w:eastAsia="zh-CN"/>
        </w:rPr>
        <w:t>量化率80%</w:t>
      </w:r>
      <w:r>
        <w:rPr>
          <w:rFonts w:hint="eastAsia"/>
          <w:highlight w:val="none"/>
          <w:lang w:eastAsia="zh-CN"/>
        </w:rPr>
        <w:t>；</w:t>
      </w:r>
    </w:p>
    <w:p w14:paraId="4F9BB29F">
      <w:pPr>
        <w:bidi w:val="0"/>
        <w:rPr>
          <w:rFonts w:hint="eastAsia"/>
          <w:color w:val="auto"/>
          <w:highlight w:val="none"/>
          <w:lang w:eastAsia="zh-CN"/>
        </w:rPr>
      </w:pPr>
      <w:r>
        <w:rPr>
          <w:rFonts w:hint="eastAsia"/>
          <w:highlight w:val="none"/>
          <w:lang w:eastAsia="zh-CN"/>
        </w:rPr>
        <w:t>③与项目目标</w:t>
      </w:r>
      <w:r>
        <w:rPr>
          <w:rFonts w:hint="eastAsia"/>
          <w:color w:val="auto"/>
          <w:highlight w:val="none"/>
          <w:lang w:eastAsia="zh-CN"/>
        </w:rPr>
        <w:t>任务数或计划数相对应。</w:t>
      </w:r>
    </w:p>
    <w:p w14:paraId="52552295">
      <w:pPr>
        <w:bidi w:val="0"/>
        <w:rPr>
          <w:rFonts w:hint="eastAsia"/>
          <w:color w:val="auto"/>
          <w:highlight w:val="none"/>
          <w:lang w:eastAsia="zh-CN"/>
        </w:rPr>
      </w:pPr>
      <w:r>
        <w:rPr>
          <w:rFonts w:hint="eastAsia"/>
          <w:b/>
          <w:bCs/>
          <w:color w:val="auto"/>
          <w:highlight w:val="none"/>
          <w:lang w:val="en-US" w:eastAsia="zh-CN"/>
        </w:rPr>
        <w:t>综上，该项指标满分5分，得分5分。</w:t>
      </w:r>
    </w:p>
    <w:p w14:paraId="00364171">
      <w:pPr>
        <w:bidi w:val="0"/>
        <w:outlineLvl w:val="2"/>
        <w:rPr>
          <w:rFonts w:hint="default"/>
          <w:b/>
          <w:bCs/>
          <w:color w:val="auto"/>
          <w:lang w:val="en-US" w:eastAsia="zh-CN"/>
        </w:rPr>
      </w:pPr>
      <w:bookmarkStart w:id="62" w:name="_Toc19401"/>
      <w:r>
        <w:rPr>
          <w:rFonts w:hint="eastAsia"/>
          <w:b/>
          <w:bCs/>
          <w:color w:val="auto"/>
          <w:highlight w:val="none"/>
          <w:lang w:val="en-US" w:eastAsia="zh-CN"/>
        </w:rPr>
        <w:t>5.预算编制</w:t>
      </w:r>
      <w:r>
        <w:rPr>
          <w:rFonts w:hint="eastAsia"/>
          <w:b/>
          <w:bCs/>
          <w:color w:val="auto"/>
          <w:lang w:val="en-US" w:eastAsia="zh-CN"/>
        </w:rPr>
        <w:t>科学性</w:t>
      </w:r>
      <w:bookmarkEnd w:id="62"/>
    </w:p>
    <w:p w14:paraId="3D32052A">
      <w:pPr>
        <w:bidi w:val="0"/>
        <w:rPr>
          <w:rFonts w:hint="eastAsia"/>
          <w:lang w:eastAsia="zh-CN"/>
        </w:rPr>
      </w:pPr>
      <w:r>
        <w:rPr>
          <w:rFonts w:hint="eastAsia"/>
          <w:lang w:eastAsia="zh-CN"/>
        </w:rPr>
        <w:t>①预算编制经过科学论证；</w:t>
      </w:r>
    </w:p>
    <w:p w14:paraId="612E705C">
      <w:pPr>
        <w:bidi w:val="0"/>
        <w:rPr>
          <w:rFonts w:hint="eastAsia"/>
          <w:lang w:eastAsia="zh-CN"/>
        </w:rPr>
      </w:pPr>
      <w:r>
        <w:rPr>
          <w:rFonts w:hint="eastAsia"/>
          <w:lang w:eastAsia="zh-CN"/>
        </w:rPr>
        <w:t>②预算内容与项目内容匹配；</w:t>
      </w:r>
    </w:p>
    <w:p w14:paraId="54152B41">
      <w:pPr>
        <w:bidi w:val="0"/>
        <w:rPr>
          <w:rFonts w:hint="eastAsia"/>
          <w:lang w:eastAsia="zh-CN"/>
        </w:rPr>
      </w:pPr>
      <w:r>
        <w:rPr>
          <w:rFonts w:hint="eastAsia"/>
          <w:lang w:eastAsia="zh-CN"/>
        </w:rPr>
        <w:t>③预算额度测算依据充分，按照标准编制；</w:t>
      </w:r>
    </w:p>
    <w:p w14:paraId="0EF6C326">
      <w:pPr>
        <w:bidi w:val="0"/>
        <w:rPr>
          <w:rFonts w:hint="eastAsia"/>
          <w:lang w:eastAsia="zh-CN"/>
        </w:rPr>
      </w:pPr>
      <w:r>
        <w:rPr>
          <w:rFonts w:hint="eastAsia"/>
          <w:lang w:eastAsia="zh-CN"/>
        </w:rPr>
        <w:t>④预算确定的项目投资额或资金量与工作任务相匹配。</w:t>
      </w:r>
    </w:p>
    <w:p w14:paraId="408634CC">
      <w:pPr>
        <w:bidi w:val="0"/>
        <w:rPr>
          <w:rFonts w:hint="eastAsia"/>
          <w:color w:val="auto"/>
          <w:lang w:eastAsia="zh-CN"/>
        </w:rPr>
      </w:pPr>
      <w:r>
        <w:rPr>
          <w:rFonts w:hint="eastAsia"/>
          <w:b/>
          <w:bCs/>
          <w:lang w:val="en-US" w:eastAsia="zh-CN"/>
        </w:rPr>
        <w:t>综上，该项</w:t>
      </w:r>
      <w:r>
        <w:rPr>
          <w:rFonts w:hint="eastAsia"/>
          <w:b/>
          <w:bCs/>
          <w:color w:val="auto"/>
          <w:lang w:val="en-US" w:eastAsia="zh-CN"/>
        </w:rPr>
        <w:t>指标满分2分，得分2分。</w:t>
      </w:r>
    </w:p>
    <w:p w14:paraId="7B900977">
      <w:pPr>
        <w:bidi w:val="0"/>
        <w:outlineLvl w:val="2"/>
        <w:rPr>
          <w:rFonts w:hint="default"/>
          <w:b/>
          <w:bCs/>
          <w:color w:val="auto"/>
          <w:lang w:val="en-US" w:eastAsia="zh-CN"/>
        </w:rPr>
      </w:pPr>
      <w:bookmarkStart w:id="63" w:name="_Toc697"/>
      <w:r>
        <w:rPr>
          <w:rFonts w:hint="eastAsia"/>
          <w:b/>
          <w:bCs/>
          <w:color w:val="auto"/>
          <w:lang w:val="en-US" w:eastAsia="zh-CN"/>
        </w:rPr>
        <w:t>6.资金分配合理性</w:t>
      </w:r>
      <w:bookmarkEnd w:id="63"/>
    </w:p>
    <w:p w14:paraId="0F2167D1">
      <w:pPr>
        <w:bidi w:val="0"/>
        <w:rPr>
          <w:rFonts w:hint="eastAsia"/>
          <w:color w:val="auto"/>
          <w:lang w:eastAsia="zh-CN"/>
        </w:rPr>
      </w:pPr>
      <w:r>
        <w:rPr>
          <w:rFonts w:hint="eastAsia"/>
          <w:color w:val="auto"/>
          <w:lang w:eastAsia="zh-CN"/>
        </w:rPr>
        <w:t>①预算资金分配依据充分；</w:t>
      </w:r>
    </w:p>
    <w:p w14:paraId="5FB9D13B">
      <w:pPr>
        <w:bidi w:val="0"/>
        <w:rPr>
          <w:rFonts w:hint="eastAsia"/>
          <w:color w:val="auto"/>
          <w:lang w:eastAsia="zh-CN"/>
        </w:rPr>
      </w:pPr>
      <w:r>
        <w:rPr>
          <w:rFonts w:hint="eastAsia"/>
          <w:color w:val="auto"/>
          <w:lang w:eastAsia="zh-CN"/>
        </w:rPr>
        <w:t>②资金分配额度合理，与项目单位或地方实际相适应。</w:t>
      </w:r>
    </w:p>
    <w:p w14:paraId="5529E17B">
      <w:pPr>
        <w:bidi w:val="0"/>
        <w:rPr>
          <w:rFonts w:hint="eastAsia"/>
          <w:color w:val="auto"/>
          <w:lang w:eastAsia="zh-CN"/>
        </w:rPr>
      </w:pPr>
      <w:r>
        <w:rPr>
          <w:rFonts w:hint="eastAsia"/>
          <w:b/>
          <w:bCs/>
          <w:color w:val="auto"/>
          <w:lang w:val="en-US" w:eastAsia="zh-CN"/>
        </w:rPr>
        <w:t>综上，该项指标满分3分，得分3分。</w:t>
      </w:r>
    </w:p>
    <w:p w14:paraId="7E7D0F79">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64" w:name="_Toc11361"/>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二</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项目过程情况</w:t>
      </w:r>
      <w:bookmarkEnd w:id="64"/>
    </w:p>
    <w:p w14:paraId="6BACAE6C">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rPr>
        <w:t>过程</w:t>
      </w:r>
      <w:r>
        <w:rPr>
          <w:rFonts w:hint="eastAsia" w:ascii="宋体" w:hAnsi="宋体" w:eastAsia="宋体" w:cs="宋体"/>
          <w:color w:val="auto"/>
          <w:kern w:val="2"/>
          <w:highlight w:val="none"/>
          <w:u w:color="000000"/>
          <w:shd w:val="clear" w:color="auto" w:fill="auto"/>
          <w:lang w:eastAsia="zh-CN"/>
        </w:rPr>
        <w:t>管理</w:t>
      </w:r>
      <w:r>
        <w:rPr>
          <w:rFonts w:hint="eastAsia" w:ascii="宋体" w:hAnsi="宋体" w:eastAsia="宋体" w:cs="宋体"/>
          <w:color w:val="auto"/>
          <w:kern w:val="2"/>
          <w:highlight w:val="none"/>
          <w:u w:color="000000"/>
          <w:shd w:val="clear" w:color="auto" w:fill="auto"/>
          <w:lang w:val="zh-TW" w:eastAsia="zh-TW"/>
        </w:rPr>
        <w:t>类指标由</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ascii="宋体" w:hAnsi="宋体" w:eastAsia="宋体" w:cs="宋体"/>
          <w:color w:val="auto"/>
          <w:kern w:val="2"/>
          <w:highlight w:val="none"/>
          <w:u w:color="000000"/>
          <w:shd w:val="clear" w:color="auto" w:fill="auto"/>
          <w:lang w:val="en-US" w:eastAsia="zh-CN"/>
        </w:rPr>
        <w:t>5</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19.83</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7CA9F478">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4-2</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项目</w:t>
      </w:r>
      <w:r>
        <w:rPr>
          <w:rFonts w:hint="eastAsia" w:ascii="宋体" w:hAnsi="宋体" w:eastAsia="宋体" w:cs="宋体"/>
          <w:b/>
          <w:bCs/>
          <w:color w:val="000000" w:themeColor="text1"/>
          <w:kern w:val="0"/>
          <w:sz w:val="28"/>
          <w:szCs w:val="28"/>
          <w:highlight w:val="none"/>
          <w:shd w:val="clear" w:color="auto" w:fill="auto"/>
          <w:lang w:val="zh-TW" w:eastAsia="zh-CN"/>
          <w14:textFill>
            <w14:solidFill>
              <w14:schemeClr w14:val="tx1"/>
            </w14:solidFill>
          </w14:textFill>
        </w:rPr>
        <w:t>管理</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11"/>
        <w:tblW w:w="8317" w:type="dxa"/>
        <w:jc w:val="center"/>
        <w:tblLayout w:type="fixed"/>
        <w:tblCellMar>
          <w:top w:w="0" w:type="dxa"/>
          <w:left w:w="0" w:type="dxa"/>
          <w:bottom w:w="0" w:type="dxa"/>
          <w:right w:w="0" w:type="dxa"/>
        </w:tblCellMar>
      </w:tblPr>
      <w:tblGrid>
        <w:gridCol w:w="1182"/>
        <w:gridCol w:w="738"/>
        <w:gridCol w:w="1248"/>
        <w:gridCol w:w="1176"/>
        <w:gridCol w:w="1833"/>
        <w:gridCol w:w="987"/>
        <w:gridCol w:w="1153"/>
      </w:tblGrid>
      <w:tr w14:paraId="2C7289BD">
        <w:tblPrEx>
          <w:tblCellMar>
            <w:top w:w="0" w:type="dxa"/>
            <w:left w:w="0" w:type="dxa"/>
            <w:bottom w:w="0" w:type="dxa"/>
            <w:right w:w="0" w:type="dxa"/>
          </w:tblCellMar>
        </w:tblPrEx>
        <w:trPr>
          <w:trHeight w:val="272" w:hRule="atLeast"/>
          <w:tblHeader/>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0CE38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81B44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96290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20A1C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F145B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7E2E4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D54F8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得分</w:t>
            </w:r>
          </w:p>
        </w:tc>
      </w:tr>
      <w:tr w14:paraId="68D5748C">
        <w:tblPrEx>
          <w:tblCellMar>
            <w:top w:w="0" w:type="dxa"/>
            <w:left w:w="0" w:type="dxa"/>
            <w:bottom w:w="0" w:type="dxa"/>
            <w:right w:w="0" w:type="dxa"/>
          </w:tblCellMar>
        </w:tblPrEx>
        <w:trPr>
          <w:trHeight w:val="23" w:hRule="atLeast"/>
          <w:jc w:val="center"/>
        </w:trPr>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0BD88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过程管理</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FDF78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DF92C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资金管理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BC25D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12</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EB544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资金到位率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C7916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B9013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6274B3AF">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93646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1990A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0D037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547ED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5ADB9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预算执行率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5334E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F775A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3.83</w:t>
            </w:r>
          </w:p>
        </w:tc>
      </w:tr>
      <w:tr w14:paraId="47D19689">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8A4E1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04341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F9410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0F4BB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108DD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资金使用合规性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EE121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6D177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40BD80B5">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00EF2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3DF8C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13954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组织实施</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CA728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8</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30524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管理制度健全性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63DB9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F7EF7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06068FD5">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8A13D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41B19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1CB91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5D1A7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C2B86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制度执行有效性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10832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219DC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1330F5C4">
        <w:tblPrEx>
          <w:tblCellMar>
            <w:top w:w="0" w:type="dxa"/>
            <w:left w:w="0" w:type="dxa"/>
            <w:bottom w:w="0" w:type="dxa"/>
            <w:right w:w="0" w:type="dxa"/>
          </w:tblCellMar>
        </w:tblPrEx>
        <w:trPr>
          <w:trHeight w:val="23" w:hRule="atLeast"/>
          <w:jc w:val="center"/>
        </w:trPr>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18B48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4B289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5CF73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E2311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D67D2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19.83</w:t>
            </w:r>
          </w:p>
        </w:tc>
      </w:tr>
    </w:tbl>
    <w:p w14:paraId="15FA4DFE">
      <w:pPr>
        <w:bidi w:val="0"/>
        <w:outlineLvl w:val="2"/>
        <w:rPr>
          <w:rFonts w:hint="default"/>
          <w:b/>
          <w:bCs/>
          <w:color w:val="FF0000"/>
          <w:highlight w:val="none"/>
          <w:lang w:val="en-US" w:eastAsia="zh-CN"/>
        </w:rPr>
      </w:pPr>
      <w:bookmarkStart w:id="65" w:name="_Toc3886"/>
      <w:r>
        <w:rPr>
          <w:rFonts w:hint="eastAsia"/>
          <w:b/>
          <w:bCs/>
          <w:highlight w:val="none"/>
          <w:lang w:val="en-US" w:eastAsia="zh-CN"/>
        </w:rPr>
        <w:t>1.资金到位率</w:t>
      </w:r>
      <w:bookmarkEnd w:id="65"/>
    </w:p>
    <w:p w14:paraId="0FAD7F9E">
      <w:pPr>
        <w:bidi w:val="0"/>
        <w:rPr>
          <w:rFonts w:hint="default"/>
          <w:b/>
          <w:bCs/>
          <w:color w:val="auto"/>
          <w:highlight w:val="none"/>
          <w:lang w:val="en-US" w:eastAsia="zh-CN"/>
        </w:rPr>
      </w:pPr>
      <w:r>
        <w:rPr>
          <w:rFonts w:hint="eastAsia"/>
          <w:color w:val="auto"/>
          <w:highlight w:val="none"/>
          <w:lang w:eastAsia="zh-CN"/>
        </w:rPr>
        <w:t>资金到位率=（</w:t>
      </w:r>
      <w:r>
        <w:rPr>
          <w:rFonts w:hint="eastAsia"/>
          <w:color w:val="auto"/>
          <w:highlight w:val="none"/>
          <w:lang w:val="en-US" w:eastAsia="zh-CN"/>
        </w:rPr>
        <w:t>34.15万元</w:t>
      </w:r>
      <w:r>
        <w:rPr>
          <w:rFonts w:hint="eastAsia"/>
          <w:color w:val="auto"/>
          <w:highlight w:val="none"/>
          <w:lang w:eastAsia="zh-CN"/>
        </w:rPr>
        <w:t>/</w:t>
      </w:r>
      <w:r>
        <w:rPr>
          <w:rFonts w:hint="eastAsia"/>
          <w:color w:val="auto"/>
          <w:highlight w:val="none"/>
          <w:lang w:val="en-US" w:eastAsia="zh-CN"/>
        </w:rPr>
        <w:t>34.15万元</w:t>
      </w:r>
      <w:r>
        <w:rPr>
          <w:rFonts w:hint="eastAsia"/>
          <w:color w:val="auto"/>
          <w:highlight w:val="none"/>
          <w:lang w:eastAsia="zh-CN"/>
        </w:rPr>
        <w:t>）×100%。</w:t>
      </w:r>
      <w:r>
        <w:rPr>
          <w:rFonts w:hint="eastAsia"/>
          <w:b/>
          <w:bCs/>
          <w:color w:val="auto"/>
          <w:highlight w:val="none"/>
          <w:lang w:val="en-US" w:eastAsia="zh-CN"/>
        </w:rPr>
        <w:t>=100%</w:t>
      </w:r>
    </w:p>
    <w:p w14:paraId="60F0E5E3">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46C9AD97">
      <w:pPr>
        <w:bidi w:val="0"/>
        <w:outlineLvl w:val="2"/>
        <w:rPr>
          <w:rFonts w:hint="default"/>
          <w:b/>
          <w:bCs/>
          <w:color w:val="auto"/>
          <w:highlight w:val="none"/>
          <w:lang w:val="en-US" w:eastAsia="zh-CN"/>
        </w:rPr>
      </w:pPr>
      <w:bookmarkStart w:id="66" w:name="_Toc9705"/>
      <w:r>
        <w:rPr>
          <w:rFonts w:hint="eastAsia"/>
          <w:b/>
          <w:bCs/>
          <w:color w:val="auto"/>
          <w:highlight w:val="none"/>
          <w:lang w:val="en-US" w:eastAsia="zh-CN"/>
        </w:rPr>
        <w:t>2.预算执行率</w:t>
      </w:r>
      <w:bookmarkEnd w:id="66"/>
    </w:p>
    <w:p w14:paraId="23C5B908">
      <w:pPr>
        <w:bidi w:val="0"/>
        <w:rPr>
          <w:rFonts w:hint="default"/>
          <w:color w:val="auto"/>
          <w:highlight w:val="none"/>
          <w:lang w:val="en-US" w:eastAsia="zh-CN"/>
        </w:rPr>
      </w:pPr>
      <w:r>
        <w:rPr>
          <w:rFonts w:hint="eastAsia"/>
          <w:color w:val="auto"/>
          <w:highlight w:val="none"/>
          <w:lang w:eastAsia="zh-CN"/>
        </w:rPr>
        <w:t>预算执行率=（</w:t>
      </w:r>
      <w:r>
        <w:rPr>
          <w:rFonts w:hint="eastAsia"/>
          <w:color w:val="auto"/>
          <w:highlight w:val="none"/>
          <w:lang w:val="en-US" w:eastAsia="zh-CN"/>
        </w:rPr>
        <w:t>32.66万元</w:t>
      </w:r>
      <w:r>
        <w:rPr>
          <w:rFonts w:hint="eastAsia"/>
          <w:color w:val="auto"/>
          <w:highlight w:val="none"/>
          <w:lang w:eastAsia="zh-CN"/>
        </w:rPr>
        <w:t>/</w:t>
      </w:r>
      <w:r>
        <w:rPr>
          <w:rFonts w:hint="eastAsia"/>
          <w:color w:val="auto"/>
          <w:highlight w:val="none"/>
          <w:lang w:val="en-US" w:eastAsia="zh-CN"/>
        </w:rPr>
        <w:t>34.15万元</w:t>
      </w:r>
      <w:r>
        <w:rPr>
          <w:rFonts w:hint="eastAsia"/>
          <w:color w:val="auto"/>
          <w:highlight w:val="none"/>
          <w:lang w:eastAsia="zh-CN"/>
        </w:rPr>
        <w:t>×100%。</w:t>
      </w:r>
      <w:r>
        <w:rPr>
          <w:rFonts w:hint="eastAsia"/>
          <w:b/>
          <w:bCs/>
          <w:color w:val="auto"/>
          <w:highlight w:val="none"/>
          <w:lang w:val="en-US" w:eastAsia="zh-CN"/>
        </w:rPr>
        <w:t>=95.64%</w:t>
      </w:r>
    </w:p>
    <w:p w14:paraId="0C887470">
      <w:pPr>
        <w:bidi w:val="0"/>
        <w:rPr>
          <w:rFonts w:hint="eastAsia"/>
          <w:color w:val="auto"/>
          <w:highlight w:val="none"/>
          <w:lang w:eastAsia="zh-CN"/>
        </w:rPr>
      </w:pPr>
      <w:r>
        <w:rPr>
          <w:rFonts w:hint="eastAsia"/>
          <w:b/>
          <w:bCs/>
          <w:color w:val="auto"/>
          <w:highlight w:val="none"/>
          <w:lang w:val="en-US" w:eastAsia="zh-CN"/>
        </w:rPr>
        <w:t>综上，该项指标满分4分，得分3.83分。</w:t>
      </w:r>
    </w:p>
    <w:p w14:paraId="409A7E45">
      <w:pPr>
        <w:bidi w:val="0"/>
        <w:outlineLvl w:val="2"/>
        <w:rPr>
          <w:rFonts w:hint="default"/>
          <w:b/>
          <w:bCs/>
          <w:color w:val="auto"/>
          <w:highlight w:val="none"/>
          <w:lang w:val="en-US" w:eastAsia="zh-CN"/>
        </w:rPr>
      </w:pPr>
      <w:bookmarkStart w:id="67" w:name="_Toc18691"/>
      <w:r>
        <w:rPr>
          <w:rFonts w:hint="eastAsia"/>
          <w:b/>
          <w:bCs/>
          <w:color w:val="auto"/>
          <w:highlight w:val="none"/>
          <w:lang w:val="en-US" w:eastAsia="zh-CN"/>
        </w:rPr>
        <w:t>3.资金使用合规性</w:t>
      </w:r>
      <w:bookmarkEnd w:id="67"/>
    </w:p>
    <w:p w14:paraId="725722FA">
      <w:pPr>
        <w:bidi w:val="0"/>
        <w:rPr>
          <w:rFonts w:hint="eastAsia"/>
          <w:color w:val="auto"/>
          <w:lang w:eastAsia="zh-CN"/>
        </w:rPr>
      </w:pPr>
      <w:r>
        <w:rPr>
          <w:rFonts w:hint="eastAsia"/>
          <w:lang w:eastAsia="zh-CN"/>
        </w:rPr>
        <w:t>①</w:t>
      </w:r>
      <w:r>
        <w:rPr>
          <w:rFonts w:hint="eastAsia"/>
          <w:color w:val="auto"/>
          <w:lang w:eastAsia="zh-CN"/>
        </w:rPr>
        <w:t>符合国家《</w:t>
      </w:r>
      <w:r>
        <w:rPr>
          <w:rFonts w:hint="eastAsia"/>
          <w:color w:val="auto"/>
          <w:lang w:val="en-US" w:eastAsia="zh-CN"/>
        </w:rPr>
        <w:t>政府会计准则</w:t>
      </w:r>
      <w:r>
        <w:rPr>
          <w:rFonts w:hint="eastAsia"/>
          <w:color w:val="auto"/>
          <w:lang w:eastAsia="zh-CN"/>
        </w:rPr>
        <w:t>》、《</w:t>
      </w:r>
      <w:r>
        <w:rPr>
          <w:rFonts w:hint="eastAsia"/>
          <w:color w:val="auto"/>
          <w:lang w:val="en-US" w:eastAsia="zh-CN"/>
        </w:rPr>
        <w:t>全民健康体检资金使用办法</w:t>
      </w:r>
      <w:r>
        <w:rPr>
          <w:rFonts w:hint="eastAsia"/>
          <w:color w:val="auto"/>
          <w:lang w:eastAsia="zh-CN"/>
        </w:rPr>
        <w:t>》以及有关专项资金管理办法的规定；</w:t>
      </w:r>
    </w:p>
    <w:p w14:paraId="06BF7F0F">
      <w:pPr>
        <w:bidi w:val="0"/>
        <w:rPr>
          <w:rFonts w:hint="eastAsia"/>
          <w:lang w:eastAsia="zh-CN"/>
        </w:rPr>
      </w:pPr>
      <w:r>
        <w:rPr>
          <w:rFonts w:hint="eastAsia"/>
          <w:color w:val="auto"/>
          <w:lang w:eastAsia="zh-CN"/>
        </w:rPr>
        <w:t>②资金的拨付</w:t>
      </w:r>
      <w:r>
        <w:rPr>
          <w:rFonts w:hint="eastAsia"/>
          <w:lang w:eastAsia="zh-CN"/>
        </w:rPr>
        <w:t>有完整的审批程序和手续；</w:t>
      </w:r>
    </w:p>
    <w:p w14:paraId="70744670">
      <w:pPr>
        <w:bidi w:val="0"/>
        <w:rPr>
          <w:rFonts w:hint="eastAsia"/>
          <w:color w:val="auto"/>
          <w:lang w:eastAsia="zh-CN"/>
        </w:rPr>
      </w:pPr>
      <w:r>
        <w:rPr>
          <w:rFonts w:hint="eastAsia"/>
          <w:lang w:eastAsia="zh-CN"/>
        </w:rPr>
        <w:t>③符合项</w:t>
      </w:r>
      <w:r>
        <w:rPr>
          <w:rFonts w:hint="eastAsia"/>
          <w:color w:val="auto"/>
          <w:lang w:eastAsia="zh-CN"/>
        </w:rPr>
        <w:t>目预算批复或合同规定的用途；</w:t>
      </w:r>
    </w:p>
    <w:p w14:paraId="6E2A411F">
      <w:pPr>
        <w:bidi w:val="0"/>
        <w:rPr>
          <w:rFonts w:hint="eastAsia"/>
          <w:color w:val="auto"/>
          <w:lang w:eastAsia="zh-CN"/>
        </w:rPr>
      </w:pPr>
      <w:r>
        <w:rPr>
          <w:rFonts w:hint="eastAsia"/>
          <w:color w:val="auto"/>
          <w:lang w:eastAsia="zh-CN"/>
        </w:rPr>
        <w:t>④</w:t>
      </w:r>
      <w:r>
        <w:rPr>
          <w:rFonts w:hint="eastAsia"/>
          <w:color w:val="auto"/>
          <w:lang w:val="en-US" w:eastAsia="zh-CN"/>
        </w:rPr>
        <w:t>不</w:t>
      </w:r>
      <w:r>
        <w:rPr>
          <w:rFonts w:hint="eastAsia"/>
          <w:color w:val="auto"/>
          <w:lang w:eastAsia="zh-CN"/>
        </w:rPr>
        <w:t>存在截留、挤占、挪用、虚列支出等情况。</w:t>
      </w:r>
    </w:p>
    <w:p w14:paraId="184C7776">
      <w:pPr>
        <w:bidi w:val="0"/>
        <w:rPr>
          <w:rFonts w:hint="eastAsia"/>
          <w:color w:val="auto"/>
          <w:lang w:eastAsia="zh-CN"/>
        </w:rPr>
      </w:pPr>
      <w:r>
        <w:rPr>
          <w:rFonts w:hint="eastAsia"/>
          <w:b/>
          <w:bCs/>
          <w:color w:val="auto"/>
          <w:lang w:val="en-US" w:eastAsia="zh-CN"/>
        </w:rPr>
        <w:t>综上，该项指标满分4分，得分4分。</w:t>
      </w:r>
    </w:p>
    <w:p w14:paraId="16927F7A">
      <w:pPr>
        <w:bidi w:val="0"/>
        <w:rPr>
          <w:rFonts w:hint="default"/>
          <w:b/>
          <w:bCs/>
          <w:lang w:val="en-US" w:eastAsia="zh-CN"/>
        </w:rPr>
      </w:pPr>
      <w:r>
        <w:rPr>
          <w:rFonts w:hint="eastAsia"/>
          <w:b/>
          <w:bCs/>
          <w:color w:val="auto"/>
          <w:lang w:val="en-US" w:eastAsia="zh-CN"/>
        </w:rPr>
        <w:t>4.管理制度健全</w:t>
      </w:r>
      <w:r>
        <w:rPr>
          <w:rFonts w:hint="eastAsia"/>
          <w:b/>
          <w:bCs/>
          <w:lang w:val="en-US" w:eastAsia="zh-CN"/>
        </w:rPr>
        <w:t>性</w:t>
      </w:r>
    </w:p>
    <w:p w14:paraId="3C90B9A1">
      <w:pPr>
        <w:bidi w:val="0"/>
        <w:rPr>
          <w:rFonts w:hint="eastAsia"/>
          <w:lang w:eastAsia="zh-CN"/>
        </w:rPr>
      </w:pPr>
      <w:r>
        <w:rPr>
          <w:rFonts w:hint="eastAsia"/>
          <w:lang w:eastAsia="zh-CN"/>
        </w:rPr>
        <w:t>①已制定或具有相应的《</w:t>
      </w:r>
      <w:r>
        <w:rPr>
          <w:rFonts w:hint="eastAsia"/>
          <w:lang w:val="en-US" w:eastAsia="zh-CN"/>
        </w:rPr>
        <w:t>阜康市滋泥泉子镇中心卫生院财务管理制度</w:t>
      </w:r>
      <w:r>
        <w:rPr>
          <w:rFonts w:hint="eastAsia"/>
          <w:lang w:eastAsia="zh-CN"/>
        </w:rPr>
        <w:t>》；</w:t>
      </w:r>
    </w:p>
    <w:p w14:paraId="07037BB4">
      <w:pPr>
        <w:bidi w:val="0"/>
        <w:rPr>
          <w:rFonts w:hint="eastAsia"/>
          <w:color w:val="auto"/>
          <w:lang w:eastAsia="zh-CN"/>
        </w:rPr>
      </w:pPr>
      <w:r>
        <w:rPr>
          <w:rFonts w:hint="eastAsia"/>
          <w:lang w:eastAsia="zh-CN"/>
        </w:rPr>
        <w:t>②财务</w:t>
      </w:r>
      <w:r>
        <w:rPr>
          <w:rFonts w:hint="eastAsia"/>
          <w:color w:val="auto"/>
          <w:lang w:eastAsia="zh-CN"/>
        </w:rPr>
        <w:t>和业务管理制度合法、合规、完整。</w:t>
      </w:r>
    </w:p>
    <w:p w14:paraId="6DB5722F">
      <w:pPr>
        <w:bidi w:val="0"/>
        <w:rPr>
          <w:rFonts w:hint="eastAsia"/>
          <w:color w:val="auto"/>
          <w:lang w:eastAsia="zh-CN"/>
        </w:rPr>
      </w:pPr>
      <w:r>
        <w:rPr>
          <w:rFonts w:hint="eastAsia"/>
          <w:b/>
          <w:bCs/>
          <w:color w:val="auto"/>
          <w:lang w:val="en-US" w:eastAsia="zh-CN"/>
        </w:rPr>
        <w:t>综上，该项指标满分4分，得分4分。</w:t>
      </w:r>
    </w:p>
    <w:p w14:paraId="4E50EF50">
      <w:pPr>
        <w:bidi w:val="0"/>
        <w:ind w:left="1403" w:leftChars="200" w:hanging="843" w:hangingChars="300"/>
        <w:outlineLvl w:val="2"/>
        <w:rPr>
          <w:rFonts w:hint="eastAsia"/>
          <w:b/>
          <w:bCs/>
          <w:color w:val="auto"/>
          <w:lang w:val="en-US" w:eastAsia="zh-CN"/>
        </w:rPr>
      </w:pPr>
      <w:bookmarkStart w:id="68" w:name="_Toc31684"/>
      <w:r>
        <w:rPr>
          <w:rFonts w:hint="eastAsia"/>
          <w:b/>
          <w:bCs/>
          <w:color w:val="auto"/>
          <w:lang w:val="en-US" w:eastAsia="zh-CN"/>
        </w:rPr>
        <w:t>5.制度执行有效性</w:t>
      </w:r>
      <w:bookmarkEnd w:id="68"/>
    </w:p>
    <w:p w14:paraId="0D33F7BF">
      <w:pPr>
        <w:bidi w:val="0"/>
        <w:rPr>
          <w:rFonts w:hint="eastAsia"/>
          <w:color w:val="auto"/>
          <w:lang w:eastAsia="zh-CN"/>
        </w:rPr>
      </w:pPr>
      <w:r>
        <w:rPr>
          <w:rFonts w:hint="eastAsia"/>
          <w:color w:val="auto"/>
          <w:lang w:eastAsia="zh-CN"/>
        </w:rPr>
        <w:t>①遵守相关法律法规和相关管理规定；</w:t>
      </w:r>
    </w:p>
    <w:p w14:paraId="0414422D">
      <w:pPr>
        <w:bidi w:val="0"/>
        <w:rPr>
          <w:rFonts w:hint="eastAsia"/>
          <w:color w:val="auto"/>
          <w:lang w:eastAsia="zh-CN"/>
        </w:rPr>
      </w:pPr>
      <w:r>
        <w:rPr>
          <w:rFonts w:hint="eastAsia"/>
          <w:color w:val="auto"/>
          <w:lang w:eastAsia="zh-CN"/>
        </w:rPr>
        <w:t>②项目</w:t>
      </w:r>
      <w:r>
        <w:rPr>
          <w:rFonts w:hint="eastAsia"/>
          <w:color w:val="auto"/>
          <w:lang w:val="en-US" w:eastAsia="zh-CN"/>
        </w:rPr>
        <w:t>未调整</w:t>
      </w:r>
      <w:r>
        <w:rPr>
          <w:rFonts w:hint="eastAsia"/>
          <w:color w:val="auto"/>
          <w:lang w:eastAsia="zh-CN"/>
        </w:rPr>
        <w:t>；</w:t>
      </w:r>
    </w:p>
    <w:p w14:paraId="4111D14C">
      <w:pPr>
        <w:bidi w:val="0"/>
        <w:rPr>
          <w:rFonts w:hint="eastAsia"/>
          <w:color w:val="auto"/>
          <w:lang w:eastAsia="zh-CN"/>
        </w:rPr>
      </w:pPr>
      <w:r>
        <w:rPr>
          <w:rFonts w:hint="eastAsia"/>
          <w:color w:val="auto"/>
          <w:lang w:eastAsia="zh-CN"/>
        </w:rPr>
        <w:t>③《</w:t>
      </w:r>
      <w:r>
        <w:rPr>
          <w:rFonts w:hint="eastAsia"/>
          <w:color w:val="auto"/>
          <w:lang w:val="en-US" w:eastAsia="zh-CN"/>
        </w:rPr>
        <w:t>全民健康体检工作</w:t>
      </w:r>
      <w:r>
        <w:rPr>
          <w:rFonts w:hint="eastAsia"/>
          <w:color w:val="auto"/>
          <w:sz w:val="28"/>
          <w:szCs w:val="28"/>
          <w:highlight w:val="none"/>
          <w:lang w:eastAsia="zh-CN"/>
        </w:rPr>
        <w:t>方案》，各级培训资料，督导资料，质控档案资料，</w:t>
      </w:r>
      <w:r>
        <w:rPr>
          <w:rFonts w:hint="eastAsia"/>
          <w:color w:val="auto"/>
          <w:sz w:val="28"/>
          <w:szCs w:val="28"/>
          <w:highlight w:val="none"/>
          <w:lang w:val="en-US" w:eastAsia="zh-CN"/>
        </w:rPr>
        <w:t>体检</w:t>
      </w:r>
      <w:r>
        <w:rPr>
          <w:rFonts w:hint="eastAsia"/>
          <w:color w:val="auto"/>
          <w:sz w:val="28"/>
          <w:szCs w:val="28"/>
          <w:highlight w:val="none"/>
          <w:lang w:eastAsia="zh-CN"/>
        </w:rPr>
        <w:t>人员资质，</w:t>
      </w:r>
      <w:r>
        <w:rPr>
          <w:rFonts w:hint="eastAsia"/>
          <w:color w:val="auto"/>
          <w:sz w:val="28"/>
          <w:szCs w:val="28"/>
          <w:highlight w:val="none"/>
          <w:lang w:val="en-US" w:eastAsia="zh-CN"/>
        </w:rPr>
        <w:t>被体检</w:t>
      </w:r>
      <w:r>
        <w:rPr>
          <w:rFonts w:hint="eastAsia"/>
          <w:color w:val="auto"/>
          <w:sz w:val="28"/>
          <w:szCs w:val="28"/>
          <w:highlight w:val="none"/>
          <w:lang w:eastAsia="zh-CN"/>
        </w:rPr>
        <w:t>人员健康档案</w:t>
      </w:r>
      <w:r>
        <w:rPr>
          <w:rFonts w:hint="eastAsia"/>
          <w:color w:val="auto"/>
          <w:highlight w:val="none"/>
          <w:lang w:eastAsia="zh-CN"/>
        </w:rPr>
        <w:t>等资</w:t>
      </w:r>
      <w:r>
        <w:rPr>
          <w:rFonts w:hint="eastAsia"/>
          <w:color w:val="auto"/>
          <w:lang w:eastAsia="zh-CN"/>
        </w:rPr>
        <w:t>料齐全并及时归档；</w:t>
      </w:r>
    </w:p>
    <w:p w14:paraId="2B6061A6">
      <w:pPr>
        <w:bidi w:val="0"/>
        <w:rPr>
          <w:rFonts w:hint="eastAsia"/>
          <w:color w:val="auto"/>
          <w:lang w:eastAsia="zh-CN"/>
        </w:rPr>
      </w:pPr>
      <w:r>
        <w:rPr>
          <w:rFonts w:hint="eastAsia"/>
          <w:color w:val="auto"/>
          <w:lang w:eastAsia="zh-CN"/>
        </w:rPr>
        <w:t>④项目实施</w:t>
      </w:r>
      <w:r>
        <w:rPr>
          <w:rFonts w:hint="eastAsia" w:cs="宋体"/>
          <w:b w:val="0"/>
          <w:bCs w:val="0"/>
          <w:color w:val="auto"/>
          <w:kern w:val="2"/>
          <w:sz w:val="28"/>
          <w:szCs w:val="28"/>
          <w:highlight w:val="none"/>
          <w:shd w:val="clear" w:color="auto" w:fill="auto"/>
          <w:lang w:val="en-US" w:eastAsia="zh-CN" w:bidi="ar-SA"/>
        </w:rPr>
        <w:t>中所需的专项领导小组、工作小组以及个人分工、体检所需分析仪、测量仪器、以及专设的体检科室</w:t>
      </w:r>
      <w:r>
        <w:rPr>
          <w:rFonts w:hint="eastAsia"/>
          <w:color w:val="auto"/>
          <w:shd w:val="clear"/>
          <w:lang w:eastAsia="zh-CN"/>
        </w:rPr>
        <w:t>、</w:t>
      </w:r>
      <w:r>
        <w:rPr>
          <w:rFonts w:hint="eastAsia"/>
          <w:color w:val="auto"/>
          <w:shd w:val="clear"/>
          <w:lang w:val="en-US" w:eastAsia="zh-CN"/>
        </w:rPr>
        <w:t>全面健康体检的信息化系统</w:t>
      </w:r>
      <w:r>
        <w:rPr>
          <w:rFonts w:hint="eastAsia"/>
          <w:color w:val="auto"/>
          <w:shd w:val="clear"/>
          <w:lang w:eastAsia="zh-CN"/>
        </w:rPr>
        <w:t>等落实到</w:t>
      </w:r>
      <w:r>
        <w:rPr>
          <w:rFonts w:hint="eastAsia"/>
          <w:color w:val="auto"/>
          <w:lang w:eastAsia="zh-CN"/>
        </w:rPr>
        <w:t>位。</w:t>
      </w:r>
    </w:p>
    <w:p w14:paraId="4E616C4B">
      <w:pPr>
        <w:bidi w:val="0"/>
        <w:rPr>
          <w:rFonts w:hint="eastAsia"/>
          <w:color w:val="auto"/>
          <w:lang w:eastAsia="zh-CN"/>
        </w:rPr>
      </w:pPr>
      <w:r>
        <w:rPr>
          <w:rFonts w:hint="eastAsia"/>
          <w:b/>
          <w:bCs/>
          <w:color w:val="auto"/>
          <w:lang w:val="en-US" w:eastAsia="zh-CN"/>
        </w:rPr>
        <w:t>综上，该项指标满分4分，得分4分。</w:t>
      </w:r>
    </w:p>
    <w:p w14:paraId="576F25CF">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bookmarkStart w:id="69" w:name="_Toc16268"/>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三</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项目产出情况</w:t>
      </w:r>
      <w:bookmarkEnd w:id="69"/>
    </w:p>
    <w:p w14:paraId="5A1D08A2">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7</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24.67</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351D3C41">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4-3项目产出</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11"/>
        <w:tblW w:w="8280" w:type="dxa"/>
        <w:tblInd w:w="0" w:type="dxa"/>
        <w:shd w:val="clear" w:color="auto" w:fill="auto"/>
        <w:tblLayout w:type="fixed"/>
        <w:tblCellMar>
          <w:top w:w="0" w:type="dxa"/>
          <w:left w:w="0" w:type="dxa"/>
          <w:bottom w:w="0" w:type="dxa"/>
          <w:right w:w="0" w:type="dxa"/>
        </w:tblCellMar>
      </w:tblPr>
      <w:tblGrid>
        <w:gridCol w:w="619"/>
        <w:gridCol w:w="941"/>
        <w:gridCol w:w="2096"/>
        <w:gridCol w:w="1523"/>
        <w:gridCol w:w="877"/>
        <w:gridCol w:w="1510"/>
        <w:gridCol w:w="714"/>
      </w:tblGrid>
      <w:tr w14:paraId="64FFACE4">
        <w:tblPrEx>
          <w:shd w:val="clear" w:color="auto" w:fill="auto"/>
          <w:tblCellMar>
            <w:top w:w="0" w:type="dxa"/>
            <w:left w:w="0" w:type="dxa"/>
            <w:bottom w:w="0" w:type="dxa"/>
            <w:right w:w="0" w:type="dxa"/>
          </w:tblCellMar>
        </w:tblPrEx>
        <w:trPr>
          <w:trHeight w:val="75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336B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94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B9A764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209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8BA688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152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3E2257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年度指标值</w:t>
            </w:r>
          </w:p>
        </w:tc>
        <w:tc>
          <w:tcPr>
            <w:tcW w:w="87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1C8660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标杆分值</w:t>
            </w:r>
          </w:p>
        </w:tc>
        <w:tc>
          <w:tcPr>
            <w:tcW w:w="15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53D561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全年实际完成值</w:t>
            </w:r>
          </w:p>
        </w:tc>
        <w:tc>
          <w:tcPr>
            <w:tcW w:w="7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89FD42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指标得分</w:t>
            </w:r>
          </w:p>
        </w:tc>
      </w:tr>
      <w:tr w14:paraId="240BF934">
        <w:tblPrEx>
          <w:tblCellMar>
            <w:top w:w="0" w:type="dxa"/>
            <w:left w:w="0" w:type="dxa"/>
            <w:bottom w:w="0" w:type="dxa"/>
            <w:right w:w="0" w:type="dxa"/>
          </w:tblCellMar>
        </w:tblPrEx>
        <w:trPr>
          <w:trHeight w:val="422" w:hRule="atLeast"/>
        </w:trPr>
        <w:tc>
          <w:tcPr>
            <w:tcW w:w="619"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14:paraId="360E50E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产出指标</w:t>
            </w:r>
          </w:p>
        </w:tc>
        <w:tc>
          <w:tcPr>
            <w:tcW w:w="94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CB771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数量</w:t>
            </w: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指标</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DC611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全民健康体检人数</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66998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w:t>
            </w:r>
            <w:r>
              <w:rPr>
                <w:rFonts w:hint="eastAsia" w:cs="宋体"/>
                <w:color w:val="000000" w:themeColor="text1"/>
                <w:kern w:val="0"/>
                <w:sz w:val="20"/>
                <w:szCs w:val="20"/>
                <w:highlight w:val="none"/>
                <w:shd w:val="clear" w:color="auto" w:fill="auto"/>
                <w:lang w:val="en-US" w:eastAsia="zh-CN"/>
                <w14:textFill>
                  <w14:solidFill>
                    <w14:schemeClr w14:val="tx1"/>
                  </w14:solidFill>
                </w14:textFill>
              </w:rPr>
              <w:t>8264</w:t>
            </w: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人次</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84BFC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18B36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4702人</w:t>
            </w: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6FB97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2.28</w:t>
            </w:r>
          </w:p>
        </w:tc>
      </w:tr>
      <w:tr w14:paraId="584B4C0B">
        <w:tblPrEx>
          <w:tblCellMar>
            <w:top w:w="0" w:type="dxa"/>
            <w:left w:w="0" w:type="dxa"/>
            <w:bottom w:w="0" w:type="dxa"/>
            <w:right w:w="0" w:type="dxa"/>
          </w:tblCellMar>
        </w:tblPrEx>
        <w:trPr>
          <w:trHeight w:val="510" w:hRule="atLeast"/>
        </w:trPr>
        <w:tc>
          <w:tcPr>
            <w:tcW w:w="619" w:type="dxa"/>
            <w:vMerge w:val="continue"/>
            <w:tcBorders>
              <w:left w:val="single" w:color="000000" w:sz="4" w:space="0"/>
              <w:right w:val="single" w:color="auto" w:sz="4" w:space="0"/>
            </w:tcBorders>
            <w:shd w:val="clear" w:color="auto" w:fill="auto"/>
            <w:tcMar>
              <w:top w:w="15" w:type="dxa"/>
              <w:left w:w="15" w:type="dxa"/>
              <w:right w:w="15" w:type="dxa"/>
            </w:tcMar>
            <w:vAlign w:val="center"/>
          </w:tcPr>
          <w:p w14:paraId="521732A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CE429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C4C14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胸部X线片人次</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1959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w:t>
            </w:r>
            <w:r>
              <w:rPr>
                <w:rFonts w:hint="eastAsia" w:cs="宋体"/>
                <w:color w:val="000000" w:themeColor="text1"/>
                <w:kern w:val="0"/>
                <w:sz w:val="20"/>
                <w:szCs w:val="20"/>
                <w:highlight w:val="none"/>
                <w:shd w:val="clear" w:color="auto" w:fill="auto"/>
                <w:lang w:val="en-US" w:eastAsia="zh-CN"/>
                <w14:textFill>
                  <w14:solidFill>
                    <w14:schemeClr w14:val="tx1"/>
                  </w14:solidFill>
                </w14:textFill>
              </w:rPr>
              <w:t>8264</w:t>
            </w: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人次</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E6B8B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4A531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4702人</w:t>
            </w: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1896C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2.28</w:t>
            </w:r>
          </w:p>
        </w:tc>
      </w:tr>
      <w:tr w14:paraId="0ED62380">
        <w:tblPrEx>
          <w:tblCellMar>
            <w:top w:w="0" w:type="dxa"/>
            <w:left w:w="0" w:type="dxa"/>
            <w:bottom w:w="0" w:type="dxa"/>
            <w:right w:w="0" w:type="dxa"/>
          </w:tblCellMar>
        </w:tblPrEx>
        <w:trPr>
          <w:trHeight w:val="415" w:hRule="atLeast"/>
        </w:trPr>
        <w:tc>
          <w:tcPr>
            <w:tcW w:w="619" w:type="dxa"/>
            <w:vMerge w:val="continue"/>
            <w:tcBorders>
              <w:left w:val="single" w:color="000000" w:sz="4" w:space="0"/>
              <w:right w:val="single" w:color="auto" w:sz="4" w:space="0"/>
            </w:tcBorders>
            <w:shd w:val="clear" w:color="auto" w:fill="auto"/>
            <w:tcMar>
              <w:top w:w="15" w:type="dxa"/>
              <w:left w:w="15" w:type="dxa"/>
              <w:right w:w="15" w:type="dxa"/>
            </w:tcMar>
            <w:vAlign w:val="center"/>
          </w:tcPr>
          <w:p w14:paraId="36E83F6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69A11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818BE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系统录入人次</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990FC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w:t>
            </w:r>
            <w:r>
              <w:rPr>
                <w:rFonts w:hint="eastAsia" w:cs="宋体"/>
                <w:color w:val="000000" w:themeColor="text1"/>
                <w:kern w:val="0"/>
                <w:sz w:val="20"/>
                <w:szCs w:val="20"/>
                <w:highlight w:val="none"/>
                <w:shd w:val="clear" w:color="auto" w:fill="auto"/>
                <w:lang w:val="en-US" w:eastAsia="zh-CN"/>
                <w14:textFill>
                  <w14:solidFill>
                    <w14:schemeClr w14:val="tx1"/>
                  </w14:solidFill>
                </w14:textFill>
              </w:rPr>
              <w:t>8264</w:t>
            </w: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人次</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FC02F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C0E45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4702人</w:t>
            </w: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63278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2.28</w:t>
            </w:r>
          </w:p>
        </w:tc>
      </w:tr>
      <w:tr w14:paraId="36F2A93E">
        <w:tblPrEx>
          <w:tblCellMar>
            <w:top w:w="0" w:type="dxa"/>
            <w:left w:w="0" w:type="dxa"/>
            <w:bottom w:w="0" w:type="dxa"/>
            <w:right w:w="0" w:type="dxa"/>
          </w:tblCellMar>
        </w:tblPrEx>
        <w:trPr>
          <w:trHeight w:val="526" w:hRule="atLeast"/>
        </w:trPr>
        <w:tc>
          <w:tcPr>
            <w:tcW w:w="619" w:type="dxa"/>
            <w:vMerge w:val="continue"/>
            <w:tcBorders>
              <w:left w:val="single" w:color="000000" w:sz="4" w:space="0"/>
              <w:right w:val="single" w:color="auto" w:sz="4" w:space="0"/>
            </w:tcBorders>
            <w:shd w:val="clear" w:color="auto" w:fill="auto"/>
            <w:tcMar>
              <w:top w:w="15" w:type="dxa"/>
              <w:left w:w="15" w:type="dxa"/>
              <w:right w:w="15" w:type="dxa"/>
            </w:tcMar>
            <w:vAlign w:val="center"/>
          </w:tcPr>
          <w:p w14:paraId="39D7D99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976717">
            <w:pPr>
              <w:keepNext w:val="0"/>
              <w:keepLines w:val="0"/>
              <w:widowControl/>
              <w:suppressLineNumbers w:val="0"/>
              <w:ind w:left="0" w:leftChars="0" w:firstLine="0" w:firstLineChars="0"/>
              <w:jc w:val="both"/>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质量指标</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F838B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录入合格率100%</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E129A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=100%</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47F21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09490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100%</w:t>
            </w: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4F55E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r>
      <w:tr w14:paraId="7D701EDA">
        <w:tblPrEx>
          <w:tblCellMar>
            <w:top w:w="0" w:type="dxa"/>
            <w:left w:w="0" w:type="dxa"/>
            <w:bottom w:w="0" w:type="dxa"/>
            <w:right w:w="0" w:type="dxa"/>
          </w:tblCellMar>
        </w:tblPrEx>
        <w:trPr>
          <w:trHeight w:val="410" w:hRule="atLeast"/>
        </w:trPr>
        <w:tc>
          <w:tcPr>
            <w:tcW w:w="619" w:type="dxa"/>
            <w:vMerge w:val="continue"/>
            <w:tcBorders>
              <w:left w:val="single" w:color="000000" w:sz="4" w:space="0"/>
              <w:right w:val="single" w:color="auto" w:sz="4" w:space="0"/>
            </w:tcBorders>
            <w:shd w:val="clear" w:color="auto" w:fill="auto"/>
            <w:tcMar>
              <w:top w:w="15" w:type="dxa"/>
              <w:left w:w="15" w:type="dxa"/>
              <w:right w:w="15" w:type="dxa"/>
            </w:tcMar>
            <w:vAlign w:val="center"/>
          </w:tcPr>
          <w:p w14:paraId="261E1FB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C3D5E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时效指标</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3F8B7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完成时限</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A842F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2023/10/31</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E81AD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6E993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2023/</w:t>
            </w:r>
            <w:r>
              <w:rPr>
                <w:rFonts w:hint="eastAsia" w:cs="宋体"/>
                <w:color w:val="000000" w:themeColor="text1"/>
                <w:kern w:val="0"/>
                <w:sz w:val="20"/>
                <w:szCs w:val="20"/>
                <w:highlight w:val="none"/>
                <w:shd w:val="clear" w:color="auto" w:fill="auto"/>
                <w:lang w:val="en-US" w:eastAsia="zh-CN"/>
                <w14:textFill>
                  <w14:solidFill>
                    <w14:schemeClr w14:val="tx1"/>
                  </w14:solidFill>
                </w14:textFill>
              </w:rPr>
              <w:t>10</w:t>
            </w: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/31</w:t>
            </w: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33E7F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r>
      <w:tr w14:paraId="46A310AC">
        <w:tblPrEx>
          <w:tblCellMar>
            <w:top w:w="0" w:type="dxa"/>
            <w:left w:w="0" w:type="dxa"/>
            <w:bottom w:w="0" w:type="dxa"/>
            <w:right w:w="0" w:type="dxa"/>
          </w:tblCellMar>
        </w:tblPrEx>
        <w:trPr>
          <w:trHeight w:val="410" w:hRule="atLeast"/>
        </w:trPr>
        <w:tc>
          <w:tcPr>
            <w:tcW w:w="619" w:type="dxa"/>
            <w:vMerge w:val="continue"/>
            <w:tcBorders>
              <w:left w:val="single" w:color="000000" w:sz="4" w:space="0"/>
              <w:right w:val="single" w:color="auto" w:sz="4" w:space="0"/>
            </w:tcBorders>
            <w:shd w:val="clear" w:color="auto" w:fill="auto"/>
            <w:tcMar>
              <w:top w:w="15" w:type="dxa"/>
              <w:left w:w="15" w:type="dxa"/>
              <w:right w:w="15" w:type="dxa"/>
            </w:tcMar>
            <w:vAlign w:val="center"/>
          </w:tcPr>
          <w:p w14:paraId="0B04620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41"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4448705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经济成本指标</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36716F">
            <w:pPr>
              <w:keepNext w:val="0"/>
              <w:keepLines w:val="0"/>
              <w:widowControl/>
              <w:suppressLineNumbers w:val="0"/>
              <w:ind w:left="0" w:leftChars="0" w:firstLine="0" w:firstLineChars="0"/>
              <w:jc w:val="left"/>
              <w:textAlignment w:val="cente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体检费用补贴费用区间</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BEE342">
            <w:pPr>
              <w:keepNext w:val="0"/>
              <w:keepLines w:val="0"/>
              <w:widowControl/>
              <w:suppressLineNumbers w:val="0"/>
              <w:ind w:firstLine="400" w:firstLineChars="200"/>
              <w:jc w:val="center"/>
              <w:textAlignment w:val="cente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10元/人</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85784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6</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63223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10元/人</w:t>
            </w: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04876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6</w:t>
            </w:r>
          </w:p>
        </w:tc>
      </w:tr>
      <w:tr w14:paraId="215FA888">
        <w:tblPrEx>
          <w:shd w:val="clear" w:color="auto" w:fill="auto"/>
          <w:tblCellMar>
            <w:top w:w="0" w:type="dxa"/>
            <w:left w:w="0" w:type="dxa"/>
            <w:bottom w:w="0" w:type="dxa"/>
            <w:right w:w="0" w:type="dxa"/>
          </w:tblCellMar>
        </w:tblPrEx>
        <w:trPr>
          <w:trHeight w:val="410" w:hRule="atLeast"/>
        </w:trPr>
        <w:tc>
          <w:tcPr>
            <w:tcW w:w="619" w:type="dxa"/>
            <w:vMerge w:val="continue"/>
            <w:tcBorders>
              <w:left w:val="single" w:color="000000" w:sz="4" w:space="0"/>
              <w:right w:val="single" w:color="auto" w:sz="4" w:space="0"/>
            </w:tcBorders>
            <w:shd w:val="clear" w:color="auto" w:fill="auto"/>
            <w:tcMar>
              <w:top w:w="15" w:type="dxa"/>
              <w:left w:w="15" w:type="dxa"/>
              <w:right w:w="15" w:type="dxa"/>
            </w:tcMar>
            <w:vAlign w:val="center"/>
          </w:tcPr>
          <w:p w14:paraId="005838A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4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3EDD9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E286B0">
            <w:pPr>
              <w:keepNext w:val="0"/>
              <w:keepLines w:val="0"/>
              <w:widowControl/>
              <w:suppressLineNumbers w:val="0"/>
              <w:ind w:left="0" w:leftChars="0" w:firstLine="0" w:firstLineChars="0"/>
              <w:jc w:val="left"/>
              <w:textAlignment w:val="cente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全民体检投入经费</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70C6A0">
            <w:pPr>
              <w:keepNext w:val="0"/>
              <w:keepLines w:val="0"/>
              <w:widowControl/>
              <w:suppressLineNumbers w:val="0"/>
              <w:ind w:firstLine="400" w:firstLineChars="200"/>
              <w:jc w:val="center"/>
              <w:textAlignment w:val="cente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w:t>
            </w:r>
            <w:r>
              <w:rPr>
                <w:rFonts w:hint="eastAsia" w:cs="宋体"/>
                <w:i w:val="0"/>
                <w:iCs w:val="0"/>
                <w:color w:val="000000"/>
                <w:kern w:val="0"/>
                <w:sz w:val="20"/>
                <w:szCs w:val="20"/>
                <w:u w:val="none"/>
                <w:lang w:val="en-US" w:eastAsia="zh-CN" w:bidi="ar"/>
              </w:rPr>
              <w:t>34.15</w:t>
            </w:r>
            <w:r>
              <w:rPr>
                <w:rFonts w:hint="eastAsia" w:ascii="宋体" w:hAnsi="宋体" w:eastAsia="宋体" w:cs="宋体"/>
                <w:i w:val="0"/>
                <w:iCs w:val="0"/>
                <w:color w:val="000000"/>
                <w:kern w:val="0"/>
                <w:sz w:val="20"/>
                <w:szCs w:val="20"/>
                <w:u w:val="none"/>
                <w:lang w:val="en-US" w:eastAsia="zh-CN" w:bidi="ar"/>
              </w:rPr>
              <w:t>万元</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7253A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7A451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32.66万元</w:t>
            </w: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57023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3.83</w:t>
            </w:r>
          </w:p>
        </w:tc>
      </w:tr>
      <w:tr w14:paraId="2147E708">
        <w:tblPrEx>
          <w:tblCellMar>
            <w:top w:w="0" w:type="dxa"/>
            <w:left w:w="0" w:type="dxa"/>
            <w:bottom w:w="0" w:type="dxa"/>
            <w:right w:w="0" w:type="dxa"/>
          </w:tblCellMar>
        </w:tblPrEx>
        <w:trPr>
          <w:trHeight w:val="410" w:hRule="atLeast"/>
        </w:trPr>
        <w:tc>
          <w:tcPr>
            <w:tcW w:w="5179"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36EA1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合计</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C7F1F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30</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E1005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FFB58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24.67</w:t>
            </w:r>
          </w:p>
        </w:tc>
      </w:tr>
    </w:tbl>
    <w:p w14:paraId="1B89C184">
      <w:pPr>
        <w:bidi w:val="0"/>
        <w:rPr>
          <w:rFonts w:hint="default"/>
          <w:b/>
          <w:bCs/>
          <w:color w:val="FF0000"/>
          <w:lang w:val="en-US" w:eastAsia="zh-CN"/>
        </w:rPr>
      </w:pPr>
      <w:bookmarkStart w:id="70" w:name="_Toc11067"/>
      <w:r>
        <w:rPr>
          <w:rFonts w:hint="eastAsia"/>
          <w:b/>
          <w:bCs/>
          <w:color w:val="auto"/>
          <w:lang w:val="en-US" w:eastAsia="zh-CN"/>
        </w:rPr>
        <w:t>1.项目完成数量</w:t>
      </w:r>
      <w:bookmarkEnd w:id="70"/>
    </w:p>
    <w:p w14:paraId="45FCEE4B">
      <w:pPr>
        <w:bidi w:val="0"/>
        <w:rPr>
          <w:rFonts w:hint="eastAsia"/>
          <w:color w:val="auto"/>
          <w:lang w:val="en-US" w:eastAsia="zh-CN"/>
        </w:rPr>
      </w:pPr>
      <w:r>
        <w:rPr>
          <w:rFonts w:hint="eastAsia"/>
          <w:color w:val="auto"/>
          <w:lang w:eastAsia="zh-CN"/>
        </w:rPr>
        <w:t>“</w:t>
      </w:r>
      <w:r>
        <w:rPr>
          <w:rFonts w:hint="eastAsia"/>
          <w:color w:val="auto"/>
          <w:lang w:val="en-US" w:eastAsia="zh-CN"/>
        </w:rPr>
        <w:t>全民健康体检人数</w:t>
      </w:r>
      <w:r>
        <w:rPr>
          <w:rFonts w:hint="eastAsia"/>
          <w:color w:val="auto"/>
          <w:lang w:eastAsia="zh-CN"/>
        </w:rPr>
        <w:t>”</w:t>
      </w:r>
      <w:r>
        <w:rPr>
          <w:rFonts w:hint="eastAsia"/>
          <w:color w:val="auto"/>
          <w:lang w:val="en-US" w:eastAsia="zh-CN"/>
        </w:rPr>
        <w:t>指标，预期目标值为≥8264人次，实际完成为4702人次。实际完成率=（4702/8264）×100%=56.9%。</w:t>
      </w:r>
    </w:p>
    <w:p w14:paraId="767C8B67">
      <w:pPr>
        <w:pStyle w:val="2"/>
        <w:rPr>
          <w:rFonts w:hint="eastAsia" w:ascii="宋体" w:hAnsi="宋体" w:eastAsia="宋体" w:cs="宋体"/>
          <w:b w:val="0"/>
          <w:bCs w:val="0"/>
          <w:color w:val="auto"/>
          <w:kern w:val="2"/>
          <w:sz w:val="28"/>
          <w:szCs w:val="28"/>
          <w:lang w:val="en-US" w:eastAsia="zh-CN" w:bidi="ar-SA"/>
        </w:rPr>
      </w:pPr>
      <w:r>
        <w:rPr>
          <w:rFonts w:hint="eastAsia"/>
          <w:color w:val="auto"/>
          <w:lang w:val="en-US" w:eastAsia="zh-CN"/>
        </w:rPr>
        <w:t>“</w:t>
      </w:r>
      <w:r>
        <w:rPr>
          <w:rFonts w:hint="eastAsia" w:ascii="宋体" w:hAnsi="宋体" w:eastAsia="宋体" w:cs="宋体"/>
          <w:b w:val="0"/>
          <w:bCs w:val="0"/>
          <w:color w:val="auto"/>
          <w:kern w:val="2"/>
          <w:sz w:val="28"/>
          <w:szCs w:val="28"/>
          <w:lang w:val="en-US" w:eastAsia="zh-CN" w:bidi="ar-SA"/>
        </w:rPr>
        <w:t>胸部X线片人次”指标，预期目标值为≥</w:t>
      </w:r>
      <w:r>
        <w:rPr>
          <w:rFonts w:hint="eastAsia" w:ascii="宋体" w:hAnsi="宋体" w:cs="宋体"/>
          <w:b w:val="0"/>
          <w:bCs w:val="0"/>
          <w:color w:val="auto"/>
          <w:kern w:val="2"/>
          <w:sz w:val="28"/>
          <w:szCs w:val="28"/>
          <w:lang w:val="en-US" w:eastAsia="zh-CN" w:bidi="ar-SA"/>
        </w:rPr>
        <w:t>8264</w:t>
      </w:r>
      <w:r>
        <w:rPr>
          <w:rFonts w:hint="eastAsia" w:ascii="宋体" w:hAnsi="宋体" w:eastAsia="宋体" w:cs="宋体"/>
          <w:b w:val="0"/>
          <w:bCs w:val="0"/>
          <w:color w:val="auto"/>
          <w:kern w:val="2"/>
          <w:sz w:val="28"/>
          <w:szCs w:val="28"/>
          <w:lang w:val="en-US" w:eastAsia="zh-CN" w:bidi="ar-SA"/>
        </w:rPr>
        <w:t>人次，实际完成为</w:t>
      </w:r>
      <w:r>
        <w:rPr>
          <w:rFonts w:hint="eastAsia" w:ascii="宋体" w:hAnsi="宋体" w:cs="宋体"/>
          <w:b w:val="0"/>
          <w:bCs w:val="0"/>
          <w:color w:val="auto"/>
          <w:kern w:val="2"/>
          <w:sz w:val="28"/>
          <w:szCs w:val="28"/>
          <w:lang w:val="en-US" w:eastAsia="zh-CN" w:bidi="ar-SA"/>
        </w:rPr>
        <w:t>4702</w:t>
      </w:r>
      <w:r>
        <w:rPr>
          <w:rFonts w:hint="eastAsia" w:ascii="宋体" w:hAnsi="宋体" w:eastAsia="宋体" w:cs="宋体"/>
          <w:b w:val="0"/>
          <w:bCs w:val="0"/>
          <w:color w:val="auto"/>
          <w:kern w:val="2"/>
          <w:sz w:val="28"/>
          <w:szCs w:val="28"/>
          <w:lang w:val="en-US" w:eastAsia="zh-CN" w:bidi="ar-SA"/>
        </w:rPr>
        <w:t>人次。实际完成率=（4702/8264）×100%=56.9%。</w:t>
      </w:r>
    </w:p>
    <w:p w14:paraId="1950AFFF">
      <w:pPr>
        <w:pStyle w:val="2"/>
        <w:rPr>
          <w:rFonts w:hint="eastAsia" w:ascii="宋体" w:hAnsi="宋体" w:eastAsia="宋体" w:cs="宋体"/>
          <w:b w:val="0"/>
          <w:bCs w:val="0"/>
          <w:color w:val="auto"/>
          <w:kern w:val="2"/>
          <w:sz w:val="28"/>
          <w:szCs w:val="28"/>
          <w:highlight w:val="none"/>
          <w:lang w:val="en-US" w:eastAsia="zh-CN" w:bidi="ar-SA"/>
        </w:rPr>
      </w:pPr>
      <w:r>
        <w:rPr>
          <w:rFonts w:hint="eastAsia" w:ascii="宋体" w:hAnsi="宋体" w:cs="宋体"/>
          <w:b w:val="0"/>
          <w:bCs w:val="0"/>
          <w:color w:val="auto"/>
          <w:kern w:val="2"/>
          <w:sz w:val="28"/>
          <w:szCs w:val="28"/>
          <w:lang w:val="en-US" w:eastAsia="zh-CN" w:bidi="ar-SA"/>
        </w:rPr>
        <w:t>“</w:t>
      </w:r>
      <w:r>
        <w:rPr>
          <w:rFonts w:hint="eastAsia" w:ascii="宋体" w:hAnsi="宋体" w:eastAsia="宋体" w:cs="宋体"/>
          <w:b w:val="0"/>
          <w:bCs w:val="0"/>
          <w:color w:val="auto"/>
          <w:kern w:val="2"/>
          <w:sz w:val="28"/>
          <w:szCs w:val="28"/>
          <w:lang w:val="en-US" w:eastAsia="zh-CN" w:bidi="ar-SA"/>
        </w:rPr>
        <w:t>系统录入人次”指标，预期目标值为≥人</w:t>
      </w:r>
      <w:r>
        <w:rPr>
          <w:rFonts w:hint="eastAsia" w:ascii="宋体" w:hAnsi="宋体" w:cs="宋体"/>
          <w:b w:val="0"/>
          <w:bCs w:val="0"/>
          <w:color w:val="auto"/>
          <w:kern w:val="2"/>
          <w:sz w:val="28"/>
          <w:szCs w:val="28"/>
          <w:lang w:val="en-US" w:eastAsia="zh-CN" w:bidi="ar-SA"/>
        </w:rPr>
        <w:t>8264</w:t>
      </w:r>
      <w:r>
        <w:rPr>
          <w:rFonts w:hint="eastAsia" w:ascii="宋体" w:hAnsi="宋体" w:eastAsia="宋体" w:cs="宋体"/>
          <w:b w:val="0"/>
          <w:bCs w:val="0"/>
          <w:color w:val="auto"/>
          <w:kern w:val="2"/>
          <w:sz w:val="28"/>
          <w:szCs w:val="28"/>
          <w:lang w:val="en-US" w:eastAsia="zh-CN" w:bidi="ar-SA"/>
        </w:rPr>
        <w:t>次，实际完成为</w:t>
      </w:r>
      <w:r>
        <w:rPr>
          <w:rFonts w:hint="eastAsia" w:ascii="宋体" w:hAnsi="宋体" w:cs="宋体"/>
          <w:b w:val="0"/>
          <w:bCs w:val="0"/>
          <w:color w:val="auto"/>
          <w:kern w:val="2"/>
          <w:sz w:val="28"/>
          <w:szCs w:val="28"/>
          <w:lang w:val="en-US" w:eastAsia="zh-CN" w:bidi="ar-SA"/>
        </w:rPr>
        <w:t>4702</w:t>
      </w:r>
      <w:r>
        <w:rPr>
          <w:rFonts w:hint="eastAsia" w:ascii="宋体" w:hAnsi="宋体" w:eastAsia="宋体" w:cs="宋体"/>
          <w:b w:val="0"/>
          <w:bCs w:val="0"/>
          <w:color w:val="auto"/>
          <w:kern w:val="2"/>
          <w:sz w:val="28"/>
          <w:szCs w:val="28"/>
          <w:lang w:val="en-US" w:eastAsia="zh-CN" w:bidi="ar-SA"/>
        </w:rPr>
        <w:t>人次。实际完</w:t>
      </w:r>
      <w:r>
        <w:rPr>
          <w:rFonts w:hint="eastAsia" w:ascii="宋体" w:hAnsi="宋体" w:eastAsia="宋体" w:cs="宋体"/>
          <w:b w:val="0"/>
          <w:bCs w:val="0"/>
          <w:color w:val="auto"/>
          <w:kern w:val="2"/>
          <w:sz w:val="28"/>
          <w:szCs w:val="28"/>
          <w:highlight w:val="none"/>
          <w:lang w:val="en-US" w:eastAsia="zh-CN" w:bidi="ar-SA"/>
        </w:rPr>
        <w:t>成率=（</w:t>
      </w:r>
      <w:r>
        <w:rPr>
          <w:rFonts w:hint="eastAsia" w:ascii="宋体" w:hAnsi="宋体" w:cs="宋体"/>
          <w:b w:val="0"/>
          <w:bCs w:val="0"/>
          <w:color w:val="auto"/>
          <w:kern w:val="2"/>
          <w:sz w:val="28"/>
          <w:szCs w:val="28"/>
          <w:highlight w:val="none"/>
          <w:lang w:val="en-US" w:eastAsia="zh-CN" w:bidi="ar-SA"/>
        </w:rPr>
        <w:t>4702</w:t>
      </w:r>
      <w:r>
        <w:rPr>
          <w:rFonts w:hint="eastAsia" w:ascii="宋体" w:hAnsi="宋体" w:eastAsia="宋体" w:cs="宋体"/>
          <w:b w:val="0"/>
          <w:bCs w:val="0"/>
          <w:color w:val="auto"/>
          <w:kern w:val="2"/>
          <w:sz w:val="28"/>
          <w:szCs w:val="28"/>
          <w:highlight w:val="none"/>
          <w:lang w:val="en-US" w:eastAsia="zh-CN" w:bidi="ar-SA"/>
        </w:rPr>
        <w:t>/</w:t>
      </w:r>
      <w:r>
        <w:rPr>
          <w:rFonts w:hint="eastAsia" w:ascii="宋体" w:hAnsi="宋体" w:cs="宋体"/>
          <w:b w:val="0"/>
          <w:bCs w:val="0"/>
          <w:color w:val="auto"/>
          <w:kern w:val="2"/>
          <w:sz w:val="28"/>
          <w:szCs w:val="28"/>
          <w:highlight w:val="none"/>
          <w:lang w:val="en-US" w:eastAsia="zh-CN" w:bidi="ar-SA"/>
        </w:rPr>
        <w:t>8264</w:t>
      </w:r>
      <w:r>
        <w:rPr>
          <w:rFonts w:hint="eastAsia" w:ascii="宋体" w:hAnsi="宋体" w:eastAsia="宋体" w:cs="宋体"/>
          <w:b w:val="0"/>
          <w:bCs w:val="0"/>
          <w:color w:val="auto"/>
          <w:kern w:val="2"/>
          <w:sz w:val="28"/>
          <w:szCs w:val="28"/>
          <w:highlight w:val="none"/>
          <w:lang w:val="en-US" w:eastAsia="zh-CN" w:bidi="ar-SA"/>
        </w:rPr>
        <w:t>）×100%=</w:t>
      </w:r>
      <w:r>
        <w:rPr>
          <w:rFonts w:hint="eastAsia" w:ascii="宋体" w:hAnsi="宋体" w:cs="宋体"/>
          <w:b w:val="0"/>
          <w:bCs w:val="0"/>
          <w:color w:val="auto"/>
          <w:kern w:val="2"/>
          <w:sz w:val="28"/>
          <w:szCs w:val="28"/>
          <w:highlight w:val="none"/>
          <w:lang w:val="en-US" w:eastAsia="zh-CN" w:bidi="ar-SA"/>
        </w:rPr>
        <w:t>56.9</w:t>
      </w:r>
      <w:r>
        <w:rPr>
          <w:rFonts w:hint="eastAsia" w:ascii="宋体" w:hAnsi="宋体" w:eastAsia="宋体" w:cs="宋体"/>
          <w:b w:val="0"/>
          <w:bCs w:val="0"/>
          <w:color w:val="auto"/>
          <w:kern w:val="2"/>
          <w:sz w:val="28"/>
          <w:szCs w:val="28"/>
          <w:highlight w:val="none"/>
          <w:lang w:val="en-US" w:eastAsia="zh-CN" w:bidi="ar-SA"/>
        </w:rPr>
        <w:t>%。</w:t>
      </w:r>
    </w:p>
    <w:p w14:paraId="4C10BBC6">
      <w:pPr>
        <w:bidi w:val="0"/>
        <w:rPr>
          <w:rFonts w:hint="eastAsia"/>
          <w:color w:val="auto"/>
          <w:highlight w:val="none"/>
          <w:lang w:eastAsia="zh-CN"/>
        </w:rPr>
      </w:pPr>
      <w:r>
        <w:rPr>
          <w:rFonts w:hint="eastAsia"/>
          <w:b/>
          <w:bCs/>
          <w:color w:val="auto"/>
          <w:highlight w:val="none"/>
          <w:lang w:val="en-US" w:eastAsia="zh-CN"/>
        </w:rPr>
        <w:t>综上，该项指标满分12分，得分6.84分。</w:t>
      </w:r>
    </w:p>
    <w:p w14:paraId="651C4EFF">
      <w:pPr>
        <w:bidi w:val="0"/>
        <w:outlineLvl w:val="2"/>
        <w:rPr>
          <w:rFonts w:hint="default"/>
          <w:b/>
          <w:bCs/>
          <w:color w:val="auto"/>
          <w:highlight w:val="none"/>
          <w:lang w:val="en-US" w:eastAsia="zh-CN"/>
        </w:rPr>
      </w:pPr>
      <w:bookmarkStart w:id="71" w:name="_Toc31739"/>
      <w:r>
        <w:rPr>
          <w:rFonts w:hint="eastAsia"/>
          <w:b/>
          <w:bCs/>
          <w:color w:val="auto"/>
          <w:highlight w:val="none"/>
          <w:lang w:val="en-US" w:eastAsia="zh-CN"/>
        </w:rPr>
        <w:t>2.项目完成质量</w:t>
      </w:r>
      <w:bookmarkEnd w:id="71"/>
    </w:p>
    <w:p w14:paraId="62C7D693">
      <w:pPr>
        <w:bidi w:val="0"/>
        <w:rPr>
          <w:rFonts w:hint="eastAsia"/>
          <w:color w:val="auto"/>
          <w:sz w:val="28"/>
          <w:szCs w:val="28"/>
          <w:lang w:val="en-US" w:eastAsia="zh-CN"/>
        </w:rPr>
      </w:pPr>
      <w:r>
        <w:rPr>
          <w:rFonts w:hint="eastAsia"/>
          <w:sz w:val="28"/>
          <w:szCs w:val="28"/>
          <w:lang w:eastAsia="zh-CN"/>
        </w:rPr>
        <w:t>“</w:t>
      </w:r>
      <w:r>
        <w:rPr>
          <w:rFonts w:hint="eastAsia"/>
          <w:color w:val="auto"/>
          <w:sz w:val="28"/>
          <w:szCs w:val="28"/>
          <w:lang w:eastAsia="zh-CN"/>
        </w:rPr>
        <w:t>录入合格率100%”</w:t>
      </w:r>
      <w:r>
        <w:rPr>
          <w:rFonts w:hint="eastAsia"/>
          <w:color w:val="auto"/>
          <w:sz w:val="28"/>
          <w:szCs w:val="28"/>
          <w:lang w:val="en-US" w:eastAsia="zh-CN"/>
        </w:rPr>
        <w:t>指标，预期目标值为</w:t>
      </w:r>
      <w:r>
        <w:rPr>
          <w:rFonts w:hint="eastAsia" w:ascii="宋体" w:hAnsi="宋体" w:eastAsia="宋体" w:cs="宋体"/>
          <w:color w:val="auto"/>
          <w:kern w:val="0"/>
          <w:sz w:val="28"/>
          <w:szCs w:val="28"/>
          <w:highlight w:val="none"/>
          <w:shd w:val="clear" w:color="auto" w:fill="auto"/>
          <w:lang w:val="en-US" w:eastAsia="zh-CN"/>
        </w:rPr>
        <w:t>≥</w:t>
      </w:r>
      <w:r>
        <w:rPr>
          <w:rFonts w:hint="eastAsia" w:cs="宋体"/>
          <w:color w:val="auto"/>
          <w:kern w:val="0"/>
          <w:sz w:val="28"/>
          <w:szCs w:val="28"/>
          <w:highlight w:val="none"/>
          <w:shd w:val="clear" w:color="auto" w:fill="auto"/>
          <w:lang w:val="en-US" w:eastAsia="zh-CN"/>
        </w:rPr>
        <w:t>10</w:t>
      </w:r>
      <w:r>
        <w:rPr>
          <w:rFonts w:hint="eastAsia" w:ascii="宋体" w:hAnsi="宋体" w:eastAsia="宋体" w:cs="宋体"/>
          <w:color w:val="auto"/>
          <w:kern w:val="0"/>
          <w:sz w:val="28"/>
          <w:szCs w:val="28"/>
          <w:highlight w:val="none"/>
          <w:shd w:val="clear" w:color="auto" w:fill="auto"/>
          <w:lang w:val="en-US" w:eastAsia="zh-CN"/>
        </w:rPr>
        <w:t>0%</w:t>
      </w:r>
      <w:r>
        <w:rPr>
          <w:rFonts w:hint="eastAsia"/>
          <w:color w:val="auto"/>
          <w:sz w:val="28"/>
          <w:szCs w:val="28"/>
          <w:lang w:val="en-US" w:eastAsia="zh-CN"/>
        </w:rPr>
        <w:t>，实际完成为</w:t>
      </w:r>
      <w:r>
        <w:rPr>
          <w:rFonts w:hint="eastAsia" w:ascii="宋体" w:hAnsi="宋体" w:eastAsia="宋体" w:cs="宋体"/>
          <w:color w:val="auto"/>
          <w:kern w:val="0"/>
          <w:sz w:val="28"/>
          <w:szCs w:val="28"/>
          <w:highlight w:val="none"/>
          <w:shd w:val="clear" w:color="auto" w:fill="auto"/>
          <w:lang w:val="en-US" w:eastAsia="zh-CN"/>
        </w:rPr>
        <w:t>100%</w:t>
      </w:r>
      <w:r>
        <w:rPr>
          <w:rFonts w:hint="eastAsia"/>
          <w:color w:val="auto"/>
          <w:sz w:val="28"/>
          <w:szCs w:val="28"/>
          <w:lang w:val="en-US" w:eastAsia="zh-CN"/>
        </w:rPr>
        <w:t>；</w:t>
      </w:r>
    </w:p>
    <w:p w14:paraId="232D5F85">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40C68E57">
      <w:pPr>
        <w:bidi w:val="0"/>
        <w:outlineLvl w:val="2"/>
        <w:rPr>
          <w:rFonts w:hint="default"/>
          <w:b/>
          <w:bCs/>
          <w:color w:val="auto"/>
          <w:highlight w:val="none"/>
          <w:lang w:val="en-US" w:eastAsia="zh-CN"/>
        </w:rPr>
      </w:pPr>
      <w:bookmarkStart w:id="72" w:name="_Toc18307"/>
      <w:r>
        <w:rPr>
          <w:rFonts w:hint="eastAsia"/>
          <w:b/>
          <w:bCs/>
          <w:color w:val="auto"/>
          <w:highlight w:val="none"/>
          <w:lang w:val="en-US" w:eastAsia="zh-CN"/>
        </w:rPr>
        <w:t>3.项目完成时效</w:t>
      </w:r>
      <w:bookmarkEnd w:id="72"/>
    </w:p>
    <w:p w14:paraId="3D8E1063">
      <w:pPr>
        <w:bidi w:val="0"/>
        <w:rPr>
          <w:rFonts w:hint="eastAsia"/>
          <w:color w:val="auto"/>
          <w:sz w:val="28"/>
          <w:szCs w:val="28"/>
          <w:lang w:eastAsia="zh-CN"/>
        </w:rPr>
      </w:pPr>
      <w:r>
        <w:rPr>
          <w:rFonts w:hint="eastAsia"/>
          <w:color w:val="auto"/>
          <w:sz w:val="28"/>
          <w:szCs w:val="28"/>
          <w:lang w:eastAsia="zh-CN"/>
        </w:rPr>
        <w:t>“</w:t>
      </w:r>
      <w:r>
        <w:rPr>
          <w:rFonts w:hint="eastAsia" w:ascii="宋体" w:hAnsi="宋体" w:eastAsia="宋体" w:cs="宋体"/>
          <w:color w:val="auto"/>
          <w:kern w:val="0"/>
          <w:sz w:val="28"/>
          <w:szCs w:val="28"/>
          <w:highlight w:val="none"/>
          <w:shd w:val="clear" w:color="auto" w:fill="auto"/>
          <w:lang w:val="en-US" w:eastAsia="zh-CN"/>
        </w:rPr>
        <w:t>全民健康体检完成时限</w:t>
      </w:r>
      <w:r>
        <w:rPr>
          <w:rFonts w:hint="eastAsia"/>
          <w:color w:val="auto"/>
          <w:sz w:val="28"/>
          <w:szCs w:val="28"/>
          <w:lang w:eastAsia="zh-CN"/>
        </w:rPr>
        <w:t>”</w:t>
      </w:r>
      <w:r>
        <w:rPr>
          <w:rFonts w:hint="eastAsia"/>
          <w:color w:val="auto"/>
          <w:sz w:val="28"/>
          <w:szCs w:val="28"/>
          <w:lang w:val="en-US" w:eastAsia="zh-CN"/>
        </w:rPr>
        <w:t>指标，预期目标值为</w:t>
      </w:r>
      <w:r>
        <w:rPr>
          <w:rFonts w:hint="eastAsia" w:cs="宋体"/>
          <w:color w:val="auto"/>
          <w:kern w:val="0"/>
          <w:sz w:val="28"/>
          <w:szCs w:val="28"/>
          <w:highlight w:val="none"/>
          <w:shd w:val="clear" w:color="auto" w:fill="auto"/>
          <w:lang w:val="en-US" w:eastAsia="zh-CN"/>
        </w:rPr>
        <w:t>2023年12月31日</w:t>
      </w:r>
      <w:r>
        <w:rPr>
          <w:rFonts w:hint="eastAsia"/>
          <w:color w:val="auto"/>
          <w:sz w:val="28"/>
          <w:szCs w:val="28"/>
          <w:lang w:val="en-US" w:eastAsia="zh-CN"/>
        </w:rPr>
        <w:t>，实际完成为</w:t>
      </w:r>
      <w:r>
        <w:rPr>
          <w:rFonts w:hint="eastAsia" w:cs="宋体"/>
          <w:color w:val="auto"/>
          <w:kern w:val="0"/>
          <w:sz w:val="28"/>
          <w:szCs w:val="28"/>
          <w:highlight w:val="none"/>
          <w:shd w:val="clear" w:color="auto" w:fill="auto"/>
          <w:lang w:val="en-US" w:eastAsia="zh-CN"/>
        </w:rPr>
        <w:t>2023年12月31日，完成率100%</w:t>
      </w:r>
      <w:r>
        <w:rPr>
          <w:rFonts w:hint="eastAsia"/>
          <w:color w:val="auto"/>
          <w:sz w:val="28"/>
          <w:szCs w:val="28"/>
          <w:lang w:val="en-US" w:eastAsia="zh-CN"/>
        </w:rPr>
        <w:t>。</w:t>
      </w:r>
    </w:p>
    <w:p w14:paraId="2D2168A3">
      <w:pPr>
        <w:bidi w:val="0"/>
        <w:rPr>
          <w:rFonts w:hint="eastAsia"/>
          <w:color w:val="auto"/>
          <w:lang w:eastAsia="zh-CN"/>
        </w:rPr>
      </w:pPr>
      <w:r>
        <w:rPr>
          <w:rFonts w:hint="eastAsia"/>
          <w:b/>
          <w:bCs/>
          <w:color w:val="auto"/>
          <w:lang w:val="en-US" w:eastAsia="zh-CN"/>
        </w:rPr>
        <w:t>综上，该项指标满分4分，得分4分。</w:t>
      </w:r>
    </w:p>
    <w:p w14:paraId="6CD4437B">
      <w:pPr>
        <w:bidi w:val="0"/>
        <w:outlineLvl w:val="2"/>
        <w:rPr>
          <w:rFonts w:hint="default"/>
          <w:b/>
          <w:bCs/>
          <w:color w:val="auto"/>
          <w:lang w:val="en-US" w:eastAsia="zh-CN"/>
        </w:rPr>
      </w:pPr>
      <w:bookmarkStart w:id="73" w:name="_Toc32765"/>
      <w:r>
        <w:rPr>
          <w:rFonts w:hint="eastAsia"/>
          <w:b/>
          <w:bCs/>
          <w:color w:val="auto"/>
          <w:lang w:val="en-US" w:eastAsia="zh-CN"/>
        </w:rPr>
        <w:t>4.项目完成成本</w:t>
      </w:r>
      <w:bookmarkEnd w:id="73"/>
    </w:p>
    <w:p w14:paraId="49BB2420">
      <w:pPr>
        <w:bidi w:val="0"/>
        <w:rPr>
          <w:rFonts w:hint="eastAsia" w:ascii="宋体" w:hAnsi="宋体" w:eastAsia="宋体" w:cs="宋体"/>
          <w:color w:val="auto"/>
          <w:sz w:val="28"/>
          <w:szCs w:val="28"/>
          <w:lang w:val="en-US" w:eastAsia="zh-CN"/>
        </w:rPr>
      </w:pPr>
      <w:r>
        <w:rPr>
          <w:rFonts w:hint="eastAsia"/>
          <w:color w:val="auto"/>
          <w:sz w:val="28"/>
          <w:szCs w:val="28"/>
          <w:lang w:eastAsia="zh-CN"/>
        </w:rPr>
        <w:t>“</w:t>
      </w:r>
      <w:r>
        <w:rPr>
          <w:rFonts w:hint="eastAsia" w:ascii="宋体" w:hAnsi="宋体" w:eastAsia="宋体" w:cs="宋体"/>
          <w:color w:val="auto"/>
          <w:sz w:val="28"/>
          <w:szCs w:val="28"/>
          <w:lang w:val="en-US" w:eastAsia="zh-CN"/>
        </w:rPr>
        <w:t>体检费用补贴费用区间”指标，预期目标值为10元/人，实际完成为10元/人。</w:t>
      </w:r>
    </w:p>
    <w:p w14:paraId="51987416">
      <w:pPr>
        <w:bidi w:val="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“全民体检投入经费”指标，预期目标值为</w:t>
      </w:r>
      <w:r>
        <w:rPr>
          <w:rFonts w:hint="eastAsia" w:cs="宋体"/>
          <w:color w:val="auto"/>
          <w:sz w:val="28"/>
          <w:szCs w:val="28"/>
          <w:lang w:val="en-US" w:eastAsia="zh-CN"/>
        </w:rPr>
        <w:t>34.15</w:t>
      </w:r>
      <w:r>
        <w:rPr>
          <w:rFonts w:hint="eastAsia" w:ascii="宋体" w:hAnsi="宋体" w:eastAsia="宋体" w:cs="宋体"/>
          <w:color w:val="auto"/>
          <w:sz w:val="28"/>
          <w:szCs w:val="28"/>
          <w:lang w:val="en-US" w:eastAsia="zh-CN"/>
        </w:rPr>
        <w:t>万元，实际完成为</w:t>
      </w:r>
      <w:r>
        <w:rPr>
          <w:rFonts w:hint="eastAsia" w:cs="宋体"/>
          <w:color w:val="auto"/>
          <w:sz w:val="28"/>
          <w:szCs w:val="28"/>
          <w:lang w:val="en-US" w:eastAsia="zh-CN"/>
        </w:rPr>
        <w:t>32.66</w:t>
      </w:r>
      <w:r>
        <w:rPr>
          <w:rFonts w:hint="eastAsia" w:ascii="宋体" w:hAnsi="宋体" w:eastAsia="宋体" w:cs="宋体"/>
          <w:color w:val="auto"/>
          <w:sz w:val="28"/>
          <w:szCs w:val="28"/>
          <w:lang w:val="en-US" w:eastAsia="zh-CN"/>
        </w:rPr>
        <w:t>万元；</w:t>
      </w:r>
    </w:p>
    <w:p w14:paraId="4F91B3A3">
      <w:pPr>
        <w:bidi w:val="0"/>
        <w:rPr>
          <w:rFonts w:hint="eastAsia"/>
          <w:color w:val="auto"/>
          <w:highlight w:val="none"/>
          <w:lang w:eastAsia="zh-CN"/>
        </w:rPr>
      </w:pPr>
      <w:r>
        <w:rPr>
          <w:rFonts w:hint="eastAsia"/>
          <w:b/>
          <w:bCs/>
          <w:highlight w:val="none"/>
          <w:lang w:val="en-US" w:eastAsia="zh-CN"/>
        </w:rPr>
        <w:t>综上，该项指标满</w:t>
      </w:r>
      <w:r>
        <w:rPr>
          <w:rFonts w:hint="eastAsia"/>
          <w:b/>
          <w:bCs/>
          <w:color w:val="auto"/>
          <w:highlight w:val="none"/>
          <w:lang w:val="en-US" w:eastAsia="zh-CN"/>
        </w:rPr>
        <w:t>分10分，得分9.83分。</w:t>
      </w:r>
    </w:p>
    <w:p w14:paraId="7804324A">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bookmarkStart w:id="74" w:name="_Toc18446"/>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四</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项目效益情况</w:t>
      </w:r>
      <w:bookmarkEnd w:id="74"/>
    </w:p>
    <w:p w14:paraId="512FBB80">
      <w:pPr>
        <w:pageBreakBefore w:val="0"/>
        <w:widowControl w:val="0"/>
        <w:kinsoku/>
        <w:wordWrap/>
        <w:overflowPunct/>
        <w:topLinePunct w:val="0"/>
        <w:autoSpaceDE/>
        <w:autoSpaceDN/>
        <w:bidi w:val="0"/>
        <w:adjustRightInd/>
        <w:spacing w:line="360" w:lineRule="auto"/>
        <w:ind w:firstLine="560"/>
        <w:jc w:val="left"/>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cs="宋体"/>
          <w:color w:val="auto"/>
          <w:highlight w:val="none"/>
          <w:shd w:val="clear" w:color="auto" w:fill="auto"/>
          <w:lang w:val="en-US" w:eastAsia="zh-CN"/>
        </w:rPr>
        <w:t>效益</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79D0498E">
      <w:pPr>
        <w:pageBreakBefore w:val="0"/>
        <w:widowControl w:val="0"/>
        <w:kinsoku/>
        <w:wordWrap/>
        <w:overflowPunct/>
        <w:topLinePunct w:val="0"/>
        <w:autoSpaceDE/>
        <w:autoSpaceDN/>
        <w:bidi w:val="0"/>
        <w:adjustRightInd/>
        <w:spacing w:line="360" w:lineRule="auto"/>
        <w:ind w:firstLine="56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4-4项目效益</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11"/>
        <w:tblW w:w="8372" w:type="dxa"/>
        <w:jc w:val="center"/>
        <w:shd w:val="clear" w:color="auto" w:fill="auto"/>
        <w:tblLayout w:type="fixed"/>
        <w:tblCellMar>
          <w:top w:w="0" w:type="dxa"/>
          <w:left w:w="0" w:type="dxa"/>
          <w:bottom w:w="0" w:type="dxa"/>
          <w:right w:w="0" w:type="dxa"/>
        </w:tblCellMar>
      </w:tblPr>
      <w:tblGrid>
        <w:gridCol w:w="685"/>
        <w:gridCol w:w="1725"/>
        <w:gridCol w:w="2744"/>
        <w:gridCol w:w="870"/>
        <w:gridCol w:w="645"/>
        <w:gridCol w:w="1050"/>
        <w:gridCol w:w="653"/>
      </w:tblGrid>
      <w:tr w14:paraId="66AA41C2">
        <w:tblPrEx>
          <w:shd w:val="clear" w:color="auto" w:fill="auto"/>
          <w:tblCellMar>
            <w:top w:w="0" w:type="dxa"/>
            <w:left w:w="0" w:type="dxa"/>
            <w:bottom w:w="0" w:type="dxa"/>
            <w:right w:w="0" w:type="dxa"/>
          </w:tblCellMar>
        </w:tblPrEx>
        <w:trPr>
          <w:trHeight w:val="816" w:hRule="atLeast"/>
          <w:jc w:val="center"/>
        </w:trPr>
        <w:tc>
          <w:tcPr>
            <w:tcW w:w="6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9F0E49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w:t>
            </w:r>
          </w:p>
          <w:p w14:paraId="0F95B6D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tc>
        <w:tc>
          <w:tcPr>
            <w:tcW w:w="17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0B7083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A61E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B1E9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w:t>
            </w:r>
          </w:p>
          <w:p w14:paraId="3079E1A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标值</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E3FB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w:t>
            </w:r>
          </w:p>
          <w:p w14:paraId="22E603B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94DF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w:t>
            </w:r>
          </w:p>
          <w:p w14:paraId="5D4B4CF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际完成值</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A03C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p w14:paraId="7842DF2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14:paraId="1D094403">
        <w:tblPrEx>
          <w:shd w:val="clear" w:color="auto" w:fill="auto"/>
          <w:tblCellMar>
            <w:top w:w="0" w:type="dxa"/>
            <w:left w:w="0" w:type="dxa"/>
            <w:bottom w:w="0" w:type="dxa"/>
            <w:right w:w="0" w:type="dxa"/>
          </w:tblCellMar>
        </w:tblPrEx>
        <w:trPr>
          <w:trHeight w:val="436" w:hRule="atLeast"/>
          <w:jc w:val="center"/>
        </w:trPr>
        <w:tc>
          <w:tcPr>
            <w:tcW w:w="685" w:type="dxa"/>
            <w:vMerge w:val="restart"/>
            <w:tcBorders>
              <w:left w:val="single" w:color="auto" w:sz="4" w:space="0"/>
              <w:right w:val="single" w:color="000000" w:sz="4" w:space="0"/>
            </w:tcBorders>
            <w:shd w:val="clear" w:color="auto" w:fill="auto"/>
            <w:tcMar>
              <w:top w:w="15" w:type="dxa"/>
              <w:left w:w="15" w:type="dxa"/>
              <w:right w:w="15" w:type="dxa"/>
            </w:tcMar>
            <w:vAlign w:val="center"/>
          </w:tcPr>
          <w:p w14:paraId="18FDD8A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效益</w:t>
            </w:r>
          </w:p>
        </w:tc>
        <w:tc>
          <w:tcPr>
            <w:tcW w:w="17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56C6D3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经济效益指标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483D56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D838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2CB8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FFDF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2DFE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14:paraId="6A7AC6E7">
        <w:tblPrEx>
          <w:shd w:val="clear" w:color="auto" w:fill="auto"/>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4699D1F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p>
        </w:tc>
        <w:tc>
          <w:tcPr>
            <w:tcW w:w="1725"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BEBB9D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社会效益指标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2701F0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提高全民健康意识和水平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C635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逐步提</w:t>
            </w:r>
            <w:r>
              <w:rPr>
                <w:rFonts w:hint="eastAsia" w:cs="宋体"/>
                <w:color w:val="auto"/>
                <w:kern w:val="0"/>
                <w:sz w:val="20"/>
                <w:szCs w:val="20"/>
                <w:highlight w:val="none"/>
                <w:shd w:val="clear" w:color="auto" w:fill="auto"/>
                <w:lang w:val="en-US" w:eastAsia="zh-CN"/>
              </w:rPr>
              <w:t>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1180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800F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D3A2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bidi="ar-SA"/>
              </w:rPr>
              <w:t>10</w:t>
            </w:r>
          </w:p>
        </w:tc>
      </w:tr>
      <w:tr w14:paraId="38ECA615">
        <w:tblPrEx>
          <w:shd w:val="clear" w:color="auto" w:fill="auto"/>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5A95069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p>
        </w:tc>
        <w:tc>
          <w:tcPr>
            <w:tcW w:w="1725"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BC66E3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3A8738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优化服务流程，提高居民满意度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CC32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逐步提</w:t>
            </w:r>
            <w:r>
              <w:rPr>
                <w:rFonts w:hint="eastAsia" w:cs="宋体"/>
                <w:color w:val="auto"/>
                <w:kern w:val="0"/>
                <w:sz w:val="20"/>
                <w:szCs w:val="20"/>
                <w:highlight w:val="none"/>
                <w:shd w:val="clear" w:color="auto" w:fill="auto"/>
                <w:lang w:val="en-US" w:eastAsia="zh-CN"/>
              </w:rPr>
              <w:t>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B5D1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bidi="ar-SA"/>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1579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2706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bidi="ar-SA"/>
              </w:rPr>
              <w:t>10</w:t>
            </w:r>
          </w:p>
        </w:tc>
      </w:tr>
      <w:tr w14:paraId="2097E7C3">
        <w:tblPrEx>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768F5F7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ED857B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生态效益指标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D3C2ED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EB04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540C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D107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C401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r>
      <w:tr w14:paraId="1A2AADA4">
        <w:tblPrEx>
          <w:shd w:val="clear" w:color="auto" w:fill="auto"/>
          <w:tblCellMar>
            <w:top w:w="0" w:type="dxa"/>
            <w:left w:w="0" w:type="dxa"/>
            <w:bottom w:w="0" w:type="dxa"/>
            <w:right w:w="0" w:type="dxa"/>
          </w:tblCellMar>
        </w:tblPrEx>
        <w:trPr>
          <w:trHeight w:val="436" w:hRule="atLeast"/>
          <w:jc w:val="center"/>
        </w:trPr>
        <w:tc>
          <w:tcPr>
            <w:tcW w:w="685"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A7AEB8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B723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可持续影响指标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888F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62ED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CB31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012C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AC1D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14:paraId="75EAAF88">
        <w:tblPrEx>
          <w:shd w:val="clear" w:color="auto" w:fill="auto"/>
          <w:tblCellMar>
            <w:top w:w="0" w:type="dxa"/>
            <w:left w:w="0" w:type="dxa"/>
            <w:bottom w:w="0" w:type="dxa"/>
            <w:right w:w="0" w:type="dxa"/>
          </w:tblCellMar>
        </w:tblPrEx>
        <w:trPr>
          <w:trHeight w:val="469"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94C0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7342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color w:val="auto"/>
              </w:rPr>
            </w:pPr>
            <w:r>
              <w:rPr>
                <w:rFonts w:hint="eastAsia" w:ascii="宋体" w:hAnsi="宋体" w:eastAsia="宋体" w:cs="宋体"/>
                <w:color w:val="auto"/>
                <w:kern w:val="0"/>
                <w:sz w:val="20"/>
                <w:szCs w:val="20"/>
                <w:highlight w:val="none"/>
                <w:shd w:val="clear" w:color="auto" w:fill="auto"/>
                <w:lang w:val="en-US" w:eastAsia="zh-CN"/>
              </w:rPr>
              <w:t>满意度指标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93F1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color w:val="auto"/>
              </w:rPr>
            </w:pPr>
            <w:r>
              <w:rPr>
                <w:rFonts w:hint="eastAsia" w:ascii="宋体" w:hAnsi="宋体" w:eastAsia="宋体" w:cs="宋体"/>
                <w:color w:val="auto"/>
                <w:kern w:val="0"/>
                <w:sz w:val="20"/>
                <w:szCs w:val="20"/>
                <w:highlight w:val="none"/>
                <w:shd w:val="clear" w:color="auto" w:fill="auto"/>
                <w:lang w:val="en-US" w:eastAsia="zh-CN"/>
              </w:rPr>
              <w:t>体检居民满意度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2728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color w:val="auto"/>
              </w:rPr>
            </w:pPr>
            <w:r>
              <w:rPr>
                <w:rFonts w:hint="eastAsia" w:ascii="宋体" w:hAnsi="宋体" w:eastAsia="宋体" w:cs="宋体"/>
                <w:color w:val="auto"/>
                <w:kern w:val="0"/>
                <w:sz w:val="20"/>
                <w:szCs w:val="20"/>
                <w:highlight w:val="none"/>
                <w:shd w:val="clear" w:color="auto" w:fill="auto"/>
                <w:lang w:val="en-US" w:eastAsia="zh-CN"/>
              </w:rPr>
              <w:t>≥90%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FD17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E86B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3ED4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14:paraId="10903E9A">
        <w:tblPrEx>
          <w:shd w:val="clear" w:color="auto" w:fill="auto"/>
          <w:tblCellMar>
            <w:top w:w="0" w:type="dxa"/>
            <w:left w:w="0" w:type="dxa"/>
            <w:bottom w:w="0" w:type="dxa"/>
            <w:right w:w="0" w:type="dxa"/>
          </w:tblCellMar>
        </w:tblPrEx>
        <w:trPr>
          <w:trHeight w:val="469" w:hRule="atLeast"/>
          <w:jc w:val="center"/>
        </w:trPr>
        <w:tc>
          <w:tcPr>
            <w:tcW w:w="60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41BF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bookmarkStart w:id="75" w:name="_Toc8010"/>
            <w:r>
              <w:rPr>
                <w:rFonts w:hint="eastAsia" w:cs="宋体"/>
                <w:color w:val="auto"/>
                <w:kern w:val="0"/>
                <w:sz w:val="20"/>
                <w:szCs w:val="20"/>
                <w:highlight w:val="none"/>
                <w:shd w:val="clear" w:color="auto" w:fill="auto"/>
                <w:lang w:val="en-US" w:eastAsia="zh-CN"/>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256C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3411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FBFE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14:paraId="64809802">
      <w:pPr>
        <w:bidi w:val="0"/>
        <w:outlineLvl w:val="2"/>
        <w:rPr>
          <w:rFonts w:hint="default"/>
          <w:b/>
          <w:bCs/>
          <w:lang w:val="en-US" w:eastAsia="zh-CN"/>
        </w:rPr>
      </w:pPr>
      <w:r>
        <w:rPr>
          <w:rFonts w:hint="eastAsia"/>
          <w:b/>
          <w:bCs/>
          <w:lang w:val="en-US" w:eastAsia="zh-CN"/>
        </w:rPr>
        <w:t>1.经济效益指标</w:t>
      </w:r>
      <w:bookmarkEnd w:id="75"/>
    </w:p>
    <w:p w14:paraId="77611C0C">
      <w:pPr>
        <w:bidi w:val="0"/>
        <w:rPr>
          <w:rFonts w:hint="eastAsia"/>
          <w:color w:val="auto"/>
          <w:lang w:val="en-US" w:eastAsia="zh-CN"/>
        </w:rPr>
      </w:pPr>
      <w:bookmarkStart w:id="76" w:name="_Toc27006"/>
      <w:r>
        <w:rPr>
          <w:rFonts w:hint="eastAsia"/>
          <w:color w:val="auto"/>
          <w:lang w:val="en-US" w:eastAsia="zh-CN"/>
        </w:rPr>
        <w:t>本项目不存在经济效益指标。</w:t>
      </w:r>
    </w:p>
    <w:p w14:paraId="21F96130">
      <w:pPr>
        <w:bidi w:val="0"/>
        <w:outlineLvl w:val="2"/>
        <w:rPr>
          <w:rFonts w:hint="eastAsia"/>
          <w:b/>
          <w:bCs/>
          <w:lang w:val="en-US" w:eastAsia="zh-CN"/>
        </w:rPr>
      </w:pPr>
      <w:r>
        <w:rPr>
          <w:rFonts w:hint="eastAsia"/>
          <w:b/>
          <w:bCs/>
          <w:lang w:val="en-US" w:eastAsia="zh-CN"/>
        </w:rPr>
        <w:t>2.社会效益指标</w:t>
      </w:r>
      <w:bookmarkEnd w:id="76"/>
    </w:p>
    <w:p w14:paraId="221F4761">
      <w:pPr>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“居民健康水平提高”指标，预期目标值为逐步提高，实际完成为100%。</w:t>
      </w:r>
    </w:p>
    <w:p w14:paraId="467E8E4A">
      <w:pPr>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优化服务流程，提高居民满意度预期目标值为逐步提高，实际完成为100%。</w:t>
      </w:r>
    </w:p>
    <w:p w14:paraId="47BAED25">
      <w:pPr>
        <w:bidi w:val="0"/>
        <w:ind w:left="0" w:leftChars="0" w:firstLine="560" w:firstLineChars="200"/>
        <w:rPr>
          <w:rFonts w:hint="default"/>
          <w:b w:val="0"/>
          <w:bCs w:val="0"/>
          <w:highlight w:val="none"/>
          <w:lang w:val="en-US" w:eastAsia="zh-CN"/>
        </w:rPr>
      </w:pPr>
      <w:r>
        <w:rPr>
          <w:rFonts w:hint="eastAsia"/>
          <w:b w:val="0"/>
          <w:bCs w:val="0"/>
          <w:color w:val="auto"/>
          <w:lang w:val="en-US" w:eastAsia="zh-CN"/>
        </w:rPr>
        <w:t>通过项目的实施，</w:t>
      </w:r>
      <w:r>
        <w:rPr>
          <w:rFonts w:hint="eastAsia"/>
          <w:b w:val="0"/>
          <w:bCs w:val="0"/>
          <w:lang w:val="en-US" w:eastAsia="zh-CN"/>
        </w:rPr>
        <w:t>辖区人口</w:t>
      </w:r>
      <w:r>
        <w:rPr>
          <w:rFonts w:hint="eastAsia" w:ascii="宋体" w:hAnsi="宋体" w:eastAsia="宋体" w:cs="宋体"/>
          <w:b w:val="0"/>
          <w:bCs w:val="0"/>
          <w:color w:val="auto"/>
          <w:kern w:val="0"/>
          <w:sz w:val="28"/>
          <w:szCs w:val="32"/>
          <w:highlight w:val="none"/>
          <w:shd w:val="clear" w:color="auto" w:fill="auto"/>
          <w:lang w:val="en-US" w:eastAsia="zh-CN" w:bidi="ar-SA"/>
        </w:rPr>
        <w:t>及时掌握</w:t>
      </w:r>
      <w:r>
        <w:rPr>
          <w:rFonts w:hint="eastAsia" w:cs="宋体"/>
          <w:b w:val="0"/>
          <w:bCs w:val="0"/>
          <w:color w:val="auto"/>
          <w:kern w:val="0"/>
          <w:sz w:val="28"/>
          <w:szCs w:val="32"/>
          <w:highlight w:val="none"/>
          <w:shd w:val="clear" w:color="auto" w:fill="auto"/>
          <w:lang w:val="en-US" w:eastAsia="zh-CN" w:bidi="ar-SA"/>
        </w:rPr>
        <w:t>自身</w:t>
      </w:r>
      <w:r>
        <w:rPr>
          <w:rFonts w:hint="eastAsia" w:ascii="宋体" w:hAnsi="宋体" w:eastAsia="宋体" w:cs="宋体"/>
          <w:b w:val="0"/>
          <w:bCs w:val="0"/>
          <w:color w:val="auto"/>
          <w:kern w:val="0"/>
          <w:sz w:val="28"/>
          <w:szCs w:val="32"/>
          <w:highlight w:val="none"/>
          <w:shd w:val="clear" w:color="auto" w:fill="auto"/>
          <w:lang w:val="en-US" w:eastAsia="zh-CN" w:bidi="ar-SA"/>
        </w:rPr>
        <w:t>的身体健康状况，预防和治疗一些潜在的疾病</w:t>
      </w:r>
      <w:r>
        <w:rPr>
          <w:rFonts w:hint="eastAsia" w:cs="宋体"/>
          <w:b w:val="0"/>
          <w:bCs w:val="0"/>
          <w:color w:val="auto"/>
          <w:kern w:val="0"/>
          <w:sz w:val="28"/>
          <w:szCs w:val="32"/>
          <w:highlight w:val="none"/>
          <w:shd w:val="clear" w:color="auto" w:fill="auto"/>
          <w:lang w:val="en-US" w:eastAsia="zh-CN" w:bidi="ar-SA"/>
        </w:rPr>
        <w:t>，</w:t>
      </w:r>
      <w:r>
        <w:rPr>
          <w:rFonts w:hint="eastAsia" w:ascii="宋体" w:hAnsi="宋体" w:eastAsia="宋体" w:cs="宋体"/>
          <w:b w:val="0"/>
          <w:bCs w:val="0"/>
          <w:color w:val="auto"/>
          <w:kern w:val="0"/>
          <w:sz w:val="28"/>
          <w:szCs w:val="32"/>
          <w:highlight w:val="none"/>
          <w:shd w:val="clear" w:color="auto" w:fill="auto"/>
          <w:lang w:val="en-US" w:eastAsia="zh-CN" w:bidi="ar-SA"/>
        </w:rPr>
        <w:t>及时了解自己的健康状况，提高健康意识，从而彻底预防健康问题的出现。</w:t>
      </w:r>
    </w:p>
    <w:p w14:paraId="5EB29D6F">
      <w:pPr>
        <w:bidi w:val="0"/>
        <w:rPr>
          <w:rFonts w:hint="eastAsia"/>
          <w:color w:val="auto"/>
          <w:highlight w:val="none"/>
          <w:lang w:val="en-US" w:eastAsia="zh-CN"/>
        </w:rPr>
      </w:pPr>
      <w:r>
        <w:rPr>
          <w:rFonts w:hint="eastAsia"/>
          <w:b/>
          <w:bCs/>
          <w:highlight w:val="none"/>
          <w:lang w:val="en-US" w:eastAsia="zh-CN"/>
        </w:rPr>
        <w:t>综上，该项指标满</w:t>
      </w:r>
      <w:r>
        <w:rPr>
          <w:rFonts w:hint="eastAsia"/>
          <w:b/>
          <w:bCs/>
          <w:color w:val="auto"/>
          <w:highlight w:val="none"/>
          <w:lang w:val="en-US" w:eastAsia="zh-CN"/>
        </w:rPr>
        <w:t>分20分，得分20分。</w:t>
      </w:r>
    </w:p>
    <w:p w14:paraId="75AB880A">
      <w:pPr>
        <w:bidi w:val="0"/>
        <w:outlineLvl w:val="2"/>
        <w:rPr>
          <w:rFonts w:hint="eastAsia"/>
          <w:highlight w:val="none"/>
          <w:lang w:val="en-US" w:eastAsia="zh-CN"/>
        </w:rPr>
      </w:pPr>
      <w:bookmarkStart w:id="77" w:name="_Toc23106"/>
      <w:r>
        <w:rPr>
          <w:rFonts w:hint="eastAsia"/>
          <w:b/>
          <w:bCs/>
          <w:highlight w:val="none"/>
          <w:lang w:val="en-US" w:eastAsia="zh-CN"/>
        </w:rPr>
        <w:t>3.生态效益指标</w:t>
      </w:r>
      <w:bookmarkEnd w:id="77"/>
    </w:p>
    <w:p w14:paraId="4A52A665">
      <w:pPr>
        <w:bidi w:val="0"/>
        <w:rPr>
          <w:rFonts w:hint="eastAsia"/>
          <w:color w:val="auto"/>
          <w:highlight w:val="none"/>
          <w:lang w:val="en-US" w:eastAsia="zh-CN"/>
        </w:rPr>
      </w:pPr>
      <w:bookmarkStart w:id="78" w:name="_Toc3271"/>
      <w:r>
        <w:rPr>
          <w:rFonts w:hint="eastAsia"/>
          <w:color w:val="auto"/>
          <w:highlight w:val="none"/>
          <w:lang w:val="en-US" w:eastAsia="zh-CN"/>
        </w:rPr>
        <w:t>本项目不存在生态效益指标。</w:t>
      </w:r>
    </w:p>
    <w:p w14:paraId="325774EC">
      <w:pPr>
        <w:bidi w:val="0"/>
        <w:outlineLvl w:val="2"/>
        <w:rPr>
          <w:rFonts w:hint="eastAsia"/>
          <w:b/>
          <w:bCs/>
          <w:highlight w:val="none"/>
          <w:lang w:val="en-US" w:eastAsia="zh-CN"/>
        </w:rPr>
      </w:pPr>
      <w:r>
        <w:rPr>
          <w:rFonts w:hint="eastAsia"/>
          <w:b/>
          <w:bCs/>
          <w:highlight w:val="none"/>
          <w:lang w:val="en-US" w:eastAsia="zh-CN"/>
        </w:rPr>
        <w:t>4.满意度指</w:t>
      </w:r>
      <w:bookmarkEnd w:id="78"/>
    </w:p>
    <w:p w14:paraId="09484691">
      <w:pPr>
        <w:bidi w:val="0"/>
        <w:rPr>
          <w:rFonts w:hint="eastAsia"/>
          <w:color w:val="auto"/>
          <w:highlight w:val="none"/>
          <w:lang w:val="en-US" w:eastAsia="zh-CN"/>
        </w:rPr>
      </w:pPr>
      <w:bookmarkStart w:id="79" w:name="_Toc19962"/>
      <w:r>
        <w:rPr>
          <w:rFonts w:hint="eastAsia"/>
          <w:color w:val="auto"/>
          <w:highlight w:val="none"/>
          <w:lang w:eastAsia="zh-CN"/>
        </w:rPr>
        <w:t>“</w:t>
      </w:r>
      <w:r>
        <w:rPr>
          <w:rFonts w:hint="eastAsia"/>
          <w:color w:val="auto"/>
          <w:highlight w:val="none"/>
          <w:lang w:val="en-US" w:eastAsia="zh-CN"/>
        </w:rPr>
        <w:t>体检居民满意度</w:t>
      </w:r>
      <w:r>
        <w:rPr>
          <w:rFonts w:hint="eastAsia"/>
          <w:color w:val="auto"/>
          <w:highlight w:val="none"/>
          <w:lang w:eastAsia="zh-CN"/>
        </w:rPr>
        <w:t>”</w:t>
      </w:r>
      <w:r>
        <w:rPr>
          <w:rFonts w:hint="eastAsia"/>
          <w:color w:val="auto"/>
          <w:highlight w:val="none"/>
          <w:lang w:val="en-US" w:eastAsia="zh-CN"/>
        </w:rPr>
        <w:t>指标，预期目标值为90%，实际完成为100%。</w:t>
      </w:r>
    </w:p>
    <w:p w14:paraId="478AAD09">
      <w:pPr>
        <w:bidi w:val="0"/>
        <w:rPr>
          <w:rFonts w:hint="eastAsia"/>
          <w:color w:val="auto"/>
          <w:highlight w:val="none"/>
          <w:lang w:val="en-US" w:eastAsia="zh-CN"/>
        </w:rPr>
      </w:pPr>
      <w:r>
        <w:rPr>
          <w:rFonts w:hint="eastAsia"/>
          <w:b/>
          <w:bCs/>
          <w:highlight w:val="none"/>
          <w:lang w:val="en-US" w:eastAsia="zh-CN"/>
        </w:rPr>
        <w:t>综上，该项指标满</w:t>
      </w:r>
      <w:r>
        <w:rPr>
          <w:rFonts w:hint="eastAsia"/>
          <w:b/>
          <w:bCs/>
          <w:color w:val="auto"/>
          <w:highlight w:val="none"/>
          <w:lang w:val="en-US" w:eastAsia="zh-CN"/>
        </w:rPr>
        <w:t>分10分，得分10分。</w:t>
      </w:r>
    </w:p>
    <w:p w14:paraId="5BB58A37">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五、预算执行进度与指标偏差</w:t>
      </w:r>
      <w:bookmarkEnd w:id="79"/>
    </w:p>
    <w:p w14:paraId="478CF699">
      <w:pPr>
        <w:keepNext w:val="0"/>
        <w:keepLines w:val="0"/>
        <w:pageBreakBefore w:val="0"/>
        <w:widowControl w:val="0"/>
        <w:kinsoku/>
        <w:wordWrap/>
        <w:overflowPunct/>
        <w:topLinePunct w:val="0"/>
        <w:autoSpaceDE/>
        <w:autoSpaceDN/>
        <w:bidi w:val="0"/>
        <w:adjustRightInd w:val="0"/>
        <w:snapToGrid w:val="0"/>
        <w:ind w:firstLine="560" w:firstLineChars="200"/>
        <w:textAlignment w:val="auto"/>
        <w:rPr>
          <w:rFonts w:hint="eastAsia" w:ascii="仿宋_GB2312" w:hAnsi="仿宋_GB2312" w:cs="仿宋_GB2312"/>
          <w:color w:val="auto"/>
          <w:sz w:val="28"/>
          <w:szCs w:val="28"/>
        </w:rPr>
      </w:pPr>
      <w:r>
        <w:rPr>
          <w:rFonts w:hint="eastAsia" w:cs="仿宋_GB2312"/>
          <w:color w:val="auto"/>
          <w:sz w:val="28"/>
          <w:szCs w:val="28"/>
          <w:lang w:val="en-US" w:eastAsia="zh-CN"/>
        </w:rPr>
        <w:t>该</w:t>
      </w:r>
      <w:r>
        <w:rPr>
          <w:rFonts w:hint="eastAsia" w:cs="仿宋_GB2312"/>
          <w:color w:val="auto"/>
          <w:sz w:val="28"/>
          <w:szCs w:val="28"/>
          <w:lang w:eastAsia="zh-CN"/>
        </w:rPr>
        <w:t>项目预算资金总额为</w:t>
      </w:r>
      <w:r>
        <w:rPr>
          <w:rFonts w:hint="eastAsia" w:cs="仿宋_GB2312"/>
          <w:color w:val="auto"/>
          <w:sz w:val="28"/>
          <w:szCs w:val="28"/>
          <w:lang w:val="en-US" w:eastAsia="zh-CN"/>
        </w:rPr>
        <w:t>34.15万元，全年执行数为32.66万元，预算执行率为95.64%，</w:t>
      </w:r>
      <w:r>
        <w:rPr>
          <w:rFonts w:hint="eastAsia" w:cs="仿宋_GB2312"/>
          <w:color w:val="auto"/>
          <w:sz w:val="28"/>
          <w:szCs w:val="28"/>
          <w:lang w:eastAsia="zh-CN"/>
        </w:rPr>
        <w:t>总体完成率为</w:t>
      </w:r>
      <w:r>
        <w:rPr>
          <w:rFonts w:hint="eastAsia" w:cs="仿宋_GB2312"/>
          <w:color w:val="auto"/>
          <w:sz w:val="28"/>
          <w:szCs w:val="28"/>
          <w:lang w:val="en-US" w:eastAsia="zh-CN"/>
        </w:rPr>
        <w:t>86.93</w:t>
      </w:r>
      <w:r>
        <w:rPr>
          <w:rFonts w:hint="eastAsia" w:cs="仿宋_GB2312"/>
          <w:color w:val="auto"/>
          <w:sz w:val="28"/>
          <w:szCs w:val="28"/>
          <w:lang w:val="zh-TW" w:eastAsia="zh-TW"/>
        </w:rPr>
        <w:t>%。</w:t>
      </w:r>
      <w:r>
        <w:rPr>
          <w:rFonts w:hint="eastAsia" w:cs="仿宋_GB2312"/>
          <w:color w:val="auto"/>
          <w:sz w:val="28"/>
          <w:szCs w:val="28"/>
          <w:lang w:val="en-US" w:eastAsia="zh-CN"/>
        </w:rPr>
        <w:t>预算执行率与总体完成率之间的偏差为8.67%</w:t>
      </w:r>
      <w:r>
        <w:rPr>
          <w:rFonts w:hint="eastAsia" w:ascii="仿宋_GB2312" w:hAnsi="仿宋_GB2312" w:cs="仿宋_GB2312"/>
          <w:color w:val="auto"/>
          <w:sz w:val="28"/>
          <w:szCs w:val="28"/>
        </w:rPr>
        <w:t>。</w:t>
      </w:r>
    </w:p>
    <w:p w14:paraId="13829E53">
      <w:pPr>
        <w:keepNext w:val="0"/>
        <w:keepLines w:val="0"/>
        <w:pageBreakBefore w:val="0"/>
        <w:widowControl w:val="0"/>
        <w:kinsoku/>
        <w:wordWrap/>
        <w:overflowPunct/>
        <w:topLinePunct w:val="0"/>
        <w:autoSpaceDE/>
        <w:autoSpaceDN/>
        <w:bidi w:val="0"/>
        <w:adjustRightInd w:val="0"/>
        <w:snapToGrid w:val="0"/>
        <w:ind w:firstLine="560" w:firstLineChars="200"/>
        <w:textAlignment w:val="auto"/>
        <w:rPr>
          <w:rFonts w:hint="default" w:cs="仿宋_GB2312"/>
          <w:color w:val="auto"/>
          <w:sz w:val="28"/>
          <w:szCs w:val="28"/>
          <w:lang w:val="en-US" w:eastAsia="zh-CN"/>
        </w:rPr>
      </w:pPr>
      <w:r>
        <w:rPr>
          <w:rFonts w:hint="eastAsia" w:cs="仿宋_GB2312"/>
          <w:color w:val="auto"/>
          <w:sz w:val="28"/>
          <w:szCs w:val="28"/>
          <w:lang w:eastAsia="zh-CN"/>
        </w:rPr>
        <w:t>偏差原因：</w:t>
      </w:r>
      <w:r>
        <w:rPr>
          <w:rFonts w:hint="eastAsia" w:cs="仿宋_GB2312"/>
          <w:color w:val="auto"/>
          <w:sz w:val="28"/>
          <w:szCs w:val="28"/>
          <w:lang w:val="en-US" w:eastAsia="zh-CN"/>
        </w:rPr>
        <w:t>全民体检人数未完成。</w:t>
      </w:r>
    </w:p>
    <w:p w14:paraId="5DECEEEB">
      <w:pPr>
        <w:keepNext w:val="0"/>
        <w:keepLines w:val="0"/>
        <w:pageBreakBefore w:val="0"/>
        <w:widowControl w:val="0"/>
        <w:kinsoku/>
        <w:wordWrap/>
        <w:overflowPunct/>
        <w:topLinePunct w:val="0"/>
        <w:autoSpaceDE/>
        <w:autoSpaceDN/>
        <w:bidi w:val="0"/>
        <w:adjustRightInd/>
        <w:snapToGrid/>
        <w:spacing w:line="560" w:lineRule="exact"/>
        <w:ind w:firstLine="420" w:firstLineChars="150"/>
        <w:textAlignment w:val="auto"/>
        <w:rPr>
          <w:rFonts w:hint="default" w:cs="仿宋_GB2312"/>
          <w:color w:val="auto"/>
          <w:sz w:val="28"/>
          <w:szCs w:val="28"/>
          <w:lang w:val="en-US" w:eastAsia="zh-CN"/>
        </w:rPr>
      </w:pPr>
      <w:r>
        <w:rPr>
          <w:rFonts w:hint="eastAsia" w:cs="仿宋_GB2312"/>
          <w:color w:val="auto"/>
          <w:sz w:val="28"/>
          <w:szCs w:val="28"/>
          <w:lang w:eastAsia="zh-CN"/>
        </w:rPr>
        <w:t>采取的措施：一是进一步统一思想、深化认识，加强组织领导，</w:t>
      </w:r>
      <w:r>
        <w:rPr>
          <w:rFonts w:hint="eastAsia" w:cs="仿宋_GB2312"/>
          <w:color w:val="auto"/>
          <w:sz w:val="28"/>
          <w:szCs w:val="28"/>
          <w:lang w:val="en-US" w:eastAsia="zh-CN"/>
        </w:rPr>
        <w:t>健全协调配合机制。制定完善的全民体检工作计划，提高工作效率。精心组织、优化流程，切实保障体检工作的顺利实施。同时要加强宣传发动，做好相关组织工作，周密合理安排体检各项工作，做到通畅为民，不落一个人，走完最后一公里。</w:t>
      </w:r>
    </w:p>
    <w:p w14:paraId="61982788">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80" w:name="_Toc29934"/>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六、主要经验及做法、存在的问题及原因分析</w:t>
      </w:r>
      <w:bookmarkEnd w:id="80"/>
    </w:p>
    <w:p w14:paraId="78A1028D">
      <w:pPr>
        <w:numPr>
          <w:ilvl w:val="0"/>
          <w:numId w:val="0"/>
        </w:numPr>
        <w:bidi w:val="0"/>
        <w:ind w:left="560" w:leftChars="0"/>
        <w:outlineLvl w:val="1"/>
        <w:rPr>
          <w:rFonts w:hint="eastAsia"/>
          <w:b/>
          <w:bCs/>
          <w:lang w:eastAsia="zh-CN"/>
        </w:rPr>
      </w:pPr>
      <w:bookmarkStart w:id="81" w:name="_Toc13160"/>
      <w:bookmarkStart w:id="82" w:name="_Toc28290"/>
      <w:bookmarkStart w:id="83" w:name="_Toc1921"/>
      <w:r>
        <w:rPr>
          <w:rFonts w:hint="eastAsia"/>
          <w:b/>
          <w:bCs/>
          <w:lang w:eastAsia="zh-CN"/>
        </w:rPr>
        <w:t>（</w:t>
      </w:r>
      <w:r>
        <w:rPr>
          <w:rFonts w:hint="eastAsia"/>
          <w:b/>
          <w:bCs/>
          <w:lang w:val="en-US" w:eastAsia="zh-CN"/>
        </w:rPr>
        <w:t>一</w:t>
      </w:r>
      <w:r>
        <w:rPr>
          <w:rFonts w:hint="eastAsia"/>
          <w:b/>
          <w:bCs/>
          <w:lang w:eastAsia="zh-CN"/>
        </w:rPr>
        <w:t>）</w:t>
      </w:r>
      <w:r>
        <w:rPr>
          <w:rFonts w:hint="eastAsia"/>
          <w:b/>
          <w:bCs/>
        </w:rPr>
        <w:t>主要经验及做法</w:t>
      </w:r>
      <w:bookmarkEnd w:id="81"/>
    </w:p>
    <w:p w14:paraId="5871D92B">
      <w:pPr>
        <w:bidi w:val="0"/>
        <w:rPr>
          <w:rFonts w:hint="eastAsia"/>
          <w:color w:val="auto"/>
          <w:lang w:eastAsia="zh-CN"/>
        </w:rPr>
      </w:pPr>
      <w:r>
        <w:rPr>
          <w:rFonts w:hint="eastAsia"/>
          <w:color w:val="auto"/>
          <w:lang w:val="en-US" w:eastAsia="zh-CN"/>
        </w:rPr>
        <w:t>2023全民健康体检项目</w:t>
      </w:r>
      <w:r>
        <w:rPr>
          <w:rFonts w:hint="eastAsia"/>
          <w:color w:val="auto"/>
          <w:lang w:eastAsia="zh-CN"/>
        </w:rPr>
        <w:t>20</w:t>
      </w:r>
      <w:r>
        <w:rPr>
          <w:rFonts w:hint="eastAsia"/>
          <w:color w:val="auto"/>
          <w:lang w:val="en-US" w:eastAsia="zh-CN"/>
        </w:rPr>
        <w:t>23</w:t>
      </w:r>
      <w:r>
        <w:rPr>
          <w:rFonts w:hint="eastAsia"/>
          <w:color w:val="auto"/>
          <w:lang w:eastAsia="zh-CN"/>
        </w:rPr>
        <w:t>年预算</w:t>
      </w:r>
      <w:r>
        <w:rPr>
          <w:rFonts w:hint="eastAsia"/>
          <w:color w:val="auto"/>
          <w:lang w:val="en-US" w:eastAsia="zh-CN"/>
        </w:rPr>
        <w:t>数</w:t>
      </w:r>
      <w:r>
        <w:rPr>
          <w:rFonts w:hint="eastAsia"/>
          <w:color w:val="auto"/>
          <w:lang w:eastAsia="zh-CN"/>
        </w:rPr>
        <w:t>为</w:t>
      </w:r>
      <w:r>
        <w:rPr>
          <w:rFonts w:hint="eastAsia"/>
          <w:color w:val="auto"/>
          <w:lang w:val="en-US" w:eastAsia="zh-CN"/>
        </w:rPr>
        <w:t>34.15</w:t>
      </w:r>
      <w:r>
        <w:rPr>
          <w:rFonts w:hint="eastAsia"/>
          <w:color w:val="auto"/>
          <w:lang w:eastAsia="zh-CN"/>
        </w:rPr>
        <w:t>万元，</w:t>
      </w:r>
      <w:r>
        <w:rPr>
          <w:rFonts w:hint="eastAsia"/>
          <w:color w:val="auto"/>
          <w:lang w:val="en-US" w:eastAsia="zh-CN"/>
        </w:rPr>
        <w:t>截至2023年12月31日共</w:t>
      </w:r>
      <w:r>
        <w:rPr>
          <w:rFonts w:hint="eastAsia"/>
          <w:color w:val="auto"/>
          <w:lang w:eastAsia="zh-CN"/>
        </w:rPr>
        <w:t>支出</w:t>
      </w:r>
      <w:r>
        <w:rPr>
          <w:rFonts w:hint="eastAsia"/>
          <w:color w:val="auto"/>
          <w:lang w:val="en-US" w:eastAsia="zh-CN"/>
        </w:rPr>
        <w:t>32.66</w:t>
      </w:r>
      <w:r>
        <w:rPr>
          <w:rFonts w:hint="eastAsia"/>
          <w:color w:val="auto"/>
          <w:lang w:eastAsia="zh-CN"/>
        </w:rPr>
        <w:t>万元，预算</w:t>
      </w:r>
      <w:r>
        <w:rPr>
          <w:rFonts w:hint="eastAsia"/>
          <w:color w:val="auto"/>
          <w:lang w:val="en-US" w:eastAsia="zh-CN"/>
        </w:rPr>
        <w:t>执行</w:t>
      </w:r>
      <w:r>
        <w:rPr>
          <w:rFonts w:hint="eastAsia"/>
          <w:color w:val="auto"/>
          <w:lang w:eastAsia="zh-CN"/>
        </w:rPr>
        <w:t>率为</w:t>
      </w:r>
      <w:r>
        <w:rPr>
          <w:rFonts w:hint="eastAsia"/>
          <w:color w:val="auto"/>
          <w:lang w:val="en-US" w:eastAsia="zh-CN"/>
        </w:rPr>
        <w:t>95.64</w:t>
      </w:r>
      <w:r>
        <w:rPr>
          <w:rFonts w:hint="eastAsia"/>
          <w:color w:val="auto"/>
          <w:lang w:eastAsia="zh-CN"/>
        </w:rPr>
        <w:t>%。</w:t>
      </w:r>
    </w:p>
    <w:p w14:paraId="0D2FB515">
      <w:pPr>
        <w:bidi w:val="0"/>
        <w:rPr>
          <w:rFonts w:hint="eastAsia"/>
          <w:highlight w:val="none"/>
          <w:lang w:eastAsia="zh-CN"/>
        </w:rPr>
      </w:pPr>
      <w:r>
        <w:rPr>
          <w:rFonts w:hint="eastAsia"/>
          <w:color w:val="auto"/>
          <w:lang w:val="en-US" w:eastAsia="zh-CN"/>
        </w:rPr>
        <w:t>阜康市滋泥泉子镇中心卫生院</w:t>
      </w:r>
      <w:r>
        <w:rPr>
          <w:rFonts w:hint="eastAsia"/>
          <w:color w:val="auto"/>
          <w:lang w:eastAsia="zh-CN"/>
        </w:rPr>
        <w:t>建立健全了预算管理规章制度，各部门严格按照预算编制的原则和要求做好当年预算编制工作，在预算绩效管理工作中，做到合理安排各项资金，重点保障基本支出，按轻重缓急顺序原则，优先安排了</w:t>
      </w:r>
      <w:r>
        <w:rPr>
          <w:rFonts w:hint="eastAsia"/>
          <w:color w:val="auto"/>
          <w:lang w:val="en-US" w:eastAsia="zh-CN"/>
        </w:rPr>
        <w:t>阜康市博峰社区卫生服务中心</w:t>
      </w:r>
      <w:r>
        <w:rPr>
          <w:rFonts w:hint="eastAsia"/>
          <w:color w:val="auto"/>
          <w:lang w:eastAsia="zh-CN"/>
        </w:rPr>
        <w:t>事业发展中关系民生与稳定的项目，切实优化资源配</w:t>
      </w:r>
      <w:r>
        <w:rPr>
          <w:rFonts w:hint="eastAsia"/>
          <w:lang w:eastAsia="zh-CN"/>
        </w:rPr>
        <w:t>置，提高了资金使用的效率</w:t>
      </w:r>
      <w:r>
        <w:rPr>
          <w:rFonts w:hint="eastAsia"/>
          <w:highlight w:val="none"/>
          <w:lang w:eastAsia="zh-CN"/>
        </w:rPr>
        <w:t>和效果。</w:t>
      </w:r>
    </w:p>
    <w:bookmarkEnd w:id="82"/>
    <w:bookmarkEnd w:id="83"/>
    <w:p w14:paraId="6B83560C">
      <w:pPr>
        <w:bidi w:val="0"/>
        <w:outlineLvl w:val="1"/>
        <w:rPr>
          <w:rFonts w:hint="eastAsia"/>
          <w:b/>
          <w:bCs/>
          <w:highlight w:val="none"/>
          <w:lang w:eastAsia="zh-CN"/>
        </w:rPr>
      </w:pPr>
      <w:bookmarkStart w:id="84" w:name="_Toc9582"/>
      <w:r>
        <w:rPr>
          <w:rFonts w:hint="eastAsia"/>
          <w:b/>
          <w:bCs/>
          <w:highlight w:val="none"/>
          <w:lang w:eastAsia="zh-CN"/>
        </w:rPr>
        <w:t>（</w:t>
      </w:r>
      <w:r>
        <w:rPr>
          <w:rFonts w:hint="eastAsia"/>
          <w:b/>
          <w:bCs/>
          <w:highlight w:val="none"/>
          <w:lang w:val="en-US" w:eastAsia="zh-CN"/>
        </w:rPr>
        <w:t>二</w:t>
      </w:r>
      <w:r>
        <w:rPr>
          <w:rFonts w:hint="eastAsia"/>
          <w:b/>
          <w:bCs/>
          <w:highlight w:val="none"/>
          <w:lang w:eastAsia="zh-CN"/>
        </w:rPr>
        <w:t>）</w:t>
      </w:r>
      <w:r>
        <w:rPr>
          <w:rFonts w:hint="eastAsia"/>
          <w:b/>
          <w:bCs/>
          <w:highlight w:val="none"/>
        </w:rPr>
        <w:t>存在的问题及原因分析</w:t>
      </w:r>
      <w:bookmarkEnd w:id="84"/>
    </w:p>
    <w:p w14:paraId="60FB79A5">
      <w:pPr>
        <w:bidi w:val="0"/>
        <w:rPr>
          <w:rFonts w:hint="eastAsia"/>
          <w:b w:val="0"/>
          <w:bCs w:val="0"/>
          <w:color w:val="auto"/>
          <w:highlight w:val="none"/>
          <w:shd w:val="clear" w:color="auto" w:fill="auto"/>
          <w:lang w:val="en-US" w:eastAsia="zh-CN"/>
        </w:rPr>
      </w:pPr>
      <w:bookmarkStart w:id="85" w:name="_Toc5230"/>
      <w:r>
        <w:rPr>
          <w:rFonts w:hint="eastAsia"/>
          <w:b w:val="0"/>
          <w:bCs w:val="0"/>
          <w:color w:val="auto"/>
          <w:highlight w:val="none"/>
          <w:shd w:val="clear" w:color="auto" w:fill="auto"/>
          <w:lang w:val="en-US" w:eastAsia="zh-CN"/>
        </w:rPr>
        <w:t>1、全民健康体检宣传、组织、发动工作力度有待进一步加强。各乡镇（街道）、各相关部门对全民健康体检的宣传工作动员方式单一，部分群众对实施全民健康体检的重要意义认识不足，主动参与意识不强，自我健康管理意识淡薄，一部分群众没有参与全民健康体检，影响疾病早发现、早干预、早治疗。</w:t>
      </w:r>
    </w:p>
    <w:p w14:paraId="7BD3E97D">
      <w:pPr>
        <w:bidi w:val="0"/>
        <w:rPr>
          <w:rFonts w:hint="default"/>
          <w:highlight w:val="none"/>
          <w:lang w:val="en-US" w:eastAsia="zh-CN"/>
        </w:rPr>
      </w:pPr>
      <w:r>
        <w:rPr>
          <w:rFonts w:hint="eastAsia"/>
          <w:b w:val="0"/>
          <w:bCs w:val="0"/>
          <w:color w:val="auto"/>
          <w:highlight w:val="none"/>
          <w:shd w:val="clear" w:color="auto" w:fill="auto"/>
          <w:lang w:val="en-US" w:eastAsia="zh-CN"/>
        </w:rPr>
        <w:t>2、资金执行率未达标，原因为资金审批流程进度缓慢。</w:t>
      </w:r>
    </w:p>
    <w:p w14:paraId="1025DF44">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r>
        <w:rPr>
          <w:rFonts w:hint="eastAsia" w:ascii="宋体" w:hAnsi="宋体" w:eastAsia="宋体" w:cs="宋体"/>
          <w:b/>
          <w:bCs/>
          <w:color w:val="auto"/>
          <w:highlight w:val="none"/>
          <w:shd w:val="clear" w:color="auto" w:fill="auto"/>
          <w:lang w:val="en-US" w:eastAsia="zh-CN"/>
        </w:rPr>
        <w:t>七、有关建议</w:t>
      </w:r>
      <w:bookmarkEnd w:id="85"/>
    </w:p>
    <w:p w14:paraId="5BEBAF7B">
      <w:pPr>
        <w:bidi w:val="0"/>
        <w:rPr>
          <w:rFonts w:hint="eastAsia"/>
          <w:b w:val="0"/>
          <w:bCs w:val="0"/>
          <w:color w:val="auto"/>
          <w:highlight w:val="none"/>
          <w:shd w:val="clear" w:color="auto" w:fill="auto"/>
          <w:lang w:val="en-US" w:eastAsia="zh-CN"/>
        </w:rPr>
      </w:pPr>
      <w:bookmarkStart w:id="86" w:name="_Toc15618"/>
      <w:r>
        <w:rPr>
          <w:rFonts w:hint="eastAsia"/>
          <w:b w:val="0"/>
          <w:bCs w:val="0"/>
          <w:color w:val="auto"/>
          <w:highlight w:val="none"/>
          <w:shd w:val="clear" w:color="auto" w:fill="auto"/>
          <w:lang w:val="en-US" w:eastAsia="zh-CN"/>
        </w:rPr>
        <w:t>（一）加强组织领导，健全各部门协调配合机制，层层压实责任。充分发挥乡镇（街道）全民健康体检主体责任，利用广播、电视、微信、网络等媒介对健康体检工作进行广泛宣传，积极采取多种方式持续开展健康体检惠民政策的引导，提升各族群众自我保健意识，提高群众知晓率及参与度。</w:t>
      </w:r>
    </w:p>
    <w:p w14:paraId="47A74E5D">
      <w:pPr>
        <w:bidi w:val="0"/>
        <w:rPr>
          <w:rFonts w:hint="eastAsia" w:cs="宋体"/>
          <w:b w:val="0"/>
          <w:bCs w:val="0"/>
          <w:color w:val="auto"/>
          <w:kern w:val="2"/>
          <w:sz w:val="28"/>
          <w:szCs w:val="28"/>
          <w:shd w:val="clear" w:color="auto" w:fill="auto"/>
          <w:lang w:val="en-US" w:eastAsia="zh-CN" w:bidi="ar-SA"/>
        </w:rPr>
      </w:pPr>
      <w:r>
        <w:rPr>
          <w:rFonts w:hint="eastAsia" w:ascii="宋体" w:hAnsi="宋体" w:eastAsia="宋体" w:cs="宋体"/>
          <w:b w:val="0"/>
          <w:bCs w:val="0"/>
          <w:color w:val="auto"/>
          <w:kern w:val="2"/>
          <w:sz w:val="28"/>
          <w:szCs w:val="28"/>
          <w:shd w:val="clear" w:color="auto" w:fill="auto"/>
          <w:lang w:val="en-US" w:eastAsia="zh-CN" w:bidi="ar-SA"/>
        </w:rPr>
        <w:t>（二）</w:t>
      </w:r>
      <w:r>
        <w:rPr>
          <w:rFonts w:hint="eastAsia" w:cs="宋体"/>
          <w:b w:val="0"/>
          <w:bCs w:val="0"/>
          <w:color w:val="auto"/>
          <w:kern w:val="2"/>
          <w:sz w:val="28"/>
          <w:szCs w:val="28"/>
          <w:shd w:val="clear" w:color="auto" w:fill="auto"/>
          <w:lang w:val="en-US" w:eastAsia="zh-CN" w:bidi="ar-SA"/>
        </w:rPr>
        <w:t>加强各部门之间的沟通，提高资金审批速度，做到资金的及时支付，提高资金执行率。</w:t>
      </w:r>
    </w:p>
    <w:p w14:paraId="211F2D2D">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r>
        <w:rPr>
          <w:rFonts w:hint="eastAsia" w:ascii="宋体" w:hAnsi="宋体" w:eastAsia="宋体" w:cs="宋体"/>
          <w:b/>
          <w:bCs/>
          <w:color w:val="auto"/>
          <w:highlight w:val="none"/>
          <w:shd w:val="clear" w:color="auto" w:fill="auto"/>
          <w:lang w:val="en-US" w:eastAsia="zh-CN"/>
        </w:rPr>
        <w:t>八、其他需要说明的问题</w:t>
      </w:r>
      <w:bookmarkEnd w:id="86"/>
    </w:p>
    <w:p w14:paraId="153E9D42">
      <w:pPr>
        <w:bidi w:val="0"/>
        <w:rPr>
          <w:rFonts w:hint="eastAsia" w:ascii="宋体" w:hAnsi="宋体" w:eastAsia="宋体" w:cs="宋体"/>
          <w:lang w:val="en-US" w:eastAsia="zh-CN"/>
        </w:rPr>
        <w:sectPr>
          <w:footerReference r:id="rId5" w:type="default"/>
          <w:pgSz w:w="11906" w:h="16838"/>
          <w:pgMar w:top="1440" w:right="1800" w:bottom="1440" w:left="1800" w:header="737" w:footer="851" w:gutter="0"/>
          <w:pgNumType w:fmt="decimal" w:start="1"/>
          <w:cols w:space="720" w:num="1"/>
          <w:docGrid w:type="lines" w:linePitch="408" w:charSpace="0"/>
        </w:sectPr>
      </w:pPr>
      <w:r>
        <w:rPr>
          <w:rFonts w:hint="eastAsia" w:ascii="宋体" w:hAnsi="宋体" w:eastAsia="宋体" w:cs="宋体"/>
          <w:lang w:val="en-US" w:eastAsia="zh-CN"/>
        </w:rPr>
        <w:t>无其他需要说明的问题。</w:t>
      </w:r>
    </w:p>
    <w:p w14:paraId="4FE39AAC">
      <w:pPr>
        <w:pStyle w:val="3"/>
        <w:pageBreakBefore w:val="0"/>
        <w:numPr>
          <w:ilvl w:val="0"/>
          <w:numId w:val="0"/>
        </w:numPr>
        <w:kinsoku/>
        <w:wordWrap/>
        <w:overflowPunct/>
        <w:topLinePunct w:val="0"/>
        <w:autoSpaceDE/>
        <w:autoSpaceDN/>
        <w:bidi w:val="0"/>
        <w:adjustRightInd/>
        <w:spacing w:beforeLines="0" w:afterLines="0" w:line="360" w:lineRule="auto"/>
        <w:textAlignment w:val="auto"/>
      </w:pPr>
      <w:bookmarkStart w:id="87" w:name="_Toc11349"/>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附件一、项目支出绩效自评表</w:t>
      </w:r>
      <w:bookmarkEnd w:id="87"/>
    </w:p>
    <w:tbl>
      <w:tblPr>
        <w:tblStyle w:val="11"/>
        <w:tblW w:w="140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1"/>
        <w:gridCol w:w="691"/>
        <w:gridCol w:w="898"/>
        <w:gridCol w:w="1286"/>
        <w:gridCol w:w="1160"/>
        <w:gridCol w:w="909"/>
        <w:gridCol w:w="909"/>
        <w:gridCol w:w="986"/>
        <w:gridCol w:w="987"/>
        <w:gridCol w:w="1100"/>
        <w:gridCol w:w="1053"/>
        <w:gridCol w:w="851"/>
        <w:gridCol w:w="820"/>
        <w:gridCol w:w="1741"/>
        <w:gridCol w:w="14"/>
      </w:tblGrid>
      <w:tr w14:paraId="5B7DD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4096" w:type="dxa"/>
            <w:gridSpan w:val="15"/>
            <w:tcBorders>
              <w:top w:val="nil"/>
              <w:left w:val="nil"/>
              <w:bottom w:val="nil"/>
              <w:right w:val="nil"/>
            </w:tcBorders>
            <w:shd w:val="clear" w:color="auto" w:fill="auto"/>
            <w:vAlign w:val="center"/>
          </w:tcPr>
          <w:p w14:paraId="467285B6">
            <w:pPr>
              <w:keepNext w:val="0"/>
              <w:keepLines w:val="0"/>
              <w:widowControl/>
              <w:suppressLineNumbers w:val="0"/>
              <w:ind w:firstLine="360" w:firstLineChars="200"/>
              <w:jc w:val="center"/>
              <w:textAlignment w:val="center"/>
              <w:rPr>
                <w:rFonts w:ascii="华文中宋" w:hAnsi="华文中宋" w:eastAsia="华文中宋" w:cs="华文中宋"/>
                <w:b/>
                <w:i w:val="0"/>
                <w:color w:val="000000"/>
                <w:sz w:val="18"/>
                <w:szCs w:val="18"/>
                <w:u w:val="none"/>
              </w:rPr>
            </w:pPr>
            <w:bookmarkStart w:id="88" w:name="_Toc15067"/>
            <w:r>
              <w:rPr>
                <w:rFonts w:hint="eastAsia" w:ascii="华文中宋" w:hAnsi="华文中宋" w:eastAsia="华文中宋" w:cs="华文中宋"/>
                <w:b/>
                <w:bCs/>
                <w:i w:val="0"/>
                <w:iCs w:val="0"/>
                <w:color w:val="000000"/>
                <w:kern w:val="0"/>
                <w:sz w:val="18"/>
                <w:szCs w:val="18"/>
                <w:u w:val="none"/>
                <w:lang w:val="en-US" w:eastAsia="zh-CN" w:bidi="ar"/>
              </w:rPr>
              <w:t>项目支出绩效自评表</w:t>
            </w:r>
          </w:p>
        </w:tc>
      </w:tr>
      <w:tr w14:paraId="54273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4096" w:type="dxa"/>
            <w:gridSpan w:val="15"/>
            <w:tcBorders>
              <w:top w:val="nil"/>
              <w:left w:val="nil"/>
              <w:bottom w:val="single" w:color="auto" w:sz="4" w:space="0"/>
              <w:right w:val="nil"/>
            </w:tcBorders>
            <w:shd w:val="clear" w:color="auto" w:fill="auto"/>
            <w:vAlign w:val="center"/>
          </w:tcPr>
          <w:p w14:paraId="22FB64EC">
            <w:pPr>
              <w:keepNext w:val="0"/>
              <w:keepLines w:val="0"/>
              <w:widowControl/>
              <w:suppressLineNumbers w:val="0"/>
              <w:ind w:firstLine="361" w:firstLineChars="20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（2023年度）</w:t>
            </w:r>
          </w:p>
        </w:tc>
      </w:tr>
      <w:tr w14:paraId="7795C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3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36C40D">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项目名称</w:t>
            </w:r>
          </w:p>
        </w:tc>
        <w:tc>
          <w:tcPr>
            <w:tcW w:w="12714"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5C27F0A0">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2022年全民健康体检经费</w:t>
            </w:r>
          </w:p>
        </w:tc>
      </w:tr>
      <w:tr w14:paraId="749F7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3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317728">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主管部门</w:t>
            </w:r>
          </w:p>
        </w:tc>
        <w:tc>
          <w:tcPr>
            <w:tcW w:w="51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7563F84">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阜康市卫生健康委员会</w:t>
            </w:r>
          </w:p>
        </w:tc>
        <w:tc>
          <w:tcPr>
            <w:tcW w:w="19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8B4034">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实施单位</w:t>
            </w:r>
          </w:p>
        </w:tc>
        <w:tc>
          <w:tcPr>
            <w:tcW w:w="557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95D420F">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阜康市滋泥泉子镇中心卫生院</w:t>
            </w:r>
          </w:p>
        </w:tc>
      </w:tr>
      <w:tr w14:paraId="2A543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3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C7FA7B">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1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6439F3">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资金来源</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7554083B">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8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F5F018">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9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DBF503">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921D0B">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分值权重</w:t>
            </w:r>
          </w:p>
        </w:tc>
        <w:tc>
          <w:tcPr>
            <w:tcW w:w="16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4953B6">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执行率</w:t>
            </w:r>
          </w:p>
        </w:tc>
        <w:tc>
          <w:tcPr>
            <w:tcW w:w="1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12FBEE">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得分</w:t>
            </w:r>
          </w:p>
        </w:tc>
      </w:tr>
      <w:tr w14:paraId="35A44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38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8598AA">
            <w:pPr>
              <w:jc w:val="center"/>
              <w:rPr>
                <w:rFonts w:hint="eastAsia" w:ascii="宋体" w:hAnsi="宋体" w:eastAsia="宋体" w:cs="宋体"/>
                <w:i w:val="0"/>
                <w:color w:val="000000"/>
                <w:sz w:val="18"/>
                <w:szCs w:val="18"/>
                <w:u w:val="none"/>
              </w:rPr>
            </w:pPr>
          </w:p>
        </w:tc>
        <w:tc>
          <w:tcPr>
            <w:tcW w:w="21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273776">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7777356B">
            <w:pPr>
              <w:keepNext w:val="0"/>
              <w:keepLines w:val="0"/>
              <w:widowControl/>
              <w:suppressLineNumbers w:val="0"/>
              <w:ind w:firstLine="400" w:firstLineChars="20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34.15</w:t>
            </w:r>
          </w:p>
        </w:tc>
        <w:tc>
          <w:tcPr>
            <w:tcW w:w="18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7CA953">
            <w:pPr>
              <w:keepNext w:val="0"/>
              <w:keepLines w:val="0"/>
              <w:widowControl/>
              <w:suppressLineNumbers w:val="0"/>
              <w:ind w:firstLine="400" w:firstLineChars="20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34.15</w:t>
            </w:r>
          </w:p>
        </w:tc>
        <w:tc>
          <w:tcPr>
            <w:tcW w:w="19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30B167">
            <w:pPr>
              <w:keepNext w:val="0"/>
              <w:keepLines w:val="0"/>
              <w:widowControl/>
              <w:suppressLineNumbers w:val="0"/>
              <w:ind w:firstLine="400" w:firstLineChars="20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32.66</w:t>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A39C85">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w:t>
            </w:r>
          </w:p>
        </w:tc>
        <w:tc>
          <w:tcPr>
            <w:tcW w:w="16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B9D7CB">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95.64%</w:t>
            </w:r>
          </w:p>
        </w:tc>
        <w:tc>
          <w:tcPr>
            <w:tcW w:w="1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F852D8">
            <w:pPr>
              <w:keepNext w:val="0"/>
              <w:keepLines w:val="0"/>
              <w:widowControl/>
              <w:suppressLineNumbers w:val="0"/>
              <w:ind w:firstLine="400" w:firstLineChars="20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10</w:t>
            </w:r>
          </w:p>
        </w:tc>
      </w:tr>
      <w:tr w14:paraId="4137C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38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AA1ECD">
            <w:pPr>
              <w:jc w:val="center"/>
              <w:rPr>
                <w:rFonts w:hint="eastAsia" w:ascii="宋体" w:hAnsi="宋体" w:eastAsia="宋体" w:cs="宋体"/>
                <w:i w:val="0"/>
                <w:color w:val="000000"/>
                <w:sz w:val="18"/>
                <w:szCs w:val="18"/>
                <w:u w:val="none"/>
              </w:rPr>
            </w:pPr>
          </w:p>
        </w:tc>
        <w:tc>
          <w:tcPr>
            <w:tcW w:w="21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19F912">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2261A1DC">
            <w:pPr>
              <w:keepNext w:val="0"/>
              <w:keepLines w:val="0"/>
              <w:widowControl/>
              <w:suppressLineNumbers w:val="0"/>
              <w:ind w:firstLine="400" w:firstLineChars="20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 xml:space="preserve">34.15 </w:t>
            </w:r>
          </w:p>
        </w:tc>
        <w:tc>
          <w:tcPr>
            <w:tcW w:w="18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CA1730">
            <w:pPr>
              <w:keepNext w:val="0"/>
              <w:keepLines w:val="0"/>
              <w:widowControl/>
              <w:suppressLineNumbers w:val="0"/>
              <w:ind w:firstLine="400" w:firstLineChars="20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 xml:space="preserve">34.15 </w:t>
            </w:r>
          </w:p>
        </w:tc>
        <w:tc>
          <w:tcPr>
            <w:tcW w:w="19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E8BAFC">
            <w:pPr>
              <w:keepNext w:val="0"/>
              <w:keepLines w:val="0"/>
              <w:widowControl/>
              <w:suppressLineNumbers w:val="0"/>
              <w:ind w:firstLine="400" w:firstLineChars="20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32.66</w:t>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BE96E0">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16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900C16">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1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4CA3F3">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14:paraId="0BEB4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4" w:type="dxa"/>
          <w:trHeight w:val="454" w:hRule="atLeast"/>
        </w:trPr>
        <w:tc>
          <w:tcPr>
            <w:tcW w:w="138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7F5AC9">
            <w:pPr>
              <w:jc w:val="center"/>
              <w:rPr>
                <w:rFonts w:hint="eastAsia" w:ascii="宋体" w:hAnsi="宋体" w:eastAsia="宋体" w:cs="宋体"/>
                <w:i w:val="0"/>
                <w:color w:val="000000"/>
                <w:sz w:val="18"/>
                <w:szCs w:val="18"/>
                <w:u w:val="none"/>
              </w:rPr>
            </w:pPr>
          </w:p>
        </w:tc>
        <w:tc>
          <w:tcPr>
            <w:tcW w:w="21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CD4D81">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其他资金</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21B9BFE6">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8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C09121">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9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368410">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330CC2">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16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70AF88">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14:paraId="11645F96">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14:paraId="511A9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4" w:type="dxa"/>
          <w:trHeight w:val="454" w:hRule="atLeast"/>
        </w:trPr>
        <w:tc>
          <w:tcPr>
            <w:tcW w:w="6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A8FC9C">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782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A92F104">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总体目标</w:t>
            </w:r>
          </w:p>
        </w:tc>
        <w:tc>
          <w:tcPr>
            <w:tcW w:w="556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32FDB41">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总体目标完成情况</w:t>
            </w:r>
          </w:p>
        </w:tc>
      </w:tr>
      <w:tr w14:paraId="7DA3F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4" w:type="dxa"/>
          <w:trHeight w:val="454" w:hRule="atLeast"/>
        </w:trPr>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8EDB19">
            <w:pPr>
              <w:jc w:val="center"/>
              <w:rPr>
                <w:rFonts w:hint="eastAsia" w:ascii="宋体" w:hAnsi="宋体" w:eastAsia="宋体" w:cs="宋体"/>
                <w:i w:val="0"/>
                <w:color w:val="000000"/>
                <w:sz w:val="18"/>
                <w:szCs w:val="18"/>
                <w:u w:val="none"/>
              </w:rPr>
            </w:pPr>
          </w:p>
        </w:tc>
        <w:tc>
          <w:tcPr>
            <w:tcW w:w="782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D18924F">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阜康市滋泥泉子镇中心卫生院计划对辖区内居住群众进行一年一度的全民健康检查，全民健康体检人次数达到8264人次，全民健康体检胸部X线片人次数达到8264人次，系统录入人次数达到8264人次；系统录入合格率达到100%；2023年10月底前完成，居民健康保健意识和知晓率逐步提高；居民健康水平提高。</w:t>
            </w:r>
          </w:p>
        </w:tc>
        <w:tc>
          <w:tcPr>
            <w:tcW w:w="556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9C6F8EE">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截至2023年12月31日，我院共计完成全民体检3427人次，完成胸部X线片拍摄3427人次，录入系统人次3424人次，录入合格率达到99.62%，完成全民体检投入17.32万元。</w:t>
            </w:r>
          </w:p>
        </w:tc>
      </w:tr>
      <w:tr w14:paraId="1B392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4" w:type="dxa"/>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14:paraId="57546B90">
            <w:pPr>
              <w:jc w:val="center"/>
              <w:rPr>
                <w:rFonts w:hint="eastAsia" w:ascii="宋体" w:hAnsi="宋体" w:eastAsia="宋体" w:cs="宋体"/>
                <w:i w:val="0"/>
                <w:color w:val="000000"/>
                <w:sz w:val="18"/>
                <w:szCs w:val="18"/>
                <w:u w:val="none"/>
              </w:rPr>
            </w:pP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14:paraId="3AC8238B">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一级指标</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14:paraId="278EF028">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二级指标</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044BA8C6">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三级指标</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2273CCC6">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指标值</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473B3272">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指标值设置依据</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1C64621E">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上年完成值</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452D27D7">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指标分值权重</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14:paraId="6382D60C">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指标赋分规则</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7F757CEE">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佐证资料</w:t>
            </w: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50B8E343">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指标实际完成值</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7A1D271">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完成率</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4FDCBB95">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指标得分</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14:paraId="6B2E1B76">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5BCED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4" w:type="dxa"/>
          <w:trHeight w:val="454" w:hRule="atLeast"/>
        </w:trPr>
        <w:tc>
          <w:tcPr>
            <w:tcW w:w="6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5C587B">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6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51C1A3">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产出指标</w:t>
            </w:r>
          </w:p>
        </w:tc>
        <w:tc>
          <w:tcPr>
            <w:tcW w:w="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BC89A4">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数量指标</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55B2F946">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完成全民体检人次数</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1BED9353">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≥8264人次</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16DDEAE5">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计划标准</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34A25ED3">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5296F696">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7</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14:paraId="3963C564">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54F204CF">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工作资料</w:t>
            </w: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42F04137">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4702人次</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22FFD04">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56.90%</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5CF1E561">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0</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14:paraId="4E65121F">
            <w:pPr>
              <w:jc w:val="center"/>
              <w:rPr>
                <w:rFonts w:hint="eastAsia" w:ascii="宋体" w:hAnsi="宋体" w:eastAsia="宋体" w:cs="宋体"/>
                <w:i w:val="0"/>
                <w:color w:val="000000"/>
                <w:sz w:val="18"/>
                <w:szCs w:val="18"/>
                <w:u w:val="none"/>
              </w:rPr>
            </w:pPr>
          </w:p>
        </w:tc>
      </w:tr>
      <w:tr w14:paraId="1424F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4" w:type="dxa"/>
          <w:trHeight w:val="454" w:hRule="atLeast"/>
        </w:trPr>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D5FBB2">
            <w:pPr>
              <w:jc w:val="center"/>
              <w:rPr>
                <w:rFonts w:hint="eastAsia" w:ascii="宋体" w:hAnsi="宋体" w:eastAsia="宋体" w:cs="宋体"/>
                <w:i w:val="0"/>
                <w:color w:val="000000"/>
                <w:kern w:val="0"/>
                <w:sz w:val="18"/>
                <w:szCs w:val="18"/>
                <w:u w:val="none"/>
                <w:lang w:val="en-US" w:eastAsia="zh-CN" w:bidi="ar"/>
              </w:rPr>
            </w:pPr>
          </w:p>
        </w:tc>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24CB3F">
            <w:pPr>
              <w:jc w:val="center"/>
              <w:rPr>
                <w:rFonts w:hint="eastAsia" w:ascii="宋体" w:hAnsi="宋体" w:eastAsia="宋体" w:cs="宋体"/>
                <w:i w:val="0"/>
                <w:color w:val="000000"/>
                <w:kern w:val="0"/>
                <w:sz w:val="18"/>
                <w:szCs w:val="18"/>
                <w:u w:val="none"/>
                <w:lang w:val="en-US" w:eastAsia="zh-CN" w:bidi="ar"/>
              </w:rPr>
            </w:pPr>
          </w:p>
        </w:tc>
        <w:tc>
          <w:tcPr>
            <w:tcW w:w="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2FDDB7">
            <w:pPr>
              <w:jc w:val="center"/>
              <w:rPr>
                <w:rFonts w:hint="eastAsia" w:ascii="宋体" w:hAnsi="宋体" w:eastAsia="宋体" w:cs="宋体"/>
                <w:i w:val="0"/>
                <w:color w:val="000000"/>
                <w:kern w:val="0"/>
                <w:sz w:val="18"/>
                <w:szCs w:val="18"/>
                <w:u w:val="none"/>
                <w:lang w:val="en-US" w:eastAsia="zh-CN" w:bidi="ar"/>
              </w:rPr>
            </w:pP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569B4703">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胸部X线片人次</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301BF4C9">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≥8264人次</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28482EB8">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69C338BD">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5E0299B9">
            <w:pPr>
              <w:keepNext w:val="0"/>
              <w:keepLines w:val="0"/>
              <w:widowControl/>
              <w:suppressLineNumbers w:val="0"/>
              <w:ind w:firstLine="400" w:firstLineChars="20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14:paraId="2C26ADB7">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按照完成比例赋分</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681751D9">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工作资料</w:t>
            </w: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1ED7EC36">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4702人次</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DA06381">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56.90%</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222251B7">
            <w:pPr>
              <w:keepNext w:val="0"/>
              <w:keepLines w:val="0"/>
              <w:widowControl/>
              <w:suppressLineNumbers w:val="0"/>
              <w:ind w:firstLine="400" w:firstLineChars="20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14:paraId="742A1C82">
            <w:pPr>
              <w:jc w:val="center"/>
              <w:rPr>
                <w:rFonts w:hint="eastAsia" w:ascii="宋体" w:hAnsi="宋体" w:eastAsia="宋体" w:cs="宋体"/>
                <w:i w:val="0"/>
                <w:color w:val="000000"/>
                <w:sz w:val="18"/>
                <w:szCs w:val="18"/>
                <w:u w:val="none"/>
              </w:rPr>
            </w:pPr>
          </w:p>
        </w:tc>
      </w:tr>
      <w:tr w14:paraId="68745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4" w:type="dxa"/>
          <w:trHeight w:val="454" w:hRule="atLeast"/>
        </w:trPr>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2580B3">
            <w:pPr>
              <w:jc w:val="center"/>
              <w:rPr>
                <w:rFonts w:hint="eastAsia" w:ascii="宋体" w:hAnsi="宋体" w:eastAsia="宋体" w:cs="宋体"/>
                <w:i w:val="0"/>
                <w:color w:val="000000"/>
                <w:kern w:val="0"/>
                <w:sz w:val="18"/>
                <w:szCs w:val="18"/>
                <w:u w:val="none"/>
                <w:lang w:val="en-US" w:eastAsia="zh-CN" w:bidi="ar"/>
              </w:rPr>
            </w:pPr>
          </w:p>
        </w:tc>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8BC558">
            <w:pPr>
              <w:jc w:val="center"/>
              <w:rPr>
                <w:rFonts w:hint="eastAsia" w:ascii="宋体" w:hAnsi="宋体" w:eastAsia="宋体" w:cs="宋体"/>
                <w:i w:val="0"/>
                <w:color w:val="000000"/>
                <w:kern w:val="0"/>
                <w:sz w:val="18"/>
                <w:szCs w:val="18"/>
                <w:u w:val="none"/>
                <w:lang w:val="en-US" w:eastAsia="zh-CN" w:bidi="ar"/>
              </w:rPr>
            </w:pPr>
          </w:p>
        </w:tc>
        <w:tc>
          <w:tcPr>
            <w:tcW w:w="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395E7A">
            <w:pPr>
              <w:jc w:val="center"/>
              <w:rPr>
                <w:rFonts w:hint="eastAsia" w:ascii="宋体" w:hAnsi="宋体" w:eastAsia="宋体" w:cs="宋体"/>
                <w:i w:val="0"/>
                <w:color w:val="000000"/>
                <w:kern w:val="0"/>
                <w:sz w:val="18"/>
                <w:szCs w:val="18"/>
                <w:u w:val="none"/>
                <w:lang w:val="en-US" w:eastAsia="zh-CN" w:bidi="ar"/>
              </w:rPr>
            </w:pP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4CE51CD6">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系统录入人次</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3D478540">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≥8264人次</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46805ADD">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7021100C">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4FDFD873">
            <w:pPr>
              <w:keepNext w:val="0"/>
              <w:keepLines w:val="0"/>
              <w:widowControl/>
              <w:suppressLineNumbers w:val="0"/>
              <w:ind w:firstLine="400" w:firstLineChars="20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14:paraId="03C197CE">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按照完成比例赋分</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0D8ECA58">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工作资料</w:t>
            </w: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13A24F97">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4702人次</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AFB7434">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59.90%</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1FAF2189">
            <w:pPr>
              <w:keepNext w:val="0"/>
              <w:keepLines w:val="0"/>
              <w:widowControl/>
              <w:suppressLineNumbers w:val="0"/>
              <w:ind w:firstLine="400" w:firstLineChars="20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14:paraId="7530475F">
            <w:pPr>
              <w:jc w:val="center"/>
              <w:rPr>
                <w:rFonts w:hint="eastAsia" w:ascii="宋体" w:hAnsi="宋体" w:eastAsia="宋体" w:cs="宋体"/>
                <w:i w:val="0"/>
                <w:color w:val="000000"/>
                <w:sz w:val="18"/>
                <w:szCs w:val="18"/>
                <w:u w:val="none"/>
              </w:rPr>
            </w:pPr>
          </w:p>
        </w:tc>
      </w:tr>
      <w:tr w14:paraId="4DAB5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4" w:type="dxa"/>
          <w:trHeight w:val="454" w:hRule="atLeast"/>
        </w:trPr>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A0F9BA">
            <w:pPr>
              <w:jc w:val="center"/>
              <w:rPr>
                <w:rFonts w:hint="eastAsia" w:ascii="宋体" w:hAnsi="宋体" w:eastAsia="宋体" w:cs="宋体"/>
                <w:i w:val="0"/>
                <w:color w:val="000000"/>
                <w:sz w:val="18"/>
                <w:szCs w:val="18"/>
                <w:u w:val="none"/>
              </w:rPr>
            </w:pPr>
          </w:p>
        </w:tc>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9E912A">
            <w:pPr>
              <w:jc w:val="center"/>
              <w:rPr>
                <w:rFonts w:hint="eastAsia" w:ascii="宋体" w:hAnsi="宋体" w:eastAsia="宋体" w:cs="宋体"/>
                <w:i w:val="0"/>
                <w:color w:val="000000"/>
                <w:sz w:val="18"/>
                <w:szCs w:val="18"/>
                <w:u w:val="none"/>
              </w:rPr>
            </w:pP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14:paraId="7AA7E912">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质量指标</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7DBC9665">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录入合格率100%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3CAD7CA9">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2D15902E">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计划标准</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13C3041E">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5B60A48B">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14:paraId="61485610">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74FFD3E9">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工作资料</w:t>
            </w: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5547BA82">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045219E">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3A58A74E">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14:paraId="51F40240">
            <w:pPr>
              <w:jc w:val="center"/>
              <w:rPr>
                <w:rFonts w:hint="eastAsia" w:ascii="宋体" w:hAnsi="宋体" w:eastAsia="宋体" w:cs="宋体"/>
                <w:i w:val="0"/>
                <w:color w:val="000000"/>
                <w:sz w:val="18"/>
                <w:szCs w:val="18"/>
                <w:u w:val="none"/>
              </w:rPr>
            </w:pPr>
          </w:p>
        </w:tc>
      </w:tr>
      <w:tr w14:paraId="44F50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4" w:type="dxa"/>
          <w:trHeight w:val="454" w:hRule="atLeast"/>
        </w:trPr>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07D276">
            <w:pPr>
              <w:jc w:val="center"/>
              <w:rPr>
                <w:rFonts w:hint="eastAsia" w:ascii="宋体" w:hAnsi="宋体" w:eastAsia="宋体" w:cs="宋体"/>
                <w:i w:val="0"/>
                <w:color w:val="000000"/>
                <w:sz w:val="18"/>
                <w:szCs w:val="18"/>
                <w:u w:val="none"/>
              </w:rPr>
            </w:pPr>
          </w:p>
        </w:tc>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608A3D">
            <w:pPr>
              <w:jc w:val="center"/>
              <w:rPr>
                <w:rFonts w:hint="eastAsia" w:ascii="宋体" w:hAnsi="宋体" w:eastAsia="宋体" w:cs="宋体"/>
                <w:i w:val="0"/>
                <w:color w:val="000000"/>
                <w:sz w:val="18"/>
                <w:szCs w:val="18"/>
                <w:u w:val="none"/>
              </w:rPr>
            </w:pP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14:paraId="6F1C37EE">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时效指标</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48FDCCC3">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完成时限</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0D93E143">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2023年10月</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1C33A5EA">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计划标准</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34FBDA66">
            <w:pPr>
              <w:keepNext w:val="0"/>
              <w:keepLines w:val="0"/>
              <w:widowControl/>
              <w:suppressLineNumbers w:val="0"/>
              <w:ind w:firstLine="400" w:firstLineChars="20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20"/>
                <w:szCs w:val="20"/>
                <w:u w:val="none"/>
                <w:lang w:val="en-US" w:eastAsia="zh-CN" w:bidi="ar"/>
              </w:rPr>
              <w:t>/</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50E226D3">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7</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14:paraId="7A031467">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003D510C">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工作资料</w:t>
            </w: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0C2BB909">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2023年10月</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9B2AF1D">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54C0A6E4">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14:paraId="690CB581">
            <w:pPr>
              <w:jc w:val="center"/>
              <w:rPr>
                <w:rFonts w:hint="eastAsia" w:ascii="宋体" w:hAnsi="宋体" w:eastAsia="宋体" w:cs="宋体"/>
                <w:b/>
                <w:i w:val="0"/>
                <w:color w:val="000000"/>
                <w:sz w:val="18"/>
                <w:szCs w:val="18"/>
                <w:u w:val="none"/>
              </w:rPr>
            </w:pPr>
          </w:p>
        </w:tc>
      </w:tr>
      <w:tr w14:paraId="6BD9D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4" w:type="dxa"/>
          <w:trHeight w:val="454" w:hRule="atLeast"/>
        </w:trPr>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451EE2">
            <w:pPr>
              <w:jc w:val="center"/>
              <w:rPr>
                <w:rFonts w:hint="eastAsia" w:ascii="宋体" w:hAnsi="宋体" w:eastAsia="宋体" w:cs="宋体"/>
                <w:i w:val="0"/>
                <w:color w:val="000000"/>
                <w:sz w:val="18"/>
                <w:szCs w:val="18"/>
                <w:u w:val="none"/>
              </w:rPr>
            </w:pP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14:paraId="6D1118E7">
            <w:pPr>
              <w:jc w:val="center"/>
              <w:rPr>
                <w:rFonts w:hint="eastAsia" w:ascii="宋体" w:hAnsi="宋体" w:eastAsia="宋体" w:cs="宋体"/>
                <w:i w:val="0"/>
                <w:color w:val="000000"/>
                <w:sz w:val="18"/>
                <w:szCs w:val="18"/>
                <w:u w:val="none"/>
              </w:rPr>
            </w:pPr>
          </w:p>
        </w:tc>
        <w:tc>
          <w:tcPr>
            <w:tcW w:w="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BA06BD">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61FC9115">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体检费用补贴费用区间</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586AF9C1">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10元/人</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09619FAF">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计划标准</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6856CA65">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4C9B781F">
            <w:pPr>
              <w:keepNext w:val="0"/>
              <w:keepLines w:val="0"/>
              <w:widowControl/>
              <w:suppressLineNumbers w:val="0"/>
              <w:ind w:firstLine="400" w:firstLineChars="20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20"/>
                <w:szCs w:val="20"/>
                <w:u w:val="none"/>
                <w:lang w:val="en-US" w:eastAsia="zh-CN" w:bidi="ar"/>
              </w:rPr>
              <w:t>11</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14:paraId="518641E2">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7AF35CE9">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工作资料</w:t>
            </w: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2CD75F9D">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10元/人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D4C3362">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04A5D583">
            <w:pPr>
              <w:keepNext w:val="0"/>
              <w:keepLines w:val="0"/>
              <w:widowControl/>
              <w:suppressLineNumbers w:val="0"/>
              <w:ind w:firstLine="400" w:firstLineChars="20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11</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14:paraId="6AFB2B5A">
            <w:pPr>
              <w:jc w:val="center"/>
              <w:rPr>
                <w:rFonts w:hint="eastAsia" w:ascii="宋体" w:hAnsi="宋体" w:eastAsia="宋体" w:cs="宋体"/>
                <w:b/>
                <w:i w:val="0"/>
                <w:color w:val="000000"/>
                <w:sz w:val="18"/>
                <w:szCs w:val="18"/>
                <w:u w:val="none"/>
              </w:rPr>
            </w:pPr>
          </w:p>
        </w:tc>
      </w:tr>
      <w:tr w14:paraId="35CD9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4" w:type="dxa"/>
          <w:trHeight w:val="454" w:hRule="atLeast"/>
        </w:trPr>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BF89D3">
            <w:pPr>
              <w:jc w:val="center"/>
              <w:rPr>
                <w:rFonts w:hint="eastAsia" w:ascii="宋体" w:hAnsi="宋体" w:eastAsia="宋体" w:cs="宋体"/>
                <w:i w:val="0"/>
                <w:color w:val="000000"/>
                <w:sz w:val="18"/>
                <w:szCs w:val="18"/>
                <w:u w:val="none"/>
              </w:rPr>
            </w:pPr>
          </w:p>
        </w:tc>
        <w:tc>
          <w:tcPr>
            <w:tcW w:w="6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DC2054">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成本指标</w:t>
            </w:r>
          </w:p>
        </w:tc>
        <w:tc>
          <w:tcPr>
            <w:tcW w:w="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8E8095">
            <w:pPr>
              <w:jc w:val="center"/>
              <w:rPr>
                <w:rFonts w:hint="eastAsia" w:ascii="宋体" w:hAnsi="宋体" w:eastAsia="宋体" w:cs="宋体"/>
                <w:i w:val="0"/>
                <w:color w:val="000000"/>
                <w:sz w:val="18"/>
                <w:szCs w:val="18"/>
                <w:u w:val="none"/>
              </w:rPr>
            </w:pP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10014BB2">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全民体检投入经费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2A6F8F1C">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≤34.15万元</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28ADA06F">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计划标准</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77519B0F">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30C31DE0">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14:paraId="5692E108">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按照完成比例赋分</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05902314">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工作资料</w:t>
            </w: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08C104A8">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32.66万元</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4F956FA">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7E6D1978">
            <w:pPr>
              <w:keepNext w:val="0"/>
              <w:keepLines w:val="0"/>
              <w:widowControl/>
              <w:suppressLineNumbers w:val="0"/>
              <w:ind w:firstLine="400" w:firstLineChars="200"/>
              <w:jc w:val="center"/>
              <w:textAlignment w:val="center"/>
              <w:rPr>
                <w:rFonts w:hint="default"/>
                <w:sz w:val="18"/>
                <w:szCs w:val="18"/>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14:paraId="68A6638C">
            <w:pPr>
              <w:jc w:val="center"/>
              <w:rPr>
                <w:rFonts w:hint="eastAsia" w:ascii="宋体" w:hAnsi="宋体" w:eastAsia="宋体" w:cs="宋体"/>
                <w:i w:val="0"/>
                <w:color w:val="000000"/>
                <w:sz w:val="18"/>
                <w:szCs w:val="18"/>
                <w:u w:val="none"/>
              </w:rPr>
            </w:pPr>
          </w:p>
        </w:tc>
      </w:tr>
      <w:tr w14:paraId="3F9D5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4" w:type="dxa"/>
          <w:trHeight w:val="454" w:hRule="atLeast"/>
        </w:trPr>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723603">
            <w:pPr>
              <w:jc w:val="center"/>
              <w:rPr>
                <w:rFonts w:hint="eastAsia" w:ascii="宋体" w:hAnsi="宋体" w:eastAsia="宋体" w:cs="宋体"/>
                <w:i w:val="0"/>
                <w:color w:val="000000"/>
                <w:sz w:val="18"/>
                <w:szCs w:val="18"/>
                <w:u w:val="none"/>
              </w:rPr>
            </w:pPr>
          </w:p>
        </w:tc>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0EADB4">
            <w:pPr>
              <w:jc w:val="center"/>
              <w:rPr>
                <w:rFonts w:hint="eastAsia" w:ascii="宋体" w:hAnsi="宋体" w:eastAsia="宋体" w:cs="宋体"/>
                <w:i w:val="0"/>
                <w:color w:val="000000"/>
                <w:sz w:val="18"/>
                <w:szCs w:val="18"/>
                <w:u w:val="none"/>
              </w:rPr>
            </w:pP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14:paraId="236DC0FA">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社会成本指标</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114C011B">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43FE7428">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5F1389AC">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0CB18EED">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0090BCD1">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14:paraId="51AD523D">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3EC0A896">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701D3581">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D4BD9B1">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55DB1828">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14:paraId="2167CA81">
            <w:pPr>
              <w:jc w:val="center"/>
              <w:rPr>
                <w:rFonts w:hint="eastAsia" w:ascii="宋体" w:hAnsi="宋体" w:eastAsia="宋体" w:cs="宋体"/>
                <w:i w:val="0"/>
                <w:color w:val="000000"/>
                <w:sz w:val="18"/>
                <w:szCs w:val="18"/>
                <w:u w:val="none"/>
              </w:rPr>
            </w:pPr>
          </w:p>
        </w:tc>
      </w:tr>
      <w:tr w14:paraId="03BC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4" w:type="dxa"/>
          <w:trHeight w:val="454" w:hRule="atLeast"/>
        </w:trPr>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8DDF7A">
            <w:pPr>
              <w:jc w:val="center"/>
              <w:rPr>
                <w:rFonts w:hint="eastAsia" w:ascii="宋体" w:hAnsi="宋体" w:eastAsia="宋体" w:cs="宋体"/>
                <w:i w:val="0"/>
                <w:color w:val="000000"/>
                <w:sz w:val="18"/>
                <w:szCs w:val="18"/>
                <w:u w:val="none"/>
              </w:rPr>
            </w:pPr>
          </w:p>
        </w:tc>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546B74">
            <w:pPr>
              <w:jc w:val="center"/>
              <w:rPr>
                <w:rFonts w:hint="eastAsia" w:ascii="宋体" w:hAnsi="宋体" w:eastAsia="宋体" w:cs="宋体"/>
                <w:i w:val="0"/>
                <w:color w:val="000000"/>
                <w:sz w:val="18"/>
                <w:szCs w:val="18"/>
                <w:u w:val="none"/>
              </w:rPr>
            </w:pP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14:paraId="37E1C86A">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生态环境成本指标</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6CBB9846">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0D21EDFB">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57D5FA69">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02472563">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19CD5D73">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14:paraId="1D191DA8">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657BE7E9">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4E54C907">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486F02A">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46C8A0F7">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14:paraId="35A5062C">
            <w:pPr>
              <w:jc w:val="center"/>
              <w:rPr>
                <w:rFonts w:hint="eastAsia" w:ascii="宋体" w:hAnsi="宋体" w:eastAsia="宋体" w:cs="宋体"/>
                <w:i w:val="0"/>
                <w:color w:val="000000"/>
                <w:sz w:val="18"/>
                <w:szCs w:val="18"/>
                <w:u w:val="none"/>
              </w:rPr>
            </w:pPr>
          </w:p>
        </w:tc>
      </w:tr>
      <w:tr w14:paraId="31B93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4" w:type="dxa"/>
          <w:trHeight w:val="454" w:hRule="atLeast"/>
        </w:trPr>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FC50CC">
            <w:pPr>
              <w:jc w:val="center"/>
              <w:rPr>
                <w:rFonts w:hint="eastAsia" w:ascii="宋体" w:hAnsi="宋体" w:eastAsia="宋体" w:cs="宋体"/>
                <w:i w:val="0"/>
                <w:color w:val="000000"/>
                <w:sz w:val="18"/>
                <w:szCs w:val="18"/>
                <w:u w:val="none"/>
              </w:rPr>
            </w:pPr>
          </w:p>
        </w:tc>
        <w:tc>
          <w:tcPr>
            <w:tcW w:w="6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0E64F9">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效益指标</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14:paraId="1B3B3254">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4319F3FF">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1C4ADA7D">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67CADCDE">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2A796DC7">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6AE4A935">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14:paraId="2C4B2562">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20A88287">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481EE3A5">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3116C25">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1F91D8A0">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14:paraId="76CEDD83">
            <w:pPr>
              <w:jc w:val="center"/>
              <w:rPr>
                <w:rFonts w:hint="eastAsia" w:ascii="宋体" w:hAnsi="宋体" w:eastAsia="宋体" w:cs="宋体"/>
                <w:i w:val="0"/>
                <w:color w:val="000000"/>
                <w:sz w:val="18"/>
                <w:szCs w:val="18"/>
                <w:u w:val="none"/>
              </w:rPr>
            </w:pPr>
          </w:p>
        </w:tc>
      </w:tr>
      <w:tr w14:paraId="133AE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4" w:type="dxa"/>
          <w:trHeight w:val="454" w:hRule="atLeast"/>
        </w:trPr>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B5069F">
            <w:pPr>
              <w:jc w:val="center"/>
              <w:rPr>
                <w:rFonts w:hint="eastAsia" w:ascii="宋体" w:hAnsi="宋体" w:eastAsia="宋体" w:cs="宋体"/>
                <w:i w:val="0"/>
                <w:color w:val="000000"/>
                <w:sz w:val="18"/>
                <w:szCs w:val="18"/>
                <w:u w:val="none"/>
              </w:rPr>
            </w:pPr>
          </w:p>
        </w:tc>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845F36">
            <w:pPr>
              <w:jc w:val="center"/>
              <w:rPr>
                <w:rFonts w:hint="eastAsia" w:ascii="宋体" w:hAnsi="宋体" w:eastAsia="宋体" w:cs="宋体"/>
                <w:i w:val="0"/>
                <w:color w:val="000000"/>
                <w:sz w:val="18"/>
                <w:szCs w:val="18"/>
                <w:u w:val="none"/>
              </w:rPr>
            </w:pPr>
          </w:p>
        </w:tc>
        <w:tc>
          <w:tcPr>
            <w:tcW w:w="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BBDFD9">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7186B786">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提高全民健康意识和水平</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23D88B29">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逐步提升</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19A4CA5F">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计划指标</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3D9D421F">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4C6C000A">
            <w:pPr>
              <w:keepNext w:val="0"/>
              <w:keepLines w:val="0"/>
              <w:widowControl/>
              <w:suppressLineNumbers w:val="0"/>
              <w:ind w:firstLine="400" w:firstLineChars="20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20"/>
                <w:szCs w:val="20"/>
                <w:u w:val="none"/>
                <w:lang w:val="en-US" w:eastAsia="zh-CN" w:bidi="ar"/>
              </w:rPr>
              <w:t>11</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14:paraId="34ADD2D5">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按评等级赋分</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2282879C">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说明材料</w:t>
            </w: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7EC93910">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逐步提升</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82B45F9">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1E24D832">
            <w:pPr>
              <w:keepNext w:val="0"/>
              <w:keepLines w:val="0"/>
              <w:widowControl/>
              <w:suppressLineNumbers w:val="0"/>
              <w:ind w:firstLine="400" w:firstLineChars="20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20"/>
                <w:szCs w:val="20"/>
                <w:u w:val="none"/>
                <w:lang w:val="en-US" w:eastAsia="zh-CN" w:bidi="ar"/>
              </w:rPr>
              <w:t>11</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14:paraId="08EE6488">
            <w:pPr>
              <w:jc w:val="center"/>
              <w:rPr>
                <w:rFonts w:hint="eastAsia" w:ascii="宋体" w:hAnsi="宋体" w:eastAsia="宋体" w:cs="宋体"/>
                <w:i w:val="0"/>
                <w:color w:val="000000"/>
                <w:sz w:val="18"/>
                <w:szCs w:val="18"/>
                <w:u w:val="none"/>
              </w:rPr>
            </w:pPr>
          </w:p>
        </w:tc>
      </w:tr>
      <w:tr w14:paraId="26B38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4" w:type="dxa"/>
          <w:trHeight w:val="454" w:hRule="atLeast"/>
        </w:trPr>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E45B82">
            <w:pPr>
              <w:jc w:val="center"/>
              <w:rPr>
                <w:rFonts w:hint="eastAsia" w:ascii="宋体" w:hAnsi="宋体" w:eastAsia="宋体" w:cs="宋体"/>
                <w:i w:val="0"/>
                <w:color w:val="000000"/>
                <w:sz w:val="18"/>
                <w:szCs w:val="18"/>
                <w:u w:val="none"/>
              </w:rPr>
            </w:pPr>
          </w:p>
        </w:tc>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57DD2B">
            <w:pPr>
              <w:jc w:val="center"/>
              <w:rPr>
                <w:rFonts w:hint="eastAsia" w:ascii="宋体" w:hAnsi="宋体" w:eastAsia="宋体" w:cs="宋体"/>
                <w:i w:val="0"/>
                <w:color w:val="000000"/>
                <w:sz w:val="18"/>
                <w:szCs w:val="18"/>
                <w:u w:val="none"/>
              </w:rPr>
            </w:pPr>
          </w:p>
        </w:tc>
        <w:tc>
          <w:tcPr>
            <w:tcW w:w="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75702A">
            <w:pPr>
              <w:jc w:val="center"/>
              <w:rPr>
                <w:rFonts w:hint="eastAsia" w:ascii="宋体" w:hAnsi="宋体" w:eastAsia="宋体" w:cs="宋体"/>
                <w:i w:val="0"/>
                <w:color w:val="000000"/>
                <w:kern w:val="0"/>
                <w:sz w:val="18"/>
                <w:szCs w:val="18"/>
                <w:u w:val="none"/>
                <w:lang w:val="en-US" w:eastAsia="zh-CN" w:bidi="ar"/>
              </w:rPr>
            </w:pP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1095EDD8">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优化服务流程，提高居民满意度</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174DEA59">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逐步提升</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2ED964F1">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计划指标</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79F8DEA4">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6B069200">
            <w:pPr>
              <w:keepNext w:val="0"/>
              <w:keepLines w:val="0"/>
              <w:widowControl/>
              <w:suppressLineNumbers w:val="0"/>
              <w:ind w:firstLine="400" w:firstLineChars="20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14:paraId="2148A632">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按评等级赋分</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0820F161">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说明材料</w:t>
            </w: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3CA01E1A">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逐步提升</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24FC124">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95.60%</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6F6D5E74">
            <w:pPr>
              <w:keepNext w:val="0"/>
              <w:keepLines w:val="0"/>
              <w:widowControl/>
              <w:suppressLineNumbers w:val="0"/>
              <w:ind w:firstLine="400" w:firstLineChars="20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8.01</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14:paraId="6716A798">
            <w:pPr>
              <w:jc w:val="center"/>
              <w:rPr>
                <w:rFonts w:hint="eastAsia" w:ascii="宋体" w:hAnsi="宋体" w:eastAsia="宋体" w:cs="宋体"/>
                <w:i w:val="0"/>
                <w:color w:val="000000"/>
                <w:sz w:val="18"/>
                <w:szCs w:val="18"/>
                <w:u w:val="none"/>
              </w:rPr>
            </w:pPr>
          </w:p>
        </w:tc>
      </w:tr>
      <w:tr w14:paraId="3C487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4" w:type="dxa"/>
          <w:trHeight w:val="454" w:hRule="atLeast"/>
        </w:trPr>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B9D2A8">
            <w:pPr>
              <w:jc w:val="center"/>
              <w:rPr>
                <w:rFonts w:hint="eastAsia" w:ascii="宋体" w:hAnsi="宋体" w:eastAsia="宋体" w:cs="宋体"/>
                <w:i w:val="0"/>
                <w:color w:val="000000"/>
                <w:sz w:val="18"/>
                <w:szCs w:val="18"/>
                <w:u w:val="none"/>
              </w:rPr>
            </w:pPr>
          </w:p>
        </w:tc>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65D2BD">
            <w:pPr>
              <w:jc w:val="center"/>
              <w:rPr>
                <w:rFonts w:hint="eastAsia" w:ascii="宋体" w:hAnsi="宋体" w:eastAsia="宋体" w:cs="宋体"/>
                <w:i w:val="0"/>
                <w:color w:val="000000"/>
                <w:sz w:val="18"/>
                <w:szCs w:val="18"/>
                <w:u w:val="none"/>
              </w:rPr>
            </w:pP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14:paraId="3C1BCEC5">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52077F22">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7E169D36">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18D41029">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531A58DD">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711F7B05">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14:paraId="3B35A01B">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00C17DCC">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743C5792">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013C746">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681603E2">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14:paraId="31021F13">
            <w:pPr>
              <w:jc w:val="center"/>
              <w:rPr>
                <w:rFonts w:hint="eastAsia" w:ascii="宋体" w:hAnsi="宋体" w:eastAsia="宋体" w:cs="宋体"/>
                <w:i w:val="0"/>
                <w:color w:val="000000"/>
                <w:sz w:val="18"/>
                <w:szCs w:val="18"/>
                <w:u w:val="none"/>
              </w:rPr>
            </w:pPr>
          </w:p>
        </w:tc>
      </w:tr>
      <w:tr w14:paraId="0BD6E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4" w:type="dxa"/>
          <w:trHeight w:val="454" w:hRule="atLeast"/>
        </w:trPr>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6EFB25">
            <w:pPr>
              <w:jc w:val="center"/>
              <w:rPr>
                <w:rFonts w:hint="eastAsia" w:ascii="宋体" w:hAnsi="宋体" w:eastAsia="宋体" w:cs="宋体"/>
                <w:i w:val="0"/>
                <w:color w:val="000000"/>
                <w:sz w:val="18"/>
                <w:szCs w:val="18"/>
                <w:u w:val="none"/>
              </w:rPr>
            </w:pP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14:paraId="078B1299">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14:paraId="42CE7C45">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40364B40">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体检居民满意度</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7CAA1529">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57F5DE29">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计划指标</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2575CC0F">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7CCD7AA6">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14:paraId="1FCFB4FF">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满意度浮粉</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519BC504">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工作资料</w:t>
            </w: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7839B211">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4837F8E">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7BEF280A">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14:paraId="39D98FA1">
            <w:pPr>
              <w:jc w:val="center"/>
              <w:rPr>
                <w:rFonts w:hint="eastAsia" w:ascii="宋体" w:hAnsi="宋体" w:eastAsia="宋体" w:cs="宋体"/>
                <w:i w:val="0"/>
                <w:color w:val="000000"/>
                <w:sz w:val="18"/>
                <w:szCs w:val="18"/>
                <w:u w:val="none"/>
              </w:rPr>
            </w:pPr>
          </w:p>
        </w:tc>
      </w:tr>
      <w:tr w14:paraId="255FB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4" w:type="dxa"/>
          <w:trHeight w:val="454" w:hRule="atLeast"/>
        </w:trPr>
        <w:tc>
          <w:tcPr>
            <w:tcW w:w="35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6491EF7">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总分</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09D3DDC5">
            <w:pPr>
              <w:jc w:val="center"/>
              <w:rPr>
                <w:rFonts w:hint="eastAsia" w:ascii="宋体" w:hAnsi="宋体" w:eastAsia="宋体" w:cs="宋体"/>
                <w:i w:val="0"/>
                <w:color w:val="000000"/>
                <w:sz w:val="18"/>
                <w:szCs w:val="18"/>
                <w:u w:val="none"/>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49612F41">
            <w:pPr>
              <w:jc w:val="center"/>
              <w:rPr>
                <w:rFonts w:hint="eastAsia" w:ascii="宋体" w:hAnsi="宋体" w:eastAsia="宋体" w:cs="宋体"/>
                <w:b/>
                <w:i w:val="0"/>
                <w:color w:val="000000"/>
                <w:sz w:val="18"/>
                <w:szCs w:val="18"/>
                <w:u w:val="none"/>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36E49017">
            <w:pPr>
              <w:jc w:val="center"/>
              <w:rPr>
                <w:rFonts w:hint="eastAsia" w:ascii="宋体" w:hAnsi="宋体" w:eastAsia="宋体" w:cs="宋体"/>
                <w:i w:val="0"/>
                <w:color w:val="000000"/>
                <w:sz w:val="18"/>
                <w:szCs w:val="18"/>
                <w:u w:val="none"/>
              </w:rPr>
            </w:pP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174D0831">
            <w:pPr>
              <w:keepNext w:val="0"/>
              <w:keepLines w:val="0"/>
              <w:widowControl/>
              <w:suppressLineNumbers w:val="0"/>
              <w:ind w:firstLine="400" w:firstLineChars="2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100分</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14:paraId="64B7911F">
            <w:pPr>
              <w:jc w:val="center"/>
              <w:rPr>
                <w:rFonts w:hint="eastAsia" w:ascii="宋体" w:hAnsi="宋体" w:eastAsia="宋体" w:cs="宋体"/>
                <w:i w:val="0"/>
                <w:color w:val="000000"/>
                <w:sz w:val="18"/>
                <w:szCs w:val="18"/>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3EAB0376">
            <w:pPr>
              <w:jc w:val="center"/>
              <w:rPr>
                <w:rFonts w:hint="eastAsia" w:ascii="宋体" w:hAnsi="宋体" w:eastAsia="宋体" w:cs="宋体"/>
                <w:i w:val="0"/>
                <w:color w:val="000000"/>
                <w:sz w:val="18"/>
                <w:szCs w:val="18"/>
                <w:u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75A9864E">
            <w:pPr>
              <w:jc w:val="center"/>
              <w:rPr>
                <w:rFonts w:hint="eastAsia" w:ascii="宋体" w:hAnsi="宋体" w:eastAsia="宋体" w:cs="宋体"/>
                <w:i w:val="0"/>
                <w:color w:val="000000"/>
                <w:sz w:val="18"/>
                <w:szCs w:val="18"/>
                <w:u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5F647B7">
            <w:pPr>
              <w:jc w:val="center"/>
              <w:rPr>
                <w:rFonts w:hint="eastAsia" w:ascii="宋体" w:hAnsi="宋体" w:eastAsia="宋体" w:cs="宋体"/>
                <w:i w:val="0"/>
                <w:color w:val="000000"/>
                <w:sz w:val="18"/>
                <w:szCs w:val="18"/>
                <w:u w:val="none"/>
              </w:rPr>
            </w:pP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5A8A8779">
            <w:pPr>
              <w:keepNext w:val="0"/>
              <w:keepLines w:val="0"/>
              <w:widowControl/>
              <w:suppressLineNumbers w:val="0"/>
              <w:ind w:firstLine="400" w:firstLineChars="20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20"/>
                <w:szCs w:val="20"/>
                <w:u w:val="none"/>
                <w:lang w:val="en-US" w:eastAsia="zh-CN" w:bidi="ar"/>
              </w:rPr>
              <w:t>74.01</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14:paraId="40AA98D6">
            <w:pPr>
              <w:rPr>
                <w:rFonts w:hint="eastAsia" w:ascii="宋体" w:hAnsi="宋体" w:eastAsia="宋体" w:cs="宋体"/>
                <w:i w:val="0"/>
                <w:color w:val="000000"/>
                <w:sz w:val="18"/>
                <w:szCs w:val="18"/>
                <w:u w:val="none"/>
              </w:rPr>
            </w:pPr>
          </w:p>
        </w:tc>
      </w:tr>
    </w:tbl>
    <w:p w14:paraId="05E63562">
      <w:pPr>
        <w:pStyle w:val="3"/>
        <w:pageBreakBefore w:val="0"/>
        <w:numPr>
          <w:ilvl w:val="0"/>
          <w:numId w:val="0"/>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sectPr>
          <w:pgSz w:w="16838" w:h="11906" w:orient="landscape"/>
          <w:pgMar w:top="1800" w:right="1440" w:bottom="1800" w:left="1440" w:header="737" w:footer="851" w:gutter="0"/>
          <w:pgNumType w:fmt="decimal"/>
          <w:cols w:space="720" w:num="1"/>
          <w:docGrid w:type="lines" w:linePitch="408" w:charSpace="0"/>
        </w:sectPr>
      </w:pPr>
    </w:p>
    <w:p w14:paraId="35CDCDC8">
      <w:pPr>
        <w:pStyle w:val="3"/>
        <w:pageBreakBefore w:val="0"/>
        <w:numPr>
          <w:ilvl w:val="0"/>
          <w:numId w:val="0"/>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附件二、项目支出绩效评价指标体系打分表</w:t>
      </w:r>
      <w:bookmarkEnd w:id="88"/>
    </w:p>
    <w:tbl>
      <w:tblPr>
        <w:tblStyle w:val="11"/>
        <w:tblW w:w="1392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861"/>
        <w:gridCol w:w="727"/>
        <w:gridCol w:w="820"/>
        <w:gridCol w:w="2141"/>
        <w:gridCol w:w="7821"/>
        <w:gridCol w:w="785"/>
        <w:gridCol w:w="769"/>
      </w:tblGrid>
      <w:tr w14:paraId="327B0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tblHeader/>
          <w:jc w:val="center"/>
        </w:trPr>
        <w:tc>
          <w:tcPr>
            <w:tcW w:w="861" w:type="dxa"/>
            <w:shd w:val="clear" w:color="auto" w:fill="auto"/>
            <w:vAlign w:val="center"/>
          </w:tcPr>
          <w:p w14:paraId="750229B9">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727" w:type="dxa"/>
            <w:shd w:val="clear" w:color="auto" w:fill="auto"/>
            <w:vAlign w:val="center"/>
          </w:tcPr>
          <w:p w14:paraId="41D5E293">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820" w:type="dxa"/>
            <w:shd w:val="clear" w:color="auto" w:fill="auto"/>
            <w:vAlign w:val="center"/>
          </w:tcPr>
          <w:p w14:paraId="1F2CEEFD">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2141" w:type="dxa"/>
            <w:shd w:val="clear" w:color="auto" w:fill="auto"/>
            <w:vAlign w:val="center"/>
          </w:tcPr>
          <w:p w14:paraId="2966505E">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指标解释</w:t>
            </w:r>
          </w:p>
        </w:tc>
        <w:tc>
          <w:tcPr>
            <w:tcW w:w="7821" w:type="dxa"/>
            <w:shd w:val="clear" w:color="auto" w:fill="auto"/>
            <w:vAlign w:val="center"/>
          </w:tcPr>
          <w:p w14:paraId="71F05819">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指标说明</w:t>
            </w:r>
          </w:p>
        </w:tc>
        <w:tc>
          <w:tcPr>
            <w:tcW w:w="785" w:type="dxa"/>
            <w:shd w:val="clear" w:color="auto" w:fill="auto"/>
            <w:vAlign w:val="center"/>
          </w:tcPr>
          <w:p w14:paraId="430A6014">
            <w:pPr>
              <w:widowControl/>
              <w:spacing w:line="0" w:lineRule="atLeast"/>
              <w:ind w:firstLine="0" w:firstLineChars="0"/>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分值</w:t>
            </w:r>
          </w:p>
        </w:tc>
        <w:tc>
          <w:tcPr>
            <w:tcW w:w="769" w:type="dxa"/>
            <w:shd w:val="clear" w:color="auto" w:fill="auto"/>
            <w:vAlign w:val="center"/>
          </w:tcPr>
          <w:p w14:paraId="2ECEDA63">
            <w:pPr>
              <w:widowControl/>
              <w:spacing w:line="0" w:lineRule="atLeast"/>
              <w:ind w:firstLine="0" w:firstLineChars="0"/>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得分</w:t>
            </w:r>
          </w:p>
        </w:tc>
      </w:tr>
      <w:tr w14:paraId="5AB38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861" w:type="dxa"/>
            <w:vMerge w:val="restart"/>
            <w:shd w:val="clear" w:color="auto" w:fill="auto"/>
            <w:vAlign w:val="center"/>
          </w:tcPr>
          <w:p w14:paraId="408A9DDB">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p w14:paraId="0617B855">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14:paraId="56697001">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27" w:type="dxa"/>
            <w:vMerge w:val="restart"/>
            <w:shd w:val="clear" w:color="auto" w:fill="auto"/>
            <w:vAlign w:val="center"/>
          </w:tcPr>
          <w:p w14:paraId="1E471440">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　</w:t>
            </w:r>
          </w:p>
        </w:tc>
        <w:tc>
          <w:tcPr>
            <w:tcW w:w="820" w:type="dxa"/>
            <w:shd w:val="clear" w:color="auto" w:fill="auto"/>
            <w:vAlign w:val="center"/>
          </w:tcPr>
          <w:p w14:paraId="70E891DA">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立项依据</w:t>
            </w:r>
          </w:p>
          <w:p w14:paraId="7A9467B8">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充分性</w:t>
            </w:r>
          </w:p>
        </w:tc>
        <w:tc>
          <w:tcPr>
            <w:tcW w:w="2141" w:type="dxa"/>
            <w:shd w:val="clear" w:color="auto" w:fill="auto"/>
            <w:vAlign w:val="center"/>
          </w:tcPr>
          <w:p w14:paraId="00AB4A76">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项目立项是否符合法律法规、相关政策、发展规划以及部门职责，用以反映和考核项目立项依据情况。</w:t>
            </w:r>
          </w:p>
        </w:tc>
        <w:tc>
          <w:tcPr>
            <w:tcW w:w="7821" w:type="dxa"/>
            <w:shd w:val="clear" w:color="auto" w:fill="auto"/>
            <w:vAlign w:val="center"/>
          </w:tcPr>
          <w:p w14:paraId="3CA5B071">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2DCD77DC">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①项目立项是否符合国家法律法规、国民经济发展规划和相关政策；</w:t>
            </w:r>
          </w:p>
          <w:p w14:paraId="7491963C">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②项目立项是否符合行业发展规划和政策要求；</w:t>
            </w:r>
          </w:p>
          <w:p w14:paraId="77DA4184">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③项目立项是否与部门职责范围相符，属于部门履职所需；</w:t>
            </w:r>
          </w:p>
          <w:p w14:paraId="6C64098A">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④项目是否属于公共财政支持范围，是否符合中央、地方事权支出责任划分原则；</w:t>
            </w:r>
          </w:p>
          <w:p w14:paraId="74D48D63">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⑤项目是否与相关部门同类项目或部门内部相关项目重复。</w:t>
            </w:r>
          </w:p>
        </w:tc>
        <w:tc>
          <w:tcPr>
            <w:tcW w:w="785" w:type="dxa"/>
            <w:shd w:val="clear" w:color="auto" w:fill="auto"/>
            <w:vAlign w:val="center"/>
          </w:tcPr>
          <w:p w14:paraId="40216FA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vAlign w:val="center"/>
          </w:tcPr>
          <w:p w14:paraId="49A604CA">
            <w:pPr>
              <w:widowControl/>
              <w:spacing w:line="0" w:lineRule="atLeast"/>
              <w:ind w:firstLine="0" w:firstLineChars="0"/>
              <w:jc w:val="left"/>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w:t>
            </w:r>
          </w:p>
        </w:tc>
      </w:tr>
      <w:tr w14:paraId="4A189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861" w:type="dxa"/>
            <w:vMerge w:val="continue"/>
            <w:shd w:val="clear" w:color="auto" w:fill="auto"/>
            <w:vAlign w:val="center"/>
          </w:tcPr>
          <w:p w14:paraId="6529A39D">
            <w:pPr>
              <w:spacing w:line="0" w:lineRule="atLeast"/>
              <w:ind w:firstLine="0" w:firstLineChars="0"/>
              <w:jc w:val="center"/>
              <w:rPr>
                <w:rFonts w:ascii="宋体" w:hAnsi="宋体" w:eastAsia="宋体" w:cs="宋体"/>
                <w:color w:val="000000"/>
                <w:kern w:val="0"/>
                <w:sz w:val="22"/>
                <w:szCs w:val="22"/>
              </w:rPr>
            </w:pPr>
          </w:p>
        </w:tc>
        <w:tc>
          <w:tcPr>
            <w:tcW w:w="727" w:type="dxa"/>
            <w:vMerge w:val="continue"/>
            <w:shd w:val="clear" w:color="auto" w:fill="auto"/>
            <w:vAlign w:val="center"/>
          </w:tcPr>
          <w:p w14:paraId="3EC767A8">
            <w:pPr>
              <w:widowControl/>
              <w:spacing w:line="0" w:lineRule="atLeast"/>
              <w:ind w:firstLine="0" w:firstLineChars="0"/>
              <w:jc w:val="center"/>
              <w:rPr>
                <w:rFonts w:ascii="宋体" w:hAnsi="宋体" w:eastAsia="宋体" w:cs="宋体"/>
                <w:color w:val="000000"/>
                <w:kern w:val="0"/>
                <w:sz w:val="22"/>
                <w:szCs w:val="22"/>
              </w:rPr>
            </w:pPr>
          </w:p>
        </w:tc>
        <w:tc>
          <w:tcPr>
            <w:tcW w:w="820" w:type="dxa"/>
            <w:shd w:val="clear" w:color="auto" w:fill="auto"/>
            <w:vAlign w:val="center"/>
          </w:tcPr>
          <w:p w14:paraId="25BD4680">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立项程序</w:t>
            </w:r>
          </w:p>
          <w:p w14:paraId="38A0E6F0">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规范性</w:t>
            </w:r>
          </w:p>
        </w:tc>
        <w:tc>
          <w:tcPr>
            <w:tcW w:w="2141" w:type="dxa"/>
            <w:shd w:val="clear" w:color="auto" w:fill="auto"/>
            <w:vAlign w:val="center"/>
          </w:tcPr>
          <w:p w14:paraId="75524579">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项目申请、设立过程是否符合相关要求，用以反映和考核项目立项的规范情况。</w:t>
            </w:r>
          </w:p>
        </w:tc>
        <w:tc>
          <w:tcPr>
            <w:tcW w:w="7821" w:type="dxa"/>
            <w:shd w:val="clear" w:color="auto" w:fill="auto"/>
            <w:vAlign w:val="center"/>
          </w:tcPr>
          <w:p w14:paraId="15EB92E2">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7923744D">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①项目是否按照规定的程序申请设立；</w:t>
            </w:r>
          </w:p>
          <w:p w14:paraId="0D9BCD17">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②审批文件、材料是否符合相关要求；</w:t>
            </w:r>
          </w:p>
          <w:p w14:paraId="1A56E376">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③事前是否已经过必要的可行性研究、专家论证、风险评估、绩效评估、集体决策。</w:t>
            </w:r>
          </w:p>
        </w:tc>
        <w:tc>
          <w:tcPr>
            <w:tcW w:w="785" w:type="dxa"/>
            <w:shd w:val="clear" w:color="auto" w:fill="auto"/>
            <w:vAlign w:val="center"/>
          </w:tcPr>
          <w:p w14:paraId="7C33435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vAlign w:val="center"/>
          </w:tcPr>
          <w:p w14:paraId="1FA9F1D3">
            <w:pPr>
              <w:widowControl/>
              <w:spacing w:line="0" w:lineRule="atLeast"/>
              <w:ind w:firstLine="0" w:firstLineChars="0"/>
              <w:jc w:val="left"/>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w:t>
            </w:r>
          </w:p>
        </w:tc>
      </w:tr>
      <w:tr w14:paraId="77CA7B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861" w:type="dxa"/>
            <w:vMerge w:val="continue"/>
            <w:shd w:val="clear" w:color="auto" w:fill="auto"/>
            <w:vAlign w:val="center"/>
          </w:tcPr>
          <w:p w14:paraId="25131759">
            <w:pPr>
              <w:spacing w:line="0" w:lineRule="atLeast"/>
              <w:ind w:firstLine="0" w:firstLineChars="0"/>
              <w:jc w:val="center"/>
              <w:rPr>
                <w:rFonts w:ascii="宋体" w:hAnsi="宋体" w:eastAsia="宋体" w:cs="宋体"/>
                <w:color w:val="000000"/>
                <w:kern w:val="0"/>
                <w:sz w:val="22"/>
                <w:szCs w:val="22"/>
              </w:rPr>
            </w:pPr>
          </w:p>
        </w:tc>
        <w:tc>
          <w:tcPr>
            <w:tcW w:w="727" w:type="dxa"/>
            <w:shd w:val="clear" w:color="auto" w:fill="auto"/>
            <w:vAlign w:val="center"/>
          </w:tcPr>
          <w:p w14:paraId="421F2647">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绩效目标　</w:t>
            </w:r>
          </w:p>
        </w:tc>
        <w:tc>
          <w:tcPr>
            <w:tcW w:w="820" w:type="dxa"/>
            <w:shd w:val="clear" w:color="auto" w:fill="auto"/>
            <w:vAlign w:val="center"/>
          </w:tcPr>
          <w:p w14:paraId="65741BEB">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p w14:paraId="297B0879">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2141" w:type="dxa"/>
            <w:shd w:val="clear" w:color="auto" w:fill="auto"/>
            <w:vAlign w:val="center"/>
          </w:tcPr>
          <w:p w14:paraId="6085F9E6">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项目所设定的绩效目标是否依据充分，是否符合客观实际，用以反映和考核项目绩效目标与项目实施的相符情况。</w:t>
            </w:r>
          </w:p>
        </w:tc>
        <w:tc>
          <w:tcPr>
            <w:tcW w:w="7821" w:type="dxa"/>
            <w:shd w:val="clear" w:color="auto" w:fill="auto"/>
            <w:vAlign w:val="center"/>
          </w:tcPr>
          <w:p w14:paraId="588A45AA">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153D54E5">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（如未设定预算绩效目标，也可考核其他工作任务目标）</w:t>
            </w:r>
          </w:p>
          <w:p w14:paraId="62C5E17C">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①项目是否有绩效目标；</w:t>
            </w:r>
          </w:p>
          <w:p w14:paraId="2DC5F6CA">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②项目绩效目标与实际工作内容是否具有相关性；</w:t>
            </w:r>
          </w:p>
          <w:p w14:paraId="350A83C5">
            <w:pPr>
              <w:widowControl/>
              <w:spacing w:line="0" w:lineRule="atLeast"/>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③项目预期产出效益和效果是否符合正常的业绩水平；</w:t>
            </w:r>
          </w:p>
          <w:p w14:paraId="0F4DBC31">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④是否与预算确定的项目投资额或资金量相匹配。</w:t>
            </w:r>
          </w:p>
        </w:tc>
        <w:tc>
          <w:tcPr>
            <w:tcW w:w="785" w:type="dxa"/>
            <w:shd w:val="clear" w:color="auto" w:fill="auto"/>
            <w:vAlign w:val="center"/>
          </w:tcPr>
          <w:p w14:paraId="5E1888D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vAlign w:val="center"/>
          </w:tcPr>
          <w:p w14:paraId="6EEC657F">
            <w:pPr>
              <w:widowControl/>
              <w:spacing w:line="0" w:lineRule="atLeast"/>
              <w:ind w:firstLine="0" w:firstLineChars="0"/>
              <w:jc w:val="left"/>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14:paraId="5C4AFE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861" w:type="dxa"/>
            <w:vMerge w:val="restart"/>
            <w:shd w:val="clear" w:color="auto" w:fill="auto"/>
            <w:vAlign w:val="center"/>
          </w:tcPr>
          <w:p w14:paraId="27465FCD">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tc>
        <w:tc>
          <w:tcPr>
            <w:tcW w:w="727" w:type="dxa"/>
            <w:shd w:val="clear" w:color="auto" w:fill="auto"/>
            <w:vAlign w:val="center"/>
          </w:tcPr>
          <w:p w14:paraId="04721ACE">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tc>
        <w:tc>
          <w:tcPr>
            <w:tcW w:w="820" w:type="dxa"/>
            <w:shd w:val="clear" w:color="auto" w:fill="auto"/>
            <w:vAlign w:val="center"/>
          </w:tcPr>
          <w:p w14:paraId="23038A57">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绩效指标</w:t>
            </w:r>
          </w:p>
          <w:p w14:paraId="572ADA54">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明确性</w:t>
            </w:r>
          </w:p>
        </w:tc>
        <w:tc>
          <w:tcPr>
            <w:tcW w:w="2141" w:type="dxa"/>
            <w:shd w:val="clear" w:color="auto" w:fill="auto"/>
            <w:vAlign w:val="center"/>
          </w:tcPr>
          <w:p w14:paraId="1683BDA9">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依据绩效目标设定的绩效指标是否清晰、细化、可衡量等，用以反映和考核项目绩效目标的明细化情况。</w:t>
            </w:r>
          </w:p>
        </w:tc>
        <w:tc>
          <w:tcPr>
            <w:tcW w:w="7821" w:type="dxa"/>
            <w:shd w:val="clear" w:color="auto" w:fill="auto"/>
            <w:vAlign w:val="center"/>
          </w:tcPr>
          <w:p w14:paraId="331509A9">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5B834B5A">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①是否将项目绩效目标细化分解为具体的绩效指标；</w:t>
            </w:r>
          </w:p>
          <w:p w14:paraId="1FCEA17F">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②是否通过清晰、可衡量的指标值予以体现；</w:t>
            </w:r>
          </w:p>
          <w:p w14:paraId="037166E0">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③是否与项目目标任务数或计划数相对应。</w:t>
            </w:r>
          </w:p>
          <w:p w14:paraId="6EFDF98A">
            <w:pPr>
              <w:widowControl/>
              <w:spacing w:line="0" w:lineRule="atLeast"/>
              <w:ind w:firstLine="0" w:firstLineChars="0"/>
              <w:rPr>
                <w:rFonts w:hint="eastAsia" w:ascii="宋体" w:hAnsi="宋体" w:eastAsia="宋体" w:cs="宋体"/>
                <w:color w:val="000000"/>
                <w:kern w:val="0"/>
                <w:sz w:val="22"/>
                <w:szCs w:val="22"/>
                <w:lang w:eastAsia="zh-CN"/>
              </w:rPr>
            </w:pPr>
          </w:p>
        </w:tc>
        <w:tc>
          <w:tcPr>
            <w:tcW w:w="785" w:type="dxa"/>
            <w:shd w:val="clear" w:color="auto" w:fill="auto"/>
            <w:vAlign w:val="center"/>
          </w:tcPr>
          <w:p w14:paraId="1B70E54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vAlign w:val="center"/>
          </w:tcPr>
          <w:p w14:paraId="21F53D55">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14:paraId="4AAB5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861" w:type="dxa"/>
            <w:vMerge w:val="continue"/>
            <w:shd w:val="clear" w:color="auto" w:fill="auto"/>
            <w:vAlign w:val="center"/>
          </w:tcPr>
          <w:p w14:paraId="23B46E7B">
            <w:pPr>
              <w:spacing w:line="0" w:lineRule="atLeast"/>
              <w:ind w:firstLine="0" w:firstLineChars="0"/>
              <w:jc w:val="center"/>
              <w:rPr>
                <w:rFonts w:ascii="宋体" w:hAnsi="宋体" w:eastAsia="宋体" w:cs="宋体"/>
                <w:color w:val="000000"/>
                <w:kern w:val="0"/>
                <w:sz w:val="22"/>
                <w:szCs w:val="22"/>
              </w:rPr>
            </w:pPr>
          </w:p>
        </w:tc>
        <w:tc>
          <w:tcPr>
            <w:tcW w:w="727" w:type="dxa"/>
            <w:vMerge w:val="restart"/>
            <w:shd w:val="clear" w:color="auto" w:fill="auto"/>
            <w:vAlign w:val="center"/>
          </w:tcPr>
          <w:p w14:paraId="44647994">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资金投入</w:t>
            </w:r>
          </w:p>
          <w:p w14:paraId="0DF1C977">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20" w:type="dxa"/>
            <w:shd w:val="clear" w:color="auto" w:fill="auto"/>
            <w:vAlign w:val="center"/>
          </w:tcPr>
          <w:p w14:paraId="78EAD4F5">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预算编制</w:t>
            </w:r>
          </w:p>
          <w:p w14:paraId="114AB3C0">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科学性</w:t>
            </w:r>
          </w:p>
        </w:tc>
        <w:tc>
          <w:tcPr>
            <w:tcW w:w="2141" w:type="dxa"/>
            <w:shd w:val="clear" w:color="auto" w:fill="auto"/>
            <w:vAlign w:val="center"/>
          </w:tcPr>
          <w:p w14:paraId="572C6ABC">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项目预算编制是否经过科学论证、有明确标准，资金额度与年度目标是否相适应，用以反映和考核项目预算编制的科学性、合理性情况。</w:t>
            </w:r>
          </w:p>
        </w:tc>
        <w:tc>
          <w:tcPr>
            <w:tcW w:w="7821" w:type="dxa"/>
            <w:shd w:val="clear" w:color="auto" w:fill="auto"/>
            <w:vAlign w:val="center"/>
          </w:tcPr>
          <w:p w14:paraId="3CD0EC16">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6F9C8BDC">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①预算编制是否经过科学论证；</w:t>
            </w:r>
          </w:p>
          <w:p w14:paraId="055153A3">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②预算内容与项目内容是否匹配；</w:t>
            </w:r>
          </w:p>
          <w:p w14:paraId="45638D1B">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③预算额度测算依据是否充分，是否按照标准编制；</w:t>
            </w:r>
          </w:p>
          <w:p w14:paraId="3EE25DA6">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④预算确定的项目投资额或资金量是否与工作任务相匹配。</w:t>
            </w:r>
          </w:p>
        </w:tc>
        <w:tc>
          <w:tcPr>
            <w:tcW w:w="785" w:type="dxa"/>
            <w:shd w:val="clear" w:color="auto" w:fill="auto"/>
            <w:vAlign w:val="center"/>
          </w:tcPr>
          <w:p w14:paraId="7DC8827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vAlign w:val="center"/>
          </w:tcPr>
          <w:p w14:paraId="4567C42A">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w:t>
            </w:r>
          </w:p>
        </w:tc>
      </w:tr>
      <w:tr w14:paraId="398163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861" w:type="dxa"/>
            <w:vMerge w:val="continue"/>
            <w:shd w:val="clear" w:color="auto" w:fill="auto"/>
            <w:vAlign w:val="center"/>
          </w:tcPr>
          <w:p w14:paraId="3E22DBAD">
            <w:pPr>
              <w:widowControl/>
              <w:spacing w:line="0" w:lineRule="atLeast"/>
              <w:ind w:firstLine="0" w:firstLineChars="0"/>
              <w:jc w:val="center"/>
              <w:rPr>
                <w:rFonts w:ascii="宋体" w:hAnsi="宋体" w:eastAsia="宋体" w:cs="宋体"/>
                <w:color w:val="000000"/>
                <w:kern w:val="0"/>
                <w:sz w:val="22"/>
                <w:szCs w:val="22"/>
              </w:rPr>
            </w:pPr>
          </w:p>
        </w:tc>
        <w:tc>
          <w:tcPr>
            <w:tcW w:w="727" w:type="dxa"/>
            <w:vMerge w:val="continue"/>
            <w:shd w:val="clear" w:color="auto" w:fill="auto"/>
            <w:vAlign w:val="center"/>
          </w:tcPr>
          <w:p w14:paraId="49828F47">
            <w:pPr>
              <w:widowControl/>
              <w:spacing w:line="0" w:lineRule="atLeast"/>
              <w:ind w:firstLine="0" w:firstLineChars="0"/>
              <w:jc w:val="center"/>
              <w:rPr>
                <w:rFonts w:ascii="宋体" w:hAnsi="宋体" w:eastAsia="宋体" w:cs="宋体"/>
                <w:color w:val="000000"/>
                <w:kern w:val="0"/>
                <w:sz w:val="22"/>
                <w:szCs w:val="22"/>
              </w:rPr>
            </w:pPr>
          </w:p>
        </w:tc>
        <w:tc>
          <w:tcPr>
            <w:tcW w:w="820" w:type="dxa"/>
            <w:shd w:val="clear" w:color="auto" w:fill="auto"/>
            <w:vAlign w:val="center"/>
          </w:tcPr>
          <w:p w14:paraId="49152C34">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资金分配</w:t>
            </w:r>
          </w:p>
          <w:p w14:paraId="054B4146">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2141" w:type="dxa"/>
            <w:shd w:val="clear" w:color="auto" w:fill="auto"/>
            <w:vAlign w:val="center"/>
          </w:tcPr>
          <w:p w14:paraId="20EAC68B">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项目预算资金分配是否有测算依据，与补助单位或地方实际是否相适应，用以反映和考核项目预算资金分配的科学性、合理性情况。</w:t>
            </w:r>
          </w:p>
        </w:tc>
        <w:tc>
          <w:tcPr>
            <w:tcW w:w="7821" w:type="dxa"/>
            <w:shd w:val="clear" w:color="auto" w:fill="auto"/>
            <w:vAlign w:val="center"/>
          </w:tcPr>
          <w:p w14:paraId="064BA7FE">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365A6B8E">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①预算资金分配依据是否充分；</w:t>
            </w:r>
          </w:p>
          <w:p w14:paraId="5CA010A6">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②资金分配额度是否合理，与项目单位或地方实际是否相适应。</w:t>
            </w:r>
          </w:p>
        </w:tc>
        <w:tc>
          <w:tcPr>
            <w:tcW w:w="785" w:type="dxa"/>
            <w:shd w:val="clear" w:color="auto" w:fill="auto"/>
            <w:vAlign w:val="center"/>
          </w:tcPr>
          <w:p w14:paraId="564C15C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vAlign w:val="center"/>
          </w:tcPr>
          <w:p w14:paraId="19DCA42B">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3</w:t>
            </w:r>
          </w:p>
        </w:tc>
      </w:tr>
      <w:tr w14:paraId="77985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861" w:type="dxa"/>
            <w:vMerge w:val="restart"/>
            <w:shd w:val="clear" w:color="auto" w:fill="auto"/>
            <w:vAlign w:val="center"/>
          </w:tcPr>
          <w:p w14:paraId="78FC6B7A">
            <w:pPr>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过程</w:t>
            </w:r>
          </w:p>
        </w:tc>
        <w:tc>
          <w:tcPr>
            <w:tcW w:w="727" w:type="dxa"/>
            <w:vMerge w:val="restart"/>
            <w:shd w:val="clear" w:color="auto" w:fill="auto"/>
            <w:vAlign w:val="center"/>
          </w:tcPr>
          <w:p w14:paraId="3530F630">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820" w:type="dxa"/>
            <w:shd w:val="clear" w:color="auto" w:fill="auto"/>
            <w:vAlign w:val="center"/>
          </w:tcPr>
          <w:p w14:paraId="62DC197F">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资金到位率</w:t>
            </w:r>
          </w:p>
        </w:tc>
        <w:tc>
          <w:tcPr>
            <w:tcW w:w="2141" w:type="dxa"/>
            <w:shd w:val="clear" w:color="auto" w:fill="auto"/>
            <w:vAlign w:val="center"/>
          </w:tcPr>
          <w:p w14:paraId="435A31AF">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实际到位资金与预算资金的比率，用以反映和考核资金落实情况对项目实施的总体保障程度。</w:t>
            </w:r>
          </w:p>
        </w:tc>
        <w:tc>
          <w:tcPr>
            <w:tcW w:w="7821" w:type="dxa"/>
            <w:shd w:val="clear" w:color="auto" w:fill="auto"/>
            <w:vAlign w:val="center"/>
          </w:tcPr>
          <w:p w14:paraId="24F58455">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资金到位率=（实际到位资金/预算资金）×100%。</w:t>
            </w:r>
          </w:p>
          <w:p w14:paraId="0F33848E">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实际到位资金：一定时期（本年度或项目期）内落实到具体项目的资金。</w:t>
            </w:r>
          </w:p>
          <w:p w14:paraId="13A62ACB">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预算资金：一定时期（本年度或项目期）内预算安排到具体项目的资金。</w:t>
            </w:r>
          </w:p>
        </w:tc>
        <w:tc>
          <w:tcPr>
            <w:tcW w:w="785" w:type="dxa"/>
            <w:shd w:val="clear" w:color="auto" w:fill="auto"/>
            <w:vAlign w:val="center"/>
          </w:tcPr>
          <w:p w14:paraId="13750C5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45B95BCF">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6C638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861" w:type="dxa"/>
            <w:vMerge w:val="continue"/>
            <w:shd w:val="clear" w:color="auto" w:fill="auto"/>
            <w:vAlign w:val="center"/>
          </w:tcPr>
          <w:p w14:paraId="22741311">
            <w:pPr>
              <w:spacing w:line="0" w:lineRule="atLeast"/>
              <w:ind w:firstLine="0" w:firstLineChars="0"/>
              <w:jc w:val="center"/>
              <w:rPr>
                <w:rFonts w:hint="eastAsia" w:ascii="宋体" w:hAnsi="宋体" w:eastAsia="宋体" w:cs="宋体"/>
                <w:color w:val="000000"/>
                <w:kern w:val="0"/>
                <w:sz w:val="22"/>
                <w:szCs w:val="22"/>
              </w:rPr>
            </w:pPr>
          </w:p>
        </w:tc>
        <w:tc>
          <w:tcPr>
            <w:tcW w:w="727" w:type="dxa"/>
            <w:vMerge w:val="continue"/>
            <w:shd w:val="clear" w:color="auto" w:fill="auto"/>
            <w:vAlign w:val="center"/>
          </w:tcPr>
          <w:p w14:paraId="207E8046">
            <w:pPr>
              <w:spacing w:line="0" w:lineRule="atLeast"/>
              <w:ind w:firstLine="0" w:firstLineChars="0"/>
              <w:jc w:val="center"/>
              <w:rPr>
                <w:rFonts w:hint="eastAsia" w:ascii="宋体" w:hAnsi="宋体" w:eastAsia="宋体" w:cs="宋体"/>
                <w:color w:val="000000"/>
                <w:kern w:val="0"/>
                <w:sz w:val="22"/>
                <w:szCs w:val="22"/>
              </w:rPr>
            </w:pPr>
          </w:p>
        </w:tc>
        <w:tc>
          <w:tcPr>
            <w:tcW w:w="820" w:type="dxa"/>
            <w:shd w:val="clear" w:color="auto" w:fill="auto"/>
            <w:vAlign w:val="center"/>
          </w:tcPr>
          <w:p w14:paraId="278689BB">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预算执行率</w:t>
            </w:r>
          </w:p>
        </w:tc>
        <w:tc>
          <w:tcPr>
            <w:tcW w:w="2141" w:type="dxa"/>
            <w:shd w:val="clear" w:color="auto" w:fill="auto"/>
            <w:vAlign w:val="center"/>
          </w:tcPr>
          <w:p w14:paraId="579731A8">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项目预算资金是否按照计划执行，用以反映或考核项目预算执行情况。</w:t>
            </w:r>
          </w:p>
        </w:tc>
        <w:tc>
          <w:tcPr>
            <w:tcW w:w="7821" w:type="dxa"/>
            <w:shd w:val="clear" w:color="auto" w:fill="auto"/>
            <w:vAlign w:val="center"/>
          </w:tcPr>
          <w:p w14:paraId="0F53699E">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预算执行率=（实际支出资金/实际到位资金）×100%。</w:t>
            </w:r>
          </w:p>
          <w:p w14:paraId="62BC20A1">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实际支出资金：一定时期（本年度或项目期）内项目实际拨付的资金。</w:t>
            </w:r>
          </w:p>
        </w:tc>
        <w:tc>
          <w:tcPr>
            <w:tcW w:w="785" w:type="dxa"/>
            <w:shd w:val="clear" w:color="auto" w:fill="auto"/>
            <w:vAlign w:val="center"/>
          </w:tcPr>
          <w:p w14:paraId="2374E61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bidi="ar-SA"/>
              </w:rPr>
              <w:t>4</w:t>
            </w:r>
          </w:p>
        </w:tc>
        <w:tc>
          <w:tcPr>
            <w:tcW w:w="769" w:type="dxa"/>
            <w:shd w:val="clear" w:color="auto" w:fill="auto"/>
            <w:vAlign w:val="center"/>
          </w:tcPr>
          <w:p w14:paraId="67321465">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3.83</w:t>
            </w:r>
          </w:p>
        </w:tc>
      </w:tr>
      <w:tr w14:paraId="3651D4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restart"/>
            <w:shd w:val="clear" w:color="auto" w:fill="auto"/>
            <w:vAlign w:val="center"/>
          </w:tcPr>
          <w:p w14:paraId="280FD70A">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14:paraId="08851B2D">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过程　</w:t>
            </w:r>
          </w:p>
        </w:tc>
        <w:tc>
          <w:tcPr>
            <w:tcW w:w="727" w:type="dxa"/>
            <w:shd w:val="clear" w:color="auto" w:fill="auto"/>
            <w:vAlign w:val="center"/>
          </w:tcPr>
          <w:p w14:paraId="706182C7">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820" w:type="dxa"/>
            <w:shd w:val="clear" w:color="auto" w:fill="auto"/>
            <w:vAlign w:val="center"/>
          </w:tcPr>
          <w:p w14:paraId="69E09055">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资金使用</w:t>
            </w:r>
          </w:p>
          <w:p w14:paraId="3F43875B">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合规性</w:t>
            </w:r>
          </w:p>
        </w:tc>
        <w:tc>
          <w:tcPr>
            <w:tcW w:w="2141" w:type="dxa"/>
            <w:shd w:val="clear" w:color="auto" w:fill="auto"/>
            <w:vAlign w:val="center"/>
          </w:tcPr>
          <w:p w14:paraId="19385372">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项目资金使用是否符合相关的财务管理制度规定，用以反映和考核项目资金的规范运行情况。</w:t>
            </w:r>
          </w:p>
        </w:tc>
        <w:tc>
          <w:tcPr>
            <w:tcW w:w="7821" w:type="dxa"/>
            <w:shd w:val="clear" w:color="auto" w:fill="auto"/>
            <w:vAlign w:val="center"/>
          </w:tcPr>
          <w:p w14:paraId="7A64F564">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23B6A6D2">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①是否符合国家财经法规和财务管理制度以及有关专项资金管理办法的规定；</w:t>
            </w:r>
          </w:p>
          <w:p w14:paraId="51DBC8C9">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②资金的拨付是否有完整的审批程序和手续；</w:t>
            </w:r>
          </w:p>
          <w:p w14:paraId="2E6E3307">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③是否符合项目预算批复或合同规定的用途；</w:t>
            </w:r>
          </w:p>
          <w:p w14:paraId="44314BC7">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④是否存在截留、挤占、挪用、虚列支出等情况。</w:t>
            </w:r>
          </w:p>
        </w:tc>
        <w:tc>
          <w:tcPr>
            <w:tcW w:w="785" w:type="dxa"/>
            <w:shd w:val="clear" w:color="auto" w:fill="auto"/>
            <w:vAlign w:val="center"/>
          </w:tcPr>
          <w:p w14:paraId="5DE3058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256C058F">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117EA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861" w:type="dxa"/>
            <w:vMerge w:val="continue"/>
            <w:shd w:val="clear" w:color="auto" w:fill="auto"/>
            <w:vAlign w:val="center"/>
          </w:tcPr>
          <w:p w14:paraId="4C0C7BC4">
            <w:pPr>
              <w:spacing w:line="0" w:lineRule="atLeast"/>
              <w:ind w:firstLine="0" w:firstLineChars="0"/>
              <w:jc w:val="center"/>
              <w:rPr>
                <w:rFonts w:ascii="宋体" w:hAnsi="宋体" w:eastAsia="宋体" w:cs="宋体"/>
                <w:color w:val="000000"/>
                <w:kern w:val="0"/>
                <w:sz w:val="22"/>
                <w:szCs w:val="22"/>
              </w:rPr>
            </w:pPr>
          </w:p>
        </w:tc>
        <w:tc>
          <w:tcPr>
            <w:tcW w:w="727" w:type="dxa"/>
            <w:vMerge w:val="restart"/>
            <w:shd w:val="clear" w:color="auto" w:fill="auto"/>
            <w:vAlign w:val="center"/>
          </w:tcPr>
          <w:p w14:paraId="7451E84F">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组织实施</w:t>
            </w:r>
          </w:p>
          <w:p w14:paraId="6F75B6AC">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20" w:type="dxa"/>
            <w:shd w:val="clear" w:color="auto" w:fill="auto"/>
            <w:vAlign w:val="center"/>
          </w:tcPr>
          <w:p w14:paraId="472510E3">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管理制度</w:t>
            </w:r>
          </w:p>
          <w:p w14:paraId="5EF58B90">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健全性</w:t>
            </w:r>
          </w:p>
        </w:tc>
        <w:tc>
          <w:tcPr>
            <w:tcW w:w="2141" w:type="dxa"/>
            <w:shd w:val="clear" w:color="auto" w:fill="auto"/>
            <w:vAlign w:val="center"/>
          </w:tcPr>
          <w:p w14:paraId="549909C5">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项目实施单位的财务和业务管理制度是否健全，用以反映和考核财务和业务管理制度对项目顺利实施的保障情况。</w:t>
            </w:r>
          </w:p>
        </w:tc>
        <w:tc>
          <w:tcPr>
            <w:tcW w:w="7821" w:type="dxa"/>
            <w:shd w:val="clear" w:color="auto" w:fill="auto"/>
            <w:vAlign w:val="center"/>
          </w:tcPr>
          <w:p w14:paraId="3332B60D">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24F91EE6">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①是否已制定或具有相应的财务和业务管理制度；</w:t>
            </w:r>
          </w:p>
          <w:p w14:paraId="07280F37">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②财务和业务管理制度是否合法、合规、完整。</w:t>
            </w:r>
          </w:p>
        </w:tc>
        <w:tc>
          <w:tcPr>
            <w:tcW w:w="785" w:type="dxa"/>
            <w:shd w:val="clear" w:color="auto" w:fill="auto"/>
            <w:vAlign w:val="center"/>
          </w:tcPr>
          <w:p w14:paraId="56322F0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5BB52BB5">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6EDD3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861" w:type="dxa"/>
            <w:vMerge w:val="continue"/>
            <w:shd w:val="clear" w:color="auto" w:fill="auto"/>
            <w:vAlign w:val="center"/>
          </w:tcPr>
          <w:p w14:paraId="10380C04">
            <w:pPr>
              <w:widowControl/>
              <w:spacing w:line="0" w:lineRule="atLeast"/>
              <w:ind w:firstLine="0" w:firstLineChars="0"/>
              <w:jc w:val="center"/>
              <w:rPr>
                <w:rFonts w:ascii="宋体" w:hAnsi="宋体" w:eastAsia="宋体" w:cs="宋体"/>
                <w:color w:val="000000"/>
                <w:kern w:val="0"/>
                <w:sz w:val="22"/>
                <w:szCs w:val="22"/>
              </w:rPr>
            </w:pPr>
          </w:p>
        </w:tc>
        <w:tc>
          <w:tcPr>
            <w:tcW w:w="727" w:type="dxa"/>
            <w:vMerge w:val="continue"/>
            <w:shd w:val="clear" w:color="auto" w:fill="auto"/>
            <w:vAlign w:val="center"/>
          </w:tcPr>
          <w:p w14:paraId="70E8425D">
            <w:pPr>
              <w:widowControl/>
              <w:spacing w:line="0" w:lineRule="atLeast"/>
              <w:ind w:firstLine="0" w:firstLineChars="0"/>
              <w:jc w:val="center"/>
              <w:rPr>
                <w:rFonts w:ascii="宋体" w:hAnsi="宋体" w:eastAsia="宋体" w:cs="宋体"/>
                <w:color w:val="000000"/>
                <w:kern w:val="0"/>
                <w:sz w:val="22"/>
                <w:szCs w:val="22"/>
              </w:rPr>
            </w:pPr>
          </w:p>
        </w:tc>
        <w:tc>
          <w:tcPr>
            <w:tcW w:w="820" w:type="dxa"/>
            <w:shd w:val="clear" w:color="auto" w:fill="auto"/>
            <w:vAlign w:val="center"/>
          </w:tcPr>
          <w:p w14:paraId="3CF3FE21">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制度执行</w:t>
            </w:r>
          </w:p>
          <w:p w14:paraId="6D813563">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有效性</w:t>
            </w:r>
          </w:p>
        </w:tc>
        <w:tc>
          <w:tcPr>
            <w:tcW w:w="2141" w:type="dxa"/>
            <w:shd w:val="clear" w:color="auto" w:fill="auto"/>
            <w:vAlign w:val="center"/>
          </w:tcPr>
          <w:p w14:paraId="00F6152A">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项目实施是否符合相关管理规定，用以反映和考核相关管理制度的有效执行情况。</w:t>
            </w:r>
          </w:p>
        </w:tc>
        <w:tc>
          <w:tcPr>
            <w:tcW w:w="7821" w:type="dxa"/>
            <w:shd w:val="clear" w:color="auto" w:fill="auto"/>
            <w:vAlign w:val="center"/>
          </w:tcPr>
          <w:p w14:paraId="6A50AD00">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39034DEE">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①是否遵守相关法律法规和相关管理规定；</w:t>
            </w:r>
          </w:p>
          <w:p w14:paraId="7792CEE9">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②项目调整及支出调整手续是否完备；</w:t>
            </w:r>
          </w:p>
          <w:p w14:paraId="41622B83">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③项目合同书、验收报告、技术鉴定等资料是否齐全并及时归档；</w:t>
            </w:r>
          </w:p>
          <w:p w14:paraId="50CBE6FA">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④项目实施的人员条件、场地设备、信息支撑等是否落实到位。</w:t>
            </w:r>
          </w:p>
        </w:tc>
        <w:tc>
          <w:tcPr>
            <w:tcW w:w="785" w:type="dxa"/>
            <w:shd w:val="clear" w:color="auto" w:fill="auto"/>
            <w:vAlign w:val="center"/>
          </w:tcPr>
          <w:p w14:paraId="5885223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0591714B">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6447D2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861" w:type="dxa"/>
            <w:vMerge w:val="restart"/>
            <w:shd w:val="clear" w:color="auto" w:fill="auto"/>
            <w:vAlign w:val="center"/>
          </w:tcPr>
          <w:p w14:paraId="62715C07">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产出</w:t>
            </w:r>
          </w:p>
        </w:tc>
        <w:tc>
          <w:tcPr>
            <w:tcW w:w="727" w:type="dxa"/>
            <w:vMerge w:val="restart"/>
            <w:shd w:val="clear" w:color="auto" w:fill="auto"/>
            <w:vAlign w:val="center"/>
          </w:tcPr>
          <w:p w14:paraId="6E205E84">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数量指标</w:t>
            </w:r>
          </w:p>
        </w:tc>
        <w:tc>
          <w:tcPr>
            <w:tcW w:w="820" w:type="dxa"/>
            <w:shd w:val="clear" w:color="auto" w:fill="auto"/>
            <w:vAlign w:val="center"/>
          </w:tcPr>
          <w:p w14:paraId="038A8006">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全民健康体检人数</w:t>
            </w:r>
          </w:p>
        </w:tc>
        <w:tc>
          <w:tcPr>
            <w:tcW w:w="2141" w:type="dxa"/>
            <w:shd w:val="clear" w:color="auto" w:fill="auto"/>
            <w:vAlign w:val="center"/>
          </w:tcPr>
          <w:p w14:paraId="5433CDE7">
            <w:pPr>
              <w:widowControl/>
              <w:spacing w:line="0" w:lineRule="atLeast"/>
              <w:ind w:firstLine="0" w:firstLineChars="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项目实施的实际产出数与计划产出数的比率，用以反映和考核项目产出数量目标的实现程度。</w:t>
            </w:r>
          </w:p>
        </w:tc>
        <w:tc>
          <w:tcPr>
            <w:tcW w:w="7821" w:type="dxa"/>
            <w:shd w:val="clear" w:color="auto" w:fill="auto"/>
            <w:vAlign w:val="center"/>
          </w:tcPr>
          <w:p w14:paraId="538C9137">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实际完成率=（实际产出数/计划产出数）×100%。</w:t>
            </w:r>
          </w:p>
          <w:p w14:paraId="4125CDD4">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实际产出数：一定时期（本年度或项目期）内项目实际产出的产品或提供的服务数量。</w:t>
            </w:r>
          </w:p>
          <w:p w14:paraId="1E5BB348">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785" w:type="dxa"/>
            <w:shd w:val="clear" w:color="auto" w:fill="auto"/>
            <w:vAlign w:val="center"/>
          </w:tcPr>
          <w:p w14:paraId="70CD8C55">
            <w:pPr>
              <w:widowControl/>
              <w:spacing w:line="0" w:lineRule="atLeast"/>
              <w:ind w:firstLine="0" w:firstLineChars="0"/>
              <w:rPr>
                <w:rFonts w:hint="default"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4</w:t>
            </w:r>
          </w:p>
        </w:tc>
        <w:tc>
          <w:tcPr>
            <w:tcW w:w="769" w:type="dxa"/>
            <w:shd w:val="clear" w:color="auto" w:fill="auto"/>
            <w:vAlign w:val="center"/>
          </w:tcPr>
          <w:p w14:paraId="5FB9A787">
            <w:pPr>
              <w:widowControl/>
              <w:spacing w:line="0" w:lineRule="atLeast"/>
              <w:ind w:firstLine="0" w:firstLineChars="0"/>
              <w:rPr>
                <w:rFonts w:hint="default"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2.28</w:t>
            </w:r>
          </w:p>
        </w:tc>
      </w:tr>
      <w:tr w14:paraId="6E26E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continue"/>
            <w:shd w:val="clear" w:color="auto" w:fill="auto"/>
            <w:vAlign w:val="center"/>
          </w:tcPr>
          <w:p w14:paraId="46F29032">
            <w:pPr>
              <w:widowControl/>
              <w:spacing w:line="0" w:lineRule="atLeast"/>
              <w:ind w:firstLine="0" w:firstLineChars="0"/>
              <w:jc w:val="center"/>
              <w:rPr>
                <w:rFonts w:hint="eastAsia" w:ascii="宋体" w:hAnsi="宋体" w:eastAsia="宋体" w:cs="宋体"/>
                <w:color w:val="000000"/>
                <w:kern w:val="0"/>
                <w:sz w:val="22"/>
                <w:szCs w:val="22"/>
                <w:highlight w:val="none"/>
              </w:rPr>
            </w:pPr>
          </w:p>
        </w:tc>
        <w:tc>
          <w:tcPr>
            <w:tcW w:w="727" w:type="dxa"/>
            <w:vMerge w:val="continue"/>
            <w:shd w:val="clear" w:color="auto" w:fill="auto"/>
            <w:vAlign w:val="center"/>
          </w:tcPr>
          <w:p w14:paraId="1397C829">
            <w:pPr>
              <w:widowControl/>
              <w:spacing w:line="0" w:lineRule="atLeast"/>
              <w:ind w:firstLine="0" w:firstLineChars="0"/>
              <w:jc w:val="center"/>
              <w:rPr>
                <w:rFonts w:hint="eastAsia" w:ascii="宋体" w:hAnsi="宋体" w:eastAsia="宋体" w:cs="宋体"/>
                <w:color w:val="000000"/>
                <w:kern w:val="0"/>
                <w:sz w:val="22"/>
                <w:szCs w:val="22"/>
                <w:highlight w:val="none"/>
              </w:rPr>
            </w:pPr>
          </w:p>
        </w:tc>
        <w:tc>
          <w:tcPr>
            <w:tcW w:w="820" w:type="dxa"/>
            <w:shd w:val="clear" w:color="auto" w:fill="auto"/>
            <w:vAlign w:val="center"/>
          </w:tcPr>
          <w:p w14:paraId="52BF4D4E">
            <w:pPr>
              <w:widowControl/>
              <w:spacing w:line="0" w:lineRule="atLeast"/>
              <w:ind w:firstLine="0" w:firstLineChars="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胸部X线片人次</w:t>
            </w:r>
          </w:p>
        </w:tc>
        <w:tc>
          <w:tcPr>
            <w:tcW w:w="2141" w:type="dxa"/>
            <w:shd w:val="clear" w:color="auto" w:fill="auto"/>
            <w:vAlign w:val="center"/>
          </w:tcPr>
          <w:p w14:paraId="0D9FC08F">
            <w:pPr>
              <w:widowControl/>
              <w:spacing w:line="0" w:lineRule="atLeast"/>
              <w:ind w:firstLine="0" w:firstLineChars="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项目实施的实际产出数与计划产出数的比率，用以反映和考核项目产出数量目标的实现程度。</w:t>
            </w:r>
          </w:p>
        </w:tc>
        <w:tc>
          <w:tcPr>
            <w:tcW w:w="7821" w:type="dxa"/>
            <w:shd w:val="clear" w:color="auto" w:fill="auto"/>
            <w:vAlign w:val="center"/>
          </w:tcPr>
          <w:p w14:paraId="7B1B294D">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实际完成率=（实际产出数/计划产出数）×100%。</w:t>
            </w:r>
          </w:p>
          <w:p w14:paraId="598177B5">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实际产出数：一定时期（本年度或项目期）内项目实际产出的产品或提供的服务数量。</w:t>
            </w:r>
          </w:p>
          <w:p w14:paraId="7D2CDA04">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785" w:type="dxa"/>
            <w:shd w:val="clear" w:color="auto" w:fill="auto"/>
            <w:vAlign w:val="center"/>
          </w:tcPr>
          <w:p w14:paraId="5035869D">
            <w:pPr>
              <w:widowControl/>
              <w:spacing w:line="0" w:lineRule="atLeast"/>
              <w:ind w:firstLine="0" w:firstLineChars="0"/>
              <w:rPr>
                <w:rFonts w:hint="default" w:cs="宋体"/>
                <w:color w:val="000000"/>
                <w:kern w:val="0"/>
                <w:sz w:val="22"/>
                <w:szCs w:val="22"/>
                <w:highlight w:val="none"/>
                <w:lang w:val="en-US" w:eastAsia="zh-CN"/>
              </w:rPr>
            </w:pPr>
            <w:r>
              <w:rPr>
                <w:rFonts w:hint="eastAsia" w:cs="宋体"/>
                <w:color w:val="000000"/>
                <w:kern w:val="0"/>
                <w:sz w:val="22"/>
                <w:szCs w:val="22"/>
                <w:highlight w:val="none"/>
                <w:lang w:val="en-US" w:eastAsia="zh-CN"/>
              </w:rPr>
              <w:t>4</w:t>
            </w:r>
          </w:p>
        </w:tc>
        <w:tc>
          <w:tcPr>
            <w:tcW w:w="769" w:type="dxa"/>
            <w:shd w:val="clear" w:color="auto" w:fill="auto"/>
            <w:vAlign w:val="center"/>
          </w:tcPr>
          <w:p w14:paraId="0A2422B8">
            <w:pPr>
              <w:widowControl/>
              <w:spacing w:line="0" w:lineRule="atLeast"/>
              <w:ind w:firstLine="0" w:firstLineChars="0"/>
              <w:rPr>
                <w:rFonts w:hint="default" w:cs="宋体"/>
                <w:color w:val="000000"/>
                <w:kern w:val="0"/>
                <w:sz w:val="22"/>
                <w:szCs w:val="22"/>
                <w:highlight w:val="none"/>
                <w:lang w:val="en-US" w:eastAsia="zh-CN"/>
              </w:rPr>
            </w:pPr>
            <w:r>
              <w:rPr>
                <w:rFonts w:hint="eastAsia" w:cs="宋体"/>
                <w:color w:val="000000"/>
                <w:kern w:val="0"/>
                <w:sz w:val="22"/>
                <w:szCs w:val="22"/>
                <w:highlight w:val="none"/>
                <w:lang w:val="en-US" w:eastAsia="zh-CN"/>
              </w:rPr>
              <w:t>2.28</w:t>
            </w:r>
          </w:p>
        </w:tc>
      </w:tr>
      <w:tr w14:paraId="61C70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continue"/>
            <w:shd w:val="clear" w:color="auto" w:fill="auto"/>
            <w:vAlign w:val="center"/>
          </w:tcPr>
          <w:p w14:paraId="20B23061">
            <w:pPr>
              <w:widowControl/>
              <w:spacing w:line="0" w:lineRule="atLeast"/>
              <w:ind w:firstLine="0" w:firstLineChars="0"/>
              <w:jc w:val="center"/>
              <w:rPr>
                <w:rFonts w:hint="eastAsia" w:ascii="宋体" w:hAnsi="宋体" w:eastAsia="宋体" w:cs="宋体"/>
                <w:color w:val="000000"/>
                <w:kern w:val="0"/>
                <w:sz w:val="22"/>
                <w:szCs w:val="22"/>
                <w:highlight w:val="none"/>
              </w:rPr>
            </w:pPr>
          </w:p>
        </w:tc>
        <w:tc>
          <w:tcPr>
            <w:tcW w:w="727" w:type="dxa"/>
            <w:vMerge w:val="continue"/>
            <w:shd w:val="clear" w:color="auto" w:fill="auto"/>
            <w:vAlign w:val="center"/>
          </w:tcPr>
          <w:p w14:paraId="6A6A6C24">
            <w:pPr>
              <w:widowControl/>
              <w:spacing w:line="0" w:lineRule="atLeast"/>
              <w:ind w:firstLine="0" w:firstLineChars="0"/>
              <w:jc w:val="center"/>
              <w:rPr>
                <w:rFonts w:hint="eastAsia" w:ascii="宋体" w:hAnsi="宋体" w:eastAsia="宋体" w:cs="宋体"/>
                <w:color w:val="000000"/>
                <w:kern w:val="0"/>
                <w:sz w:val="22"/>
                <w:szCs w:val="22"/>
                <w:highlight w:val="none"/>
              </w:rPr>
            </w:pPr>
          </w:p>
        </w:tc>
        <w:tc>
          <w:tcPr>
            <w:tcW w:w="820" w:type="dxa"/>
            <w:shd w:val="clear" w:color="auto" w:fill="auto"/>
            <w:vAlign w:val="center"/>
          </w:tcPr>
          <w:p w14:paraId="4F8FBE73">
            <w:pPr>
              <w:widowControl/>
              <w:spacing w:line="0" w:lineRule="atLeast"/>
              <w:ind w:firstLine="0" w:firstLineChars="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系统录入人次</w:t>
            </w:r>
          </w:p>
        </w:tc>
        <w:tc>
          <w:tcPr>
            <w:tcW w:w="2141" w:type="dxa"/>
            <w:shd w:val="clear" w:color="auto" w:fill="auto"/>
            <w:vAlign w:val="center"/>
          </w:tcPr>
          <w:p w14:paraId="13C0C8B4">
            <w:pPr>
              <w:widowControl/>
              <w:spacing w:line="0" w:lineRule="atLeast"/>
              <w:ind w:firstLine="0" w:firstLineChars="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项目实施的实际产出数与计划产出数的比率，用以反映和考核项目产出数量目标的实现程度。</w:t>
            </w:r>
          </w:p>
        </w:tc>
        <w:tc>
          <w:tcPr>
            <w:tcW w:w="7821" w:type="dxa"/>
            <w:shd w:val="clear" w:color="auto" w:fill="auto"/>
            <w:vAlign w:val="center"/>
          </w:tcPr>
          <w:p w14:paraId="04866810">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实际完成率=（实际产出数/计划产出数）×100%。</w:t>
            </w:r>
          </w:p>
          <w:p w14:paraId="77D845F2">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实际产出数：一定时期（本年度或项目期）内项目实际产出的产品或提供的服务数量。</w:t>
            </w:r>
          </w:p>
          <w:p w14:paraId="77BB1C4B">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785" w:type="dxa"/>
            <w:shd w:val="clear" w:color="auto" w:fill="auto"/>
            <w:vAlign w:val="center"/>
          </w:tcPr>
          <w:p w14:paraId="1940F197">
            <w:pPr>
              <w:widowControl/>
              <w:spacing w:line="0" w:lineRule="atLeast"/>
              <w:ind w:firstLine="0" w:firstLineChars="0"/>
              <w:rPr>
                <w:rFonts w:hint="default" w:cs="宋体"/>
                <w:color w:val="000000"/>
                <w:kern w:val="0"/>
                <w:sz w:val="22"/>
                <w:szCs w:val="22"/>
                <w:highlight w:val="none"/>
                <w:lang w:val="en-US" w:eastAsia="zh-CN"/>
              </w:rPr>
            </w:pPr>
            <w:r>
              <w:rPr>
                <w:rFonts w:hint="eastAsia" w:cs="宋体"/>
                <w:color w:val="000000"/>
                <w:kern w:val="0"/>
                <w:sz w:val="22"/>
                <w:szCs w:val="22"/>
                <w:highlight w:val="none"/>
                <w:lang w:val="en-US" w:eastAsia="zh-CN"/>
              </w:rPr>
              <w:t>4</w:t>
            </w:r>
          </w:p>
        </w:tc>
        <w:tc>
          <w:tcPr>
            <w:tcW w:w="769" w:type="dxa"/>
            <w:shd w:val="clear" w:color="auto" w:fill="auto"/>
            <w:vAlign w:val="center"/>
          </w:tcPr>
          <w:p w14:paraId="7C38B98C">
            <w:pPr>
              <w:widowControl/>
              <w:spacing w:line="0" w:lineRule="atLeast"/>
              <w:ind w:firstLine="0" w:firstLineChars="0"/>
              <w:rPr>
                <w:rFonts w:hint="default" w:cs="宋体"/>
                <w:color w:val="000000"/>
                <w:kern w:val="0"/>
                <w:sz w:val="22"/>
                <w:szCs w:val="22"/>
                <w:highlight w:val="none"/>
                <w:lang w:val="en-US" w:eastAsia="zh-CN"/>
              </w:rPr>
            </w:pPr>
            <w:r>
              <w:rPr>
                <w:rFonts w:hint="eastAsia" w:cs="宋体"/>
                <w:color w:val="000000"/>
                <w:kern w:val="0"/>
                <w:sz w:val="22"/>
                <w:szCs w:val="22"/>
                <w:highlight w:val="none"/>
                <w:lang w:val="en-US" w:eastAsia="zh-CN"/>
              </w:rPr>
              <w:t>2.28</w:t>
            </w:r>
          </w:p>
        </w:tc>
      </w:tr>
      <w:tr w14:paraId="7358EA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restart"/>
            <w:shd w:val="clear" w:color="auto" w:fill="auto"/>
            <w:vAlign w:val="center"/>
          </w:tcPr>
          <w:p w14:paraId="610FBCDB">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产出</w:t>
            </w:r>
          </w:p>
        </w:tc>
        <w:tc>
          <w:tcPr>
            <w:tcW w:w="727" w:type="dxa"/>
            <w:shd w:val="clear" w:color="auto" w:fill="auto"/>
            <w:vAlign w:val="center"/>
          </w:tcPr>
          <w:p w14:paraId="71667E17">
            <w:pPr>
              <w:widowControl/>
              <w:spacing w:line="0" w:lineRule="atLeast"/>
              <w:ind w:firstLine="0" w:firstLineChars="0"/>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质量</w:t>
            </w:r>
            <w:r>
              <w:rPr>
                <w:rFonts w:hint="eastAsia" w:cs="宋体"/>
                <w:color w:val="000000"/>
                <w:kern w:val="0"/>
                <w:sz w:val="22"/>
                <w:szCs w:val="22"/>
                <w:highlight w:val="none"/>
                <w:lang w:val="en-US" w:eastAsia="zh-CN"/>
              </w:rPr>
              <w:t>指标</w:t>
            </w:r>
          </w:p>
        </w:tc>
        <w:tc>
          <w:tcPr>
            <w:tcW w:w="820" w:type="dxa"/>
            <w:shd w:val="clear" w:color="auto" w:fill="auto"/>
            <w:vAlign w:val="center"/>
          </w:tcPr>
          <w:p w14:paraId="6FD27D2D">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录入合格率100%</w:t>
            </w:r>
          </w:p>
        </w:tc>
        <w:tc>
          <w:tcPr>
            <w:tcW w:w="2141" w:type="dxa"/>
            <w:shd w:val="clear" w:color="auto" w:fill="auto"/>
            <w:vAlign w:val="center"/>
          </w:tcPr>
          <w:p w14:paraId="014EE337">
            <w:pPr>
              <w:widowControl/>
              <w:spacing w:line="0" w:lineRule="atLeast"/>
              <w:ind w:firstLine="0" w:firstLineChars="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项目完成的质量达标产出数与实际产出数的比率，用以反映和考核项目产出质量目标的实现程度。</w:t>
            </w:r>
          </w:p>
        </w:tc>
        <w:tc>
          <w:tcPr>
            <w:tcW w:w="7821" w:type="dxa"/>
            <w:shd w:val="clear" w:color="auto" w:fill="auto"/>
            <w:vAlign w:val="center"/>
          </w:tcPr>
          <w:p w14:paraId="4EBCD7DD">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质量达标率=（质量达标产出数/实际产出数）×100%。</w:t>
            </w:r>
          </w:p>
          <w:p w14:paraId="5A5FEB3D">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shd w:val="clear" w:color="auto" w:fill="auto"/>
            <w:vAlign w:val="center"/>
          </w:tcPr>
          <w:p w14:paraId="40CE4A39">
            <w:pPr>
              <w:widowControl/>
              <w:spacing w:line="0" w:lineRule="atLeast"/>
              <w:ind w:firstLine="0" w:firstLineChars="0"/>
              <w:rPr>
                <w:rFonts w:hint="default"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4</w:t>
            </w:r>
          </w:p>
        </w:tc>
        <w:tc>
          <w:tcPr>
            <w:tcW w:w="769" w:type="dxa"/>
            <w:shd w:val="clear" w:color="auto" w:fill="auto"/>
            <w:vAlign w:val="center"/>
          </w:tcPr>
          <w:p w14:paraId="511362D7">
            <w:pPr>
              <w:widowControl/>
              <w:spacing w:line="0" w:lineRule="atLeast"/>
              <w:ind w:firstLine="0" w:firstLineChars="0"/>
              <w:rPr>
                <w:rFonts w:hint="default"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4</w:t>
            </w:r>
          </w:p>
        </w:tc>
      </w:tr>
      <w:tr w14:paraId="5D35D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861" w:type="dxa"/>
            <w:vMerge w:val="continue"/>
            <w:shd w:val="clear" w:color="auto" w:fill="auto"/>
            <w:vAlign w:val="center"/>
          </w:tcPr>
          <w:p w14:paraId="376FBE0A">
            <w:pPr>
              <w:spacing w:line="0" w:lineRule="atLeast"/>
              <w:ind w:firstLine="0" w:firstLineChars="0"/>
              <w:jc w:val="center"/>
              <w:rPr>
                <w:rFonts w:ascii="宋体" w:hAnsi="宋体" w:eastAsia="宋体" w:cs="宋体"/>
                <w:color w:val="000000"/>
                <w:kern w:val="0"/>
                <w:sz w:val="22"/>
                <w:szCs w:val="22"/>
                <w:highlight w:val="none"/>
              </w:rPr>
            </w:pPr>
          </w:p>
        </w:tc>
        <w:tc>
          <w:tcPr>
            <w:tcW w:w="727" w:type="dxa"/>
            <w:shd w:val="clear" w:color="auto" w:fill="auto"/>
            <w:vAlign w:val="center"/>
          </w:tcPr>
          <w:p w14:paraId="308C86FC">
            <w:pPr>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时效指标</w:t>
            </w:r>
          </w:p>
        </w:tc>
        <w:tc>
          <w:tcPr>
            <w:tcW w:w="820" w:type="dxa"/>
            <w:shd w:val="clear" w:color="auto" w:fill="auto"/>
            <w:vAlign w:val="center"/>
          </w:tcPr>
          <w:p w14:paraId="6BF77789">
            <w:pPr>
              <w:widowControl/>
              <w:spacing w:line="0" w:lineRule="atLeast"/>
              <w:ind w:firstLine="0" w:firstLineChars="0"/>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完成</w:t>
            </w:r>
            <w:r>
              <w:rPr>
                <w:rFonts w:hint="eastAsia" w:cs="宋体"/>
                <w:color w:val="000000"/>
                <w:kern w:val="0"/>
                <w:sz w:val="22"/>
                <w:szCs w:val="22"/>
                <w:highlight w:val="none"/>
                <w:lang w:val="en-US" w:eastAsia="zh-CN"/>
              </w:rPr>
              <w:t>时限</w:t>
            </w:r>
          </w:p>
        </w:tc>
        <w:tc>
          <w:tcPr>
            <w:tcW w:w="2141" w:type="dxa"/>
            <w:shd w:val="clear" w:color="auto" w:fill="auto"/>
            <w:vAlign w:val="center"/>
          </w:tcPr>
          <w:p w14:paraId="1719ED21">
            <w:pPr>
              <w:widowControl/>
              <w:spacing w:line="0" w:lineRule="atLeast"/>
              <w:ind w:firstLine="0" w:firstLineChars="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项目实际完成时间与计划完成时间的比较，用以反映和考核项目产出时效目标的实现程度。</w:t>
            </w:r>
          </w:p>
        </w:tc>
        <w:tc>
          <w:tcPr>
            <w:tcW w:w="7821" w:type="dxa"/>
            <w:shd w:val="clear" w:color="auto" w:fill="auto"/>
            <w:vAlign w:val="center"/>
          </w:tcPr>
          <w:p w14:paraId="2F25ECB7">
            <w:pPr>
              <w:widowControl/>
              <w:spacing w:line="0" w:lineRule="atLeast"/>
              <w:ind w:firstLine="0" w:firstLineChars="0"/>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rPr>
              <w:t>实际完成时间：项目实施单位完成该项目实际所耗用的时间。</w:t>
            </w:r>
          </w:p>
          <w:p w14:paraId="4773EDF2">
            <w:pPr>
              <w:widowControl/>
              <w:spacing w:line="0" w:lineRule="atLeast"/>
              <w:ind w:firstLine="0" w:firstLineChars="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计划完成时间：按照项目实施计划或相关规定完成该项目所需的时间。</w:t>
            </w:r>
          </w:p>
        </w:tc>
        <w:tc>
          <w:tcPr>
            <w:tcW w:w="785" w:type="dxa"/>
            <w:shd w:val="clear" w:color="auto" w:fill="auto"/>
            <w:vAlign w:val="center"/>
          </w:tcPr>
          <w:p w14:paraId="1F0E664D">
            <w:pPr>
              <w:widowControl/>
              <w:spacing w:line="0" w:lineRule="atLeast"/>
              <w:ind w:firstLine="0" w:firstLineChars="0"/>
              <w:rPr>
                <w:rFonts w:hint="default"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4</w:t>
            </w:r>
          </w:p>
        </w:tc>
        <w:tc>
          <w:tcPr>
            <w:tcW w:w="769" w:type="dxa"/>
            <w:shd w:val="clear" w:color="auto" w:fill="auto"/>
            <w:vAlign w:val="center"/>
          </w:tcPr>
          <w:p w14:paraId="70C31428">
            <w:pPr>
              <w:widowControl/>
              <w:spacing w:line="0" w:lineRule="atLeast"/>
              <w:ind w:firstLine="0" w:firstLineChars="0"/>
              <w:rPr>
                <w:rFonts w:hint="default"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4</w:t>
            </w:r>
          </w:p>
        </w:tc>
      </w:tr>
      <w:tr w14:paraId="2ECC04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continue"/>
            <w:shd w:val="clear" w:color="auto" w:fill="auto"/>
            <w:vAlign w:val="center"/>
          </w:tcPr>
          <w:p w14:paraId="493E6552">
            <w:pPr>
              <w:widowControl/>
              <w:spacing w:line="0" w:lineRule="atLeast"/>
              <w:ind w:firstLine="0" w:firstLineChars="0"/>
              <w:jc w:val="center"/>
              <w:rPr>
                <w:rFonts w:ascii="宋体" w:hAnsi="宋体" w:eastAsia="宋体" w:cs="宋体"/>
                <w:color w:val="000000"/>
                <w:kern w:val="0"/>
                <w:sz w:val="22"/>
                <w:szCs w:val="22"/>
                <w:highlight w:val="none"/>
              </w:rPr>
            </w:pPr>
          </w:p>
        </w:tc>
        <w:tc>
          <w:tcPr>
            <w:tcW w:w="727" w:type="dxa"/>
            <w:vMerge w:val="restart"/>
            <w:shd w:val="clear" w:color="auto" w:fill="auto"/>
            <w:vAlign w:val="center"/>
          </w:tcPr>
          <w:p w14:paraId="4121CCA2">
            <w:pPr>
              <w:widowControl/>
              <w:spacing w:line="0" w:lineRule="atLeast"/>
              <w:ind w:firstLine="0" w:firstLineChars="0"/>
              <w:jc w:val="center"/>
              <w:rPr>
                <w:rFonts w:hint="eastAsia" w:cs="宋体"/>
                <w:color w:val="000000"/>
                <w:kern w:val="0"/>
                <w:sz w:val="22"/>
                <w:szCs w:val="22"/>
                <w:highlight w:val="none"/>
                <w:lang w:val="en-US" w:eastAsia="zh-CN"/>
              </w:rPr>
            </w:pPr>
            <w:r>
              <w:rPr>
                <w:rFonts w:hint="eastAsia" w:cs="宋体"/>
                <w:color w:val="000000"/>
                <w:kern w:val="0"/>
                <w:sz w:val="22"/>
                <w:szCs w:val="22"/>
                <w:highlight w:val="none"/>
                <w:lang w:val="en-US" w:eastAsia="zh-CN"/>
              </w:rPr>
              <w:t>经济成本</w:t>
            </w:r>
            <w:r>
              <w:rPr>
                <w:rFonts w:hint="eastAsia" w:ascii="宋体" w:hAnsi="宋体" w:eastAsia="宋体" w:cs="宋体"/>
                <w:color w:val="000000"/>
                <w:kern w:val="0"/>
                <w:sz w:val="22"/>
                <w:szCs w:val="22"/>
                <w:highlight w:val="none"/>
              </w:rPr>
              <w:t>指标</w:t>
            </w:r>
          </w:p>
        </w:tc>
        <w:tc>
          <w:tcPr>
            <w:tcW w:w="820" w:type="dxa"/>
            <w:shd w:val="clear" w:color="auto" w:fill="auto"/>
            <w:vAlign w:val="center"/>
          </w:tcPr>
          <w:p w14:paraId="2A9B6BAC">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体检费用补贴费用区间</w:t>
            </w:r>
          </w:p>
        </w:tc>
        <w:tc>
          <w:tcPr>
            <w:tcW w:w="2141" w:type="dxa"/>
            <w:shd w:val="clear" w:color="auto" w:fill="auto"/>
            <w:vAlign w:val="center"/>
          </w:tcPr>
          <w:p w14:paraId="750B9C0D">
            <w:pPr>
              <w:widowControl/>
              <w:spacing w:line="0" w:lineRule="atLeast"/>
              <w:ind w:firstLine="0" w:firstLineChars="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完成项目计划工作目标的实际节约成本与计划成本的比率，用以反映和考核项目的成本节约程度。</w:t>
            </w:r>
          </w:p>
        </w:tc>
        <w:tc>
          <w:tcPr>
            <w:tcW w:w="7821" w:type="dxa"/>
            <w:shd w:val="clear" w:color="auto" w:fill="auto"/>
            <w:vAlign w:val="center"/>
          </w:tcPr>
          <w:p w14:paraId="0DF70B01">
            <w:pPr>
              <w:widowControl/>
              <w:spacing w:line="0" w:lineRule="atLeast"/>
              <w:ind w:firstLine="0" w:firstLineChars="0"/>
              <w:rPr>
                <w:rFonts w:hint="eastAsia" w:ascii="宋体" w:hAnsi="宋体" w:eastAsia="宋体" w:cs="宋体"/>
                <w:color w:val="000000"/>
                <w:kern w:val="0"/>
                <w:sz w:val="22"/>
                <w:szCs w:val="22"/>
                <w:highlight w:val="none"/>
                <w:lang w:eastAsia="zh-CN"/>
              </w:rPr>
            </w:pPr>
          </w:p>
          <w:p w14:paraId="32150B76">
            <w:pPr>
              <w:widowControl/>
              <w:spacing w:line="0" w:lineRule="atLeast"/>
              <w:ind w:firstLine="0" w:firstLineChars="0"/>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rPr>
              <w:t>成本节约率=[（计划成本-实际成本）/计划成本]×100%。</w:t>
            </w:r>
          </w:p>
          <w:p w14:paraId="2CA2E388">
            <w:pPr>
              <w:widowControl/>
              <w:spacing w:line="0" w:lineRule="atLeast"/>
              <w:ind w:firstLine="0" w:firstLineChars="0"/>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rPr>
              <w:t>实际成本：项目实施单位如期、保质、保量完成既定工作目标实际所耗费的支出。</w:t>
            </w:r>
          </w:p>
          <w:p w14:paraId="5A8BDAE8">
            <w:pPr>
              <w:widowControl/>
              <w:spacing w:line="0" w:lineRule="atLeast"/>
              <w:ind w:firstLine="0" w:firstLineChars="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计划成本：项目实施单位为完成工作目标计划安排的支出，一般以项目预算为参考。</w:t>
            </w:r>
          </w:p>
        </w:tc>
        <w:tc>
          <w:tcPr>
            <w:tcW w:w="785" w:type="dxa"/>
            <w:shd w:val="clear" w:color="auto" w:fill="auto"/>
            <w:vAlign w:val="center"/>
          </w:tcPr>
          <w:p w14:paraId="110886E2">
            <w:pPr>
              <w:widowControl/>
              <w:spacing w:line="0" w:lineRule="atLeast"/>
              <w:ind w:firstLine="0" w:firstLineChars="0"/>
              <w:rPr>
                <w:rFonts w:hint="default"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6</w:t>
            </w:r>
          </w:p>
        </w:tc>
        <w:tc>
          <w:tcPr>
            <w:tcW w:w="769" w:type="dxa"/>
            <w:shd w:val="clear" w:color="auto" w:fill="auto"/>
            <w:vAlign w:val="center"/>
          </w:tcPr>
          <w:p w14:paraId="0FF44B4C">
            <w:pPr>
              <w:widowControl/>
              <w:spacing w:line="0" w:lineRule="atLeast"/>
              <w:ind w:firstLine="0" w:firstLineChars="0"/>
              <w:rPr>
                <w:rFonts w:hint="default"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6</w:t>
            </w:r>
          </w:p>
        </w:tc>
      </w:tr>
      <w:tr w14:paraId="7EDBBA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shd w:val="clear" w:color="auto" w:fill="auto"/>
            <w:vAlign w:val="center"/>
          </w:tcPr>
          <w:p w14:paraId="5350AF34">
            <w:pPr>
              <w:widowControl/>
              <w:spacing w:line="0" w:lineRule="atLeast"/>
              <w:ind w:firstLine="0" w:firstLineChars="0"/>
              <w:jc w:val="center"/>
              <w:rPr>
                <w:rFonts w:ascii="宋体" w:hAnsi="宋体" w:eastAsia="宋体" w:cs="宋体"/>
                <w:color w:val="000000"/>
                <w:kern w:val="0"/>
                <w:sz w:val="22"/>
                <w:szCs w:val="22"/>
                <w:highlight w:val="none"/>
              </w:rPr>
            </w:pPr>
          </w:p>
        </w:tc>
        <w:tc>
          <w:tcPr>
            <w:tcW w:w="727" w:type="dxa"/>
            <w:vMerge w:val="continue"/>
            <w:shd w:val="clear" w:color="auto" w:fill="auto"/>
            <w:vAlign w:val="center"/>
          </w:tcPr>
          <w:p w14:paraId="236D6B68">
            <w:pPr>
              <w:widowControl/>
              <w:spacing w:line="0" w:lineRule="atLeast"/>
              <w:ind w:firstLine="0" w:firstLineChars="0"/>
              <w:jc w:val="center"/>
              <w:rPr>
                <w:rFonts w:hint="eastAsia" w:ascii="宋体" w:hAnsi="宋体" w:eastAsia="宋体" w:cs="宋体"/>
                <w:color w:val="000000"/>
                <w:kern w:val="0"/>
                <w:sz w:val="22"/>
                <w:szCs w:val="22"/>
                <w:highlight w:val="none"/>
              </w:rPr>
            </w:pPr>
          </w:p>
        </w:tc>
        <w:tc>
          <w:tcPr>
            <w:tcW w:w="820" w:type="dxa"/>
            <w:shd w:val="clear" w:color="auto" w:fill="auto"/>
            <w:vAlign w:val="center"/>
          </w:tcPr>
          <w:p w14:paraId="5E90928C">
            <w:pPr>
              <w:widowControl/>
              <w:spacing w:line="0" w:lineRule="atLeast"/>
              <w:ind w:firstLine="0" w:firstLineChars="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全民体检投入经费</w:t>
            </w:r>
          </w:p>
        </w:tc>
        <w:tc>
          <w:tcPr>
            <w:tcW w:w="2141" w:type="dxa"/>
            <w:shd w:val="clear" w:color="auto" w:fill="auto"/>
            <w:vAlign w:val="center"/>
          </w:tcPr>
          <w:p w14:paraId="31A6844C">
            <w:pPr>
              <w:widowControl/>
              <w:spacing w:line="0" w:lineRule="atLeast"/>
              <w:ind w:firstLine="0" w:firstLineChars="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完成项目计划工作目标的实际节约成本与计划成本的比率，用以反映和考核项目的成本节约程度。</w:t>
            </w:r>
          </w:p>
        </w:tc>
        <w:tc>
          <w:tcPr>
            <w:tcW w:w="7821" w:type="dxa"/>
            <w:shd w:val="clear" w:color="auto" w:fill="auto"/>
            <w:vAlign w:val="center"/>
          </w:tcPr>
          <w:p w14:paraId="1E116A35">
            <w:pPr>
              <w:widowControl/>
              <w:spacing w:line="0" w:lineRule="atLeast"/>
              <w:ind w:firstLine="0" w:firstLineChars="0"/>
              <w:rPr>
                <w:rFonts w:hint="eastAsia" w:ascii="宋体" w:hAnsi="宋体" w:eastAsia="宋体" w:cs="宋体"/>
                <w:color w:val="000000"/>
                <w:kern w:val="0"/>
                <w:sz w:val="22"/>
                <w:szCs w:val="22"/>
                <w:highlight w:val="none"/>
                <w:lang w:eastAsia="zh-CN"/>
              </w:rPr>
            </w:pPr>
          </w:p>
          <w:p w14:paraId="1792D80D">
            <w:pPr>
              <w:widowControl/>
              <w:spacing w:line="0" w:lineRule="atLeast"/>
              <w:ind w:firstLine="0" w:firstLineChars="0"/>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rPr>
              <w:t>成本节约率=[（计划成本-实际成本）/计划成本]×100%。</w:t>
            </w:r>
          </w:p>
          <w:p w14:paraId="2E048BBF">
            <w:pPr>
              <w:widowControl/>
              <w:spacing w:line="0" w:lineRule="atLeast"/>
              <w:ind w:firstLine="0" w:firstLineChars="0"/>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rPr>
              <w:t>实际成本：项目实施单位如期、保质、保量完成既定工作目标实际所耗费的支出。</w:t>
            </w:r>
          </w:p>
          <w:p w14:paraId="7128A9C8">
            <w:pPr>
              <w:widowControl/>
              <w:spacing w:line="0" w:lineRule="atLeast"/>
              <w:ind w:firstLine="0" w:firstLineChars="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计划成本：项目实施单位为完成工作目标计划安排的支出，一般以项目预算为参考。</w:t>
            </w:r>
          </w:p>
        </w:tc>
        <w:tc>
          <w:tcPr>
            <w:tcW w:w="785" w:type="dxa"/>
            <w:shd w:val="clear" w:color="auto" w:fill="auto"/>
            <w:vAlign w:val="center"/>
          </w:tcPr>
          <w:p w14:paraId="5A9DE4CA">
            <w:pPr>
              <w:widowControl/>
              <w:spacing w:line="0" w:lineRule="atLeast"/>
              <w:ind w:firstLine="0" w:firstLineChars="0"/>
              <w:rPr>
                <w:rFonts w:hint="default" w:cs="宋体"/>
                <w:color w:val="000000"/>
                <w:kern w:val="0"/>
                <w:sz w:val="22"/>
                <w:szCs w:val="22"/>
                <w:highlight w:val="none"/>
                <w:lang w:val="en-US" w:eastAsia="zh-CN"/>
              </w:rPr>
            </w:pPr>
            <w:r>
              <w:rPr>
                <w:rFonts w:hint="eastAsia" w:cs="宋体"/>
                <w:color w:val="000000"/>
                <w:kern w:val="0"/>
                <w:sz w:val="22"/>
                <w:szCs w:val="22"/>
                <w:highlight w:val="none"/>
                <w:lang w:val="en-US" w:eastAsia="zh-CN"/>
              </w:rPr>
              <w:t>4</w:t>
            </w:r>
          </w:p>
        </w:tc>
        <w:tc>
          <w:tcPr>
            <w:tcW w:w="769" w:type="dxa"/>
            <w:shd w:val="clear" w:color="auto" w:fill="auto"/>
            <w:vAlign w:val="center"/>
          </w:tcPr>
          <w:p w14:paraId="5C89257D">
            <w:pPr>
              <w:widowControl/>
              <w:spacing w:line="0" w:lineRule="atLeast"/>
              <w:ind w:firstLine="0" w:firstLineChars="0"/>
              <w:rPr>
                <w:rFonts w:hint="default" w:cs="宋体"/>
                <w:color w:val="000000"/>
                <w:kern w:val="0"/>
                <w:sz w:val="22"/>
                <w:szCs w:val="22"/>
                <w:highlight w:val="none"/>
                <w:lang w:val="en-US" w:eastAsia="zh-CN"/>
              </w:rPr>
            </w:pPr>
            <w:r>
              <w:rPr>
                <w:rFonts w:hint="eastAsia" w:cs="宋体"/>
                <w:color w:val="000000"/>
                <w:kern w:val="0"/>
                <w:sz w:val="22"/>
                <w:szCs w:val="22"/>
                <w:highlight w:val="none"/>
                <w:lang w:val="en-US" w:eastAsia="zh-CN"/>
              </w:rPr>
              <w:t>3.83</w:t>
            </w:r>
          </w:p>
        </w:tc>
      </w:tr>
      <w:tr w14:paraId="679F1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861" w:type="dxa"/>
            <w:shd w:val="clear" w:color="auto" w:fill="auto"/>
            <w:vAlign w:val="center"/>
          </w:tcPr>
          <w:p w14:paraId="04182F0F">
            <w:pPr>
              <w:widowControl/>
              <w:spacing w:line="0" w:lineRule="atLeast"/>
              <w:ind w:firstLine="0" w:firstLineChars="0"/>
              <w:jc w:val="center"/>
              <w:rPr>
                <w:rFonts w:ascii="宋体" w:hAnsi="宋体" w:eastAsia="宋体" w:cs="宋体"/>
                <w:color w:val="000000"/>
                <w:kern w:val="0"/>
                <w:sz w:val="22"/>
                <w:szCs w:val="22"/>
                <w:highlight w:val="none"/>
              </w:rPr>
            </w:pPr>
          </w:p>
        </w:tc>
        <w:tc>
          <w:tcPr>
            <w:tcW w:w="727" w:type="dxa"/>
            <w:vMerge w:val="restart"/>
            <w:shd w:val="clear" w:color="auto" w:fill="auto"/>
            <w:vAlign w:val="center"/>
          </w:tcPr>
          <w:p w14:paraId="72A993D0">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社会效益指标</w:t>
            </w:r>
          </w:p>
        </w:tc>
        <w:tc>
          <w:tcPr>
            <w:tcW w:w="820" w:type="dxa"/>
            <w:shd w:val="clear" w:color="auto" w:fill="auto"/>
            <w:vAlign w:val="center"/>
          </w:tcPr>
          <w:p w14:paraId="050E2B01">
            <w:pPr>
              <w:widowControl/>
              <w:spacing w:line="0" w:lineRule="atLeast"/>
              <w:ind w:firstLine="0" w:firstLineChars="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提高全民健康意识和水平</w:t>
            </w:r>
          </w:p>
        </w:tc>
        <w:tc>
          <w:tcPr>
            <w:tcW w:w="2141" w:type="dxa"/>
            <w:shd w:val="clear" w:color="auto" w:fill="auto"/>
            <w:vAlign w:val="center"/>
          </w:tcPr>
          <w:p w14:paraId="474009F8">
            <w:pPr>
              <w:widowControl/>
              <w:spacing w:line="0" w:lineRule="atLeast"/>
              <w:ind w:firstLine="0" w:firstLineChars="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项目实施所产生的效益。</w:t>
            </w:r>
          </w:p>
        </w:tc>
        <w:tc>
          <w:tcPr>
            <w:tcW w:w="7821" w:type="dxa"/>
            <w:shd w:val="clear" w:color="auto" w:fill="auto"/>
            <w:vAlign w:val="center"/>
          </w:tcPr>
          <w:p w14:paraId="3225A61A">
            <w:pPr>
              <w:widowControl/>
              <w:spacing w:line="0" w:lineRule="atLeast"/>
              <w:ind w:firstLine="0" w:firstLineChars="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项目实施所产生的社会效益、经济效益、生态效益、可持续影响等。可根据项目实际情况有选择地设置和细化。</w:t>
            </w:r>
          </w:p>
        </w:tc>
        <w:tc>
          <w:tcPr>
            <w:tcW w:w="785" w:type="dxa"/>
            <w:shd w:val="clear" w:color="auto" w:fill="auto"/>
            <w:vAlign w:val="center"/>
          </w:tcPr>
          <w:p w14:paraId="4E4CACA0">
            <w:pPr>
              <w:widowControl/>
              <w:spacing w:line="0" w:lineRule="atLeast"/>
              <w:ind w:firstLine="0" w:firstLineChars="0"/>
              <w:rPr>
                <w:rFonts w:hint="default" w:cs="宋体"/>
                <w:color w:val="000000"/>
                <w:kern w:val="0"/>
                <w:sz w:val="22"/>
                <w:szCs w:val="22"/>
                <w:highlight w:val="none"/>
                <w:lang w:val="en-US" w:eastAsia="zh-CN"/>
              </w:rPr>
            </w:pPr>
            <w:r>
              <w:rPr>
                <w:rFonts w:hint="eastAsia" w:cs="宋体"/>
                <w:color w:val="000000"/>
                <w:kern w:val="0"/>
                <w:sz w:val="22"/>
                <w:szCs w:val="22"/>
                <w:highlight w:val="none"/>
                <w:lang w:val="en-US" w:eastAsia="zh-CN"/>
              </w:rPr>
              <w:t>10</w:t>
            </w:r>
          </w:p>
        </w:tc>
        <w:tc>
          <w:tcPr>
            <w:tcW w:w="769" w:type="dxa"/>
            <w:shd w:val="clear" w:color="auto" w:fill="auto"/>
            <w:vAlign w:val="center"/>
          </w:tcPr>
          <w:p w14:paraId="7D1428A5">
            <w:pPr>
              <w:widowControl/>
              <w:spacing w:line="0" w:lineRule="atLeast"/>
              <w:ind w:firstLine="0" w:firstLineChars="0"/>
              <w:rPr>
                <w:rFonts w:hint="default" w:cs="宋体"/>
                <w:color w:val="000000"/>
                <w:kern w:val="0"/>
                <w:sz w:val="22"/>
                <w:szCs w:val="22"/>
                <w:highlight w:val="none"/>
                <w:lang w:val="en-US" w:eastAsia="zh-CN"/>
              </w:rPr>
            </w:pPr>
            <w:r>
              <w:rPr>
                <w:rFonts w:hint="eastAsia" w:cs="宋体"/>
                <w:color w:val="000000"/>
                <w:kern w:val="0"/>
                <w:sz w:val="22"/>
                <w:szCs w:val="22"/>
                <w:highlight w:val="none"/>
                <w:lang w:val="en-US" w:eastAsia="zh-CN"/>
              </w:rPr>
              <w:t>10</w:t>
            </w:r>
          </w:p>
        </w:tc>
      </w:tr>
      <w:tr w14:paraId="2F4BD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861" w:type="dxa"/>
            <w:shd w:val="clear" w:color="auto" w:fill="auto"/>
            <w:vAlign w:val="center"/>
          </w:tcPr>
          <w:p w14:paraId="49F0E4BF">
            <w:pPr>
              <w:widowControl/>
              <w:spacing w:line="0" w:lineRule="atLeast"/>
              <w:ind w:firstLine="0" w:firstLineChars="0"/>
              <w:jc w:val="center"/>
              <w:rPr>
                <w:rFonts w:ascii="宋体" w:hAnsi="宋体" w:eastAsia="宋体" w:cs="宋体"/>
                <w:color w:val="000000"/>
                <w:kern w:val="0"/>
                <w:sz w:val="22"/>
                <w:szCs w:val="22"/>
                <w:highlight w:val="none"/>
              </w:rPr>
            </w:pPr>
          </w:p>
        </w:tc>
        <w:tc>
          <w:tcPr>
            <w:tcW w:w="727" w:type="dxa"/>
            <w:vMerge w:val="continue"/>
            <w:shd w:val="clear" w:color="auto" w:fill="auto"/>
            <w:vAlign w:val="center"/>
          </w:tcPr>
          <w:p w14:paraId="01B1B9B9">
            <w:pPr>
              <w:widowControl/>
              <w:spacing w:line="0" w:lineRule="atLeast"/>
              <w:ind w:firstLine="0" w:firstLineChars="0"/>
              <w:jc w:val="center"/>
              <w:rPr>
                <w:rFonts w:ascii="宋体" w:hAnsi="宋体" w:eastAsia="宋体" w:cs="宋体"/>
                <w:color w:val="000000"/>
                <w:kern w:val="0"/>
                <w:sz w:val="22"/>
                <w:szCs w:val="22"/>
                <w:highlight w:val="none"/>
              </w:rPr>
            </w:pPr>
          </w:p>
        </w:tc>
        <w:tc>
          <w:tcPr>
            <w:tcW w:w="820" w:type="dxa"/>
            <w:shd w:val="clear" w:color="auto" w:fill="auto"/>
            <w:vAlign w:val="center"/>
          </w:tcPr>
          <w:p w14:paraId="52F22342">
            <w:pPr>
              <w:widowControl/>
              <w:spacing w:line="0" w:lineRule="atLeast"/>
              <w:ind w:firstLine="0" w:firstLineChars="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优化服务流程，提高居民满意度</w:t>
            </w:r>
          </w:p>
        </w:tc>
        <w:tc>
          <w:tcPr>
            <w:tcW w:w="2141" w:type="dxa"/>
            <w:shd w:val="clear" w:color="auto" w:fill="auto"/>
            <w:vAlign w:val="center"/>
          </w:tcPr>
          <w:p w14:paraId="064DD865">
            <w:pPr>
              <w:widowControl/>
              <w:spacing w:line="0" w:lineRule="atLeast"/>
              <w:ind w:firstLine="0" w:firstLineChars="0"/>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项目实施所产生的</w:t>
            </w:r>
            <w:r>
              <w:rPr>
                <w:rFonts w:hint="eastAsia" w:ascii="宋体" w:hAnsi="宋体" w:eastAsia="宋体" w:cs="宋体"/>
                <w:color w:val="000000"/>
                <w:kern w:val="0"/>
                <w:sz w:val="22"/>
                <w:szCs w:val="22"/>
                <w:highlight w:val="none"/>
                <w:lang w:val="en-US" w:eastAsia="zh-CN"/>
              </w:rPr>
              <w:t>满意度</w:t>
            </w:r>
          </w:p>
        </w:tc>
        <w:tc>
          <w:tcPr>
            <w:tcW w:w="7821" w:type="dxa"/>
            <w:shd w:val="clear" w:color="auto" w:fill="auto"/>
            <w:vAlign w:val="center"/>
          </w:tcPr>
          <w:p w14:paraId="09FDDC14">
            <w:pPr>
              <w:widowControl/>
              <w:spacing w:line="0" w:lineRule="atLeast"/>
              <w:ind w:firstLine="0" w:firstLineChars="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项目实施所产生的社会效益、经济效益、生态效益、可持续影响等。可根据项目实际情况有选择地设置和细化。</w:t>
            </w:r>
          </w:p>
        </w:tc>
        <w:tc>
          <w:tcPr>
            <w:tcW w:w="785" w:type="dxa"/>
            <w:shd w:val="clear" w:color="auto" w:fill="auto"/>
            <w:vAlign w:val="center"/>
          </w:tcPr>
          <w:p w14:paraId="74DF161C">
            <w:pPr>
              <w:widowControl/>
              <w:spacing w:line="0" w:lineRule="atLeast"/>
              <w:ind w:firstLine="0" w:firstLineChars="0"/>
              <w:rPr>
                <w:rFonts w:hint="default" w:cs="宋体"/>
                <w:color w:val="000000"/>
                <w:kern w:val="0"/>
                <w:sz w:val="22"/>
                <w:szCs w:val="22"/>
                <w:highlight w:val="none"/>
                <w:lang w:val="en-US" w:eastAsia="zh-CN"/>
              </w:rPr>
            </w:pPr>
            <w:r>
              <w:rPr>
                <w:rFonts w:hint="eastAsia" w:cs="宋体"/>
                <w:color w:val="000000"/>
                <w:kern w:val="0"/>
                <w:sz w:val="22"/>
                <w:szCs w:val="22"/>
                <w:highlight w:val="none"/>
                <w:lang w:val="en-US" w:eastAsia="zh-CN"/>
              </w:rPr>
              <w:t>10</w:t>
            </w:r>
          </w:p>
        </w:tc>
        <w:tc>
          <w:tcPr>
            <w:tcW w:w="769" w:type="dxa"/>
            <w:shd w:val="clear" w:color="auto" w:fill="auto"/>
            <w:vAlign w:val="center"/>
          </w:tcPr>
          <w:p w14:paraId="30BE1355">
            <w:pPr>
              <w:widowControl/>
              <w:spacing w:line="0" w:lineRule="atLeast"/>
              <w:ind w:firstLine="0" w:firstLineChars="0"/>
              <w:rPr>
                <w:rFonts w:hint="default" w:cs="宋体"/>
                <w:color w:val="000000"/>
                <w:kern w:val="0"/>
                <w:sz w:val="22"/>
                <w:szCs w:val="22"/>
                <w:highlight w:val="none"/>
                <w:lang w:val="en-US" w:eastAsia="zh-CN"/>
              </w:rPr>
            </w:pPr>
            <w:r>
              <w:rPr>
                <w:rFonts w:hint="eastAsia" w:cs="宋体"/>
                <w:color w:val="000000"/>
                <w:kern w:val="0"/>
                <w:sz w:val="22"/>
                <w:szCs w:val="22"/>
                <w:highlight w:val="none"/>
                <w:lang w:val="en-US" w:eastAsia="zh-CN"/>
              </w:rPr>
              <w:t>10</w:t>
            </w:r>
          </w:p>
        </w:tc>
      </w:tr>
      <w:tr w14:paraId="05BA3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861" w:type="dxa"/>
            <w:shd w:val="clear" w:color="auto" w:fill="auto"/>
            <w:vAlign w:val="center"/>
          </w:tcPr>
          <w:p w14:paraId="4D3E5A14">
            <w:pPr>
              <w:widowControl/>
              <w:spacing w:line="0" w:lineRule="atLeast"/>
              <w:ind w:firstLine="0" w:firstLineChars="0"/>
              <w:jc w:val="center"/>
              <w:rPr>
                <w:rFonts w:ascii="宋体" w:hAnsi="宋体" w:eastAsia="宋体" w:cs="宋体"/>
                <w:color w:val="000000"/>
                <w:kern w:val="0"/>
                <w:sz w:val="22"/>
                <w:szCs w:val="22"/>
                <w:highlight w:val="none"/>
              </w:rPr>
            </w:pPr>
          </w:p>
        </w:tc>
        <w:tc>
          <w:tcPr>
            <w:tcW w:w="727" w:type="dxa"/>
            <w:shd w:val="clear" w:color="auto" w:fill="auto"/>
            <w:vAlign w:val="center"/>
          </w:tcPr>
          <w:p w14:paraId="6F7E8231">
            <w:pPr>
              <w:widowControl/>
              <w:spacing w:line="0" w:lineRule="atLeast"/>
              <w:ind w:firstLine="0" w:firstLineChars="0"/>
              <w:jc w:val="center"/>
              <w:rPr>
                <w:rFonts w:ascii="宋体" w:hAnsi="宋体" w:eastAsia="宋体" w:cs="宋体"/>
                <w:color w:val="000000"/>
                <w:kern w:val="0"/>
                <w:sz w:val="22"/>
                <w:szCs w:val="22"/>
                <w:highlight w:val="none"/>
                <w:lang w:val="en-US" w:eastAsia="zh-CN" w:bidi="ar-SA"/>
              </w:rPr>
            </w:pPr>
          </w:p>
        </w:tc>
        <w:tc>
          <w:tcPr>
            <w:tcW w:w="820" w:type="dxa"/>
            <w:shd w:val="clear" w:color="auto" w:fill="auto"/>
            <w:vAlign w:val="center"/>
          </w:tcPr>
          <w:p w14:paraId="6235E0F3">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满意度指标</w:t>
            </w:r>
          </w:p>
        </w:tc>
        <w:tc>
          <w:tcPr>
            <w:tcW w:w="2141" w:type="dxa"/>
            <w:shd w:val="clear" w:color="auto" w:fill="auto"/>
            <w:vAlign w:val="center"/>
          </w:tcPr>
          <w:p w14:paraId="022069DB">
            <w:pPr>
              <w:widowControl/>
              <w:spacing w:line="0" w:lineRule="atLeast"/>
              <w:ind w:firstLine="0" w:firstLineChars="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社会公众或服务对象对项目实施效果的满意程度。</w:t>
            </w:r>
          </w:p>
        </w:tc>
        <w:tc>
          <w:tcPr>
            <w:tcW w:w="7821" w:type="dxa"/>
            <w:shd w:val="clear" w:color="auto" w:fill="auto"/>
            <w:vAlign w:val="center"/>
          </w:tcPr>
          <w:p w14:paraId="3C895240">
            <w:pPr>
              <w:widowControl/>
              <w:spacing w:line="0" w:lineRule="atLeast"/>
              <w:ind w:firstLine="0" w:firstLineChars="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社会公众或服务对象是指因该项目实施而受到影响的部门（单位）、群体或个人。一般采取社会调查的方式。</w:t>
            </w:r>
          </w:p>
        </w:tc>
        <w:tc>
          <w:tcPr>
            <w:tcW w:w="785" w:type="dxa"/>
            <w:shd w:val="clear" w:color="auto" w:fill="auto"/>
            <w:vAlign w:val="center"/>
          </w:tcPr>
          <w:p w14:paraId="4DECADE3">
            <w:pPr>
              <w:widowControl/>
              <w:spacing w:line="0" w:lineRule="atLeast"/>
              <w:ind w:firstLine="0" w:firstLineChars="0"/>
              <w:rPr>
                <w:rFonts w:hint="default"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10</w:t>
            </w:r>
          </w:p>
        </w:tc>
        <w:tc>
          <w:tcPr>
            <w:tcW w:w="769" w:type="dxa"/>
            <w:shd w:val="clear" w:color="auto" w:fill="auto"/>
            <w:vAlign w:val="center"/>
          </w:tcPr>
          <w:p w14:paraId="1C3FB841">
            <w:pPr>
              <w:widowControl/>
              <w:spacing w:line="0" w:lineRule="atLeast"/>
              <w:ind w:firstLine="0" w:firstLineChars="0"/>
              <w:rPr>
                <w:rFonts w:hint="default"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10</w:t>
            </w:r>
          </w:p>
        </w:tc>
      </w:tr>
      <w:tr w14:paraId="429CB8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7" w:hRule="atLeast"/>
          <w:jc w:val="center"/>
        </w:trPr>
        <w:tc>
          <w:tcPr>
            <w:tcW w:w="4549" w:type="dxa"/>
            <w:gridSpan w:val="4"/>
            <w:shd w:val="clear" w:color="auto" w:fill="auto"/>
            <w:vAlign w:val="center"/>
          </w:tcPr>
          <w:p w14:paraId="7729065A">
            <w:pPr>
              <w:widowControl/>
              <w:spacing w:line="0" w:lineRule="atLeast"/>
              <w:ind w:firstLine="0" w:firstLineChars="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合计</w:t>
            </w:r>
          </w:p>
        </w:tc>
        <w:tc>
          <w:tcPr>
            <w:tcW w:w="7821" w:type="dxa"/>
            <w:shd w:val="clear" w:color="auto" w:fill="auto"/>
            <w:vAlign w:val="center"/>
          </w:tcPr>
          <w:p w14:paraId="54F3EE3E">
            <w:pPr>
              <w:widowControl/>
              <w:spacing w:line="0" w:lineRule="atLeast"/>
              <w:ind w:firstLine="0" w:firstLineChars="0"/>
              <w:rPr>
                <w:rFonts w:hint="eastAsia" w:ascii="宋体" w:hAnsi="宋体" w:eastAsia="宋体" w:cs="宋体"/>
                <w:color w:val="000000"/>
                <w:kern w:val="0"/>
                <w:sz w:val="22"/>
                <w:szCs w:val="22"/>
                <w:highlight w:val="none"/>
              </w:rPr>
            </w:pPr>
          </w:p>
        </w:tc>
        <w:tc>
          <w:tcPr>
            <w:tcW w:w="785" w:type="dxa"/>
            <w:shd w:val="clear" w:color="auto" w:fill="auto"/>
            <w:vAlign w:val="center"/>
          </w:tcPr>
          <w:p w14:paraId="52DA0AEF">
            <w:pPr>
              <w:widowControl/>
              <w:spacing w:line="0" w:lineRule="atLeast"/>
              <w:ind w:firstLine="0" w:firstLineChars="0"/>
              <w:jc w:val="center"/>
              <w:rPr>
                <w:rFonts w:hint="default"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100</w:t>
            </w:r>
          </w:p>
        </w:tc>
        <w:tc>
          <w:tcPr>
            <w:tcW w:w="769" w:type="dxa"/>
            <w:shd w:val="clear" w:color="auto" w:fill="auto"/>
            <w:vAlign w:val="center"/>
          </w:tcPr>
          <w:p w14:paraId="2D003F50">
            <w:pPr>
              <w:widowControl/>
              <w:spacing w:line="0" w:lineRule="atLeast"/>
              <w:ind w:firstLine="0" w:firstLineChars="0"/>
              <w:rPr>
                <w:rFonts w:hint="default"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93.5</w:t>
            </w:r>
          </w:p>
        </w:tc>
      </w:tr>
    </w:tbl>
    <w:p w14:paraId="1A2E4DE4">
      <w:pPr>
        <w:spacing w:line="240" w:lineRule="auto"/>
        <w:ind w:firstLine="0" w:firstLineChars="0"/>
        <w:rPr>
          <w:rFonts w:ascii="Times New Roman" w:hAnsi="Times New Roman" w:eastAsia="仿宋_GB2312" w:cs="Times New Roman"/>
          <w:sz w:val="30"/>
          <w:szCs w:val="24"/>
        </w:rPr>
      </w:pPr>
    </w:p>
    <w:p w14:paraId="4ED0E0C2">
      <w:pPr>
        <w:rPr>
          <w:rFonts w:hint="default"/>
          <w:lang w:val="en-US" w:eastAsia="zh-CN"/>
        </w:rPr>
      </w:pPr>
    </w:p>
    <w:sectPr>
      <w:pgSz w:w="16838" w:h="11906" w:orient="landscape"/>
      <w:pgMar w:top="1800" w:right="1440" w:bottom="1800" w:left="1440" w:header="737" w:footer="851" w:gutter="0"/>
      <w:pgNumType w:fmt="decimal"/>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S Sans Serif">
    <w:altName w:val="Arial"/>
    <w:panose1 w:val="00000000000000000000"/>
    <w:charset w:val="00"/>
    <w:family w:val="modern"/>
    <w:pitch w:val="default"/>
    <w:sig w:usb0="00000000" w:usb1="00000000" w:usb2="00000000" w:usb3="00000000" w:csb0="00000001" w:csb1="00000000"/>
  </w:font>
  <w:font w:name="Arial Unicode MS">
    <w:altName w:val="宋体"/>
    <w:panose1 w:val="020B0604020202020204"/>
    <w:charset w:val="86"/>
    <w:family w:val="modern"/>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575E9">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8B399">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18B399">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C92B9"/>
    <w:multiLevelType w:val="singleLevel"/>
    <w:tmpl w:val="826C92B9"/>
    <w:lvl w:ilvl="0" w:tentative="0">
      <w:start w:val="2"/>
      <w:numFmt w:val="chineseCounting"/>
      <w:suff w:val="nothing"/>
      <w:lvlText w:val="（%1）"/>
      <w:lvlJc w:val="left"/>
      <w:pPr>
        <w:ind w:left="-404"/>
      </w:pPr>
      <w:rPr>
        <w:rFonts w:hint="eastAsia"/>
      </w:rPr>
    </w:lvl>
  </w:abstractNum>
  <w:abstractNum w:abstractNumId="1">
    <w:nsid w:val="1FFA6D59"/>
    <w:multiLevelType w:val="singleLevel"/>
    <w:tmpl w:val="1FFA6D59"/>
    <w:lvl w:ilvl="0" w:tentative="0">
      <w:start w:val="1"/>
      <w:numFmt w:val="chineseCounting"/>
      <w:suff w:val="nothing"/>
      <w:lvlText w:val="（%1）"/>
      <w:lvlJc w:val="left"/>
      <w:pPr>
        <w:ind w:left="0" w:firstLine="420"/>
      </w:pPr>
      <w:rPr>
        <w:rFonts w:hint="eastAsia"/>
      </w:rPr>
    </w:lvl>
  </w:abstractNum>
  <w:abstractNum w:abstractNumId="2">
    <w:nsid w:val="6627A754"/>
    <w:multiLevelType w:val="singleLevel"/>
    <w:tmpl w:val="6627A754"/>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NzIwMTU3YTRiZGFmNmQzZjIzZGVlNTEwZTE2MjkifQ=="/>
  </w:docVars>
  <w:rsids>
    <w:rsidRoot w:val="68291A1A"/>
    <w:rsid w:val="007D6A04"/>
    <w:rsid w:val="00E23C81"/>
    <w:rsid w:val="01253350"/>
    <w:rsid w:val="01282E62"/>
    <w:rsid w:val="014029CF"/>
    <w:rsid w:val="01470C4C"/>
    <w:rsid w:val="01681153"/>
    <w:rsid w:val="017311EE"/>
    <w:rsid w:val="017936BE"/>
    <w:rsid w:val="02200440"/>
    <w:rsid w:val="02284B43"/>
    <w:rsid w:val="02B015E2"/>
    <w:rsid w:val="02DC08FA"/>
    <w:rsid w:val="033B569D"/>
    <w:rsid w:val="034C0523"/>
    <w:rsid w:val="03557185"/>
    <w:rsid w:val="03577A2F"/>
    <w:rsid w:val="039C3BA0"/>
    <w:rsid w:val="03A845BB"/>
    <w:rsid w:val="03AD5595"/>
    <w:rsid w:val="03B45AD1"/>
    <w:rsid w:val="03F4527E"/>
    <w:rsid w:val="046C12B8"/>
    <w:rsid w:val="04C410F4"/>
    <w:rsid w:val="04D12EE4"/>
    <w:rsid w:val="04D63993"/>
    <w:rsid w:val="060C4B01"/>
    <w:rsid w:val="06E67100"/>
    <w:rsid w:val="0753534F"/>
    <w:rsid w:val="07890F4F"/>
    <w:rsid w:val="079E5C2C"/>
    <w:rsid w:val="07E0392B"/>
    <w:rsid w:val="08002443"/>
    <w:rsid w:val="083707CC"/>
    <w:rsid w:val="08892439"/>
    <w:rsid w:val="08EB30F3"/>
    <w:rsid w:val="09237408"/>
    <w:rsid w:val="09781BD6"/>
    <w:rsid w:val="099C263F"/>
    <w:rsid w:val="09F359DF"/>
    <w:rsid w:val="0A575E65"/>
    <w:rsid w:val="0ACA0AB6"/>
    <w:rsid w:val="0C032502"/>
    <w:rsid w:val="0C27698C"/>
    <w:rsid w:val="0D4452F3"/>
    <w:rsid w:val="0D532811"/>
    <w:rsid w:val="0DEE0F90"/>
    <w:rsid w:val="0EAA3109"/>
    <w:rsid w:val="0EAC0F21"/>
    <w:rsid w:val="0F5E5042"/>
    <w:rsid w:val="0FD50659"/>
    <w:rsid w:val="0FE95707"/>
    <w:rsid w:val="10510571"/>
    <w:rsid w:val="10787A20"/>
    <w:rsid w:val="108672DE"/>
    <w:rsid w:val="10C36704"/>
    <w:rsid w:val="10D313F0"/>
    <w:rsid w:val="10EC685A"/>
    <w:rsid w:val="11F8062F"/>
    <w:rsid w:val="11FA6155"/>
    <w:rsid w:val="12CF0947"/>
    <w:rsid w:val="12E41CA4"/>
    <w:rsid w:val="12F1313F"/>
    <w:rsid w:val="132316DC"/>
    <w:rsid w:val="13340E10"/>
    <w:rsid w:val="136C678E"/>
    <w:rsid w:val="13714D8B"/>
    <w:rsid w:val="13EB2FF5"/>
    <w:rsid w:val="140E413A"/>
    <w:rsid w:val="145E0C1D"/>
    <w:rsid w:val="15A46B04"/>
    <w:rsid w:val="15D54F0F"/>
    <w:rsid w:val="165825BC"/>
    <w:rsid w:val="16BC5D73"/>
    <w:rsid w:val="176F36D7"/>
    <w:rsid w:val="178511C2"/>
    <w:rsid w:val="1795226D"/>
    <w:rsid w:val="180912F7"/>
    <w:rsid w:val="18456B1E"/>
    <w:rsid w:val="19031D93"/>
    <w:rsid w:val="19BA0124"/>
    <w:rsid w:val="1A952EBF"/>
    <w:rsid w:val="1AD05CA5"/>
    <w:rsid w:val="1C1171C5"/>
    <w:rsid w:val="1C1C4F1A"/>
    <w:rsid w:val="1C6D1AB1"/>
    <w:rsid w:val="1D265138"/>
    <w:rsid w:val="1D6A1583"/>
    <w:rsid w:val="1D7B6BCA"/>
    <w:rsid w:val="1D905BC0"/>
    <w:rsid w:val="1DA41A79"/>
    <w:rsid w:val="1DF53469"/>
    <w:rsid w:val="1E0952A7"/>
    <w:rsid w:val="1E2F24F2"/>
    <w:rsid w:val="1E58492F"/>
    <w:rsid w:val="1E5B6757"/>
    <w:rsid w:val="1ED10AC6"/>
    <w:rsid w:val="1F3D58D3"/>
    <w:rsid w:val="1F3E18CF"/>
    <w:rsid w:val="1F89225F"/>
    <w:rsid w:val="1F900A1F"/>
    <w:rsid w:val="1FC0575D"/>
    <w:rsid w:val="20392F18"/>
    <w:rsid w:val="206132C7"/>
    <w:rsid w:val="20777848"/>
    <w:rsid w:val="21645399"/>
    <w:rsid w:val="2181419D"/>
    <w:rsid w:val="21B00C1D"/>
    <w:rsid w:val="22027E59"/>
    <w:rsid w:val="22411A5B"/>
    <w:rsid w:val="23031BEB"/>
    <w:rsid w:val="23917691"/>
    <w:rsid w:val="23E27624"/>
    <w:rsid w:val="24064F4A"/>
    <w:rsid w:val="241F1A4B"/>
    <w:rsid w:val="243C475F"/>
    <w:rsid w:val="244D65B8"/>
    <w:rsid w:val="245E1E24"/>
    <w:rsid w:val="254A2AF8"/>
    <w:rsid w:val="2560264C"/>
    <w:rsid w:val="25AD5E5D"/>
    <w:rsid w:val="25B174D6"/>
    <w:rsid w:val="26CA0394"/>
    <w:rsid w:val="2732478D"/>
    <w:rsid w:val="27457703"/>
    <w:rsid w:val="27661469"/>
    <w:rsid w:val="27894311"/>
    <w:rsid w:val="27900EAD"/>
    <w:rsid w:val="279B538A"/>
    <w:rsid w:val="27ED1F99"/>
    <w:rsid w:val="280671AA"/>
    <w:rsid w:val="286F545C"/>
    <w:rsid w:val="29314FBC"/>
    <w:rsid w:val="2A147700"/>
    <w:rsid w:val="2A1A0CEB"/>
    <w:rsid w:val="2A6F1953"/>
    <w:rsid w:val="2B0379D1"/>
    <w:rsid w:val="2BD8717A"/>
    <w:rsid w:val="2C024B86"/>
    <w:rsid w:val="2C927671"/>
    <w:rsid w:val="2D7C2C3A"/>
    <w:rsid w:val="2D7C5CD6"/>
    <w:rsid w:val="2E483E7E"/>
    <w:rsid w:val="2E690493"/>
    <w:rsid w:val="2E8157DC"/>
    <w:rsid w:val="2E9854BD"/>
    <w:rsid w:val="2F0D407F"/>
    <w:rsid w:val="2F1523C9"/>
    <w:rsid w:val="2F454B19"/>
    <w:rsid w:val="310224D9"/>
    <w:rsid w:val="31B4621C"/>
    <w:rsid w:val="31E3230A"/>
    <w:rsid w:val="32062AF3"/>
    <w:rsid w:val="32D54349"/>
    <w:rsid w:val="330957E0"/>
    <w:rsid w:val="33356F64"/>
    <w:rsid w:val="33944516"/>
    <w:rsid w:val="33F95E15"/>
    <w:rsid w:val="347100A1"/>
    <w:rsid w:val="34B62907"/>
    <w:rsid w:val="35B00755"/>
    <w:rsid w:val="35E548A3"/>
    <w:rsid w:val="36BD137C"/>
    <w:rsid w:val="370D2D0B"/>
    <w:rsid w:val="37A12A4B"/>
    <w:rsid w:val="37DA5CEB"/>
    <w:rsid w:val="385D37E7"/>
    <w:rsid w:val="38782EDD"/>
    <w:rsid w:val="38F4304F"/>
    <w:rsid w:val="39203E44"/>
    <w:rsid w:val="39BB269E"/>
    <w:rsid w:val="39DA1C33"/>
    <w:rsid w:val="3AA12D62"/>
    <w:rsid w:val="3B42664A"/>
    <w:rsid w:val="3C300842"/>
    <w:rsid w:val="3D836A4E"/>
    <w:rsid w:val="3DAE7B49"/>
    <w:rsid w:val="3DC56D68"/>
    <w:rsid w:val="3EA37E97"/>
    <w:rsid w:val="3EE810EF"/>
    <w:rsid w:val="3F0B2EA0"/>
    <w:rsid w:val="3FBE0BC5"/>
    <w:rsid w:val="4048103A"/>
    <w:rsid w:val="40736643"/>
    <w:rsid w:val="408D6263"/>
    <w:rsid w:val="40D24A7A"/>
    <w:rsid w:val="42621029"/>
    <w:rsid w:val="435241E2"/>
    <w:rsid w:val="43975C51"/>
    <w:rsid w:val="439E3FA7"/>
    <w:rsid w:val="4473751E"/>
    <w:rsid w:val="44B32266"/>
    <w:rsid w:val="44FC64F4"/>
    <w:rsid w:val="455025AA"/>
    <w:rsid w:val="46733805"/>
    <w:rsid w:val="467F4585"/>
    <w:rsid w:val="470628CB"/>
    <w:rsid w:val="472471F5"/>
    <w:rsid w:val="47555BD4"/>
    <w:rsid w:val="47B87CFB"/>
    <w:rsid w:val="47E96399"/>
    <w:rsid w:val="48E12B50"/>
    <w:rsid w:val="49425710"/>
    <w:rsid w:val="499441BE"/>
    <w:rsid w:val="499917D4"/>
    <w:rsid w:val="499A6C1C"/>
    <w:rsid w:val="4A192915"/>
    <w:rsid w:val="4A2138F0"/>
    <w:rsid w:val="4A583887"/>
    <w:rsid w:val="4ADE1B26"/>
    <w:rsid w:val="4B245A16"/>
    <w:rsid w:val="4B5160DF"/>
    <w:rsid w:val="4B9F6E02"/>
    <w:rsid w:val="4C3300C3"/>
    <w:rsid w:val="4C89637B"/>
    <w:rsid w:val="4D64034B"/>
    <w:rsid w:val="4E6E48A8"/>
    <w:rsid w:val="4EEC036B"/>
    <w:rsid w:val="501D2673"/>
    <w:rsid w:val="50C80BF1"/>
    <w:rsid w:val="511300BE"/>
    <w:rsid w:val="51852833"/>
    <w:rsid w:val="51FD2328"/>
    <w:rsid w:val="526B7FD2"/>
    <w:rsid w:val="52D035CA"/>
    <w:rsid w:val="52F11AC8"/>
    <w:rsid w:val="52F5740B"/>
    <w:rsid w:val="534F49D9"/>
    <w:rsid w:val="53555F0F"/>
    <w:rsid w:val="535D23D5"/>
    <w:rsid w:val="538C4158"/>
    <w:rsid w:val="55D831E4"/>
    <w:rsid w:val="56F4341A"/>
    <w:rsid w:val="572A7F10"/>
    <w:rsid w:val="575A7321"/>
    <w:rsid w:val="579932E7"/>
    <w:rsid w:val="57AA2DFF"/>
    <w:rsid w:val="580C3AB9"/>
    <w:rsid w:val="583C7AE0"/>
    <w:rsid w:val="586C1E9A"/>
    <w:rsid w:val="586E0800"/>
    <w:rsid w:val="587F072F"/>
    <w:rsid w:val="58A837E2"/>
    <w:rsid w:val="59216F96"/>
    <w:rsid w:val="598C4145"/>
    <w:rsid w:val="59957D1B"/>
    <w:rsid w:val="59D4294E"/>
    <w:rsid w:val="59F52E57"/>
    <w:rsid w:val="5AAE50EA"/>
    <w:rsid w:val="5B1C4013"/>
    <w:rsid w:val="5B1E5FDD"/>
    <w:rsid w:val="5B634312"/>
    <w:rsid w:val="5B740FF5"/>
    <w:rsid w:val="5B9D2CCD"/>
    <w:rsid w:val="5B9E71EA"/>
    <w:rsid w:val="5BBC75A4"/>
    <w:rsid w:val="5BC37F88"/>
    <w:rsid w:val="5C4001D5"/>
    <w:rsid w:val="5D02548B"/>
    <w:rsid w:val="5DA2730B"/>
    <w:rsid w:val="5DEC23C3"/>
    <w:rsid w:val="5DF23751"/>
    <w:rsid w:val="5E226FBC"/>
    <w:rsid w:val="5EB02500"/>
    <w:rsid w:val="5EB17168"/>
    <w:rsid w:val="5ED846F5"/>
    <w:rsid w:val="5F1A01AD"/>
    <w:rsid w:val="5F7C1524"/>
    <w:rsid w:val="5FE72BD2"/>
    <w:rsid w:val="60120613"/>
    <w:rsid w:val="603218A9"/>
    <w:rsid w:val="603A11F0"/>
    <w:rsid w:val="60536729"/>
    <w:rsid w:val="60787F3E"/>
    <w:rsid w:val="61137C66"/>
    <w:rsid w:val="6151253D"/>
    <w:rsid w:val="618D5292"/>
    <w:rsid w:val="61EB473F"/>
    <w:rsid w:val="622E78FA"/>
    <w:rsid w:val="626A1B08"/>
    <w:rsid w:val="627E55B4"/>
    <w:rsid w:val="62C236F2"/>
    <w:rsid w:val="63343F70"/>
    <w:rsid w:val="63E31B72"/>
    <w:rsid w:val="63EB31A9"/>
    <w:rsid w:val="64296E1C"/>
    <w:rsid w:val="643248A8"/>
    <w:rsid w:val="646F418A"/>
    <w:rsid w:val="649E64A2"/>
    <w:rsid w:val="65765B7B"/>
    <w:rsid w:val="65B37C6A"/>
    <w:rsid w:val="65E5270A"/>
    <w:rsid w:val="66083B12"/>
    <w:rsid w:val="663C22D4"/>
    <w:rsid w:val="663D3C54"/>
    <w:rsid w:val="6663343E"/>
    <w:rsid w:val="66862C89"/>
    <w:rsid w:val="66AA6977"/>
    <w:rsid w:val="66BB486D"/>
    <w:rsid w:val="66F67E0E"/>
    <w:rsid w:val="67394C7D"/>
    <w:rsid w:val="67627252"/>
    <w:rsid w:val="68126B38"/>
    <w:rsid w:val="68291A1A"/>
    <w:rsid w:val="68352BB8"/>
    <w:rsid w:val="68550B65"/>
    <w:rsid w:val="688D373F"/>
    <w:rsid w:val="68BC0BE4"/>
    <w:rsid w:val="68C87588"/>
    <w:rsid w:val="691B1594"/>
    <w:rsid w:val="693A016B"/>
    <w:rsid w:val="6A17429C"/>
    <w:rsid w:val="6A3A6264"/>
    <w:rsid w:val="6A567EA3"/>
    <w:rsid w:val="6B4B4368"/>
    <w:rsid w:val="6B5601AE"/>
    <w:rsid w:val="6B79100E"/>
    <w:rsid w:val="6B99345E"/>
    <w:rsid w:val="6C1C0AD8"/>
    <w:rsid w:val="6C844C00"/>
    <w:rsid w:val="6DA265FA"/>
    <w:rsid w:val="6E10212C"/>
    <w:rsid w:val="6E3F02ED"/>
    <w:rsid w:val="6E405E13"/>
    <w:rsid w:val="6E43561A"/>
    <w:rsid w:val="6E557973"/>
    <w:rsid w:val="6E9568DB"/>
    <w:rsid w:val="6F0D6C22"/>
    <w:rsid w:val="6F47657F"/>
    <w:rsid w:val="6FAF23D9"/>
    <w:rsid w:val="70635CF6"/>
    <w:rsid w:val="70670707"/>
    <w:rsid w:val="71257C6E"/>
    <w:rsid w:val="720E3691"/>
    <w:rsid w:val="724E244C"/>
    <w:rsid w:val="72DA6946"/>
    <w:rsid w:val="732764B3"/>
    <w:rsid w:val="73375A36"/>
    <w:rsid w:val="73E3171A"/>
    <w:rsid w:val="74026044"/>
    <w:rsid w:val="74746410"/>
    <w:rsid w:val="7501454E"/>
    <w:rsid w:val="754A30AE"/>
    <w:rsid w:val="75E5007C"/>
    <w:rsid w:val="76165DD7"/>
    <w:rsid w:val="76C75323"/>
    <w:rsid w:val="76D377DB"/>
    <w:rsid w:val="77813724"/>
    <w:rsid w:val="77861774"/>
    <w:rsid w:val="77C11D73"/>
    <w:rsid w:val="78880C51"/>
    <w:rsid w:val="78BB2C66"/>
    <w:rsid w:val="78F31435"/>
    <w:rsid w:val="79300B45"/>
    <w:rsid w:val="794D3E18"/>
    <w:rsid w:val="79F3729A"/>
    <w:rsid w:val="7A880722"/>
    <w:rsid w:val="7AB70C85"/>
    <w:rsid w:val="7ACB0498"/>
    <w:rsid w:val="7AED0B4D"/>
    <w:rsid w:val="7C15268D"/>
    <w:rsid w:val="7C1E4487"/>
    <w:rsid w:val="7C215E02"/>
    <w:rsid w:val="7CF23764"/>
    <w:rsid w:val="7DFF53A3"/>
    <w:rsid w:val="7E797F74"/>
    <w:rsid w:val="7F233313"/>
    <w:rsid w:val="7F6801F2"/>
    <w:rsid w:val="7F924011"/>
    <w:rsid w:val="7F9950E2"/>
    <w:rsid w:val="7FC52D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宋体" w:hAnsi="宋体" w:eastAsia="宋体" w:cs="宋体"/>
      <w:kern w:val="2"/>
      <w:sz w:val="28"/>
      <w:szCs w:val="28"/>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964" w:firstLineChars="200"/>
      <w:outlineLvl w:val="0"/>
    </w:pPr>
    <w:rPr>
      <w:rFonts w:ascii="Times New Roman" w:hAnsi="Times New Roman" w:eastAsia="黑体"/>
      <w:kern w:val="44"/>
      <w:sz w:val="32"/>
      <w:szCs w:val="22"/>
    </w:rPr>
  </w:style>
  <w:style w:type="paragraph" w:styleId="4">
    <w:name w:val="heading 2"/>
    <w:basedOn w:val="1"/>
    <w:next w:val="1"/>
    <w:link w:val="14"/>
    <w:autoRedefine/>
    <w:unhideWhenUsed/>
    <w:qFormat/>
    <w:uiPriority w:val="0"/>
    <w:pPr>
      <w:keepNext/>
      <w:keepLines/>
      <w:spacing w:beforeLines="0" w:beforeAutospacing="0" w:afterLines="0" w:afterAutospacing="0" w:line="560" w:lineRule="exact"/>
      <w:ind w:firstLine="964" w:firstLineChars="200"/>
      <w:outlineLvl w:val="1"/>
    </w:pPr>
    <w:rPr>
      <w:rFonts w:ascii="Arial" w:hAnsi="Arial" w:eastAsia="楷体"/>
      <w:b/>
      <w:sz w:val="32"/>
    </w:rPr>
  </w:style>
  <w:style w:type="paragraph" w:styleId="5">
    <w:name w:val="heading 3"/>
    <w:basedOn w:val="1"/>
    <w:next w:val="1"/>
    <w:qFormat/>
    <w:uiPriority w:val="99"/>
    <w:pPr>
      <w:keepNext/>
      <w:keepLines/>
      <w:spacing w:line="560" w:lineRule="exact"/>
      <w:ind w:firstLine="883" w:firstLineChars="200"/>
      <w:outlineLvl w:val="2"/>
    </w:pPr>
    <w:rPr>
      <w:rFonts w:ascii="仿宋_GB2312" w:hAnsi="仿宋_GB2312" w:eastAsia="仿宋_GB2312"/>
      <w:b/>
      <w:bCs/>
      <w:kern w:val="0"/>
      <w:sz w:val="28"/>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spacing w:before="240" w:beforeLines="0" w:after="60" w:afterLines="0"/>
      <w:jc w:val="left"/>
      <w:outlineLvl w:val="0"/>
    </w:pPr>
    <w:rPr>
      <w:rFonts w:ascii="MS Sans Serif" w:hAnsi="MS Sans Serif" w:eastAsia="宋体" w:cs="MS Sans Serif"/>
      <w:b/>
      <w:bCs/>
      <w:sz w:val="24"/>
      <w:szCs w:val="32"/>
    </w:rPr>
  </w:style>
  <w:style w:type="paragraph" w:styleId="6">
    <w:name w:val="annotation text"/>
    <w:basedOn w:val="1"/>
    <w:autoRedefine/>
    <w:qFormat/>
    <w:uiPriority w:val="0"/>
    <w:pPr>
      <w:jc w:val="left"/>
    </w:pPr>
  </w:style>
  <w:style w:type="paragraph" w:styleId="7">
    <w:name w:val="Body Text"/>
    <w:basedOn w:val="1"/>
    <w:next w:val="8"/>
    <w:qFormat/>
    <w:uiPriority w:val="0"/>
    <w:pPr>
      <w:spacing w:before="240" w:after="240" w:line="360" w:lineRule="auto"/>
      <w:jc w:val="center"/>
    </w:pPr>
    <w:rPr>
      <w:b/>
      <w:sz w:val="44"/>
    </w:rPr>
  </w:style>
  <w:style w:type="paragraph" w:styleId="8">
    <w:name w:val="Body Text 2"/>
    <w:basedOn w:val="1"/>
    <w:qFormat/>
    <w:uiPriority w:val="0"/>
    <w:pPr>
      <w:spacing w:after="120" w:line="480" w:lineRule="auto"/>
    </w:pPr>
    <w:rPr>
      <w:rFonts w:ascii="Times New Roman" w:hAnsi="Times New Roman" w:eastAsia="宋体" w:cs="Times New Roman"/>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正文 A"/>
    <w:qFormat/>
    <w:uiPriority w:val="99"/>
    <w:pPr>
      <w:widowControl w:val="0"/>
      <w:spacing w:before="50" w:after="50" w:line="360" w:lineRule="auto"/>
    </w:pPr>
    <w:rPr>
      <w:rFonts w:ascii="Times New Roman" w:hAnsi="Arial Unicode MS" w:eastAsia="Arial Unicode MS" w:cs="Arial Unicode MS"/>
      <w:color w:val="000000"/>
      <w:kern w:val="2"/>
      <w:sz w:val="28"/>
      <w:szCs w:val="28"/>
      <w:u w:color="000000"/>
      <w:lang w:val="en-US" w:eastAsia="zh-CN" w:bidi="ar-SA"/>
    </w:rPr>
  </w:style>
  <w:style w:type="character" w:customStyle="1" w:styleId="14">
    <w:name w:val="标题 2 Char"/>
    <w:link w:val="4"/>
    <w:qFormat/>
    <w:uiPriority w:val="0"/>
    <w:rPr>
      <w:rFonts w:ascii="Arial" w:hAnsi="Arial" w:eastAsia="楷体"/>
      <w:b/>
      <w:sz w:val="32"/>
    </w:rPr>
  </w:style>
  <w:style w:type="paragraph" w:customStyle="1" w:styleId="15">
    <w:name w:val="WPSOffice手动目录 1"/>
    <w:autoRedefine/>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WPSOffice手动目录 3"/>
    <w:qFormat/>
    <w:uiPriority w:val="0"/>
    <w:pPr>
      <w:ind w:leftChars="400"/>
    </w:pPr>
    <w:rPr>
      <w:rFonts w:ascii="Times New Roman" w:hAnsi="Times New Roman" w:eastAsia="宋体" w:cs="Times New Roman"/>
      <w:sz w:val="20"/>
      <w:szCs w:val="20"/>
    </w:rPr>
  </w:style>
  <w:style w:type="character" w:customStyle="1" w:styleId="18">
    <w:name w:val="font21"/>
    <w:basedOn w:val="12"/>
    <w:qFormat/>
    <w:uiPriority w:val="0"/>
    <w:rPr>
      <w:rFonts w:ascii="宋体" w:hAnsi="宋体" w:eastAsia="宋体" w:cs="宋体"/>
      <w:color w:val="000000"/>
      <w:sz w:val="20"/>
      <w:szCs w:val="20"/>
      <w:u w:val="none"/>
    </w:rPr>
  </w:style>
  <w:style w:type="character" w:customStyle="1" w:styleId="19">
    <w:name w:val="font31"/>
    <w:basedOn w:val="12"/>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8887</Words>
  <Characters>9503</Characters>
  <Lines>0</Lines>
  <Paragraphs>0</Paragraphs>
  <TotalTime>2</TotalTime>
  <ScaleCrop>false</ScaleCrop>
  <LinksUpToDate>false</LinksUpToDate>
  <CharactersWithSpaces>9562</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2020-04-01T11:28:00Z</dcterms:created>
  <dc:creator>驰远天合-柴万顺-18690160103</dc:creator>
  <cp:lastModifiedBy>想不到的瑞</cp:lastModifiedBy>
  <dcterms:modified xsi:type="dcterms:W3CDTF">2024-10-10T08:19:16Z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0BE9F79E81144096AE61AA9934A1549D_13</vt:lpwstr>
  </property>
</Properties>
</file>