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BEFEA">
      <w:pPr>
        <w:pageBreakBefore w:val="0"/>
        <w:kinsoku/>
        <w:wordWrap/>
        <w:overflowPunct/>
        <w:topLinePunct w:val="0"/>
        <w:autoSpaceDE/>
        <w:autoSpaceDN/>
        <w:bidi w:val="0"/>
        <w:adjustRightInd/>
        <w:spacing w:line="360" w:lineRule="auto"/>
        <w:ind w:firstLine="1142" w:firstLineChars="316"/>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6A26C5C9">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287CE0F4">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32D61EA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themeColor="text1"/>
          <w:sz w:val="40"/>
          <w:szCs w:val="40"/>
          <w:highlight w:val="none"/>
          <w:shd w:val="clear" w:color="auto" w:fill="auto"/>
          <w14:textFill>
            <w14:solidFill>
              <w14:schemeClr w14:val="tx1"/>
            </w14:solidFill>
          </w14:textFill>
        </w:rPr>
      </w:pPr>
      <w:bookmarkStart w:id="0" w:name="_Toc15679"/>
      <w:r>
        <w:rPr>
          <w:rFonts w:hint="eastAsia" w:ascii="宋体" w:hAnsi="宋体" w:eastAsia="宋体" w:cs="宋体"/>
          <w:b/>
          <w:bCs/>
          <w:color w:val="000000" w:themeColor="text1"/>
          <w:sz w:val="40"/>
          <w:szCs w:val="40"/>
          <w:highlight w:val="none"/>
          <w:shd w:val="clear" w:color="auto" w:fill="auto"/>
          <w:lang w:val="en-US" w:eastAsia="zh-CN"/>
          <w14:textFill>
            <w14:solidFill>
              <w14:schemeClr w14:val="tx1"/>
            </w14:solidFill>
          </w14:textFill>
        </w:rPr>
        <w:t>2016年病媒生物消杀项目</w:t>
      </w:r>
      <w:r>
        <w:rPr>
          <w:rFonts w:hint="eastAsia" w:ascii="宋体" w:hAnsi="宋体" w:eastAsia="宋体" w:cs="宋体"/>
          <w:b/>
          <w:bCs/>
          <w:color w:val="000000" w:themeColor="text1"/>
          <w:sz w:val="40"/>
          <w:szCs w:val="40"/>
          <w:highlight w:val="none"/>
          <w:shd w:val="clear" w:color="auto" w:fill="auto"/>
          <w14:textFill>
            <w14:solidFill>
              <w14:schemeClr w14:val="tx1"/>
            </w14:solidFill>
          </w14:textFill>
        </w:rPr>
        <w:t>支出绩效评价报告</w:t>
      </w:r>
      <w:bookmarkEnd w:id="0"/>
    </w:p>
    <w:p w14:paraId="0F75C3B0">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314672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3B9139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525719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315FAA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539311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400C3660">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14:paraId="25209D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项目名称：2016年病媒生物消杀项目</w:t>
      </w:r>
    </w:p>
    <w:p w14:paraId="2B35E59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实施单位：</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阜康市疾病预防控制中心</w:t>
      </w:r>
    </w:p>
    <w:p w14:paraId="77AB2EE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主管部门：</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阜康市卫生健康委员会</w:t>
      </w:r>
    </w:p>
    <w:p w14:paraId="6EBFCDE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p>
    <w:p w14:paraId="69D8EFE4">
      <w:pPr>
        <w:pStyle w:val="10"/>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p>
    <w:p w14:paraId="28AB0CA7">
      <w:pPr>
        <w:rPr>
          <w:rFonts w:hint="eastAsia"/>
          <w:lang w:val="en-US" w:eastAsia="zh-CN"/>
        </w:rPr>
      </w:pPr>
      <w:r>
        <w:rPr>
          <w:rFonts w:hint="eastAsia"/>
          <w:lang w:val="en-US" w:eastAsia="zh-CN"/>
        </w:rPr>
        <w:br w:type="page"/>
      </w:r>
    </w:p>
    <w:p w14:paraId="75F48073">
      <w:pPr>
        <w:rPr>
          <w:rFonts w:hint="eastAsia"/>
          <w:lang w:val="en-US" w:eastAsia="zh-CN"/>
        </w:rPr>
      </w:pPr>
    </w:p>
    <w:sdt>
      <w:sdtPr>
        <w:rPr>
          <w:rFonts w:ascii="宋体" w:hAnsi="宋体" w:eastAsia="宋体" w:cs="宋体"/>
          <w:b/>
          <w:bCs/>
          <w:kern w:val="2"/>
          <w:sz w:val="28"/>
          <w:szCs w:val="40"/>
          <w:lang w:val="en-US" w:eastAsia="zh-CN" w:bidi="ar-SA"/>
        </w:rPr>
        <w:id w:val="147474046"/>
        <w15:color w:val="DBDBDB"/>
        <w:docPartObj>
          <w:docPartGallery w:val="Table of Contents"/>
          <w:docPartUnique/>
        </w:docPartObj>
      </w:sdtPr>
      <w:sdtEndPr>
        <w:rPr>
          <w:rFonts w:hint="eastAsia" w:ascii="宋体" w:hAnsi="宋体" w:eastAsia="宋体" w:cs="宋体"/>
          <w:b/>
          <w:bCs/>
          <w:kern w:val="2"/>
          <w:sz w:val="28"/>
          <w:szCs w:val="28"/>
          <w:lang w:val="en-US" w:eastAsia="zh-CN" w:bidi="ar-SA"/>
        </w:rPr>
      </w:sdtEndPr>
      <w:sdtContent>
        <w:p w14:paraId="07CF3F1D">
          <w:pPr>
            <w:keepNext w:val="0"/>
            <w:keepLines w:val="0"/>
            <w:pageBreakBefore w:val="0"/>
            <w:shd w:val="clea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b/>
              <w:bCs/>
              <w:sz w:val="40"/>
              <w:szCs w:val="40"/>
            </w:rPr>
          </w:pPr>
          <w:r>
            <w:rPr>
              <w:rFonts w:ascii="宋体" w:hAnsi="宋体" w:eastAsia="宋体"/>
              <w:b/>
              <w:bCs/>
              <w:sz w:val="40"/>
              <w:szCs w:val="40"/>
            </w:rPr>
            <w:t>目录</w:t>
          </w:r>
        </w:p>
        <w:p w14:paraId="77C08B28">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TOC \o "1-3" \h \u </w:instrText>
          </w:r>
          <w:r>
            <w:rPr>
              <w:rFonts w:hint="eastAsia"/>
              <w:sz w:val="28"/>
              <w:szCs w:val="28"/>
              <w:lang w:val="en-US" w:eastAsia="zh-CN"/>
            </w:rPr>
            <w:fldChar w:fldCharType="separate"/>
          </w:r>
        </w:p>
        <w:p w14:paraId="19A0D89C">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_Toc17540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rPr>
            <w:t>一、基本情况</w:t>
          </w:r>
          <w:r>
            <w:rPr>
              <w:b/>
              <w:bCs/>
              <w:sz w:val="28"/>
              <w:szCs w:val="28"/>
            </w:rPr>
            <w:tab/>
          </w:r>
          <w:r>
            <w:rPr>
              <w:b/>
              <w:bCs/>
              <w:sz w:val="28"/>
              <w:szCs w:val="28"/>
            </w:rPr>
            <w:fldChar w:fldCharType="begin"/>
          </w:r>
          <w:r>
            <w:rPr>
              <w:b/>
              <w:bCs/>
              <w:sz w:val="28"/>
              <w:szCs w:val="28"/>
            </w:rPr>
            <w:instrText xml:space="preserve"> PAGEREF _Toc17540 \h </w:instrText>
          </w:r>
          <w:r>
            <w:rPr>
              <w:b/>
              <w:bCs/>
              <w:sz w:val="28"/>
              <w:szCs w:val="28"/>
            </w:rPr>
            <w:fldChar w:fldCharType="separate"/>
          </w:r>
          <w:r>
            <w:rPr>
              <w:b/>
              <w:bCs/>
              <w:sz w:val="28"/>
              <w:szCs w:val="28"/>
            </w:rPr>
            <w:t>1</w:t>
          </w:r>
          <w:r>
            <w:rPr>
              <w:b/>
              <w:bCs/>
              <w:sz w:val="28"/>
              <w:szCs w:val="28"/>
            </w:rPr>
            <w:fldChar w:fldCharType="end"/>
          </w:r>
          <w:r>
            <w:rPr>
              <w:rFonts w:hint="eastAsia"/>
              <w:b/>
              <w:bCs/>
              <w:sz w:val="28"/>
              <w:szCs w:val="28"/>
              <w:lang w:val="en-US" w:eastAsia="zh-CN"/>
            </w:rPr>
            <w:fldChar w:fldCharType="end"/>
          </w:r>
        </w:p>
        <w:p w14:paraId="62052606">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_Toc18966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rPr>
            <w:t>（一）项目概况</w:t>
          </w:r>
          <w:r>
            <w:rPr>
              <w:sz w:val="28"/>
              <w:szCs w:val="28"/>
            </w:rPr>
            <w:tab/>
          </w:r>
          <w:r>
            <w:rPr>
              <w:sz w:val="28"/>
              <w:szCs w:val="28"/>
            </w:rPr>
            <w:fldChar w:fldCharType="begin"/>
          </w:r>
          <w:r>
            <w:rPr>
              <w:sz w:val="28"/>
              <w:szCs w:val="28"/>
            </w:rPr>
            <w:instrText xml:space="preserve"> PAGEREF _Toc18966 \h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fldChar w:fldCharType="end"/>
          </w:r>
        </w:p>
        <w:p w14:paraId="5857A9D3">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_Toc2879 </w:instrText>
          </w:r>
          <w:r>
            <w:rPr>
              <w:rFonts w:hint="eastAsia"/>
              <w:sz w:val="28"/>
              <w:szCs w:val="28"/>
              <w:lang w:val="en-US" w:eastAsia="zh-CN"/>
            </w:rPr>
            <w:fldChar w:fldCharType="separate"/>
          </w:r>
          <w:r>
            <w:rPr>
              <w:rFonts w:hint="eastAsia" w:ascii="宋体" w:hAnsi="宋体" w:eastAsia="宋体" w:cs="宋体"/>
              <w:sz w:val="28"/>
              <w:szCs w:val="28"/>
              <w:shd w:val="clear" w:fill="auto"/>
            </w:rPr>
            <w:t>（二）</w:t>
          </w:r>
          <w:r>
            <w:rPr>
              <w:rFonts w:hint="eastAsia" w:ascii="宋体" w:hAnsi="宋体" w:eastAsia="宋体" w:cs="宋体"/>
              <w:sz w:val="28"/>
              <w:szCs w:val="28"/>
              <w:highlight w:val="none"/>
              <w:shd w:val="clear" w:color="auto" w:fill="auto"/>
            </w:rPr>
            <w:t>项目绩效目标</w:t>
          </w:r>
          <w:r>
            <w:rPr>
              <w:sz w:val="28"/>
              <w:szCs w:val="28"/>
            </w:rPr>
            <w:tab/>
          </w:r>
          <w:r>
            <w:rPr>
              <w:sz w:val="28"/>
              <w:szCs w:val="28"/>
            </w:rPr>
            <w:fldChar w:fldCharType="begin"/>
          </w:r>
          <w:r>
            <w:rPr>
              <w:sz w:val="28"/>
              <w:szCs w:val="28"/>
            </w:rPr>
            <w:instrText xml:space="preserve"> PAGEREF _Toc2879 \h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fldChar w:fldCharType="end"/>
          </w:r>
        </w:p>
        <w:p w14:paraId="333F02B3">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_Toc2549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rPr>
            <w:t>二、绩效评价工作开展情况</w:t>
          </w:r>
          <w:r>
            <w:rPr>
              <w:b/>
              <w:bCs/>
              <w:sz w:val="28"/>
              <w:szCs w:val="28"/>
            </w:rPr>
            <w:tab/>
          </w:r>
          <w:r>
            <w:rPr>
              <w:b/>
              <w:bCs/>
              <w:sz w:val="28"/>
              <w:szCs w:val="28"/>
            </w:rPr>
            <w:fldChar w:fldCharType="begin"/>
          </w:r>
          <w:r>
            <w:rPr>
              <w:b/>
              <w:bCs/>
              <w:sz w:val="28"/>
              <w:szCs w:val="28"/>
            </w:rPr>
            <w:instrText xml:space="preserve"> PAGEREF _Toc2549 \h </w:instrText>
          </w:r>
          <w:r>
            <w:rPr>
              <w:b/>
              <w:bCs/>
              <w:sz w:val="28"/>
              <w:szCs w:val="28"/>
            </w:rPr>
            <w:fldChar w:fldCharType="separate"/>
          </w:r>
          <w:r>
            <w:rPr>
              <w:b/>
              <w:bCs/>
              <w:sz w:val="28"/>
              <w:szCs w:val="28"/>
            </w:rPr>
            <w:t>3</w:t>
          </w:r>
          <w:r>
            <w:rPr>
              <w:b/>
              <w:bCs/>
              <w:sz w:val="28"/>
              <w:szCs w:val="28"/>
            </w:rPr>
            <w:fldChar w:fldCharType="end"/>
          </w:r>
          <w:r>
            <w:rPr>
              <w:rFonts w:hint="eastAsia"/>
              <w:b/>
              <w:bCs/>
              <w:sz w:val="28"/>
              <w:szCs w:val="28"/>
              <w:lang w:val="en-US" w:eastAsia="zh-CN"/>
            </w:rPr>
            <w:fldChar w:fldCharType="end"/>
          </w:r>
        </w:p>
        <w:p w14:paraId="2B60301C">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_Toc21778 </w:instrText>
          </w:r>
          <w:r>
            <w:rPr>
              <w:rFonts w:hint="eastAsia"/>
              <w:sz w:val="28"/>
              <w:szCs w:val="28"/>
              <w:lang w:val="en-US" w:eastAsia="zh-CN"/>
            </w:rPr>
            <w:fldChar w:fldCharType="separate"/>
          </w:r>
          <w:r>
            <w:rPr>
              <w:rFonts w:hint="eastAsia" w:ascii="宋体" w:hAnsi="宋体" w:eastAsia="宋体" w:cs="宋体"/>
              <w:sz w:val="28"/>
              <w:szCs w:val="28"/>
              <w:shd w:val="clear" w:fill="auto"/>
              <w:lang w:eastAsia="zh-CN"/>
            </w:rPr>
            <w:t>（一）</w:t>
          </w:r>
          <w:r>
            <w:rPr>
              <w:rFonts w:hint="eastAsia" w:ascii="宋体" w:hAnsi="宋体" w:eastAsia="宋体" w:cs="宋体"/>
              <w:sz w:val="28"/>
              <w:szCs w:val="28"/>
              <w:highlight w:val="none"/>
              <w:shd w:val="clear" w:color="auto" w:fill="auto"/>
              <w:lang w:eastAsia="zh-CN"/>
            </w:rPr>
            <w:t>绩效评价的目的、对象和范围</w:t>
          </w:r>
          <w:r>
            <w:rPr>
              <w:sz w:val="28"/>
              <w:szCs w:val="28"/>
            </w:rPr>
            <w:tab/>
          </w:r>
          <w:r>
            <w:rPr>
              <w:sz w:val="28"/>
              <w:szCs w:val="28"/>
            </w:rPr>
            <w:fldChar w:fldCharType="begin"/>
          </w:r>
          <w:r>
            <w:rPr>
              <w:sz w:val="28"/>
              <w:szCs w:val="28"/>
            </w:rPr>
            <w:instrText xml:space="preserve"> PAGEREF _Toc21778 \h </w:instrText>
          </w:r>
          <w:r>
            <w:rPr>
              <w:sz w:val="28"/>
              <w:szCs w:val="28"/>
            </w:rPr>
            <w:fldChar w:fldCharType="separate"/>
          </w:r>
          <w:r>
            <w:rPr>
              <w:sz w:val="28"/>
              <w:szCs w:val="28"/>
            </w:rPr>
            <w:t>3</w:t>
          </w:r>
          <w:r>
            <w:rPr>
              <w:sz w:val="28"/>
              <w:szCs w:val="28"/>
            </w:rPr>
            <w:fldChar w:fldCharType="end"/>
          </w:r>
          <w:r>
            <w:rPr>
              <w:rFonts w:hint="eastAsia"/>
              <w:sz w:val="28"/>
              <w:szCs w:val="28"/>
              <w:lang w:val="en-US" w:eastAsia="zh-CN"/>
            </w:rPr>
            <w:fldChar w:fldCharType="end"/>
          </w:r>
        </w:p>
        <w:p w14:paraId="6B30C709">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_Toc15902 </w:instrText>
          </w:r>
          <w:r>
            <w:rPr>
              <w:rFonts w:hint="eastAsia"/>
              <w:sz w:val="28"/>
              <w:szCs w:val="28"/>
              <w:lang w:val="en-US" w:eastAsia="zh-CN"/>
            </w:rPr>
            <w:fldChar w:fldCharType="separate"/>
          </w:r>
          <w:r>
            <w:rPr>
              <w:rFonts w:hint="eastAsia" w:ascii="宋体" w:hAnsi="宋体" w:eastAsia="宋体" w:cs="宋体"/>
              <w:sz w:val="28"/>
              <w:szCs w:val="28"/>
              <w:shd w:val="clear" w:fill="auto"/>
              <w:lang w:val="en-US" w:eastAsia="zh-CN"/>
            </w:rPr>
            <w:t>（二）</w:t>
          </w:r>
          <w:r>
            <w:rPr>
              <w:rFonts w:hint="eastAsia" w:ascii="宋体" w:hAnsi="宋体" w:eastAsia="宋体" w:cs="宋体"/>
              <w:sz w:val="28"/>
              <w:szCs w:val="28"/>
              <w:highlight w:val="none"/>
              <w:shd w:val="clear" w:color="auto" w:fill="auto"/>
              <w:lang w:val="en-US" w:eastAsia="zh-CN"/>
            </w:rPr>
            <w:t>绩效评价原则、评价指标体系（附表说明）、评价方法、评价标准</w:t>
          </w:r>
          <w:r>
            <w:rPr>
              <w:sz w:val="28"/>
              <w:szCs w:val="28"/>
            </w:rPr>
            <w:tab/>
          </w:r>
          <w:r>
            <w:rPr>
              <w:sz w:val="28"/>
              <w:szCs w:val="28"/>
            </w:rPr>
            <w:fldChar w:fldCharType="begin"/>
          </w:r>
          <w:r>
            <w:rPr>
              <w:sz w:val="28"/>
              <w:szCs w:val="28"/>
            </w:rPr>
            <w:instrText xml:space="preserve"> PAGEREF _Toc15902 \h </w:instrText>
          </w:r>
          <w:r>
            <w:rPr>
              <w:sz w:val="28"/>
              <w:szCs w:val="28"/>
            </w:rPr>
            <w:fldChar w:fldCharType="separate"/>
          </w:r>
          <w:r>
            <w:rPr>
              <w:sz w:val="28"/>
              <w:szCs w:val="28"/>
            </w:rPr>
            <w:t>4</w:t>
          </w:r>
          <w:r>
            <w:rPr>
              <w:sz w:val="28"/>
              <w:szCs w:val="28"/>
            </w:rPr>
            <w:fldChar w:fldCharType="end"/>
          </w:r>
          <w:r>
            <w:rPr>
              <w:rFonts w:hint="eastAsia"/>
              <w:sz w:val="28"/>
              <w:szCs w:val="28"/>
              <w:lang w:val="en-US" w:eastAsia="zh-CN"/>
            </w:rPr>
            <w:fldChar w:fldCharType="end"/>
          </w:r>
        </w:p>
        <w:p w14:paraId="788D0754">
          <w:pPr>
            <w:pStyle w:val="18"/>
            <w:keepNext w:val="0"/>
            <w:keepLines w:val="0"/>
            <w:pageBreakBefore w:val="0"/>
            <w:shd w:val="clear"/>
            <w:tabs>
              <w:tab w:val="right" w:leader="dot" w:pos="8844"/>
            </w:tabs>
            <w:kinsoku/>
            <w:wordWrap/>
            <w:overflowPunct/>
            <w:topLinePunct w:val="0"/>
            <w:autoSpaceDE/>
            <w:autoSpaceDN/>
            <w:bidi w:val="0"/>
            <w:adjustRightInd/>
            <w:snapToGrid/>
            <w:spacing w:line="520" w:lineRule="exact"/>
            <w:ind w:left="0" w:leftChars="0" w:firstLine="560" w:firstLineChars="200"/>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_Toc1070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val="en-US" w:eastAsia="zh-CN"/>
            </w:rPr>
            <w:t>（三）绩效评价工作过程</w:t>
          </w:r>
          <w:r>
            <w:rPr>
              <w:sz w:val="28"/>
              <w:szCs w:val="28"/>
            </w:rPr>
            <w:tab/>
          </w:r>
          <w:r>
            <w:rPr>
              <w:sz w:val="28"/>
              <w:szCs w:val="28"/>
            </w:rPr>
            <w:fldChar w:fldCharType="begin"/>
          </w:r>
          <w:r>
            <w:rPr>
              <w:sz w:val="28"/>
              <w:szCs w:val="28"/>
            </w:rPr>
            <w:instrText xml:space="preserve"> PAGEREF _Toc1070 \h </w:instrText>
          </w:r>
          <w:r>
            <w:rPr>
              <w:sz w:val="28"/>
              <w:szCs w:val="28"/>
            </w:rPr>
            <w:fldChar w:fldCharType="separate"/>
          </w:r>
          <w:r>
            <w:rPr>
              <w:sz w:val="28"/>
              <w:szCs w:val="28"/>
            </w:rPr>
            <w:t>8</w:t>
          </w:r>
          <w:r>
            <w:rPr>
              <w:sz w:val="28"/>
              <w:szCs w:val="28"/>
            </w:rPr>
            <w:fldChar w:fldCharType="end"/>
          </w:r>
          <w:r>
            <w:rPr>
              <w:rFonts w:hint="eastAsia"/>
              <w:sz w:val="28"/>
              <w:szCs w:val="28"/>
              <w:lang w:val="en-US" w:eastAsia="zh-CN"/>
            </w:rPr>
            <w:fldChar w:fldCharType="end"/>
          </w:r>
        </w:p>
        <w:p w14:paraId="00D4796B">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_Toc1100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三、</w:t>
          </w:r>
          <w:r>
            <w:rPr>
              <w:rFonts w:hint="eastAsia" w:ascii="宋体" w:hAnsi="宋体" w:eastAsia="宋体" w:cs="宋体"/>
              <w:b/>
              <w:bCs/>
              <w:sz w:val="28"/>
              <w:szCs w:val="28"/>
              <w:highlight w:val="none"/>
              <w:shd w:val="clear" w:color="auto" w:fill="auto"/>
            </w:rPr>
            <w:t>综合评价情况及评价结论</w:t>
          </w:r>
          <w:r>
            <w:rPr>
              <w:b/>
              <w:bCs/>
              <w:sz w:val="28"/>
              <w:szCs w:val="28"/>
            </w:rPr>
            <w:tab/>
          </w:r>
          <w:r>
            <w:rPr>
              <w:b/>
              <w:bCs/>
              <w:sz w:val="28"/>
              <w:szCs w:val="28"/>
            </w:rPr>
            <w:fldChar w:fldCharType="begin"/>
          </w:r>
          <w:r>
            <w:rPr>
              <w:b/>
              <w:bCs/>
              <w:sz w:val="28"/>
              <w:szCs w:val="28"/>
            </w:rPr>
            <w:instrText xml:space="preserve"> PAGEREF _Toc1100 \h </w:instrText>
          </w:r>
          <w:r>
            <w:rPr>
              <w:b/>
              <w:bCs/>
              <w:sz w:val="28"/>
              <w:szCs w:val="28"/>
            </w:rPr>
            <w:fldChar w:fldCharType="separate"/>
          </w:r>
          <w:r>
            <w:rPr>
              <w:b/>
              <w:bCs/>
              <w:sz w:val="28"/>
              <w:szCs w:val="28"/>
            </w:rPr>
            <w:t>10</w:t>
          </w:r>
          <w:r>
            <w:rPr>
              <w:b/>
              <w:bCs/>
              <w:sz w:val="28"/>
              <w:szCs w:val="28"/>
            </w:rPr>
            <w:fldChar w:fldCharType="end"/>
          </w:r>
          <w:r>
            <w:rPr>
              <w:rFonts w:hint="eastAsia"/>
              <w:b/>
              <w:bCs/>
              <w:sz w:val="28"/>
              <w:szCs w:val="28"/>
              <w:lang w:val="en-US" w:eastAsia="zh-CN"/>
            </w:rPr>
            <w:fldChar w:fldCharType="end"/>
          </w:r>
        </w:p>
        <w:p w14:paraId="48C2D9D6">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_Toc9421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四、绩效评价指标分析</w:t>
          </w:r>
          <w:r>
            <w:rPr>
              <w:b/>
              <w:bCs/>
              <w:sz w:val="28"/>
              <w:szCs w:val="28"/>
            </w:rPr>
            <w:tab/>
          </w:r>
          <w:r>
            <w:rPr>
              <w:b/>
              <w:bCs/>
              <w:sz w:val="28"/>
              <w:szCs w:val="28"/>
            </w:rPr>
            <w:fldChar w:fldCharType="begin"/>
          </w:r>
          <w:r>
            <w:rPr>
              <w:b/>
              <w:bCs/>
              <w:sz w:val="28"/>
              <w:szCs w:val="28"/>
            </w:rPr>
            <w:instrText xml:space="preserve"> PAGEREF _Toc9421 \h </w:instrText>
          </w:r>
          <w:r>
            <w:rPr>
              <w:b/>
              <w:bCs/>
              <w:sz w:val="28"/>
              <w:szCs w:val="28"/>
            </w:rPr>
            <w:fldChar w:fldCharType="separate"/>
          </w:r>
          <w:r>
            <w:rPr>
              <w:b/>
              <w:bCs/>
              <w:sz w:val="28"/>
              <w:szCs w:val="28"/>
            </w:rPr>
            <w:t>10</w:t>
          </w:r>
          <w:r>
            <w:rPr>
              <w:b/>
              <w:bCs/>
              <w:sz w:val="28"/>
              <w:szCs w:val="28"/>
            </w:rPr>
            <w:fldChar w:fldCharType="end"/>
          </w:r>
          <w:r>
            <w:rPr>
              <w:rFonts w:hint="eastAsia"/>
              <w:b/>
              <w:bCs/>
              <w:sz w:val="28"/>
              <w:szCs w:val="28"/>
              <w:lang w:val="en-US" w:eastAsia="zh-CN"/>
            </w:rPr>
            <w:fldChar w:fldCharType="end"/>
          </w:r>
        </w:p>
        <w:p w14:paraId="3D79647B">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_Toc15355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rPr>
            <w:t>（一）项目决策情况</w:t>
          </w:r>
          <w:r>
            <w:rPr>
              <w:sz w:val="28"/>
              <w:szCs w:val="28"/>
            </w:rPr>
            <w:tab/>
          </w:r>
          <w:r>
            <w:rPr>
              <w:sz w:val="28"/>
              <w:szCs w:val="28"/>
            </w:rPr>
            <w:fldChar w:fldCharType="begin"/>
          </w:r>
          <w:r>
            <w:rPr>
              <w:sz w:val="28"/>
              <w:szCs w:val="28"/>
            </w:rPr>
            <w:instrText xml:space="preserve"> PAGEREF _Toc15355 \h </w:instrText>
          </w:r>
          <w:r>
            <w:rPr>
              <w:sz w:val="28"/>
              <w:szCs w:val="28"/>
            </w:rPr>
            <w:fldChar w:fldCharType="separate"/>
          </w:r>
          <w:r>
            <w:rPr>
              <w:sz w:val="28"/>
              <w:szCs w:val="28"/>
            </w:rPr>
            <w:t>10</w:t>
          </w:r>
          <w:r>
            <w:rPr>
              <w:sz w:val="28"/>
              <w:szCs w:val="28"/>
            </w:rPr>
            <w:fldChar w:fldCharType="end"/>
          </w:r>
          <w:r>
            <w:rPr>
              <w:rFonts w:hint="eastAsia"/>
              <w:sz w:val="28"/>
              <w:szCs w:val="28"/>
              <w:lang w:val="en-US" w:eastAsia="zh-CN"/>
            </w:rPr>
            <w:fldChar w:fldCharType="end"/>
          </w:r>
        </w:p>
        <w:p w14:paraId="4C806522">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_Toc11361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二</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项目过程情况</w:t>
          </w:r>
          <w:r>
            <w:rPr>
              <w:sz w:val="28"/>
              <w:szCs w:val="28"/>
            </w:rPr>
            <w:tab/>
          </w:r>
          <w:r>
            <w:rPr>
              <w:sz w:val="28"/>
              <w:szCs w:val="28"/>
            </w:rPr>
            <w:fldChar w:fldCharType="begin"/>
          </w:r>
          <w:r>
            <w:rPr>
              <w:sz w:val="28"/>
              <w:szCs w:val="28"/>
            </w:rPr>
            <w:instrText xml:space="preserve"> PAGEREF _Toc11361 \h </w:instrText>
          </w:r>
          <w:r>
            <w:rPr>
              <w:sz w:val="28"/>
              <w:szCs w:val="28"/>
            </w:rPr>
            <w:fldChar w:fldCharType="separate"/>
          </w:r>
          <w:r>
            <w:rPr>
              <w:sz w:val="28"/>
              <w:szCs w:val="28"/>
            </w:rPr>
            <w:t>12</w:t>
          </w:r>
          <w:r>
            <w:rPr>
              <w:sz w:val="28"/>
              <w:szCs w:val="28"/>
            </w:rPr>
            <w:fldChar w:fldCharType="end"/>
          </w:r>
          <w:r>
            <w:rPr>
              <w:rFonts w:hint="eastAsia"/>
              <w:sz w:val="28"/>
              <w:szCs w:val="28"/>
              <w:lang w:val="en-US" w:eastAsia="zh-CN"/>
            </w:rPr>
            <w:fldChar w:fldCharType="end"/>
          </w:r>
        </w:p>
        <w:p w14:paraId="04760344">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_Toc16268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三</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项目产出情况</w:t>
          </w:r>
          <w:r>
            <w:rPr>
              <w:sz w:val="28"/>
              <w:szCs w:val="28"/>
            </w:rPr>
            <w:tab/>
          </w:r>
          <w:r>
            <w:rPr>
              <w:sz w:val="28"/>
              <w:szCs w:val="28"/>
            </w:rPr>
            <w:fldChar w:fldCharType="begin"/>
          </w:r>
          <w:r>
            <w:rPr>
              <w:sz w:val="28"/>
              <w:szCs w:val="28"/>
            </w:rPr>
            <w:instrText xml:space="preserve"> PAGEREF _Toc16268 \h </w:instrText>
          </w:r>
          <w:r>
            <w:rPr>
              <w:sz w:val="28"/>
              <w:szCs w:val="28"/>
            </w:rPr>
            <w:fldChar w:fldCharType="separate"/>
          </w:r>
          <w:r>
            <w:rPr>
              <w:sz w:val="28"/>
              <w:szCs w:val="28"/>
            </w:rPr>
            <w:t>14</w:t>
          </w:r>
          <w:r>
            <w:rPr>
              <w:sz w:val="28"/>
              <w:szCs w:val="28"/>
            </w:rPr>
            <w:fldChar w:fldCharType="end"/>
          </w:r>
          <w:r>
            <w:rPr>
              <w:rFonts w:hint="eastAsia"/>
              <w:sz w:val="28"/>
              <w:szCs w:val="28"/>
              <w:lang w:val="en-US" w:eastAsia="zh-CN"/>
            </w:rPr>
            <w:fldChar w:fldCharType="end"/>
          </w:r>
        </w:p>
        <w:p w14:paraId="62685DF7">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_Toc18446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四</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项目效益情况</w:t>
          </w:r>
          <w:r>
            <w:rPr>
              <w:sz w:val="28"/>
              <w:szCs w:val="28"/>
            </w:rPr>
            <w:tab/>
          </w:r>
          <w:r>
            <w:rPr>
              <w:sz w:val="28"/>
              <w:szCs w:val="28"/>
            </w:rPr>
            <w:fldChar w:fldCharType="begin"/>
          </w:r>
          <w:r>
            <w:rPr>
              <w:sz w:val="28"/>
              <w:szCs w:val="28"/>
            </w:rPr>
            <w:instrText xml:space="preserve"> PAGEREF _Toc18446 \h </w:instrText>
          </w:r>
          <w:r>
            <w:rPr>
              <w:sz w:val="28"/>
              <w:szCs w:val="28"/>
            </w:rPr>
            <w:fldChar w:fldCharType="separate"/>
          </w:r>
          <w:r>
            <w:rPr>
              <w:sz w:val="28"/>
              <w:szCs w:val="28"/>
            </w:rPr>
            <w:t>15</w:t>
          </w:r>
          <w:r>
            <w:rPr>
              <w:sz w:val="28"/>
              <w:szCs w:val="28"/>
            </w:rPr>
            <w:fldChar w:fldCharType="end"/>
          </w:r>
          <w:r>
            <w:rPr>
              <w:rFonts w:hint="eastAsia"/>
              <w:sz w:val="28"/>
              <w:szCs w:val="28"/>
              <w:lang w:val="en-US" w:eastAsia="zh-CN"/>
            </w:rPr>
            <w:fldChar w:fldCharType="end"/>
          </w:r>
        </w:p>
        <w:p w14:paraId="21DE8F6F">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_Toc19962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五、预算执行进度与指标偏差</w:t>
          </w:r>
          <w:r>
            <w:rPr>
              <w:b/>
              <w:bCs/>
              <w:sz w:val="28"/>
              <w:szCs w:val="28"/>
            </w:rPr>
            <w:tab/>
          </w:r>
          <w:r>
            <w:rPr>
              <w:b/>
              <w:bCs/>
              <w:sz w:val="28"/>
              <w:szCs w:val="28"/>
            </w:rPr>
            <w:fldChar w:fldCharType="begin"/>
          </w:r>
          <w:r>
            <w:rPr>
              <w:b/>
              <w:bCs/>
              <w:sz w:val="28"/>
              <w:szCs w:val="28"/>
            </w:rPr>
            <w:instrText xml:space="preserve"> PAGEREF _Toc19962 \h </w:instrText>
          </w:r>
          <w:r>
            <w:rPr>
              <w:b/>
              <w:bCs/>
              <w:sz w:val="28"/>
              <w:szCs w:val="28"/>
            </w:rPr>
            <w:fldChar w:fldCharType="separate"/>
          </w:r>
          <w:r>
            <w:rPr>
              <w:b/>
              <w:bCs/>
              <w:sz w:val="28"/>
              <w:szCs w:val="28"/>
            </w:rPr>
            <w:t>17</w:t>
          </w:r>
          <w:r>
            <w:rPr>
              <w:b/>
              <w:bCs/>
              <w:sz w:val="28"/>
              <w:szCs w:val="28"/>
            </w:rPr>
            <w:fldChar w:fldCharType="end"/>
          </w:r>
          <w:r>
            <w:rPr>
              <w:rFonts w:hint="eastAsia"/>
              <w:b/>
              <w:bCs/>
              <w:sz w:val="28"/>
              <w:szCs w:val="28"/>
              <w:lang w:val="en-US" w:eastAsia="zh-CN"/>
            </w:rPr>
            <w:fldChar w:fldCharType="end"/>
          </w:r>
        </w:p>
        <w:p w14:paraId="3EBE3794">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_Toc29934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六、主要经验及做法、存在的问题及原因分析</w:t>
          </w:r>
          <w:r>
            <w:rPr>
              <w:b/>
              <w:bCs/>
              <w:sz w:val="28"/>
              <w:szCs w:val="28"/>
            </w:rPr>
            <w:tab/>
          </w:r>
          <w:r>
            <w:rPr>
              <w:b/>
              <w:bCs/>
              <w:sz w:val="28"/>
              <w:szCs w:val="28"/>
            </w:rPr>
            <w:fldChar w:fldCharType="begin"/>
          </w:r>
          <w:r>
            <w:rPr>
              <w:b/>
              <w:bCs/>
              <w:sz w:val="28"/>
              <w:szCs w:val="28"/>
            </w:rPr>
            <w:instrText xml:space="preserve"> PAGEREF _Toc29934 \h </w:instrText>
          </w:r>
          <w:r>
            <w:rPr>
              <w:b/>
              <w:bCs/>
              <w:sz w:val="28"/>
              <w:szCs w:val="28"/>
            </w:rPr>
            <w:fldChar w:fldCharType="separate"/>
          </w:r>
          <w:r>
            <w:rPr>
              <w:b/>
              <w:bCs/>
              <w:sz w:val="28"/>
              <w:szCs w:val="28"/>
            </w:rPr>
            <w:t>17</w:t>
          </w:r>
          <w:r>
            <w:rPr>
              <w:b/>
              <w:bCs/>
              <w:sz w:val="28"/>
              <w:szCs w:val="28"/>
            </w:rPr>
            <w:fldChar w:fldCharType="end"/>
          </w:r>
          <w:r>
            <w:rPr>
              <w:rFonts w:hint="eastAsia"/>
              <w:b/>
              <w:bCs/>
              <w:sz w:val="28"/>
              <w:szCs w:val="28"/>
              <w:lang w:val="en-US" w:eastAsia="zh-CN"/>
            </w:rPr>
            <w:fldChar w:fldCharType="end"/>
          </w:r>
        </w:p>
        <w:p w14:paraId="570BD3B1">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_Toc13160 </w:instrText>
          </w:r>
          <w:r>
            <w:rPr>
              <w:rFonts w:hint="eastAsia"/>
              <w:sz w:val="28"/>
              <w:szCs w:val="28"/>
              <w:lang w:val="en-US" w:eastAsia="zh-CN"/>
            </w:rPr>
            <w:fldChar w:fldCharType="separate"/>
          </w:r>
          <w:r>
            <w:rPr>
              <w:rFonts w:hint="eastAsia"/>
              <w:bCs/>
              <w:sz w:val="28"/>
              <w:szCs w:val="28"/>
              <w:lang w:eastAsia="zh-CN"/>
            </w:rPr>
            <w:t>（</w:t>
          </w:r>
          <w:r>
            <w:rPr>
              <w:rFonts w:hint="eastAsia"/>
              <w:bCs/>
              <w:sz w:val="28"/>
              <w:szCs w:val="28"/>
              <w:lang w:val="en-US" w:eastAsia="zh-CN"/>
            </w:rPr>
            <w:t>一</w:t>
          </w:r>
          <w:r>
            <w:rPr>
              <w:rFonts w:hint="eastAsia"/>
              <w:bCs/>
              <w:sz w:val="28"/>
              <w:szCs w:val="28"/>
              <w:lang w:eastAsia="zh-CN"/>
            </w:rPr>
            <w:t>）</w:t>
          </w:r>
          <w:r>
            <w:rPr>
              <w:rFonts w:hint="eastAsia"/>
              <w:bCs/>
              <w:sz w:val="28"/>
              <w:szCs w:val="28"/>
            </w:rPr>
            <w:t>主要经验及做法</w:t>
          </w:r>
          <w:r>
            <w:rPr>
              <w:sz w:val="28"/>
              <w:szCs w:val="28"/>
            </w:rPr>
            <w:tab/>
          </w:r>
          <w:r>
            <w:rPr>
              <w:sz w:val="28"/>
              <w:szCs w:val="28"/>
            </w:rPr>
            <w:fldChar w:fldCharType="begin"/>
          </w:r>
          <w:r>
            <w:rPr>
              <w:sz w:val="28"/>
              <w:szCs w:val="28"/>
            </w:rPr>
            <w:instrText xml:space="preserve"> PAGEREF _Toc13160 \h </w:instrText>
          </w:r>
          <w:r>
            <w:rPr>
              <w:sz w:val="28"/>
              <w:szCs w:val="28"/>
            </w:rPr>
            <w:fldChar w:fldCharType="separate"/>
          </w:r>
          <w:r>
            <w:rPr>
              <w:sz w:val="28"/>
              <w:szCs w:val="28"/>
            </w:rPr>
            <w:t>17</w:t>
          </w:r>
          <w:r>
            <w:rPr>
              <w:sz w:val="28"/>
              <w:szCs w:val="28"/>
            </w:rPr>
            <w:fldChar w:fldCharType="end"/>
          </w:r>
          <w:r>
            <w:rPr>
              <w:rFonts w:hint="eastAsia"/>
              <w:sz w:val="28"/>
              <w:szCs w:val="28"/>
              <w:lang w:val="en-US" w:eastAsia="zh-CN"/>
            </w:rPr>
            <w:fldChar w:fldCharType="end"/>
          </w:r>
        </w:p>
        <w:p w14:paraId="65D98708">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_Toc9582 </w:instrText>
          </w:r>
          <w:r>
            <w:rPr>
              <w:rFonts w:hint="eastAsia"/>
              <w:sz w:val="28"/>
              <w:szCs w:val="28"/>
              <w:lang w:val="en-US" w:eastAsia="zh-CN"/>
            </w:rPr>
            <w:fldChar w:fldCharType="separate"/>
          </w:r>
          <w:r>
            <w:rPr>
              <w:rFonts w:hint="eastAsia"/>
              <w:bCs/>
              <w:sz w:val="28"/>
              <w:szCs w:val="28"/>
              <w:lang w:eastAsia="zh-CN"/>
            </w:rPr>
            <w:t>（</w:t>
          </w:r>
          <w:r>
            <w:rPr>
              <w:rFonts w:hint="eastAsia"/>
              <w:bCs/>
              <w:sz w:val="28"/>
              <w:szCs w:val="28"/>
              <w:lang w:val="en-US" w:eastAsia="zh-CN"/>
            </w:rPr>
            <w:t>二</w:t>
          </w:r>
          <w:r>
            <w:rPr>
              <w:rFonts w:hint="eastAsia"/>
              <w:bCs/>
              <w:sz w:val="28"/>
              <w:szCs w:val="28"/>
              <w:lang w:eastAsia="zh-CN"/>
            </w:rPr>
            <w:t>）</w:t>
          </w:r>
          <w:r>
            <w:rPr>
              <w:rFonts w:hint="eastAsia"/>
              <w:bCs/>
              <w:sz w:val="28"/>
              <w:szCs w:val="28"/>
            </w:rPr>
            <w:t>存在的问题及原因分析</w:t>
          </w:r>
          <w:r>
            <w:rPr>
              <w:sz w:val="28"/>
              <w:szCs w:val="28"/>
            </w:rPr>
            <w:tab/>
          </w:r>
          <w:r>
            <w:rPr>
              <w:sz w:val="28"/>
              <w:szCs w:val="28"/>
            </w:rPr>
            <w:fldChar w:fldCharType="begin"/>
          </w:r>
          <w:r>
            <w:rPr>
              <w:sz w:val="28"/>
              <w:szCs w:val="28"/>
            </w:rPr>
            <w:instrText xml:space="preserve"> PAGEREF _Toc9582 \h </w:instrText>
          </w:r>
          <w:r>
            <w:rPr>
              <w:sz w:val="28"/>
              <w:szCs w:val="28"/>
            </w:rPr>
            <w:fldChar w:fldCharType="separate"/>
          </w:r>
          <w:r>
            <w:rPr>
              <w:sz w:val="28"/>
              <w:szCs w:val="28"/>
            </w:rPr>
            <w:t>17</w:t>
          </w:r>
          <w:r>
            <w:rPr>
              <w:sz w:val="28"/>
              <w:szCs w:val="28"/>
            </w:rPr>
            <w:fldChar w:fldCharType="end"/>
          </w:r>
          <w:r>
            <w:rPr>
              <w:rFonts w:hint="eastAsia"/>
              <w:sz w:val="28"/>
              <w:szCs w:val="28"/>
              <w:lang w:val="en-US" w:eastAsia="zh-CN"/>
            </w:rPr>
            <w:fldChar w:fldCharType="end"/>
          </w:r>
        </w:p>
        <w:p w14:paraId="1B4F95C2">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_Toc5230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七、有关建议</w:t>
          </w:r>
          <w:r>
            <w:rPr>
              <w:b/>
              <w:bCs/>
              <w:sz w:val="28"/>
              <w:szCs w:val="28"/>
            </w:rPr>
            <w:tab/>
          </w:r>
          <w:r>
            <w:rPr>
              <w:b/>
              <w:bCs/>
              <w:sz w:val="28"/>
              <w:szCs w:val="28"/>
            </w:rPr>
            <w:fldChar w:fldCharType="begin"/>
          </w:r>
          <w:r>
            <w:rPr>
              <w:b/>
              <w:bCs/>
              <w:sz w:val="28"/>
              <w:szCs w:val="28"/>
            </w:rPr>
            <w:instrText xml:space="preserve"> PAGEREF _Toc5230 \h </w:instrText>
          </w:r>
          <w:r>
            <w:rPr>
              <w:b/>
              <w:bCs/>
              <w:sz w:val="28"/>
              <w:szCs w:val="28"/>
            </w:rPr>
            <w:fldChar w:fldCharType="separate"/>
          </w:r>
          <w:r>
            <w:rPr>
              <w:b/>
              <w:bCs/>
              <w:sz w:val="28"/>
              <w:szCs w:val="28"/>
            </w:rPr>
            <w:t>17</w:t>
          </w:r>
          <w:r>
            <w:rPr>
              <w:b/>
              <w:bCs/>
              <w:sz w:val="28"/>
              <w:szCs w:val="28"/>
            </w:rPr>
            <w:fldChar w:fldCharType="end"/>
          </w:r>
          <w:r>
            <w:rPr>
              <w:rFonts w:hint="eastAsia"/>
              <w:b/>
              <w:bCs/>
              <w:sz w:val="28"/>
              <w:szCs w:val="28"/>
              <w:lang w:val="en-US" w:eastAsia="zh-CN"/>
            </w:rPr>
            <w:fldChar w:fldCharType="end"/>
          </w:r>
        </w:p>
        <w:p w14:paraId="40549B16">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_Toc15618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八、其他需要说明的问题</w:t>
          </w:r>
          <w:r>
            <w:rPr>
              <w:b/>
              <w:bCs/>
              <w:sz w:val="28"/>
              <w:szCs w:val="28"/>
            </w:rPr>
            <w:tab/>
          </w:r>
          <w:r>
            <w:rPr>
              <w:b/>
              <w:bCs/>
              <w:sz w:val="28"/>
              <w:szCs w:val="28"/>
            </w:rPr>
            <w:fldChar w:fldCharType="begin"/>
          </w:r>
          <w:r>
            <w:rPr>
              <w:b/>
              <w:bCs/>
              <w:sz w:val="28"/>
              <w:szCs w:val="28"/>
            </w:rPr>
            <w:instrText xml:space="preserve"> PAGEREF _Toc15618 \h </w:instrText>
          </w:r>
          <w:r>
            <w:rPr>
              <w:b/>
              <w:bCs/>
              <w:sz w:val="28"/>
              <w:szCs w:val="28"/>
            </w:rPr>
            <w:fldChar w:fldCharType="separate"/>
          </w:r>
          <w:r>
            <w:rPr>
              <w:b/>
              <w:bCs/>
              <w:sz w:val="28"/>
              <w:szCs w:val="28"/>
            </w:rPr>
            <w:t>17</w:t>
          </w:r>
          <w:r>
            <w:rPr>
              <w:b/>
              <w:bCs/>
              <w:sz w:val="28"/>
              <w:szCs w:val="28"/>
            </w:rPr>
            <w:fldChar w:fldCharType="end"/>
          </w:r>
          <w:r>
            <w:rPr>
              <w:rFonts w:hint="eastAsia"/>
              <w:b/>
              <w:bCs/>
              <w:sz w:val="28"/>
              <w:szCs w:val="28"/>
              <w:lang w:val="en-US" w:eastAsia="zh-CN"/>
            </w:rPr>
            <w:fldChar w:fldCharType="end"/>
          </w:r>
        </w:p>
        <w:p w14:paraId="47B446CD">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p>
        <w:p w14:paraId="3B0F98CA">
          <w:pPr>
            <w:keepNext w:val="0"/>
            <w:keepLines w:val="0"/>
            <w:pageBreakBefore w:val="0"/>
            <w:shd w:val="clear"/>
            <w:kinsoku/>
            <w:wordWrap/>
            <w:overflowPunct/>
            <w:topLinePunct w:val="0"/>
            <w:autoSpaceDE/>
            <w:autoSpaceDN/>
            <w:bidi w:val="0"/>
            <w:adjustRightInd/>
            <w:snapToGrid/>
            <w:spacing w:line="520" w:lineRule="exact"/>
            <w:textAlignment w:val="auto"/>
            <w:rPr>
              <w:rFonts w:hint="eastAsia"/>
              <w:lang w:val="en-US" w:eastAsia="zh-CN"/>
            </w:rPr>
            <w:sectPr>
              <w:pgSz w:w="11906" w:h="16838"/>
              <w:pgMar w:top="1928" w:right="1531" w:bottom="1701" w:left="1531" w:header="737" w:footer="851" w:gutter="0"/>
              <w:cols w:space="720" w:num="1"/>
              <w:docGrid w:type="lines" w:linePitch="408" w:charSpace="0"/>
            </w:sectPr>
          </w:pPr>
          <w:r>
            <w:rPr>
              <w:rFonts w:hint="eastAsia"/>
              <w:sz w:val="28"/>
              <w:szCs w:val="28"/>
              <w:lang w:val="en-US" w:eastAsia="zh-CN"/>
            </w:rPr>
            <w:fldChar w:fldCharType="end"/>
          </w:r>
        </w:p>
      </w:sdtContent>
    </w:sdt>
    <w:p w14:paraId="184474E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themeColor="text1"/>
          <w:highlight w:val="none"/>
          <w:shd w:val="clear" w:color="auto" w:fill="auto"/>
          <w14:textFill>
            <w14:solidFill>
              <w14:schemeClr w14:val="tx1"/>
            </w14:solidFill>
          </w14:textFill>
        </w:rPr>
      </w:pPr>
      <w:bookmarkStart w:id="1" w:name="_Toc1194"/>
      <w:r>
        <w:rPr>
          <w:rFonts w:hint="eastAsia" w:ascii="宋体" w:hAnsi="宋体" w:eastAsia="宋体" w:cs="宋体"/>
          <w:b/>
          <w:bCs/>
          <w:color w:val="000000" w:themeColor="text1"/>
          <w:sz w:val="36"/>
          <w:szCs w:val="36"/>
          <w:highlight w:val="none"/>
          <w:shd w:val="clear" w:color="auto" w:fill="auto"/>
          <w:lang w:val="en-US" w:eastAsia="zh-CN"/>
          <w14:textFill>
            <w14:solidFill>
              <w14:schemeClr w14:val="tx1"/>
            </w14:solidFill>
          </w14:textFill>
        </w:rPr>
        <w:t>2016年病媒生物消杀项目</w:t>
      </w:r>
      <w:r>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t>支出绩效评价报告</w:t>
      </w:r>
      <w:bookmarkEnd w:id="1"/>
    </w:p>
    <w:p w14:paraId="233F2C16">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bookmarkStart w:id="2" w:name="_Toc17540"/>
      <w:r>
        <w:rPr>
          <w:rFonts w:hint="eastAsia" w:ascii="宋体" w:hAnsi="宋体" w:eastAsia="宋体" w:cs="宋体"/>
          <w:b/>
          <w:bCs/>
          <w:color w:val="000000" w:themeColor="text1"/>
          <w:highlight w:val="none"/>
          <w:shd w:val="clear" w:color="auto" w:fill="auto"/>
          <w14:textFill>
            <w14:solidFill>
              <w14:schemeClr w14:val="tx1"/>
            </w14:solidFill>
          </w14:textFill>
        </w:rPr>
        <w:t>一、基本情况</w:t>
      </w:r>
      <w:bookmarkEnd w:id="2"/>
    </w:p>
    <w:p w14:paraId="0147A624">
      <w:pPr>
        <w:pStyle w:val="2"/>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3" w:name="_Toc18966"/>
      <w:r>
        <w:rPr>
          <w:rFonts w:hint="eastAsia" w:ascii="宋体" w:hAnsi="宋体" w:eastAsia="宋体" w:cs="宋体"/>
          <w:color w:val="000000" w:themeColor="text1"/>
          <w:highlight w:val="none"/>
          <w:shd w:val="clear" w:color="auto" w:fill="auto"/>
          <w14:textFill>
            <w14:solidFill>
              <w14:schemeClr w14:val="tx1"/>
            </w14:solidFill>
          </w14:textFill>
        </w:rPr>
        <w:t>（一）项目概况</w:t>
      </w:r>
      <w:bookmarkEnd w:id="3"/>
    </w:p>
    <w:p w14:paraId="254701C0">
      <w:pPr>
        <w:pStyle w:val="4"/>
        <w:pageBreakBefore w:val="0"/>
        <w:kinsoku/>
        <w:wordWrap/>
        <w:overflowPunct/>
        <w:topLinePunct w:val="0"/>
        <w:autoSpaceDE/>
        <w:autoSpaceDN/>
        <w:bidi w:val="0"/>
        <w:adjustRightInd/>
        <w:spacing w:line="360" w:lineRule="auto"/>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bookmarkStart w:id="4" w:name="_Toc5043"/>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项目背景</w:t>
      </w:r>
      <w:bookmarkEnd w:id="4"/>
      <w:r>
        <w:rPr>
          <w:rFonts w:hint="eastAsia" w:ascii="宋体" w:hAnsi="宋体" w:eastAsia="宋体" w:cs="宋体"/>
          <w:color w:val="FF0000"/>
          <w:highlight w:val="none"/>
          <w:shd w:val="clear" w:color="auto" w:fill="auto"/>
          <w:lang w:val="en-US" w:eastAsia="zh-CN"/>
        </w:rPr>
        <w:t xml:space="preserve"> </w:t>
      </w:r>
    </w:p>
    <w:p w14:paraId="0D84BE65">
      <w:pPr>
        <w:bidi w:val="0"/>
        <w:rPr>
          <w:rFonts w:hint="eastAsia"/>
          <w:lang w:val="en-US" w:eastAsia="zh-CN"/>
        </w:rPr>
      </w:pPr>
      <w:r>
        <w:rPr>
          <w:rFonts w:hint="eastAsia" w:cs="宋体"/>
          <w:color w:val="000000" w:themeColor="text1"/>
          <w:highlight w:val="none"/>
          <w:shd w:val="clear" w:color="auto" w:fill="auto"/>
          <w:lang w:val="en-US" w:eastAsia="zh-CN"/>
          <w14:textFill>
            <w14:solidFill>
              <w14:schemeClr w14:val="tx1"/>
            </w14:solidFill>
          </w14:textFill>
        </w:rPr>
        <w:t>病媒生物是分布广、危害大、严重影响人民生活的有害生物。根据《国家卫生城市标准》、《病媒生物预防控制管理规定》的有关要求，为巩固全市前期病媒生物预防控制工作成果，确保病媒生物（密度控制水平达到国家密度控制水平C级标准，结合我市实际，再次对全市病媒生物防治工作进行了密度监测和防治消杀作业工作。</w:t>
      </w:r>
    </w:p>
    <w:p w14:paraId="3AF1F4E0">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5" w:name="_Toc27343"/>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14:textFill>
            <w14:solidFill>
              <w14:schemeClr w14:val="tx1"/>
            </w14:solidFill>
          </w14:textFill>
        </w:rPr>
        <w:t>主要内容及实施情况</w:t>
      </w:r>
      <w:bookmarkEnd w:id="5"/>
    </w:p>
    <w:p w14:paraId="1F19E313">
      <w:pPr>
        <w:pStyle w:val="4"/>
        <w:pageBreakBefore w:val="0"/>
        <w:kinsoku/>
        <w:wordWrap/>
        <w:overflowPunct/>
        <w:topLinePunct w:val="0"/>
        <w:autoSpaceDE/>
        <w:autoSpaceDN/>
        <w:bidi w:val="0"/>
        <w:adjustRightInd/>
        <w:spacing w:line="360" w:lineRule="auto"/>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bookmarkStart w:id="6" w:name="_Toc16592"/>
      <w:r>
        <w:rPr>
          <w:rFonts w:hint="eastAsia" w:cs="宋体"/>
          <w:color w:val="auto"/>
          <w:highlight w:val="none"/>
          <w:shd w:val="clear" w:color="auto" w:fill="auto"/>
          <w:lang w:val="en-US" w:eastAsia="zh-CN"/>
        </w:rPr>
        <w:t>主要内容</w:t>
      </w:r>
      <w:r>
        <w:rPr>
          <w:rFonts w:hint="eastAsia" w:ascii="宋体" w:hAnsi="宋体" w:eastAsia="宋体" w:cs="宋体"/>
          <w:color w:val="auto"/>
          <w:highlight w:val="none"/>
          <w:shd w:val="clear" w:color="auto" w:fill="auto"/>
          <w:lang w:val="en-US" w:eastAsia="zh-CN"/>
        </w:rPr>
        <w:t>：</w:t>
      </w:r>
      <w:bookmarkEnd w:id="6"/>
      <w:r>
        <w:rPr>
          <w:rFonts w:hint="eastAsia" w:ascii="宋体" w:hAnsi="宋体" w:eastAsia="宋体" w:cs="宋体"/>
          <w:color w:val="FF0000"/>
          <w:highlight w:val="none"/>
          <w:shd w:val="clear" w:color="auto" w:fill="auto"/>
          <w:lang w:val="en-US" w:eastAsia="zh-CN"/>
        </w:rPr>
        <w:t xml:space="preserve"> </w:t>
      </w:r>
    </w:p>
    <w:p w14:paraId="588ED4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组织实施</w:t>
      </w:r>
      <w:r>
        <w:rPr>
          <w:rFonts w:hint="eastAsia" w:ascii="宋体" w:hAnsi="宋体" w:eastAsia="宋体" w:cs="宋体"/>
          <w:color w:val="auto"/>
          <w:highlight w:val="none"/>
          <w:shd w:val="clear" w:color="auto" w:fill="auto"/>
          <w:lang w:val="en-US" w:eastAsia="zh-CN"/>
        </w:rPr>
        <w:t>：本项目自</w:t>
      </w:r>
      <w:r>
        <w:rPr>
          <w:rFonts w:hint="eastAsia" w:cs="宋体"/>
          <w:color w:val="auto"/>
          <w:highlight w:val="none"/>
          <w:shd w:val="clear" w:color="auto" w:fill="auto"/>
          <w:lang w:val="en-US" w:eastAsia="zh-CN"/>
        </w:rPr>
        <w:t>2016</w:t>
      </w:r>
      <w:r>
        <w:rPr>
          <w:rFonts w:hint="eastAsia" w:ascii="宋体" w:hAnsi="宋体" w:eastAsia="宋体" w:cs="宋体"/>
          <w:color w:val="auto"/>
          <w:highlight w:val="none"/>
          <w:shd w:val="clear" w:color="auto" w:fill="auto"/>
          <w:lang w:val="en-US" w:eastAsia="zh-CN"/>
        </w:rPr>
        <w:t>年</w:t>
      </w: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val="en-US" w:eastAsia="zh-CN"/>
        </w:rPr>
        <w:t>月</w:t>
      </w:r>
      <w:r>
        <w:rPr>
          <w:rFonts w:hint="eastAsia" w:cs="宋体"/>
          <w:color w:val="auto"/>
          <w:highlight w:val="none"/>
          <w:shd w:val="clear" w:color="auto" w:fill="auto"/>
          <w:lang w:val="en-US" w:eastAsia="zh-CN"/>
        </w:rPr>
        <w:t>12</w:t>
      </w:r>
      <w:r>
        <w:rPr>
          <w:rFonts w:hint="eastAsia" w:ascii="宋体" w:hAnsi="宋体" w:eastAsia="宋体" w:cs="宋体"/>
          <w:color w:val="auto"/>
          <w:highlight w:val="none"/>
          <w:shd w:val="clear" w:color="auto" w:fill="auto"/>
          <w:lang w:val="en-US" w:eastAsia="zh-CN"/>
        </w:rPr>
        <w:t>日</w:t>
      </w:r>
      <w:r>
        <w:rPr>
          <w:rFonts w:hint="eastAsia" w:cs="宋体"/>
          <w:color w:val="auto"/>
          <w:highlight w:val="none"/>
          <w:shd w:val="clear" w:color="auto" w:fill="auto"/>
          <w:lang w:val="en-US" w:eastAsia="zh-CN"/>
        </w:rPr>
        <w:t>接到阜康市爱国卫生运动委员会通知</w:t>
      </w:r>
      <w:r>
        <w:rPr>
          <w:rFonts w:hint="eastAsia" w:ascii="宋体" w:hAnsi="宋体" w:eastAsia="宋体" w:cs="宋体"/>
          <w:color w:val="auto"/>
          <w:highlight w:val="none"/>
          <w:shd w:val="clear" w:color="auto" w:fill="auto"/>
          <w:lang w:val="en-US" w:eastAsia="zh-CN"/>
        </w:rPr>
        <w:t>，经</w:t>
      </w:r>
      <w:r>
        <w:rPr>
          <w:rFonts w:hint="eastAsia" w:cs="宋体"/>
          <w:color w:val="auto"/>
          <w:highlight w:val="none"/>
          <w:shd w:val="clear" w:color="auto" w:fill="auto"/>
          <w:lang w:val="en-US" w:eastAsia="zh-CN"/>
        </w:rPr>
        <w:t>阜康市病媒生物预防控制专家组审定</w:t>
      </w:r>
      <w:r>
        <w:rPr>
          <w:rFonts w:hint="eastAsia" w:ascii="宋体" w:hAnsi="宋体" w:eastAsia="宋体" w:cs="宋体"/>
          <w:color w:val="auto"/>
          <w:highlight w:val="none"/>
          <w:shd w:val="clear" w:color="auto" w:fill="auto"/>
          <w:lang w:val="en-US" w:eastAsia="zh-CN"/>
        </w:rPr>
        <w:t>会议，确定了项目领导小组，明确了责任分工：组长为</w:t>
      </w:r>
      <w:r>
        <w:rPr>
          <w:rFonts w:hint="eastAsia" w:cs="宋体"/>
          <w:color w:val="auto"/>
          <w:highlight w:val="none"/>
          <w:shd w:val="clear" w:color="auto" w:fill="auto"/>
          <w:lang w:val="en-US" w:eastAsia="zh-CN"/>
        </w:rPr>
        <w:t>张跃天</w:t>
      </w:r>
      <w:r>
        <w:rPr>
          <w:rFonts w:hint="eastAsia" w:ascii="宋体" w:hAnsi="宋体" w:eastAsia="宋体" w:cs="宋体"/>
          <w:color w:val="auto"/>
          <w:highlight w:val="none"/>
          <w:shd w:val="clear" w:color="auto" w:fill="auto"/>
          <w:lang w:val="en-US" w:eastAsia="zh-CN"/>
        </w:rPr>
        <w:t>，副组长为</w:t>
      </w:r>
      <w:r>
        <w:rPr>
          <w:rFonts w:hint="eastAsia" w:cs="宋体"/>
          <w:color w:val="auto"/>
          <w:highlight w:val="none"/>
          <w:shd w:val="clear" w:color="auto" w:fill="auto"/>
          <w:lang w:val="en-US" w:eastAsia="zh-CN"/>
        </w:rPr>
        <w:t>董俊华、任雪云、严新萍</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项目负责人为任雪云,</w:t>
      </w:r>
      <w:r>
        <w:rPr>
          <w:rFonts w:hint="eastAsia" w:ascii="宋体" w:hAnsi="宋体" w:eastAsia="宋体" w:cs="宋体"/>
          <w:color w:val="auto"/>
          <w:highlight w:val="none"/>
          <w:shd w:val="clear" w:color="auto" w:fill="auto"/>
          <w:lang w:val="en-US" w:eastAsia="zh-CN"/>
        </w:rPr>
        <w:t>组员为</w:t>
      </w:r>
      <w:r>
        <w:rPr>
          <w:rFonts w:hint="eastAsia" w:cs="宋体"/>
          <w:color w:val="auto"/>
          <w:highlight w:val="none"/>
          <w:shd w:val="clear" w:color="auto" w:fill="auto"/>
          <w:lang w:val="en-US" w:eastAsia="zh-CN"/>
        </w:rPr>
        <w:t>李雪花、张玉华</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严瑛</w:t>
      </w:r>
      <w:r>
        <w:rPr>
          <w:rFonts w:hint="eastAsia" w:ascii="宋体" w:hAnsi="宋体" w:eastAsia="宋体" w:cs="宋体"/>
          <w:color w:val="auto"/>
          <w:highlight w:val="none"/>
          <w:shd w:val="clear" w:color="auto" w:fill="auto"/>
          <w:lang w:val="en-US" w:eastAsia="zh-CN"/>
        </w:rPr>
        <w:t>，其中：</w:t>
      </w:r>
      <w:r>
        <w:rPr>
          <w:rFonts w:hint="eastAsia" w:cs="宋体"/>
          <w:color w:val="auto"/>
          <w:highlight w:val="none"/>
          <w:shd w:val="clear" w:color="auto" w:fill="auto"/>
          <w:lang w:val="en-US" w:eastAsia="zh-CN"/>
        </w:rPr>
        <w:t>张玉华</w:t>
      </w:r>
      <w:r>
        <w:rPr>
          <w:rFonts w:hint="eastAsia" w:ascii="宋体" w:hAnsi="宋体" w:eastAsia="宋体" w:cs="宋体"/>
          <w:color w:val="auto"/>
          <w:highlight w:val="none"/>
          <w:shd w:val="clear" w:color="auto" w:fill="auto"/>
          <w:lang w:val="en-US" w:eastAsia="zh-CN"/>
        </w:rPr>
        <w:t>负责监管工作，</w:t>
      </w:r>
      <w:r>
        <w:rPr>
          <w:rFonts w:hint="eastAsia" w:cs="宋体"/>
          <w:color w:val="auto"/>
          <w:highlight w:val="none"/>
          <w:shd w:val="clear" w:color="auto" w:fill="auto"/>
          <w:lang w:val="en-US" w:eastAsia="zh-CN"/>
        </w:rPr>
        <w:t>严瑛</w:t>
      </w:r>
      <w:r>
        <w:rPr>
          <w:rFonts w:hint="eastAsia" w:ascii="宋体" w:hAnsi="宋体" w:eastAsia="宋体" w:cs="宋体"/>
          <w:color w:val="auto"/>
          <w:highlight w:val="none"/>
          <w:shd w:val="clear" w:color="auto" w:fill="auto"/>
          <w:lang w:val="en-US" w:eastAsia="zh-CN"/>
        </w:rPr>
        <w:t>负责项目档案资料，负责</w:t>
      </w:r>
      <w:r>
        <w:rPr>
          <w:rFonts w:hint="eastAsia" w:cs="宋体"/>
          <w:color w:val="auto"/>
          <w:highlight w:val="none"/>
          <w:shd w:val="clear" w:color="auto" w:fill="auto"/>
          <w:lang w:val="en-US" w:eastAsia="zh-CN"/>
        </w:rPr>
        <w:t>李雪花</w:t>
      </w:r>
      <w:r>
        <w:rPr>
          <w:rFonts w:hint="eastAsia" w:ascii="宋体" w:hAnsi="宋体" w:eastAsia="宋体" w:cs="宋体"/>
          <w:color w:val="auto"/>
          <w:highlight w:val="none"/>
          <w:shd w:val="clear" w:color="auto" w:fill="auto"/>
          <w:lang w:val="en-US" w:eastAsia="zh-CN"/>
        </w:rPr>
        <w:t>资金拨付工作。</w:t>
      </w:r>
    </w:p>
    <w:p w14:paraId="0797FFCA">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7" w:name="_Toc1858"/>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3.资金投入和使用情况</w:t>
      </w:r>
      <w:bookmarkEnd w:id="7"/>
    </w:p>
    <w:p w14:paraId="35BF1C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项目资金安排落实、总投入等情况分析</w:t>
      </w:r>
    </w:p>
    <w:p w14:paraId="5A0759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2016年病媒生物消杀项目预算安排总额为</w:t>
      </w:r>
      <w:r>
        <w:rPr>
          <w:rFonts w:hint="eastAsia" w:cs="宋体"/>
          <w:color w:val="000000" w:themeColor="text1"/>
          <w:highlight w:val="none"/>
          <w:shd w:val="clear" w:color="auto" w:fill="auto"/>
          <w:lang w:val="en-US" w:eastAsia="zh-CN"/>
          <w14:textFill>
            <w14:solidFill>
              <w14:schemeClr w14:val="tx1"/>
            </w14:solidFill>
          </w14:textFill>
        </w:rPr>
        <w:t>35</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万元，其中财政资</w:t>
      </w:r>
      <w:r>
        <w:rPr>
          <w:rFonts w:hint="eastAsia" w:cs="宋体"/>
          <w:color w:val="000000" w:themeColor="text1"/>
          <w:highlight w:val="none"/>
          <w:shd w:val="clear" w:color="auto" w:fill="auto"/>
          <w:lang w:val="en-US" w:eastAsia="zh-CN"/>
          <w14:textFill>
            <w14:solidFill>
              <w14:schemeClr w14:val="tx1"/>
            </w14:solidFill>
          </w14:textFill>
        </w:rPr>
        <w:t>金35</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万元，其他资金</w:t>
      </w:r>
      <w:r>
        <w:rPr>
          <w:rFonts w:hint="eastAsia" w:cs="宋体"/>
          <w:color w:val="000000" w:themeColor="text1"/>
          <w:highlight w:val="none"/>
          <w:shd w:val="clear" w:color="auto" w:fill="auto"/>
          <w:lang w:val="en-US" w:eastAsia="zh-CN"/>
          <w14:textFill>
            <w14:solidFill>
              <w14:schemeClr w14:val="tx1"/>
            </w14:solidFill>
          </w14:textFill>
        </w:rPr>
        <w:t>0</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万元，</w:t>
      </w:r>
      <w:r>
        <w:rPr>
          <w:rFonts w:hint="eastAsia" w:cs="宋体"/>
          <w:color w:val="000000" w:themeColor="text1"/>
          <w:highlight w:val="none"/>
          <w:shd w:val="clear" w:color="auto" w:fill="auto"/>
          <w:lang w:val="en-US" w:eastAsia="zh-CN"/>
          <w14:textFill>
            <w14:solidFill>
              <w14:schemeClr w14:val="tx1"/>
            </w14:solidFill>
          </w14:textFill>
        </w:rPr>
        <w:t>2023</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年实际收到预算资金</w:t>
      </w:r>
      <w:r>
        <w:rPr>
          <w:rFonts w:hint="eastAsia" w:cs="宋体"/>
          <w:color w:val="000000" w:themeColor="text1"/>
          <w:highlight w:val="none"/>
          <w:shd w:val="clear" w:color="auto" w:fill="auto"/>
          <w:lang w:val="en-US" w:eastAsia="zh-CN"/>
          <w14:textFill>
            <w14:solidFill>
              <w14:schemeClr w14:val="tx1"/>
            </w14:solidFill>
          </w14:textFill>
        </w:rPr>
        <w:t>35</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万元，预算资金到位率为</w:t>
      </w:r>
      <w:r>
        <w:rPr>
          <w:rFonts w:hint="eastAsia" w:cs="宋体"/>
          <w:color w:val="000000" w:themeColor="text1"/>
          <w:highlight w:val="none"/>
          <w:shd w:val="clear" w:color="auto" w:fill="auto"/>
          <w:lang w:val="en-US" w:eastAsia="zh-CN"/>
          <w14:textFill>
            <w14:solidFill>
              <w14:schemeClr w14:val="tx1"/>
            </w14:solidFill>
          </w14:textFill>
        </w:rPr>
        <w:t>100</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14:paraId="170AD5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bCs/>
          <w:color w:val="000000" w:themeColor="text1"/>
          <w:spacing w:val="-4"/>
          <w:highlight w:val="none"/>
          <w:shd w:val="clear" w:color="auto" w:fill="auto"/>
          <w14:textFill>
            <w14:solidFill>
              <w14:schemeClr w14:val="tx1"/>
            </w14:solidFill>
          </w14:textFill>
        </w:rPr>
      </w:pPr>
      <w:r>
        <w:rPr>
          <w:rFonts w:hint="eastAsia" w:ascii="宋体" w:hAnsi="宋体" w:eastAsia="宋体" w:cs="宋体"/>
          <w:bCs/>
          <w:color w:val="000000" w:themeColor="text1"/>
          <w:spacing w:val="-4"/>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spacing w:val="-4"/>
          <w:highlight w:val="none"/>
          <w:shd w:val="clear" w:color="auto" w:fill="auto"/>
          <w:lang w:val="en-US" w:eastAsia="zh-CN"/>
          <w14:textFill>
            <w14:solidFill>
              <w14:schemeClr w14:val="tx1"/>
            </w14:solidFill>
          </w14:textFill>
        </w:rPr>
        <w:t>2</w:t>
      </w:r>
      <w:r>
        <w:rPr>
          <w:rFonts w:hint="eastAsia" w:ascii="宋体" w:hAnsi="宋体" w:eastAsia="宋体" w:cs="宋体"/>
          <w:bCs/>
          <w:color w:val="000000" w:themeColor="text1"/>
          <w:spacing w:val="-4"/>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spacing w:val="-4"/>
          <w:highlight w:val="none"/>
          <w:shd w:val="clear" w:color="auto" w:fill="auto"/>
          <w14:textFill>
            <w14:solidFill>
              <w14:schemeClr w14:val="tx1"/>
            </w14:solidFill>
          </w14:textFill>
        </w:rPr>
        <w:t>项目资金实际使用情况分析</w:t>
      </w:r>
    </w:p>
    <w:p w14:paraId="4D1C3C3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截至2023年12月31日，</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2016年病媒生物消杀项目</w:t>
      </w:r>
      <w:r>
        <w:rPr>
          <w:rFonts w:hint="eastAsia" w:ascii="宋体" w:hAnsi="宋体" w:eastAsia="宋体" w:cs="宋体"/>
          <w:color w:val="auto"/>
          <w:highlight w:val="none"/>
          <w:shd w:val="clear" w:color="auto" w:fill="auto"/>
        </w:rPr>
        <w:t>实际支付资金</w:t>
      </w:r>
      <w:r>
        <w:rPr>
          <w:rFonts w:hint="eastAsia" w:cs="宋体"/>
          <w:color w:val="000000" w:themeColor="text1"/>
          <w:highlight w:val="none"/>
          <w:shd w:val="clear" w:color="auto" w:fill="auto"/>
          <w:lang w:val="en-US" w:eastAsia="zh-CN"/>
          <w14:textFill>
            <w14:solidFill>
              <w14:schemeClr w14:val="tx1"/>
            </w14:solidFill>
          </w14:textFill>
        </w:rPr>
        <w:t>35</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万元</w:t>
      </w:r>
      <w:r>
        <w:rPr>
          <w:rFonts w:hint="eastAsia" w:ascii="宋体" w:hAnsi="宋体" w:eastAsia="宋体" w:cs="宋体"/>
          <w:color w:val="auto"/>
          <w:highlight w:val="none"/>
          <w:shd w:val="clear" w:color="auto" w:fill="auto"/>
        </w:rPr>
        <w:t>，预算执行率</w:t>
      </w:r>
      <w:r>
        <w:rPr>
          <w:rFonts w:hint="eastAsia" w:cs="宋体"/>
          <w:color w:val="000000" w:themeColor="text1"/>
          <w:highlight w:val="none"/>
          <w:shd w:val="clear" w:color="auto" w:fill="auto"/>
          <w:lang w:val="en-US" w:eastAsia="zh-CN"/>
          <w14:textFill>
            <w14:solidFill>
              <w14:schemeClr w14:val="tx1"/>
            </w14:solidFill>
          </w14:textFill>
        </w:rPr>
        <w:t>100</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结</w:t>
      </w:r>
      <w:r>
        <w:rPr>
          <w:rFonts w:hint="eastAsia" w:cs="宋体"/>
          <w:color w:val="auto"/>
          <w:highlight w:val="none"/>
          <w:shd w:val="clear" w:color="auto" w:fill="auto"/>
          <w:lang w:val="en-US" w:eastAsia="zh-CN"/>
        </w:rPr>
        <w:t>转</w:t>
      </w:r>
      <w:r>
        <w:rPr>
          <w:rFonts w:hint="eastAsia" w:ascii="宋体" w:hAnsi="宋体" w:eastAsia="宋体" w:cs="宋体"/>
          <w:color w:val="auto"/>
          <w:highlight w:val="none"/>
          <w:shd w:val="clear" w:color="auto" w:fill="auto"/>
          <w:lang w:eastAsia="zh-CN"/>
        </w:rPr>
        <w:t>结余资金</w:t>
      </w:r>
      <w:r>
        <w:rPr>
          <w:rFonts w:hint="eastAsia" w:cs="宋体"/>
          <w:color w:val="auto"/>
          <w:highlight w:val="none"/>
          <w:shd w:val="clear" w:color="auto" w:fill="auto"/>
          <w:lang w:val="en-US" w:eastAsia="zh-CN"/>
        </w:rPr>
        <w:t>0</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万元</w:t>
      </w:r>
      <w:r>
        <w:rPr>
          <w:rFonts w:hint="eastAsia" w:ascii="宋体" w:hAnsi="宋体" w:eastAsia="宋体" w:cs="宋体"/>
          <w:color w:val="auto"/>
          <w:highlight w:val="none"/>
          <w:shd w:val="clear" w:color="auto" w:fill="auto"/>
          <w:lang w:val="en-US" w:eastAsia="zh-CN"/>
        </w:rPr>
        <w:t>，已上缴国库。</w:t>
      </w:r>
      <w:r>
        <w:rPr>
          <w:rFonts w:hint="eastAsia" w:ascii="宋体" w:hAnsi="宋体" w:eastAsia="宋体" w:cs="宋体"/>
          <w:color w:val="auto"/>
          <w:highlight w:val="none"/>
          <w:shd w:val="clear" w:color="auto" w:fill="auto"/>
        </w:rPr>
        <w:t>项目资金主要用于</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病媒生物消杀</w:t>
      </w:r>
      <w:r>
        <w:rPr>
          <w:rFonts w:hint="eastAsia" w:cs="宋体"/>
          <w:color w:val="auto"/>
          <w:highlight w:val="none"/>
          <w:shd w:val="clear" w:color="auto" w:fill="auto"/>
          <w:lang w:val="en-US" w:eastAsia="zh-CN"/>
        </w:rPr>
        <w:t>等方面。</w:t>
      </w:r>
    </w:p>
    <w:p w14:paraId="0099998B">
      <w:pPr>
        <w:pStyle w:val="2"/>
        <w:pageBreakBefore w:val="0"/>
        <w:numPr>
          <w:ilvl w:val="0"/>
          <w:numId w:val="1"/>
        </w:numPr>
        <w:kinsoku/>
        <w:wordWrap/>
        <w:overflowPunct/>
        <w:topLinePunct w:val="0"/>
        <w:autoSpaceDE/>
        <w:autoSpaceDN/>
        <w:bidi w:val="0"/>
        <w:adjustRightInd/>
        <w:spacing w:beforeLines="0" w:afterLines="0" w:line="360" w:lineRule="auto"/>
        <w:ind w:left="-404" w:leftChars="0" w:firstLineChars="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8" w:name="_Toc2879"/>
      <w:r>
        <w:rPr>
          <w:rFonts w:hint="eastAsia" w:ascii="宋体" w:hAnsi="宋体" w:eastAsia="宋体" w:cs="宋体"/>
          <w:color w:val="000000" w:themeColor="text1"/>
          <w:highlight w:val="none"/>
          <w:shd w:val="clear" w:color="auto" w:fill="auto"/>
          <w14:textFill>
            <w14:solidFill>
              <w14:schemeClr w14:val="tx1"/>
            </w14:solidFill>
          </w14:textFill>
        </w:rPr>
        <w:t>项目绩效目标</w:t>
      </w:r>
      <w:bookmarkEnd w:id="8"/>
    </w:p>
    <w:p w14:paraId="63704EC1">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9" w:name="_Toc10047"/>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1.总体目标</w:t>
      </w:r>
      <w:bookmarkEnd w:id="9"/>
    </w:p>
    <w:p w14:paraId="0B8EF450">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kern w:val="2"/>
          <w:sz w:val="28"/>
          <w:szCs w:val="28"/>
          <w:highlight w:val="none"/>
          <w:shd w:val="clear" w:color="auto" w:fill="auto"/>
          <w:lang w:val="en-US" w:eastAsia="zh-CN" w:bidi="ar-SA"/>
          <w14:textFill>
            <w14:solidFill>
              <w14:schemeClr w14:val="tx1"/>
            </w14:solidFill>
          </w14:textFill>
        </w:rPr>
      </w:pPr>
      <w:bookmarkStart w:id="10" w:name="_Toc4487"/>
      <w:r>
        <w:rPr>
          <w:rFonts w:hint="eastAsia" w:ascii="宋体" w:hAnsi="宋体" w:eastAsia="宋体" w:cs="宋体"/>
          <w:b w:val="0"/>
          <w:bCs/>
          <w:color w:val="000000" w:themeColor="text1"/>
          <w:kern w:val="2"/>
          <w:sz w:val="28"/>
          <w:szCs w:val="28"/>
          <w:highlight w:val="none"/>
          <w:shd w:val="clear" w:color="auto" w:fill="auto"/>
          <w:lang w:val="en-US" w:eastAsia="zh-CN" w:bidi="ar-SA"/>
          <w14:textFill>
            <w14:solidFill>
              <w14:schemeClr w14:val="tx1"/>
            </w14:solidFill>
          </w14:textFill>
        </w:rPr>
        <w:t>为保证疾病预防控制，针对2016年病媒生物消杀项目，阜康市疾病预防控制中心2023年预计完成2016年病媒生物消杀2次，项目的实施让广大居民的健康和安全意识逐步提高。</w:t>
      </w:r>
    </w:p>
    <w:p w14:paraId="46D53E58">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2.阶段性目标</w:t>
      </w:r>
      <w:bookmarkEnd w:id="10"/>
    </w:p>
    <w:p w14:paraId="7BCA201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highlight w:val="none"/>
          <w:shd w:val="clear" w:color="auto" w:fill="auto"/>
          <w:lang w:eastAsia="zh-CN"/>
          <w14:textFill>
            <w14:solidFill>
              <w14:schemeClr w14:val="tx1"/>
            </w14:solidFill>
          </w14:textFill>
        </w:rPr>
      </w:pP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根据《预算法</w:t>
      </w:r>
      <w:r>
        <w:rPr>
          <w:rFonts w:hint="eastAsia" w:cs="宋体"/>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财政支出绩效评价管理暂行办法》（财预〔20</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20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10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号）、《自治区党委自治区人民政府关于全面实施预算绩效管理的实施意见》（新党发〔2018〕30号）、</w:t>
      </w:r>
      <w:r>
        <w:rPr>
          <w:rFonts w:hint="eastAsia" w:ascii="宋体" w:hAnsi="宋体" w:eastAsia="宋体" w:cs="宋体"/>
          <w:color w:val="000000" w:themeColor="text1"/>
          <w:highlight w:val="none"/>
          <w:shd w:val="clear" w:color="auto" w:fill="auto"/>
          <w14:textFill>
            <w14:solidFill>
              <w14:schemeClr w14:val="tx1"/>
            </w14:solidFill>
          </w14:textFill>
        </w:rPr>
        <w:t>《自治区财政支出绩效评价管理暂行办法》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新财预〔2018〕189号</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等文件</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的规定，结合项目实施单位的规章制度以及财务相关资料，评价小组对项目绩效目标进行了进一步的完善，完善</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后</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绩效目标如下：</w:t>
      </w:r>
    </w:p>
    <w:p w14:paraId="28B8A2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项目产出</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目标</w:t>
      </w:r>
    </w:p>
    <w:p w14:paraId="4623BF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①数量指标</w:t>
      </w:r>
    </w:p>
    <w:p w14:paraId="425721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“消杀合作商家数量”</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指标，预期指标值为≥</w:t>
      </w:r>
      <w:r>
        <w:rPr>
          <w:rFonts w:hint="eastAsia" w:cs="宋体"/>
          <w:color w:val="000000" w:themeColor="text1"/>
          <w:highlight w:val="none"/>
          <w:shd w:val="clear" w:color="auto" w:fill="auto"/>
          <w:lang w:val="en-US" w:eastAsia="zh-CN"/>
          <w14:textFill>
            <w14:solidFill>
              <w14:schemeClr w14:val="tx1"/>
            </w14:solidFill>
          </w14:textFill>
        </w:rPr>
        <w:t>1家</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14:paraId="76358B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“2016年病媒生物消杀次数”</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指标，预期指标值为≥</w:t>
      </w:r>
      <w:r>
        <w:rPr>
          <w:rFonts w:hint="eastAsia" w:cs="宋体"/>
          <w:color w:val="000000" w:themeColor="text1"/>
          <w:highlight w:val="none"/>
          <w:shd w:val="clear" w:color="auto" w:fill="auto"/>
          <w:lang w:val="en-US" w:eastAsia="zh-CN"/>
          <w14:textFill>
            <w14:solidFill>
              <w14:schemeClr w14:val="tx1"/>
            </w14:solidFill>
          </w14:textFill>
        </w:rPr>
        <w:t>2次</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14:paraId="5AF1E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②质量指标</w:t>
      </w:r>
    </w:p>
    <w:p w14:paraId="7A4F96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“2016年病媒生物消杀合格率”</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指标，预期指标值为100%；</w:t>
      </w:r>
    </w:p>
    <w:p w14:paraId="6078F5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③</w:t>
      </w:r>
      <w:r>
        <w:rPr>
          <w:rFonts w:hint="eastAsia" w:cs="宋体"/>
          <w:color w:val="000000" w:themeColor="text1"/>
          <w:highlight w:val="none"/>
          <w:shd w:val="clear" w:color="auto" w:fill="auto"/>
          <w:lang w:val="en-US" w:eastAsia="zh-CN"/>
          <w14:textFill>
            <w14:solidFill>
              <w14:schemeClr w14:val="tx1"/>
            </w14:solidFill>
          </w14:textFill>
        </w:rPr>
        <w:t>时效</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w:t>
      </w:r>
    </w:p>
    <w:p w14:paraId="11B5A1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“2016年病媒生物消杀及时率”</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指标，预期指标值为100%；</w:t>
      </w:r>
    </w:p>
    <w:p w14:paraId="0F406A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“2016年病媒生物消杀项目资金执行时间”</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指标，预期指标值为</w:t>
      </w:r>
      <w:r>
        <w:rPr>
          <w:rFonts w:hint="eastAsia" w:cs="宋体"/>
          <w:color w:val="000000" w:themeColor="text1"/>
          <w:highlight w:val="none"/>
          <w:shd w:val="clear" w:color="auto" w:fill="auto"/>
          <w:lang w:val="en-US" w:eastAsia="zh-CN"/>
          <w14:textFill>
            <w14:solidFill>
              <w14:schemeClr w14:val="tx1"/>
            </w14:solidFill>
          </w14:textFill>
        </w:rPr>
        <w:t>2023年5月</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14:paraId="59A25E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成本指标</w:t>
      </w:r>
    </w:p>
    <w:p w14:paraId="547DD1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“2016年病媒生物消杀成本”</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指标，预期指标值为≦</w:t>
      </w:r>
      <w:r>
        <w:rPr>
          <w:rFonts w:hint="eastAsia" w:cs="宋体"/>
          <w:color w:val="000000" w:themeColor="text1"/>
          <w:highlight w:val="none"/>
          <w:shd w:val="clear" w:color="auto" w:fill="auto"/>
          <w:lang w:val="en-US" w:eastAsia="zh-CN"/>
          <w14:textFill>
            <w14:solidFill>
              <w14:schemeClr w14:val="tx1"/>
            </w14:solidFill>
          </w14:textFill>
        </w:rPr>
        <w:t>35</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万元；</w:t>
      </w:r>
    </w:p>
    <w:p w14:paraId="76CFE7A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）项目效益</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目标</w:t>
      </w:r>
    </w:p>
    <w:p w14:paraId="625F54D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①经济效益指标</w:t>
      </w:r>
    </w:p>
    <w:p w14:paraId="046D7C47">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cs="宋体"/>
          <w:color w:val="000000" w:themeColor="text1"/>
          <w:highlight w:val="none"/>
          <w:shd w:val="clear" w:color="auto" w:fill="auto"/>
          <w:lang w:val="en-US" w:eastAsia="zh-CN"/>
          <w14:textFill>
            <w14:solidFill>
              <w14:schemeClr w14:val="tx1"/>
            </w14:solidFill>
          </w14:textFill>
        </w:rPr>
        <w:t>本项目不涉及经济效益</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w:t>
      </w:r>
    </w:p>
    <w:p w14:paraId="4D2CE7B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②社会效益指标</w:t>
      </w:r>
    </w:p>
    <w:p w14:paraId="466631D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“广大居民的健康和安全意识”</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指标，预期指标值为逐步提高；</w:t>
      </w:r>
    </w:p>
    <w:p w14:paraId="079E10E8">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③</w:t>
      </w:r>
      <w:r>
        <w:rPr>
          <w:rFonts w:hint="eastAsia" w:cs="宋体"/>
          <w:color w:val="000000" w:themeColor="text1"/>
          <w:highlight w:val="none"/>
          <w:shd w:val="clear" w:color="auto" w:fill="auto"/>
          <w:lang w:val="en-US" w:eastAsia="zh-CN"/>
          <w14:textFill>
            <w14:solidFill>
              <w14:schemeClr w14:val="tx1"/>
            </w14:solidFill>
          </w14:textFill>
        </w:rPr>
        <w:t>生态效益指标</w:t>
      </w:r>
    </w:p>
    <w:p w14:paraId="59D12643">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cs="宋体"/>
          <w:color w:val="000000" w:themeColor="text1"/>
          <w:highlight w:val="none"/>
          <w:shd w:val="clear" w:color="auto" w:fill="auto"/>
          <w:lang w:val="en-US" w:eastAsia="zh-CN"/>
          <w14:textFill>
            <w14:solidFill>
              <w14:schemeClr w14:val="tx1"/>
            </w14:solidFill>
          </w14:textFill>
        </w:rPr>
        <w:t>本项目不涉及生态效益</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w:t>
      </w:r>
    </w:p>
    <w:p w14:paraId="2A83568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④可持续影响</w:t>
      </w:r>
    </w:p>
    <w:p w14:paraId="4363D2E2">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auto"/>
          <w:highlight w:val="none"/>
          <w:shd w:val="clear" w:color="auto" w:fill="auto"/>
          <w:lang w:val="en-US" w:eastAsia="zh-CN"/>
        </w:rPr>
      </w:pPr>
      <w:r>
        <w:rPr>
          <w:rFonts w:hint="eastAsia" w:cs="宋体"/>
          <w:color w:val="000000" w:themeColor="text1"/>
          <w:highlight w:val="none"/>
          <w:shd w:val="clear" w:color="auto" w:fill="auto"/>
          <w:lang w:val="en-US" w:eastAsia="zh-CN"/>
          <w14:textFill>
            <w14:solidFill>
              <w14:schemeClr w14:val="tx1"/>
            </w14:solidFill>
          </w14:textFill>
        </w:rPr>
        <w:t>本项目不涉及</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可持续影响</w:t>
      </w:r>
    </w:p>
    <w:p w14:paraId="1ADDA21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cs="宋体"/>
          <w:color w:val="000000" w:themeColor="text1"/>
          <w:highlight w:val="none"/>
          <w:shd w:val="clear" w:color="auto" w:fill="auto"/>
          <w:lang w:val="en-US" w:eastAsia="zh-CN"/>
          <w14:textFill>
            <w14:solidFill>
              <w14:schemeClr w14:val="tx1"/>
            </w14:solidFill>
          </w14:textFill>
        </w:rPr>
        <w:t>⑤</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满意度指标</w:t>
      </w:r>
    </w:p>
    <w:p w14:paraId="0A177404">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11" w:name="_Toc2549"/>
      <w:r>
        <w:rPr>
          <w:rFonts w:hint="eastAsia" w:cs="宋体"/>
          <w:color w:val="000000" w:themeColor="text1"/>
          <w:highlight w:val="none"/>
          <w:shd w:val="clear" w:color="auto" w:fill="auto"/>
          <w:lang w:val="en-US" w:eastAsia="zh-CN"/>
          <w14:textFill>
            <w14:solidFill>
              <w14:schemeClr w14:val="tx1"/>
            </w14:solidFill>
          </w14:textFill>
        </w:rPr>
        <w:t>本项目不涉及</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满意度指标</w:t>
      </w:r>
    </w:p>
    <w:p w14:paraId="10994AF6">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t>二、绩效评价工作开展情况</w:t>
      </w:r>
      <w:bookmarkEnd w:id="11"/>
    </w:p>
    <w:p w14:paraId="33D8C1C3">
      <w:pPr>
        <w:pStyle w:val="2"/>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pPr>
      <w:bookmarkStart w:id="12" w:name="_Toc22922"/>
      <w:bookmarkStart w:id="13" w:name="_Toc5258"/>
      <w:bookmarkStart w:id="14" w:name="_Toc5462343"/>
      <w:bookmarkStart w:id="15" w:name="_Toc480473081"/>
      <w:bookmarkStart w:id="16" w:name="_Toc22169_WPSOffice_Level2"/>
      <w:bookmarkStart w:id="17" w:name="_Toc26632"/>
      <w:bookmarkStart w:id="18" w:name="_Toc12868"/>
      <w:bookmarkStart w:id="19" w:name="_Toc21664"/>
      <w:bookmarkStart w:id="20" w:name="_Toc21778"/>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绩效评价的目的</w:t>
      </w:r>
      <w:bookmarkEnd w:id="12"/>
      <w:bookmarkEnd w:id="13"/>
      <w:bookmarkEnd w:id="14"/>
      <w:bookmarkEnd w:id="15"/>
      <w:bookmarkEnd w:id="16"/>
      <w:bookmarkEnd w:id="17"/>
      <w:bookmarkEnd w:id="18"/>
      <w:bookmarkEnd w:id="19"/>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、对象和范围</w:t>
      </w:r>
      <w:bookmarkEnd w:id="20"/>
    </w:p>
    <w:p w14:paraId="0161C166">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21" w:name="_Toc15732"/>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绩效评价的目的</w:t>
      </w:r>
      <w:bookmarkEnd w:id="21"/>
    </w:p>
    <w:p w14:paraId="5194D916">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为全面了解</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该</w:t>
      </w:r>
      <w:r>
        <w:rPr>
          <w:rFonts w:hint="eastAsia" w:ascii="宋体" w:hAnsi="宋体" w:eastAsia="宋体" w:cs="宋体"/>
          <w:color w:val="000000" w:themeColor="text1"/>
          <w:highlight w:val="none"/>
          <w:shd w:val="clear" w:color="auto" w:fill="auto"/>
          <w:lang w:eastAsia="zh-CN"/>
          <w14:textFill>
            <w14:solidFill>
              <w14:schemeClr w14:val="tx1"/>
            </w14:solidFill>
          </w14:textFill>
        </w:rPr>
        <w:t>项目预算编制合理性、资金使用合规性、项目管理的规范性、</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绩效</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目标的实现情况、服务对象的满意度等，通过本次</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部门</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绩效评价来总结经验和教训，促进项目成果转化和应用，为今后类似项目的长效管理，提供可行性参考建议。</w:t>
      </w:r>
    </w:p>
    <w:p w14:paraId="173A53DE">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22" w:name="_Toc30609"/>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2.绩效评价的对象和范围</w:t>
      </w:r>
      <w:bookmarkEnd w:id="22"/>
    </w:p>
    <w:p w14:paraId="64E609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此次我单位根据</w:t>
      </w:r>
      <w:r>
        <w:rPr>
          <w:rFonts w:hint="eastAsia" w:ascii="宋体" w:hAnsi="宋体" w:eastAsia="宋体" w:cs="宋体"/>
          <w:color w:val="000000" w:themeColor="text1"/>
          <w:highlight w:val="none"/>
          <w:shd w:val="clear" w:color="auto" w:fill="auto"/>
          <w14:textFill>
            <w14:solidFill>
              <w14:schemeClr w14:val="tx1"/>
            </w14:solidFill>
          </w14:textFill>
        </w:rPr>
        <w:t>《财政支出绩效评价管理暂行办法》（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财预〔2020〕10号</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文件要求对</w:t>
      </w:r>
      <w:r>
        <w:rPr>
          <w:rFonts w:hint="eastAsia" w:cs="宋体"/>
          <w:color w:val="000000" w:themeColor="text1"/>
          <w:highlight w:val="none"/>
          <w:shd w:val="clear" w:color="auto" w:fill="auto"/>
          <w:lang w:val="en-US" w:eastAsia="zh-CN"/>
          <w14:textFill>
            <w14:solidFill>
              <w14:schemeClr w14:val="tx1"/>
            </w14:solidFill>
          </w14:textFill>
        </w:rPr>
        <w:t>2023</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年度我单位实施的</w:t>
      </w:r>
      <w:r>
        <w:rPr>
          <w:rFonts w:hint="eastAsia" w:ascii="宋体" w:hAnsi="宋体" w:eastAsia="宋体" w:cs="宋体"/>
          <w:color w:val="000000" w:themeColor="text1"/>
          <w:highlight w:val="none"/>
          <w:shd w:val="clear" w:color="auto" w:fill="auto"/>
          <w:lang w:eastAsia="zh-CN"/>
          <w14:textFill>
            <w14:solidFill>
              <w14:schemeClr w14:val="tx1"/>
            </w14:solidFill>
          </w14:textFill>
        </w:rPr>
        <w:t>2016年病媒生物消杀</w:t>
      </w:r>
      <w:r>
        <w:rPr>
          <w:rFonts w:hint="eastAsia" w:ascii="宋体" w:hAnsi="宋体" w:eastAsia="宋体" w:cs="宋体"/>
          <w:color w:val="auto"/>
          <w:highlight w:val="none"/>
          <w:shd w:val="clear" w:color="auto" w:fill="auto"/>
          <w:lang w:val="en-US" w:eastAsia="zh-CN"/>
        </w:rPr>
        <w:t>项目</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开展部门绩效评价。</w:t>
      </w:r>
    </w:p>
    <w:p w14:paraId="4408E7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本次绩效评价主要围绕项目决策、项目管理、项目产出、项目效益四个维度，对该专项资金的预算编制、项目实施、监督管理、资金支出使用、绩效目标的实现情况以及受益对象的满意度等开展综合评价。</w:t>
      </w:r>
    </w:p>
    <w:p w14:paraId="311E0FC7">
      <w:pPr>
        <w:pStyle w:val="2"/>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pPr>
      <w:bookmarkStart w:id="23" w:name="_Toc15902"/>
      <w:r>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t>绩效评价原则、评价指标体系（附表说明）、评价方法、评价标准</w:t>
      </w:r>
      <w:bookmarkEnd w:id="23"/>
    </w:p>
    <w:p w14:paraId="4D84B0BD">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24" w:name="_Toc24506"/>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绩效评价原则</w:t>
      </w:r>
      <w:bookmarkEnd w:id="24"/>
    </w:p>
    <w:p w14:paraId="42CE00C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依据</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《财政支出绩效评价管理暂行办法》（财预〔20</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20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10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号）</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本次绩效评价秉承科学规范、公正公开、分级分类、绩效相关等原则，按照从投入、过程到产出效果和影响的绩效逻辑路径，结合</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2016年病媒生物消杀项目</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实际开展情况，运用定量和定性分析相结合的方法，总结经验做法，反思项目实施和管理中的问题，以切实提升财政资金管理的科学化、规范化和精细化水平。</w:t>
      </w:r>
    </w:p>
    <w:p w14:paraId="5AEBA55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根据以上原则，绩效评价应遵循如下要求：</w:t>
      </w:r>
    </w:p>
    <w:p w14:paraId="0810C03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1</w:t>
      </w:r>
      <w:r>
        <w:rPr>
          <w:rFonts w:hint="eastAsia"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科学公正。绩效评价应当运用科学合理的方法，按照规范的程序，对项目绩效进行客观、公正的反映。</w:t>
      </w:r>
    </w:p>
    <w:p w14:paraId="242CBA8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）统筹兼顾。单位自评、部门评价和财政评价应职责明确，各有侧重，相互衔接。单位自评应由项目单位自主实施，即“谁支出、谁自评”。</w:t>
      </w:r>
    </w:p>
    <w:p w14:paraId="0835FBF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）激励约束。绩效评价结果应与预算安排、政策调整、改进管理实质性挂钩，体现奖优罚劣和激励相容导向，有效要安排、低效要压减、无效要问责。</w:t>
      </w:r>
    </w:p>
    <w:p w14:paraId="63E9234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）公开透明。绩效评价结果应依法依规公开，并自觉接受社会监督。</w:t>
      </w:r>
    </w:p>
    <w:p w14:paraId="524AAB00">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bookmarkStart w:id="25" w:name="_Toc26131"/>
      <w:bookmarkStart w:id="26" w:name="_Toc1913"/>
      <w:bookmarkStart w:id="27" w:name="_Toc428278230"/>
      <w:bookmarkStart w:id="28" w:name="_Toc419984722"/>
      <w:bookmarkStart w:id="29" w:name="_Toc24396"/>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绩效评价指标体系及绩效评价</w:t>
      </w:r>
      <w:bookmarkEnd w:id="25"/>
      <w:bookmarkEnd w:id="26"/>
      <w:bookmarkEnd w:id="27"/>
      <w:bookmarkEnd w:id="28"/>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标准</w:t>
      </w:r>
      <w:bookmarkEnd w:id="29"/>
    </w:p>
    <w:p w14:paraId="40A75B3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我单位</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根据项目的</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实施</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资料研读及前期调研，结合项目的实际开展情况，最终形成了项目绩效评价指标体系</w:t>
      </w:r>
      <w:r>
        <w:rPr>
          <w:rFonts w:hint="eastAsia" w:ascii="宋体" w:hAnsi="宋体" w:eastAsia="宋体" w:cs="宋体"/>
          <w:color w:val="000000" w:themeColor="text1"/>
          <w:highlight w:val="none"/>
          <w:shd w:val="clear" w:color="auto" w:fill="auto"/>
          <w:lang w:val="zh-TW"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指标体系结构如下</w:t>
      </w:r>
      <w:r>
        <w:rPr>
          <w:rFonts w:hint="eastAsia" w:cs="宋体"/>
          <w:b/>
          <w:bCs/>
          <w:color w:val="000000" w:themeColor="text1"/>
          <w:highlight w:val="none"/>
          <w:shd w:val="clear" w:color="auto" w:fill="auto"/>
          <w:lang w:val="en-US" w:eastAsia="zh-CN"/>
          <w14:textFill>
            <w14:solidFill>
              <w14:schemeClr w14:val="tx1"/>
            </w14:solidFill>
          </w14:textFill>
        </w:rPr>
        <w:t>（详见上传的附件）</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14:paraId="252C5F4A">
      <w:pPr>
        <w:jc w:val="center"/>
        <w:rPr>
          <w:rFonts w:hint="default"/>
          <w:b/>
          <w:bCs/>
          <w:sz w:val="28"/>
          <w:szCs w:val="28"/>
          <w:lang w:val="en-US" w:eastAsia="zh-CN"/>
        </w:rPr>
      </w:pPr>
      <w:r>
        <w:rPr>
          <w:rFonts w:hint="eastAsia"/>
          <w:b/>
          <w:bCs/>
          <w:sz w:val="28"/>
          <w:szCs w:val="28"/>
          <w:lang w:val="zh-TW" w:eastAsia="zh-TW"/>
        </w:rPr>
        <w:t>项目绩效评价指标体系</w:t>
      </w:r>
    </w:p>
    <w:tbl>
      <w:tblPr>
        <w:tblStyle w:val="11"/>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2"/>
        <w:gridCol w:w="1196"/>
        <w:gridCol w:w="1050"/>
        <w:gridCol w:w="1996"/>
        <w:gridCol w:w="3793"/>
      </w:tblGrid>
      <w:tr w14:paraId="6CD5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blHeader/>
          <w:jc w:val="center"/>
        </w:trPr>
        <w:tc>
          <w:tcPr>
            <w:tcW w:w="642" w:type="dxa"/>
            <w:shd w:val="clear" w:color="auto" w:fill="auto"/>
            <w:vAlign w:val="center"/>
          </w:tcPr>
          <w:p w14:paraId="445E09C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bookmarkStart w:id="89" w:name="_GoBack"/>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一级指标</w:t>
            </w:r>
          </w:p>
        </w:tc>
        <w:tc>
          <w:tcPr>
            <w:tcW w:w="1196" w:type="dxa"/>
            <w:shd w:val="clear" w:color="auto" w:fill="auto"/>
            <w:vAlign w:val="center"/>
          </w:tcPr>
          <w:p w14:paraId="6CAFEF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二级指标</w:t>
            </w:r>
          </w:p>
        </w:tc>
        <w:tc>
          <w:tcPr>
            <w:tcW w:w="1050" w:type="dxa"/>
            <w:shd w:val="clear" w:color="auto" w:fill="auto"/>
            <w:vAlign w:val="center"/>
          </w:tcPr>
          <w:p w14:paraId="1DF0DEC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三级指标</w:t>
            </w:r>
          </w:p>
        </w:tc>
        <w:tc>
          <w:tcPr>
            <w:tcW w:w="1996" w:type="dxa"/>
            <w:shd w:val="clear" w:color="auto" w:fill="auto"/>
            <w:vAlign w:val="center"/>
          </w:tcPr>
          <w:p w14:paraId="7246262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指标解释</w:t>
            </w:r>
          </w:p>
        </w:tc>
        <w:tc>
          <w:tcPr>
            <w:tcW w:w="3793" w:type="dxa"/>
            <w:shd w:val="clear" w:color="auto" w:fill="auto"/>
            <w:vAlign w:val="center"/>
          </w:tcPr>
          <w:p w14:paraId="27EF50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指标说明</w:t>
            </w:r>
          </w:p>
        </w:tc>
      </w:tr>
      <w:tr w14:paraId="416C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jc w:val="center"/>
        </w:trPr>
        <w:tc>
          <w:tcPr>
            <w:tcW w:w="642" w:type="dxa"/>
            <w:vMerge w:val="restart"/>
            <w:shd w:val="clear" w:color="auto" w:fill="auto"/>
            <w:vAlign w:val="center"/>
          </w:tcPr>
          <w:p w14:paraId="4FBD00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决策</w:t>
            </w:r>
          </w:p>
        </w:tc>
        <w:tc>
          <w:tcPr>
            <w:tcW w:w="1196" w:type="dxa"/>
            <w:vMerge w:val="restart"/>
            <w:shd w:val="clear" w:color="auto" w:fill="auto"/>
            <w:vAlign w:val="center"/>
          </w:tcPr>
          <w:p w14:paraId="469A64F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w:t>
            </w:r>
          </w:p>
        </w:tc>
        <w:tc>
          <w:tcPr>
            <w:tcW w:w="1050" w:type="dxa"/>
            <w:shd w:val="clear" w:color="auto" w:fill="auto"/>
            <w:vAlign w:val="center"/>
          </w:tcPr>
          <w:p w14:paraId="6EAF5BC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立项依据</w:t>
            </w:r>
          </w:p>
          <w:p w14:paraId="78CC209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充分性</w:t>
            </w:r>
          </w:p>
        </w:tc>
        <w:tc>
          <w:tcPr>
            <w:tcW w:w="1996" w:type="dxa"/>
            <w:shd w:val="clear" w:color="auto" w:fill="auto"/>
            <w:vAlign w:val="center"/>
          </w:tcPr>
          <w:p w14:paraId="3CF4329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项目立项是否符合法律法规、相关政策、发展规划以及部门职责，用以反映和考核项目立项依据情况。</w:t>
            </w:r>
          </w:p>
        </w:tc>
        <w:tc>
          <w:tcPr>
            <w:tcW w:w="3793" w:type="dxa"/>
            <w:shd w:val="clear" w:color="auto" w:fill="auto"/>
            <w:vAlign w:val="center"/>
          </w:tcPr>
          <w:p w14:paraId="3DE6EF71">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4E34A6A2">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①项目立项是否符合国家法律法规、国民经济发展规划和相关政策；</w:t>
            </w:r>
          </w:p>
          <w:p w14:paraId="21BD48DE">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②项目立项是否符合行业发展规划和政策要求；</w:t>
            </w:r>
          </w:p>
          <w:p w14:paraId="7E215864">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③项目立项是否与部门职责范围相符，属于部门履职所需；</w:t>
            </w:r>
          </w:p>
          <w:p w14:paraId="249CC192">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④项目是否属于公共财政支持范围，是否符合中央、地方事权支出责任划分原则；</w:t>
            </w:r>
          </w:p>
          <w:p w14:paraId="15CD737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⑤项目是否与相关部门同类项目或部门内部相关项目重复。</w:t>
            </w:r>
          </w:p>
        </w:tc>
      </w:tr>
      <w:tr w14:paraId="3B96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42" w:type="dxa"/>
            <w:vMerge w:val="continue"/>
            <w:shd w:val="clear" w:color="auto" w:fill="auto"/>
            <w:vAlign w:val="center"/>
          </w:tcPr>
          <w:p w14:paraId="2C575B14">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6534EC4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02E3CFC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立项程序</w:t>
            </w:r>
          </w:p>
          <w:p w14:paraId="5DAE213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规范性</w:t>
            </w:r>
          </w:p>
        </w:tc>
        <w:tc>
          <w:tcPr>
            <w:tcW w:w="1996" w:type="dxa"/>
            <w:shd w:val="clear" w:color="auto" w:fill="auto"/>
            <w:vAlign w:val="center"/>
          </w:tcPr>
          <w:p w14:paraId="608A88E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项目申请、设立过程是否符合相关要求，用以反映和考核项目立项的规范情况。</w:t>
            </w:r>
          </w:p>
        </w:tc>
        <w:tc>
          <w:tcPr>
            <w:tcW w:w="3793" w:type="dxa"/>
            <w:shd w:val="clear" w:color="auto" w:fill="auto"/>
            <w:vAlign w:val="center"/>
          </w:tcPr>
          <w:p w14:paraId="788A5A3D">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143CD4B6">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①项目是否按照规定的程序申请设立；</w:t>
            </w:r>
          </w:p>
          <w:p w14:paraId="6954E8FF">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②审批文件、材料是否符合相关要求；</w:t>
            </w:r>
          </w:p>
          <w:p w14:paraId="4377BFF0">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③事前是否已经过必要的可行性研究、专家论证、风险评估、绩效评估、集体决策。</w:t>
            </w:r>
          </w:p>
        </w:tc>
      </w:tr>
      <w:tr w14:paraId="354A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642" w:type="dxa"/>
            <w:vMerge w:val="continue"/>
            <w:shd w:val="clear" w:color="auto" w:fill="auto"/>
            <w:vAlign w:val="center"/>
          </w:tcPr>
          <w:p w14:paraId="6BF57B31">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14:paraId="504EF19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tc>
        <w:tc>
          <w:tcPr>
            <w:tcW w:w="1050" w:type="dxa"/>
            <w:shd w:val="clear" w:color="auto" w:fill="auto"/>
            <w:vAlign w:val="center"/>
          </w:tcPr>
          <w:p w14:paraId="14DD18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p w14:paraId="4ADF68C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auto"/>
            <w:vAlign w:val="center"/>
          </w:tcPr>
          <w:p w14:paraId="1D311BD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项目所设定的绩效目标是否依据充分，是否符合客观实际，用以反映和考核项目绩效目标与项目实施的相符情况。</w:t>
            </w:r>
          </w:p>
        </w:tc>
        <w:tc>
          <w:tcPr>
            <w:tcW w:w="3793" w:type="dxa"/>
            <w:shd w:val="clear" w:color="auto" w:fill="auto"/>
            <w:vAlign w:val="center"/>
          </w:tcPr>
          <w:p w14:paraId="53D4BFDE">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39DA5101">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（如未设定预算绩效目标，也可考核其他工作任务目标）</w:t>
            </w:r>
          </w:p>
          <w:p w14:paraId="1A2B31B7">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①项目是否有绩效目标；</w:t>
            </w:r>
          </w:p>
          <w:p w14:paraId="1F899D34">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②项目绩效目标与实际工作内容是否具有相关性；</w:t>
            </w:r>
          </w:p>
          <w:p w14:paraId="0EBC2D81">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③项目预期产出效益和效果是否符合正常的业绩水平；</w:t>
            </w:r>
          </w:p>
          <w:p w14:paraId="6331CFE8">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④是否与预算确定的项目投资额或资金量相匹配。</w:t>
            </w:r>
          </w:p>
        </w:tc>
      </w:tr>
      <w:tr w14:paraId="2FAF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5202C43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4851910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110052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绩效指标</w:t>
            </w:r>
          </w:p>
          <w:p w14:paraId="650F321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明确性</w:t>
            </w:r>
          </w:p>
        </w:tc>
        <w:tc>
          <w:tcPr>
            <w:tcW w:w="1996" w:type="dxa"/>
            <w:shd w:val="clear" w:color="auto" w:fill="auto"/>
            <w:vAlign w:val="center"/>
          </w:tcPr>
          <w:p w14:paraId="7E1572F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依据绩效目标设定的绩效指标是否清晰、细化、可衡量等，用以反映和考核项目绩效目标的明细化情况。</w:t>
            </w:r>
          </w:p>
        </w:tc>
        <w:tc>
          <w:tcPr>
            <w:tcW w:w="3793" w:type="dxa"/>
            <w:shd w:val="clear" w:color="auto" w:fill="auto"/>
            <w:vAlign w:val="center"/>
          </w:tcPr>
          <w:p w14:paraId="2E02E67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54F84C0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①是否将项目绩效目标细化分解为具体的绩效指标；</w:t>
            </w:r>
          </w:p>
          <w:p w14:paraId="26737D6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②是否通过清晰、可衡量的指标值予以体现；</w:t>
            </w:r>
          </w:p>
          <w:p w14:paraId="203AB9B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③是否与项目目标任务数或计划数相对应。</w:t>
            </w:r>
          </w:p>
        </w:tc>
      </w:tr>
      <w:tr w14:paraId="6B21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30A0D784">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14:paraId="7DA37AD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资金投入</w:t>
            </w:r>
          </w:p>
        </w:tc>
        <w:tc>
          <w:tcPr>
            <w:tcW w:w="1050" w:type="dxa"/>
            <w:shd w:val="clear" w:color="auto" w:fill="auto"/>
            <w:vAlign w:val="center"/>
          </w:tcPr>
          <w:p w14:paraId="70138A5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预算编制</w:t>
            </w:r>
          </w:p>
          <w:p w14:paraId="71FFB37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科学性</w:t>
            </w:r>
          </w:p>
        </w:tc>
        <w:tc>
          <w:tcPr>
            <w:tcW w:w="1996" w:type="dxa"/>
            <w:shd w:val="clear" w:color="auto" w:fill="auto"/>
            <w:vAlign w:val="center"/>
          </w:tcPr>
          <w:p w14:paraId="14B6AF3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项目预算编制是否经过科学论证、有明确标准，资金额度与年度目标是否相适应，用以反映和考核项目预算编制的科学性、合理性情况。</w:t>
            </w:r>
          </w:p>
        </w:tc>
        <w:tc>
          <w:tcPr>
            <w:tcW w:w="3793" w:type="dxa"/>
            <w:shd w:val="clear" w:color="auto" w:fill="auto"/>
            <w:vAlign w:val="center"/>
          </w:tcPr>
          <w:p w14:paraId="43D0CB3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1F1FAD8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①预算编制是否经过科学论证；</w:t>
            </w:r>
          </w:p>
          <w:p w14:paraId="2DB678F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②预算内容与项目内容是否匹配；</w:t>
            </w:r>
          </w:p>
          <w:p w14:paraId="20001E7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③预算额度测算依据是否充分，是否按照标准编制；</w:t>
            </w:r>
          </w:p>
          <w:p w14:paraId="1C46CED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④预算确定的项目投资额或资金量是否与工作任务相匹配。</w:t>
            </w:r>
          </w:p>
        </w:tc>
      </w:tr>
      <w:tr w14:paraId="5E1F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7" w:hRule="atLeast"/>
          <w:jc w:val="center"/>
        </w:trPr>
        <w:tc>
          <w:tcPr>
            <w:tcW w:w="642" w:type="dxa"/>
            <w:vMerge w:val="continue"/>
            <w:shd w:val="clear" w:color="auto" w:fill="auto"/>
            <w:vAlign w:val="center"/>
          </w:tcPr>
          <w:p w14:paraId="74245B2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5FBA317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7D0EB0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资金分配</w:t>
            </w:r>
          </w:p>
          <w:p w14:paraId="02F0033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auto"/>
            <w:vAlign w:val="center"/>
          </w:tcPr>
          <w:p w14:paraId="6D8FE12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项目预算资金分配是否有测算依据，与补助单位或地方实际是否相适应，用以反映和考核项目预算资金分配的科学性、合理性情况。</w:t>
            </w:r>
          </w:p>
        </w:tc>
        <w:tc>
          <w:tcPr>
            <w:tcW w:w="3793" w:type="dxa"/>
            <w:shd w:val="clear" w:color="auto" w:fill="auto"/>
            <w:vAlign w:val="center"/>
          </w:tcPr>
          <w:p w14:paraId="6B9F840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7E83982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①预算资金分配依据是否充分；</w:t>
            </w:r>
          </w:p>
          <w:p w14:paraId="0C4138A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②资金分配额度是否合理，与项目单位或地方实际是否相适应。</w:t>
            </w:r>
          </w:p>
        </w:tc>
      </w:tr>
      <w:tr w14:paraId="5811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642" w:type="dxa"/>
            <w:vMerge w:val="restart"/>
            <w:shd w:val="clear" w:color="auto" w:fill="auto"/>
            <w:vAlign w:val="center"/>
          </w:tcPr>
          <w:p w14:paraId="3E23EDBB">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过程</w:t>
            </w:r>
          </w:p>
        </w:tc>
        <w:tc>
          <w:tcPr>
            <w:tcW w:w="1196" w:type="dxa"/>
            <w:vMerge w:val="restart"/>
            <w:shd w:val="clear" w:color="auto" w:fill="auto"/>
            <w:vAlign w:val="center"/>
          </w:tcPr>
          <w:p w14:paraId="17CA0DD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资金管理</w:t>
            </w:r>
          </w:p>
        </w:tc>
        <w:tc>
          <w:tcPr>
            <w:tcW w:w="1050" w:type="dxa"/>
            <w:shd w:val="clear" w:color="auto" w:fill="auto"/>
            <w:vAlign w:val="center"/>
          </w:tcPr>
          <w:p w14:paraId="35DF1BF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w:t>
            </w:r>
          </w:p>
        </w:tc>
        <w:tc>
          <w:tcPr>
            <w:tcW w:w="1996" w:type="dxa"/>
            <w:shd w:val="clear" w:color="auto" w:fill="auto"/>
            <w:vAlign w:val="center"/>
          </w:tcPr>
          <w:p w14:paraId="5B7BAC0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实际到位资金与预算资金的比率，用以反映和考核资金落实情况对项目实施的总体保障程度。</w:t>
            </w:r>
          </w:p>
        </w:tc>
        <w:tc>
          <w:tcPr>
            <w:tcW w:w="3793" w:type="dxa"/>
            <w:shd w:val="clear" w:color="auto" w:fill="auto"/>
            <w:vAlign w:val="center"/>
          </w:tcPr>
          <w:p w14:paraId="4B15602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资金到位率=（实际到位资金/预算资金）×100%。</w:t>
            </w:r>
          </w:p>
          <w:p w14:paraId="620A0E9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实际到位资金：一定时期（本年度或项目期）内落实到具体项目的资金。</w:t>
            </w:r>
          </w:p>
          <w:p w14:paraId="3C8B892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预算资金：一定时期（本年度或项目期）内预算安排到具体项目的资金。</w:t>
            </w:r>
          </w:p>
        </w:tc>
      </w:tr>
      <w:tr w14:paraId="5BA9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642" w:type="dxa"/>
            <w:vMerge w:val="continue"/>
            <w:shd w:val="clear" w:color="auto" w:fill="auto"/>
            <w:vAlign w:val="center"/>
          </w:tcPr>
          <w:p w14:paraId="33E0CC15">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6D41F71B">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32717BE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w:t>
            </w:r>
          </w:p>
        </w:tc>
        <w:tc>
          <w:tcPr>
            <w:tcW w:w="1996" w:type="dxa"/>
            <w:shd w:val="clear" w:color="auto" w:fill="auto"/>
            <w:vAlign w:val="center"/>
          </w:tcPr>
          <w:p w14:paraId="4397B72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项目预算资金是否按照计划执行，用以反映或考核项目预算执行情况。</w:t>
            </w:r>
          </w:p>
        </w:tc>
        <w:tc>
          <w:tcPr>
            <w:tcW w:w="3793" w:type="dxa"/>
            <w:shd w:val="clear" w:color="auto" w:fill="auto"/>
            <w:vAlign w:val="center"/>
          </w:tcPr>
          <w:p w14:paraId="1113DE2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预算执行率=（实际支出资金/实际到位资金）×100%。</w:t>
            </w:r>
          </w:p>
          <w:p w14:paraId="69EB7A9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实际支出资金：一定时期（本年度或项目期）内项目实际拨付的资金。</w:t>
            </w:r>
          </w:p>
        </w:tc>
      </w:tr>
      <w:tr w14:paraId="05C2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642" w:type="dxa"/>
            <w:vMerge w:val="continue"/>
            <w:shd w:val="clear" w:color="auto" w:fill="auto"/>
            <w:vAlign w:val="center"/>
          </w:tcPr>
          <w:p w14:paraId="2EF9B51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7C96411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093CDB5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资金使用</w:t>
            </w:r>
          </w:p>
          <w:p w14:paraId="54D4A72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合规性</w:t>
            </w:r>
          </w:p>
        </w:tc>
        <w:tc>
          <w:tcPr>
            <w:tcW w:w="1996" w:type="dxa"/>
            <w:shd w:val="clear" w:color="auto" w:fill="auto"/>
            <w:vAlign w:val="center"/>
          </w:tcPr>
          <w:p w14:paraId="09AE0C9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项目资金使用是否符合相关的财务管理制度规定，用以反映和考核项目资金的规范运行情况。</w:t>
            </w:r>
          </w:p>
        </w:tc>
        <w:tc>
          <w:tcPr>
            <w:tcW w:w="3793" w:type="dxa"/>
            <w:shd w:val="clear" w:color="auto" w:fill="auto"/>
            <w:vAlign w:val="center"/>
          </w:tcPr>
          <w:p w14:paraId="22E5E2A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4473E13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①是否符合国家财经法规和财务管理制度以及有关专项资金管理办法的规定；</w:t>
            </w:r>
          </w:p>
          <w:p w14:paraId="3A4202A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②资金的拨付是否有完整的审批程序和手续；</w:t>
            </w:r>
          </w:p>
          <w:p w14:paraId="1B635A1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③是否符合项目预算批复或合同规定的用途；</w:t>
            </w:r>
          </w:p>
          <w:p w14:paraId="3161A1F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④是否存在截留、挤占、挪用、虚列支出等情况。</w:t>
            </w:r>
          </w:p>
        </w:tc>
      </w:tr>
      <w:tr w14:paraId="727D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320BCF47">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14:paraId="2D4DDE4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组织实施</w:t>
            </w:r>
          </w:p>
        </w:tc>
        <w:tc>
          <w:tcPr>
            <w:tcW w:w="1050" w:type="dxa"/>
            <w:shd w:val="clear" w:color="auto" w:fill="auto"/>
            <w:vAlign w:val="center"/>
          </w:tcPr>
          <w:p w14:paraId="253D28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管理制度</w:t>
            </w:r>
          </w:p>
          <w:p w14:paraId="5C79EEF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健全性</w:t>
            </w:r>
          </w:p>
        </w:tc>
        <w:tc>
          <w:tcPr>
            <w:tcW w:w="1996" w:type="dxa"/>
            <w:shd w:val="clear" w:color="auto" w:fill="auto"/>
            <w:vAlign w:val="center"/>
          </w:tcPr>
          <w:p w14:paraId="4A34AFE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项目实施单位的财务和业务管理制度是否健全，用以反映和考核财务和业务管理制度对项目顺利实施的保障情况。</w:t>
            </w:r>
          </w:p>
        </w:tc>
        <w:tc>
          <w:tcPr>
            <w:tcW w:w="3793" w:type="dxa"/>
            <w:shd w:val="clear" w:color="auto" w:fill="auto"/>
            <w:vAlign w:val="center"/>
          </w:tcPr>
          <w:p w14:paraId="39CBB0E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01CEF5B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①是否已制定或具有相应的财务和业务管理制度；</w:t>
            </w:r>
          </w:p>
          <w:p w14:paraId="5405878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②财务和业务管理制度是否合法、合规、完整。</w:t>
            </w:r>
          </w:p>
        </w:tc>
      </w:tr>
      <w:tr w14:paraId="1266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148C753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37C310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518AC82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制度执行</w:t>
            </w:r>
          </w:p>
          <w:p w14:paraId="33B2A3A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有效性</w:t>
            </w:r>
          </w:p>
        </w:tc>
        <w:tc>
          <w:tcPr>
            <w:tcW w:w="1996" w:type="dxa"/>
            <w:shd w:val="clear" w:color="auto" w:fill="auto"/>
            <w:vAlign w:val="center"/>
          </w:tcPr>
          <w:p w14:paraId="40D54E7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项目实施是否符合相关管理规定，用以反映和考核相关管理制度的有效执行情况。</w:t>
            </w:r>
          </w:p>
        </w:tc>
        <w:tc>
          <w:tcPr>
            <w:tcW w:w="3793" w:type="dxa"/>
            <w:shd w:val="clear" w:color="auto" w:fill="auto"/>
            <w:vAlign w:val="center"/>
          </w:tcPr>
          <w:p w14:paraId="0359C93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14:paraId="5CE5BC3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①是否遵守相关法律法规和相关管理规定；</w:t>
            </w:r>
          </w:p>
          <w:p w14:paraId="5BC2B66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②项目调整及支出调整手续是否完备；</w:t>
            </w:r>
          </w:p>
          <w:p w14:paraId="522065C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③项目合同书、验收报告、技术鉴定等资料是否齐全并及时归档；</w:t>
            </w:r>
          </w:p>
          <w:p w14:paraId="438B1A3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④项目实施的人员条件、场地设备、信息支撑等是否落实到位。</w:t>
            </w:r>
          </w:p>
        </w:tc>
      </w:tr>
      <w:tr w14:paraId="5A15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642" w:type="dxa"/>
            <w:vMerge w:val="restart"/>
            <w:shd w:val="clear" w:color="auto" w:fill="auto"/>
            <w:vAlign w:val="center"/>
          </w:tcPr>
          <w:p w14:paraId="78C92F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w:t>
            </w:r>
          </w:p>
        </w:tc>
        <w:tc>
          <w:tcPr>
            <w:tcW w:w="1196" w:type="dxa"/>
            <w:shd w:val="clear" w:color="auto" w:fill="auto"/>
            <w:vAlign w:val="center"/>
          </w:tcPr>
          <w:p w14:paraId="3DF9191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产出数量</w:t>
            </w:r>
          </w:p>
        </w:tc>
        <w:tc>
          <w:tcPr>
            <w:tcW w:w="1050" w:type="dxa"/>
            <w:shd w:val="clear" w:color="auto" w:fill="auto"/>
            <w:vAlign w:val="center"/>
          </w:tcPr>
          <w:p w14:paraId="3FE684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w:t>
            </w:r>
          </w:p>
        </w:tc>
        <w:tc>
          <w:tcPr>
            <w:tcW w:w="1996" w:type="dxa"/>
            <w:shd w:val="clear" w:color="auto" w:fill="auto"/>
            <w:vAlign w:val="center"/>
          </w:tcPr>
          <w:p w14:paraId="430E7EE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项目实施的实际产出数与计划产出数的比率，用以反映和考核项目产出数量目标的实现程度。</w:t>
            </w:r>
          </w:p>
        </w:tc>
        <w:tc>
          <w:tcPr>
            <w:tcW w:w="3793" w:type="dxa"/>
            <w:shd w:val="clear" w:color="auto" w:fill="auto"/>
            <w:vAlign w:val="center"/>
          </w:tcPr>
          <w:p w14:paraId="3C6AD0A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实际完成率=（实际产出数/计划产出数）×100%。</w:t>
            </w:r>
          </w:p>
          <w:p w14:paraId="2945881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实际产出数：一定时期（本年度或项目期）内项目实际产出的产品或提供的服务数量。</w:t>
            </w:r>
          </w:p>
          <w:p w14:paraId="1697DFA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计划产出数：项目绩效目标确定的在一定时期（本年度或项目期）内计划产出的产品或提供的服务数量。</w:t>
            </w:r>
          </w:p>
        </w:tc>
      </w:tr>
      <w:tr w14:paraId="5F0E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0C43ED8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14:paraId="2C47978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产出质量</w:t>
            </w:r>
          </w:p>
        </w:tc>
        <w:tc>
          <w:tcPr>
            <w:tcW w:w="1050" w:type="dxa"/>
            <w:shd w:val="clear" w:color="auto" w:fill="auto"/>
            <w:vAlign w:val="center"/>
          </w:tcPr>
          <w:p w14:paraId="53E7756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w:t>
            </w:r>
          </w:p>
        </w:tc>
        <w:tc>
          <w:tcPr>
            <w:tcW w:w="1996" w:type="dxa"/>
            <w:shd w:val="clear" w:color="auto" w:fill="auto"/>
            <w:vAlign w:val="center"/>
          </w:tcPr>
          <w:p w14:paraId="1D758A7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项目完成的质量达标产出数与实际产出数的比率，用以反映和考核项目产出质量目标的实现程度。</w:t>
            </w:r>
          </w:p>
        </w:tc>
        <w:tc>
          <w:tcPr>
            <w:tcW w:w="3793" w:type="dxa"/>
            <w:shd w:val="clear" w:color="auto" w:fill="auto"/>
            <w:vAlign w:val="center"/>
          </w:tcPr>
          <w:p w14:paraId="02E1C2A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质量达标率=（质量达标产出数/实际产出数）×100%。</w:t>
            </w:r>
          </w:p>
          <w:p w14:paraId="191C958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14:paraId="1C24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2" w:type="dxa"/>
            <w:vMerge w:val="continue"/>
            <w:shd w:val="clear" w:color="auto" w:fill="auto"/>
            <w:vAlign w:val="center"/>
          </w:tcPr>
          <w:p w14:paraId="204E4B02">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14:paraId="2314715D">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产出时效</w:t>
            </w:r>
          </w:p>
        </w:tc>
        <w:tc>
          <w:tcPr>
            <w:tcW w:w="1050" w:type="dxa"/>
            <w:shd w:val="clear" w:color="auto" w:fill="auto"/>
            <w:vAlign w:val="center"/>
          </w:tcPr>
          <w:p w14:paraId="4D367C4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完成及时性</w:t>
            </w:r>
          </w:p>
        </w:tc>
        <w:tc>
          <w:tcPr>
            <w:tcW w:w="1996" w:type="dxa"/>
            <w:shd w:val="clear" w:color="auto" w:fill="auto"/>
            <w:vAlign w:val="center"/>
          </w:tcPr>
          <w:p w14:paraId="1FA9D7D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项目实际完成时间与计划完成时间的比较，用以反映和考核项目产出时效目标的实现程度。</w:t>
            </w:r>
          </w:p>
        </w:tc>
        <w:tc>
          <w:tcPr>
            <w:tcW w:w="3793" w:type="dxa"/>
            <w:shd w:val="clear" w:color="auto" w:fill="auto"/>
            <w:vAlign w:val="center"/>
          </w:tcPr>
          <w:p w14:paraId="63AC0E8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实际完成时间：项目实施单位完成该项目实际所耗用的时间。</w:t>
            </w:r>
          </w:p>
          <w:p w14:paraId="5D66D46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计划完成时间：按照项目实施计划或相关规定完成该项目所需的时间。</w:t>
            </w:r>
          </w:p>
        </w:tc>
      </w:tr>
      <w:tr w14:paraId="6381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120610E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14:paraId="1C4BC2D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产出成本</w:t>
            </w:r>
          </w:p>
        </w:tc>
        <w:tc>
          <w:tcPr>
            <w:tcW w:w="1050" w:type="dxa"/>
            <w:shd w:val="clear" w:color="auto" w:fill="auto"/>
            <w:vAlign w:val="center"/>
          </w:tcPr>
          <w:p w14:paraId="77CBC1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w:t>
            </w:r>
          </w:p>
        </w:tc>
        <w:tc>
          <w:tcPr>
            <w:tcW w:w="1996" w:type="dxa"/>
            <w:shd w:val="clear" w:color="auto" w:fill="auto"/>
            <w:vAlign w:val="center"/>
          </w:tcPr>
          <w:p w14:paraId="25C4474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完成项目计划工作目标的实际节约成本与计划成本的比率，用以反映和考核项目的成本节约程度。</w:t>
            </w:r>
          </w:p>
        </w:tc>
        <w:tc>
          <w:tcPr>
            <w:tcW w:w="3793" w:type="dxa"/>
            <w:shd w:val="clear" w:color="auto" w:fill="auto"/>
            <w:vAlign w:val="center"/>
          </w:tcPr>
          <w:p w14:paraId="62821F5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成本节约率=[（计划成本-实际成本）/计划成本]×100%。</w:t>
            </w:r>
          </w:p>
          <w:p w14:paraId="04F8445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实际成本：项目实施单位如期、保质、保量完成既定工作目标实际所耗费的支出。</w:t>
            </w:r>
          </w:p>
          <w:p w14:paraId="7A47951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计划成本：项目实施单位为完成工作目标计划安排的支出，一般以项目预算为参考。</w:t>
            </w:r>
          </w:p>
        </w:tc>
      </w:tr>
      <w:tr w14:paraId="09B4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42" w:type="dxa"/>
            <w:vMerge w:val="restart"/>
            <w:shd w:val="clear" w:color="auto" w:fill="auto"/>
            <w:vAlign w:val="center"/>
          </w:tcPr>
          <w:p w14:paraId="2791F5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效益</w:t>
            </w:r>
          </w:p>
        </w:tc>
        <w:tc>
          <w:tcPr>
            <w:tcW w:w="1196" w:type="dxa"/>
            <w:vMerge w:val="restart"/>
            <w:shd w:val="clear" w:color="auto" w:fill="auto"/>
            <w:vAlign w:val="center"/>
          </w:tcPr>
          <w:p w14:paraId="0403208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项目效益</w:t>
            </w:r>
          </w:p>
        </w:tc>
        <w:tc>
          <w:tcPr>
            <w:tcW w:w="1050" w:type="dxa"/>
            <w:shd w:val="clear" w:color="auto" w:fill="auto"/>
            <w:vAlign w:val="center"/>
          </w:tcPr>
          <w:p w14:paraId="7BCB88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实施效益</w:t>
            </w:r>
          </w:p>
        </w:tc>
        <w:tc>
          <w:tcPr>
            <w:tcW w:w="1996" w:type="dxa"/>
            <w:shd w:val="clear" w:color="auto" w:fill="auto"/>
            <w:vAlign w:val="center"/>
          </w:tcPr>
          <w:p w14:paraId="1D86BB01">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项目实施所产生的效益。</w:t>
            </w:r>
          </w:p>
        </w:tc>
        <w:tc>
          <w:tcPr>
            <w:tcW w:w="3793" w:type="dxa"/>
            <w:shd w:val="clear" w:color="auto" w:fill="auto"/>
            <w:vAlign w:val="center"/>
          </w:tcPr>
          <w:p w14:paraId="69E7732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项目实施所产生的社会效益、经济效益、生态效益、可持续影响等。可根据项目实际情况有选择地设置和细化。</w:t>
            </w:r>
          </w:p>
        </w:tc>
      </w:tr>
      <w:tr w14:paraId="7CEB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42" w:type="dxa"/>
            <w:vMerge w:val="continue"/>
            <w:shd w:val="clear" w:color="auto" w:fill="auto"/>
            <w:vAlign w:val="center"/>
          </w:tcPr>
          <w:p w14:paraId="22167B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14:paraId="6BFCF8F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14:paraId="4A46F4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满意度</w:t>
            </w:r>
          </w:p>
        </w:tc>
        <w:tc>
          <w:tcPr>
            <w:tcW w:w="1996" w:type="dxa"/>
            <w:shd w:val="clear" w:color="auto" w:fill="auto"/>
            <w:vAlign w:val="center"/>
          </w:tcPr>
          <w:p w14:paraId="7BBBFF2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社会公众或服务对象对项目实施效果的满意程度。</w:t>
            </w:r>
          </w:p>
        </w:tc>
        <w:tc>
          <w:tcPr>
            <w:tcW w:w="3793" w:type="dxa"/>
            <w:shd w:val="clear" w:color="auto" w:fill="auto"/>
            <w:vAlign w:val="center"/>
          </w:tcPr>
          <w:p w14:paraId="0307428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社会公众或服务对象是指因该项目实施而受到影响的部门（单位）、群体或个人。一般采取社会调查的方式。</w:t>
            </w:r>
          </w:p>
        </w:tc>
      </w:tr>
      <w:bookmarkEnd w:id="89"/>
    </w:tbl>
    <w:p w14:paraId="32F53F0F">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30" w:name="_Toc9941"/>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评价</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方法</w:t>
      </w:r>
      <w:bookmarkEnd w:id="30"/>
    </w:p>
    <w:p w14:paraId="729DB9A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本次绩效评价采用的方法</w:t>
      </w:r>
      <w:r>
        <w:rPr>
          <w:rFonts w:hint="eastAsia" w:cs="宋体"/>
          <w:color w:val="000000" w:themeColor="text1"/>
          <w:highlight w:val="none"/>
          <w:shd w:val="clear" w:color="auto" w:fill="auto"/>
          <w:lang w:val="en-US" w:eastAsia="zh-CN"/>
          <w14:textFill>
            <w14:solidFill>
              <w14:schemeClr w14:val="tx1"/>
            </w14:solidFill>
          </w14:textFill>
        </w:rPr>
        <w:t>为</w:t>
      </w:r>
      <w:r>
        <w:rPr>
          <w:rFonts w:hint="eastAsia" w:ascii="宋体" w:hAnsi="宋体" w:eastAsia="宋体" w:cs="宋体"/>
          <w:color w:val="000000" w:themeColor="text1"/>
          <w:highlight w:val="none"/>
          <w:shd w:val="clear" w:color="auto" w:fill="auto"/>
          <w14:textFill>
            <w14:solidFill>
              <w14:schemeClr w14:val="tx1"/>
            </w14:solidFill>
          </w14:textFill>
        </w:rPr>
        <w:t>比较法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、因素分析法、公众评判法</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对项目绩效目标</w:t>
      </w:r>
      <w:r>
        <w:rPr>
          <w:rFonts w:hint="eastAsia" w:cs="宋体"/>
          <w:color w:val="000000" w:themeColor="text1"/>
          <w:highlight w:val="none"/>
          <w:shd w:val="clear" w:color="auto" w:fill="auto"/>
          <w:lang w:val="en-US" w:eastAsia="zh-CN"/>
          <w14:textFill>
            <w14:solidFill>
              <w14:schemeClr w14:val="tx1"/>
            </w14:solidFill>
          </w14:textFill>
        </w:rPr>
        <w:t>预期目标值</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与实施情况进行比较，以及采取公众问卷及抽样调查等方式进行评判的方法对</w:t>
      </w:r>
      <w:r>
        <w:rPr>
          <w:rFonts w:hint="eastAsia" w:ascii="宋体" w:hAnsi="宋体" w:eastAsia="宋体" w:cs="宋体"/>
          <w:color w:val="000000" w:themeColor="text1"/>
          <w:highlight w:val="none"/>
          <w:shd w:val="clear" w:color="auto" w:fill="auto"/>
          <w:lang w:eastAsia="zh-CN"/>
          <w14:textFill>
            <w14:solidFill>
              <w14:schemeClr w14:val="tx1"/>
            </w14:solidFill>
          </w14:textFill>
        </w:rPr>
        <w:t>2016年病媒生物消杀</w:t>
      </w:r>
      <w:r>
        <w:rPr>
          <w:rFonts w:hint="eastAsia" w:cs="宋体"/>
          <w:color w:val="000000" w:themeColor="text1"/>
          <w:highlight w:val="none"/>
          <w:shd w:val="clear" w:color="auto" w:fill="auto"/>
          <w:lang w:eastAsia="zh-CN"/>
          <w14:textFill>
            <w14:solidFill>
              <w14:schemeClr w14:val="tx1"/>
            </w14:solidFill>
          </w14:textFill>
        </w:rPr>
        <w:t>项目</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进行评价。</w:t>
      </w:r>
    </w:p>
    <w:p w14:paraId="77D68CF8">
      <w:pPr>
        <w:pStyle w:val="4"/>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bookmarkStart w:id="31" w:name="_Toc25391"/>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4.评价标准</w:t>
      </w:r>
      <w:bookmarkEnd w:id="31"/>
    </w:p>
    <w:p w14:paraId="49CF61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（1）计划标准。指以预先制定的目标、计划、预算、定额等作为评价标准。</w:t>
      </w:r>
    </w:p>
    <w:p w14:paraId="50BAF4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（2）行业标准。指参照国家公布的行业指标数据制定的评价标准。</w:t>
      </w:r>
    </w:p>
    <w:p w14:paraId="3AE58E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（3）历史标准。指参照历史数据制定的评价标准，为体现绩效改进的原则，在可实现的条件下应当确定相对较高的评价标准。</w:t>
      </w:r>
    </w:p>
    <w:p w14:paraId="31EEB6F9">
      <w:pP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（4）财政部门和预算部门确认或认可的其他标准。</w:t>
      </w:r>
    </w:p>
    <w:p w14:paraId="2A3DAF39">
      <w:pPr>
        <w:pStyle w:val="4"/>
        <w:outlineLvl w:val="1"/>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bookmarkStart w:id="32" w:name="_Toc1070"/>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（三）绩效评价工作过程</w:t>
      </w:r>
      <w:bookmarkEnd w:id="32"/>
    </w:p>
    <w:p w14:paraId="56D91C6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33" w:name="_Toc12862"/>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1.前期准备</w:t>
      </w:r>
      <w:bookmarkEnd w:id="33"/>
    </w:p>
    <w:p w14:paraId="0270FF7A">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（1）成立绩效评价项目小组</w:t>
      </w:r>
    </w:p>
    <w:p w14:paraId="67597AC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为确保该项目绩效评价的顺利实施，评价机构组建了绩效评价项目小组。项目小组负责建立联络制度、明确评价责任人、制定评价方案、实施具体评价等工作。</w:t>
      </w:r>
    </w:p>
    <w:p w14:paraId="5373A63D">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4" w:name="_Toc3157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（2）开展前期调研</w:t>
      </w:r>
      <w:bookmarkEnd w:id="34"/>
    </w:p>
    <w:p w14:paraId="2BC32DEB">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5" w:name="_Toc21240"/>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依据此次绩效评价受委托内容，对拟评价的项目实施前期调研。通过调研对2016年病媒生物消杀项目实施内容、目标信息、预算信息以及其他的一些项目基本信息，有了初步了解，为制定绩效评价工作方案做好准备。</w:t>
      </w:r>
      <w:bookmarkEnd w:id="35"/>
    </w:p>
    <w:p w14:paraId="709B4BF2">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6" w:name="_Toc27977"/>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（3）制订绩效评价工作方案</w:t>
      </w:r>
      <w:bookmarkEnd w:id="36"/>
    </w:p>
    <w:p w14:paraId="02D331D0">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7" w:name="_Toc1965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绩效评价项目小组根据有关规定和评价对象的特点以及前期调研收集的一些信息，拟定详细的绩效评价工作方案</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bookmarkEnd w:id="37"/>
    </w:p>
    <w:p w14:paraId="4A441FF6">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8" w:name="_Toc11353"/>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2.具体实施</w:t>
      </w:r>
      <w:bookmarkEnd w:id="38"/>
    </w:p>
    <w:p w14:paraId="1A4D9AC5">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9" w:name="_Toc1411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（1）收集基础资料</w:t>
      </w:r>
      <w:bookmarkEnd w:id="39"/>
    </w:p>
    <w:p w14:paraId="0360D1AD">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0" w:name="_Toc28524"/>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根据评价工作的需要和要求，在前期调研的基础上，通过多种渠道全面收集项目基础信息资料，主要包括：</w:t>
      </w:r>
      <w:bookmarkEnd w:id="40"/>
    </w:p>
    <w:p w14:paraId="6F651E31">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1" w:name="_Toc32216"/>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①被评价单位基本概况，如单位职能、事业发展规划、预决算情况、项目立项依据等；</w:t>
      </w:r>
      <w:bookmarkEnd w:id="41"/>
    </w:p>
    <w:p w14:paraId="248193DD">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2" w:name="_Toc10505"/>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②绩效目标及其设立依据和调整情况；</w:t>
      </w:r>
      <w:bookmarkEnd w:id="42"/>
    </w:p>
    <w:p w14:paraId="15DD433D">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3" w:name="_Toc28365"/>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③管理措施及组织实施情况；</w:t>
      </w:r>
      <w:bookmarkEnd w:id="43"/>
    </w:p>
    <w:p w14:paraId="2BE10CC5">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4" w:name="_Toc1009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④被评价单位总结分析的绩效目标完成情况及绩效报告；</w:t>
      </w:r>
      <w:bookmarkEnd w:id="44"/>
    </w:p>
    <w:p w14:paraId="5D134E3C">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5" w:name="_Toc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⑤与绩效评价相关的计划标准、行业标准、历史标准等；</w:t>
      </w:r>
      <w:bookmarkEnd w:id="45"/>
    </w:p>
    <w:p w14:paraId="097F6E02">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6" w:name="_Toc20059"/>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⑥</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其他必要的相关资料等。</w:t>
      </w:r>
      <w:bookmarkEnd w:id="46"/>
    </w:p>
    <w:p w14:paraId="6BF76347">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7" w:name="_Toc3191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（2）整理、研读基础资料</w:t>
      </w:r>
      <w:bookmarkEnd w:id="47"/>
    </w:p>
    <w:p w14:paraId="3DB321E3">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8" w:name="_Toc167"/>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bookmarkEnd w:id="48"/>
    </w:p>
    <w:p w14:paraId="1D6B30B7">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default"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9" w:name="_Toc30513"/>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分析评价和撰写报告</w:t>
      </w:r>
      <w:bookmarkEnd w:id="49"/>
    </w:p>
    <w:p w14:paraId="04BB43C7">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0" w:name="_Toc15974"/>
      <w:r>
        <w:rPr>
          <w:rFonts w:hint="eastAsia"/>
          <w:b w:val="0"/>
          <w:bCs w:val="0"/>
          <w:sz w:val="28"/>
          <w:szCs w:val="28"/>
        </w:rPr>
        <w:t>（</w:t>
      </w:r>
      <w:r>
        <w:rPr>
          <w:rFonts w:hint="eastAsia" w:ascii="宋体" w:hAnsi="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）综合分析评价</w:t>
      </w:r>
      <w:bookmarkEnd w:id="50"/>
    </w:p>
    <w:p w14:paraId="0BD4CD9E">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1" w:name="_Toc4352"/>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①根据所收集的基础资料，结合现场核查的有关情况，整理出绩效评价所需的项目材料和基础数据。</w:t>
      </w:r>
      <w:bookmarkEnd w:id="51"/>
    </w:p>
    <w:p w14:paraId="265D8E72">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000000" w:themeColor="text1"/>
          <w:kern w:val="2"/>
          <w:sz w:val="28"/>
          <w:szCs w:val="24"/>
          <w:highlight w:val="none"/>
          <w:shd w:val="clear" w:color="auto" w:fill="auto"/>
          <w:lang w:val="en-US" w:eastAsia="zh-CN" w:bidi="ar-SA"/>
          <w14:textFill>
            <w14:solidFill>
              <w14:schemeClr w14:val="tx1"/>
            </w14:solidFill>
          </w14:textFill>
        </w:rPr>
      </w:pPr>
      <w:bookmarkStart w:id="52" w:name="_Toc26231"/>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②将初步评价结论、调整</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事项、专家咨询意见和有关说明等</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提交单位内部讨论</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并征求意见。之后，对所征求的意见及时地进行收集和整理。</w:t>
      </w:r>
      <w:bookmarkEnd w:id="52"/>
    </w:p>
    <w:p w14:paraId="5B486540">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53" w:name="_Toc2775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）撰写报告</w:t>
      </w:r>
      <w:bookmarkEnd w:id="53"/>
    </w:p>
    <w:p w14:paraId="77330C56">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54" w:name="_Toc1557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最终</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形成评价结果。</w:t>
      </w:r>
      <w:bookmarkEnd w:id="54"/>
    </w:p>
    <w:p w14:paraId="2AEB56E6">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bookmarkStart w:id="55" w:name="_Toc1100"/>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三、</w:t>
      </w:r>
      <w:r>
        <w:rPr>
          <w:rFonts w:hint="eastAsia" w:ascii="宋体" w:hAnsi="宋体" w:eastAsia="宋体" w:cs="宋体"/>
          <w:b/>
          <w:bCs/>
          <w:color w:val="000000" w:themeColor="text1"/>
          <w:highlight w:val="none"/>
          <w:shd w:val="clear" w:color="auto" w:fill="auto"/>
          <w14:textFill>
            <w14:solidFill>
              <w14:schemeClr w14:val="tx1"/>
            </w14:solidFill>
          </w14:textFill>
        </w:rPr>
        <w:t>综合评价情况及评价结论</w:t>
      </w:r>
      <w:bookmarkEnd w:id="55"/>
    </w:p>
    <w:p w14:paraId="0FB5A6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此次绩效评价</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通过组论证的评价指标体系及评分标准，</w:t>
      </w:r>
      <w:r>
        <w:rPr>
          <w:rFonts w:hint="eastAsia" w:ascii="宋体" w:hAnsi="宋体" w:eastAsia="宋体" w:cs="宋体"/>
          <w:color w:val="000000" w:themeColor="text1"/>
          <w:highlight w:val="none"/>
          <w:shd w:val="clear" w:color="auto" w:fill="auto"/>
          <w14:textFill>
            <w14:solidFill>
              <w14:schemeClr w14:val="tx1"/>
            </w14:solidFill>
          </w14:textFill>
        </w:rPr>
        <w:t>采用的方法比较法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、因素分析法、公众评判法，</w:t>
      </w:r>
      <w:r>
        <w:rPr>
          <w:rFonts w:hint="eastAsia" w:ascii="宋体" w:hAnsi="宋体" w:eastAsia="宋体" w:cs="宋体"/>
          <w:color w:val="auto"/>
          <w:highlight w:val="none"/>
          <w:shd w:val="clear" w:color="auto" w:fill="auto"/>
          <w:lang w:val="zh-TW" w:eastAsia="zh-TW"/>
        </w:rPr>
        <w:t>对</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2016年病媒生物消杀项目</w:t>
      </w:r>
      <w:r>
        <w:rPr>
          <w:rFonts w:hint="eastAsia" w:ascii="宋体" w:hAnsi="宋体" w:eastAsia="宋体" w:cs="宋体"/>
          <w:color w:val="auto"/>
          <w:highlight w:val="none"/>
          <w:shd w:val="clear" w:color="auto" w:fill="auto"/>
          <w:lang w:val="zh-TW" w:eastAsia="zh-TW"/>
        </w:rPr>
        <w:t>绩效进行客观评价，最终评分结果：总分为</w:t>
      </w:r>
      <w:r>
        <w:rPr>
          <w:rFonts w:hint="eastAsia" w:cs="宋体"/>
          <w:color w:val="000000" w:themeColor="text1"/>
          <w:highlight w:val="none"/>
          <w:shd w:val="clear" w:color="auto" w:fill="auto"/>
          <w:lang w:val="en-US" w:eastAsia="zh-CN"/>
          <w14:textFill>
            <w14:solidFill>
              <w14:schemeClr w14:val="tx1"/>
            </w14:solidFill>
          </w14:textFill>
        </w:rPr>
        <w:t>100</w:t>
      </w:r>
      <w:r>
        <w:rPr>
          <w:rFonts w:hint="eastAsia" w:cs="宋体"/>
          <w:color w:val="000000" w:themeColor="text1"/>
          <w:highlight w:val="none"/>
          <w:shd w:val="clear" w:color="auto" w:fill="auto"/>
          <w:lang w:val="zh-TW" w:eastAsia="zh-TW"/>
          <w14:textFill>
            <w14:solidFill>
              <w14:schemeClr w14:val="tx1"/>
            </w14:solidFill>
          </w14:textFill>
        </w:rPr>
        <w:t>分</w:t>
      </w:r>
      <w:r>
        <w:rPr>
          <w:rFonts w:hint="eastAsia" w:ascii="宋体" w:hAnsi="宋体" w:eastAsia="宋体" w:cs="宋体"/>
          <w:color w:val="auto"/>
          <w:highlight w:val="none"/>
          <w:shd w:val="clear" w:color="auto" w:fill="auto"/>
          <w:lang w:val="zh-TW" w:eastAsia="zh-TW"/>
        </w:rPr>
        <w:t>，绩效评级为“</w:t>
      </w:r>
      <w:r>
        <w:rPr>
          <w:rFonts w:hint="eastAsia" w:cs="宋体"/>
          <w:color w:val="000000" w:themeColor="text1"/>
          <w:highlight w:val="none"/>
          <w:shd w:val="clear" w:color="auto" w:fill="auto"/>
          <w:lang w:val="en-US" w:eastAsia="zh-CN"/>
          <w14:textFill>
            <w14:solidFill>
              <w14:schemeClr w14:val="tx1"/>
            </w14:solidFill>
          </w14:textFill>
        </w:rPr>
        <w:t>100</w:t>
      </w:r>
      <w:r>
        <w:rPr>
          <w:rFonts w:hint="eastAsia" w:cs="宋体"/>
          <w:color w:val="000000" w:themeColor="text1"/>
          <w:highlight w:val="none"/>
          <w:shd w:val="clear" w:color="auto" w:fill="auto"/>
          <w:lang w:val="zh-TW" w:eastAsia="zh-TW"/>
          <w14:textFill>
            <w14:solidFill>
              <w14:schemeClr w14:val="tx1"/>
            </w14:solidFill>
          </w14:textFill>
        </w:rPr>
        <w:t>分</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3-1</w:t>
      </w:r>
      <w:r>
        <w:rPr>
          <w:rFonts w:hint="eastAsia" w:ascii="宋体" w:hAnsi="宋体" w:eastAsia="宋体" w:cs="宋体"/>
          <w:color w:val="auto"/>
          <w:highlight w:val="none"/>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w:t>
      </w:r>
    </w:p>
    <w:tbl>
      <w:tblPr>
        <w:tblStyle w:val="11"/>
        <w:tblW w:w="8289" w:type="dxa"/>
        <w:jc w:val="center"/>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14:paraId="6EE20511">
        <w:tblPrEx>
          <w:shd w:val="clear" w:color="auto" w:fill="auto"/>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14:paraId="0F913C7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表3-1：2016年病媒生物消杀项目得分表</w:t>
            </w:r>
          </w:p>
          <w:p w14:paraId="514A47F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cs="宋体"/>
                <w:b/>
                <w:bCs/>
                <w:color w:val="FF0000"/>
                <w:kern w:val="0"/>
                <w:sz w:val="28"/>
                <w:szCs w:val="28"/>
                <w:highlight w:val="none"/>
                <w:shd w:val="clear" w:color="auto" w:fill="auto"/>
                <w:lang w:val="en-US" w:eastAsia="zh-CN"/>
              </w:rPr>
              <w:t>　</w:t>
            </w:r>
          </w:p>
        </w:tc>
      </w:tr>
      <w:tr w14:paraId="1E6395DE">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0342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E67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7DC8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A772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491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811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合计</w:t>
            </w:r>
          </w:p>
        </w:tc>
      </w:tr>
      <w:tr w14:paraId="373A2C09">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3C9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8499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F90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A9E0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F4BB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111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100</w:t>
            </w:r>
          </w:p>
        </w:tc>
      </w:tr>
      <w:tr w14:paraId="0CB3B350">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68F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FA7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B42F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4460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1F2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2E71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100</w:t>
            </w:r>
          </w:p>
        </w:tc>
      </w:tr>
      <w:tr w14:paraId="6D86DB27">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8FA5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EC98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100%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76AE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100%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ECAC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100%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BC4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100%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397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100%</w:t>
            </w:r>
          </w:p>
        </w:tc>
      </w:tr>
    </w:tbl>
    <w:p w14:paraId="63829FD3">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56" w:name="_Toc9421"/>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四、绩效评价指标分析</w:t>
      </w:r>
      <w:bookmarkEnd w:id="56"/>
    </w:p>
    <w:p w14:paraId="54A73B3A">
      <w:pPr>
        <w:pStyle w:val="2"/>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57" w:name="_Toc15355"/>
      <w:r>
        <w:rPr>
          <w:rFonts w:hint="eastAsia" w:ascii="宋体" w:hAnsi="宋体" w:eastAsia="宋体" w:cs="宋体"/>
          <w:color w:val="000000" w:themeColor="text1"/>
          <w:highlight w:val="none"/>
          <w:shd w:val="clear" w:color="auto" w:fill="auto"/>
          <w14:textFill>
            <w14:solidFill>
              <w14:schemeClr w14:val="tx1"/>
            </w14:solidFill>
          </w14:textFill>
        </w:rPr>
        <w:t>（一）项目决策情况</w:t>
      </w:r>
      <w:bookmarkEnd w:id="57"/>
    </w:p>
    <w:p w14:paraId="4E71D020">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项目决策由3个二级指标和6个三级指标构成，权重分20分，实际得分</w:t>
      </w:r>
      <w:r>
        <w:rPr>
          <w:rFonts w:hint="eastAsia" w:cs="宋体"/>
          <w:color w:val="auto"/>
          <w:highlight w:val="none"/>
          <w:shd w:val="clear" w:color="auto" w:fill="auto"/>
          <w:lang w:val="en-US" w:eastAsia="zh-CN"/>
        </w:rPr>
        <w:t>20分</w:t>
      </w:r>
      <w:r>
        <w:rPr>
          <w:rFonts w:hint="eastAsia" w:ascii="宋体" w:hAnsi="宋体" w:eastAsia="宋体" w:cs="宋体"/>
          <w:color w:val="auto"/>
          <w:highlight w:val="none"/>
          <w:shd w:val="clear" w:color="auto" w:fill="auto"/>
          <w:lang w:val="en-US"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b/>
          <w:bCs/>
          <w:color w:val="auto"/>
          <w:kern w:val="2"/>
          <w:highlight w:val="none"/>
          <w:u w:color="000000"/>
          <w:shd w:val="clear" w:color="auto" w:fill="auto"/>
          <w:lang w:val="en-US" w:eastAsia="zh-CN"/>
        </w:rPr>
        <w:t>4</w:t>
      </w:r>
      <w:r>
        <w:rPr>
          <w:rFonts w:hint="eastAsia" w:ascii="宋体" w:hAnsi="宋体" w:eastAsia="宋体" w:cs="宋体"/>
          <w:b/>
          <w:bCs/>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w:t>
      </w:r>
    </w:p>
    <w:p w14:paraId="2819789A">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cs="宋体"/>
          <w:b/>
          <w:bCs/>
          <w:color w:val="FF0000"/>
          <w:kern w:val="0"/>
          <w:sz w:val="28"/>
          <w:szCs w:val="28"/>
          <w:highlight w:val="none"/>
          <w:shd w:val="clear" w:color="auto" w:fill="auto"/>
          <w:lang w:val="en-US" w:eastAsia="zh-CN"/>
        </w:rPr>
        <w:t xml:space="preserve"> </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4-1</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项目决策指标及分值</w:t>
      </w:r>
    </w:p>
    <w:tbl>
      <w:tblPr>
        <w:tblStyle w:val="11"/>
        <w:tblW w:w="8447" w:type="dxa"/>
        <w:jc w:val="center"/>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14:paraId="4A957639">
        <w:tblPrEx>
          <w:tblCellMar>
            <w:top w:w="0" w:type="dxa"/>
            <w:left w:w="0" w:type="dxa"/>
            <w:bottom w:w="0" w:type="dxa"/>
            <w:right w:w="0" w:type="dxa"/>
          </w:tblCellMar>
        </w:tblPrEx>
        <w:trPr>
          <w:gridAfter w:val="1"/>
          <w:wAfter w:w="3" w:type="dxa"/>
          <w:trHeight w:val="522" w:hRule="atLeast"/>
          <w:tblHeader/>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725F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D24E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9CFDC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8E265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FF2D6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A4B1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4C4D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14:paraId="108911F6">
        <w:tblPrEx>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35D23AB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项目决策</w:t>
            </w:r>
          </w:p>
        </w:tc>
        <w:tc>
          <w:tcPr>
            <w:tcW w:w="96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935444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A6F36A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项目立项</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360D9B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67FB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立项依据充分性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F277F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94D4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4C8DA828">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27A4E2F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7DCC67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7B83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973ED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68840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立项程序规范性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919C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4BC7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14:paraId="24B87DC9">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61B7EF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30B7E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D6E9A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58EC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BCE9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4707D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19365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r>
      <w:tr w14:paraId="58A0FD1F">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7F66DD3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C51B7E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FCFC7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7ADF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CBB9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绩效指标明确性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ABEE3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E1A7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r>
      <w:tr w14:paraId="42B91F21">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CDD878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D4377A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6CF8A12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资金投入</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EE376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42036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预算编制科学性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61ABA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5C8C9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r>
      <w:tr w14:paraId="5875C3C0">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725F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5E5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3F026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172D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0ACFD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资金分配合理性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3137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FA113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r>
      <w:tr w14:paraId="12961F9A">
        <w:tblPrEx>
          <w:tblCellMar>
            <w:top w:w="0" w:type="dxa"/>
            <w:left w:w="0" w:type="dxa"/>
            <w:bottom w:w="0" w:type="dxa"/>
            <w:right w:w="0" w:type="dxa"/>
          </w:tblCellMar>
        </w:tblPrEx>
        <w:trPr>
          <w:trHeight w:val="361" w:hRule="atLeast"/>
          <w:tblHeader/>
          <w:jc w:val="center"/>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F149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2284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92398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1B19B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80C4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r>
    </w:tbl>
    <w:p w14:paraId="4513C041">
      <w:pPr>
        <w:bidi w:val="0"/>
        <w:outlineLvl w:val="2"/>
        <w:rPr>
          <w:rFonts w:hint="default"/>
          <w:b/>
          <w:bCs/>
          <w:lang w:val="en-US" w:eastAsia="zh-CN"/>
        </w:rPr>
      </w:pPr>
      <w:bookmarkStart w:id="58" w:name="_Toc13522"/>
      <w:r>
        <w:rPr>
          <w:rFonts w:hint="eastAsia"/>
          <w:b/>
          <w:bCs/>
          <w:lang w:val="en-US" w:eastAsia="zh-CN"/>
        </w:rPr>
        <w:t>1.立项依据充分性</w:t>
      </w:r>
      <w:bookmarkEnd w:id="58"/>
    </w:p>
    <w:p w14:paraId="4A5F79CB">
      <w:pPr>
        <w:bidi w:val="0"/>
        <w:rPr>
          <w:rFonts w:hint="eastAsia"/>
          <w:lang w:eastAsia="zh-CN"/>
        </w:rPr>
      </w:pPr>
      <w:r>
        <w:rPr>
          <w:rFonts w:hint="eastAsia"/>
          <w:lang w:eastAsia="zh-CN"/>
        </w:rPr>
        <w:t>①项目立项符合《国家卫生城市标准》、《</w:t>
      </w:r>
      <w:r>
        <w:rPr>
          <w:rFonts w:hint="eastAsia"/>
          <w:lang w:val="en-US" w:eastAsia="zh-CN"/>
        </w:rPr>
        <w:t>病媒生物预防控制管理规定》、《关于阜康市创建国家卫生城市病媒生物防治方案》</w:t>
      </w:r>
      <w:r>
        <w:rPr>
          <w:rFonts w:hint="eastAsia"/>
          <w:lang w:eastAsia="zh-CN"/>
        </w:rPr>
        <w:t>；</w:t>
      </w:r>
    </w:p>
    <w:p w14:paraId="0A9888B9">
      <w:pPr>
        <w:bidi w:val="0"/>
        <w:rPr>
          <w:rFonts w:hint="eastAsia"/>
          <w:lang w:eastAsia="zh-CN"/>
        </w:rPr>
      </w:pPr>
      <w:r>
        <w:rPr>
          <w:rFonts w:hint="eastAsia"/>
          <w:lang w:eastAsia="zh-CN"/>
        </w:rPr>
        <w:t>②项目立项符合</w:t>
      </w:r>
      <w:r>
        <w:rPr>
          <w:rFonts w:hint="eastAsia"/>
          <w:lang w:val="en-US" w:eastAsia="zh-CN"/>
        </w:rPr>
        <w:t>《关于阜康市创建国家卫生城市病媒生物防治方案》</w:t>
      </w:r>
      <w:r>
        <w:rPr>
          <w:rFonts w:hint="eastAsia"/>
          <w:lang w:eastAsia="zh-CN"/>
        </w:rPr>
        <w:t>；</w:t>
      </w:r>
    </w:p>
    <w:p w14:paraId="3030087E">
      <w:pPr>
        <w:bidi w:val="0"/>
        <w:rPr>
          <w:rFonts w:hint="eastAsia"/>
          <w:lang w:eastAsia="zh-CN"/>
        </w:rPr>
      </w:pPr>
      <w:r>
        <w:rPr>
          <w:rFonts w:hint="eastAsia"/>
          <w:lang w:eastAsia="zh-CN"/>
        </w:rPr>
        <w:t>③项目立项与</w:t>
      </w:r>
      <w:r>
        <w:rPr>
          <w:rFonts w:hint="eastAsia"/>
          <w:lang w:val="zh-CN" w:eastAsia="zh-CN"/>
        </w:rPr>
        <w:t>对影响人群生存环境卫生质量及生命质量的危险因素进行食品、职业、环境、放射、学校卫生等卫生学监测；对传染病、地方病、寄生虫病、慢性非传染性疾病、职业病、公害病、学生常见病及意外伤害、中毒等发生、发布和发展的规律进行流行病学监测，并制定预防控制对策</w:t>
      </w:r>
      <w:r>
        <w:rPr>
          <w:rFonts w:hint="eastAsia"/>
          <w:lang w:eastAsia="zh-CN"/>
        </w:rPr>
        <w:t>相符，属于部门履职所需；</w:t>
      </w:r>
    </w:p>
    <w:p w14:paraId="7D7043D1">
      <w:pPr>
        <w:bidi w:val="0"/>
        <w:rPr>
          <w:rFonts w:hint="eastAsia"/>
          <w:lang w:eastAsia="zh-CN"/>
        </w:rPr>
      </w:pPr>
      <w:r>
        <w:rPr>
          <w:rFonts w:hint="eastAsia"/>
          <w:lang w:eastAsia="zh-CN"/>
        </w:rPr>
        <w:t>④项目属于公共财政支持范围，符合中央、地方事权支出责任划分原则；</w:t>
      </w:r>
    </w:p>
    <w:p w14:paraId="264B49BA">
      <w:pPr>
        <w:bidi w:val="0"/>
        <w:rPr>
          <w:rFonts w:hint="eastAsia"/>
          <w:lang w:eastAsia="zh-CN"/>
        </w:rPr>
      </w:pPr>
      <w:r>
        <w:rPr>
          <w:rFonts w:hint="eastAsia"/>
          <w:lang w:eastAsia="zh-CN"/>
        </w:rPr>
        <w:t>⑤项目与相关部门同类项目或部门内部相关项目</w:t>
      </w:r>
      <w:r>
        <w:rPr>
          <w:rFonts w:hint="eastAsia"/>
          <w:lang w:val="en-US" w:eastAsia="zh-CN"/>
        </w:rPr>
        <w:t>不</w:t>
      </w:r>
      <w:r>
        <w:rPr>
          <w:rFonts w:hint="eastAsia"/>
          <w:lang w:eastAsia="zh-CN"/>
        </w:rPr>
        <w:t>重复。</w:t>
      </w:r>
    </w:p>
    <w:p w14:paraId="031FECAC">
      <w:pPr>
        <w:bidi w:val="0"/>
        <w:rPr>
          <w:rFonts w:hint="default"/>
          <w:lang w:val="en-US" w:eastAsia="zh-CN"/>
        </w:rPr>
      </w:pPr>
      <w:r>
        <w:rPr>
          <w:rFonts w:hint="eastAsia"/>
          <w:b/>
          <w:bCs/>
          <w:lang w:val="en-US" w:eastAsia="zh-CN"/>
        </w:rPr>
        <w:t>综上，该项指标满分</w:t>
      </w:r>
      <w:r>
        <w:rPr>
          <w:rFonts w:hint="eastAsia"/>
          <w:b/>
          <w:bCs/>
          <w:color w:val="000000" w:themeColor="text1"/>
          <w:highlight w:val="none"/>
          <w:lang w:val="en-US" w:eastAsia="zh-CN"/>
          <w14:textFill>
            <w14:solidFill>
              <w14:schemeClr w14:val="tx1"/>
            </w14:solidFill>
          </w14:textFill>
        </w:rPr>
        <w:t>2分，得分2分。</w:t>
      </w:r>
    </w:p>
    <w:p w14:paraId="3F50BF98">
      <w:pPr>
        <w:bidi w:val="0"/>
        <w:outlineLvl w:val="2"/>
        <w:rPr>
          <w:rFonts w:hint="default"/>
          <w:b/>
          <w:bCs/>
          <w:color w:val="auto"/>
          <w:lang w:val="en-US" w:eastAsia="zh-CN"/>
        </w:rPr>
      </w:pPr>
      <w:bookmarkStart w:id="59" w:name="_Toc21976"/>
      <w:r>
        <w:rPr>
          <w:rFonts w:hint="eastAsia"/>
          <w:b/>
          <w:bCs/>
          <w:color w:val="auto"/>
          <w:lang w:val="en-US" w:eastAsia="zh-CN"/>
        </w:rPr>
        <w:t>2.立项程序规范性</w:t>
      </w:r>
      <w:bookmarkEnd w:id="59"/>
    </w:p>
    <w:p w14:paraId="1DFF646A">
      <w:pPr>
        <w:bidi w:val="0"/>
        <w:rPr>
          <w:rFonts w:hint="eastAsia"/>
          <w:lang w:eastAsia="zh-CN"/>
        </w:rPr>
      </w:pPr>
      <w:r>
        <w:rPr>
          <w:rFonts w:hint="eastAsia"/>
          <w:lang w:eastAsia="zh-CN"/>
        </w:rPr>
        <w:t>①项目按照规定的程序申请设立；</w:t>
      </w:r>
    </w:p>
    <w:p w14:paraId="0D2FC2C5">
      <w:pPr>
        <w:bidi w:val="0"/>
        <w:rPr>
          <w:rFonts w:hint="eastAsia"/>
          <w:lang w:eastAsia="zh-CN"/>
        </w:rPr>
      </w:pPr>
      <w:r>
        <w:rPr>
          <w:rFonts w:hint="eastAsia"/>
          <w:lang w:eastAsia="zh-CN"/>
        </w:rPr>
        <w:t>②审批文件、材料符合相关要求；</w:t>
      </w:r>
    </w:p>
    <w:p w14:paraId="7639BDB5">
      <w:pPr>
        <w:bidi w:val="0"/>
        <w:rPr>
          <w:rFonts w:hint="eastAsia"/>
          <w:lang w:val="en-US" w:eastAsia="zh-CN"/>
        </w:rPr>
      </w:pPr>
      <w:r>
        <w:rPr>
          <w:rFonts w:hint="eastAsia"/>
          <w:highlight w:val="none"/>
          <w:lang w:eastAsia="zh-CN"/>
        </w:rPr>
        <w:t>③事前经过必要的可行性研究、专家论证、风险评估、绩效评估、集体决策。</w:t>
      </w:r>
      <w:r>
        <w:rPr>
          <w:rFonts w:hint="eastAsia"/>
          <w:lang w:eastAsia="zh-CN"/>
        </w:rPr>
        <w:t>《国家卫生城市标准》、</w:t>
      </w:r>
      <w:r>
        <w:rPr>
          <w:rFonts w:hint="eastAsia"/>
          <w:lang w:val="en-US" w:eastAsia="zh-CN"/>
        </w:rPr>
        <w:t>《2016年阜康市</w:t>
      </w:r>
      <w:r>
        <w:rPr>
          <w:rFonts w:hint="eastAsia"/>
          <w:lang w:eastAsia="zh-CN"/>
        </w:rPr>
        <w:t>病媒生物密度监测分析》、《</w:t>
      </w:r>
      <w:r>
        <w:rPr>
          <w:rFonts w:hint="eastAsia"/>
          <w:lang w:val="en-US" w:eastAsia="zh-CN"/>
        </w:rPr>
        <w:t xml:space="preserve">病媒生物预防控制管理规定》、《关于阜康市创建国家卫生城市病媒生物防治方案》 </w:t>
      </w:r>
    </w:p>
    <w:p w14:paraId="0B3613DE">
      <w:pPr>
        <w:bidi w:val="0"/>
        <w:rPr>
          <w:rFonts w:hint="eastAsia"/>
          <w:lang w:eastAsia="zh-CN"/>
        </w:rPr>
      </w:pPr>
      <w:r>
        <w:rPr>
          <w:rFonts w:hint="eastAsia"/>
          <w:b/>
          <w:bCs/>
          <w:lang w:val="en-US" w:eastAsia="zh-CN"/>
        </w:rPr>
        <w:t>综上，该项指标满分</w:t>
      </w:r>
      <w:r>
        <w:rPr>
          <w:rFonts w:hint="eastAsia"/>
          <w:b/>
          <w:bCs/>
          <w:color w:val="000000" w:themeColor="text1"/>
          <w:highlight w:val="none"/>
          <w:lang w:val="en-US" w:eastAsia="zh-CN"/>
          <w14:textFill>
            <w14:solidFill>
              <w14:schemeClr w14:val="tx1"/>
            </w14:solidFill>
          </w14:textFill>
        </w:rPr>
        <w:t>3分，得分3分。</w:t>
      </w:r>
    </w:p>
    <w:p w14:paraId="6152E031">
      <w:pPr>
        <w:bidi w:val="0"/>
        <w:outlineLvl w:val="2"/>
        <w:rPr>
          <w:rFonts w:hint="default"/>
          <w:b/>
          <w:bCs/>
          <w:lang w:val="en-US" w:eastAsia="zh-CN"/>
        </w:rPr>
      </w:pPr>
      <w:bookmarkStart w:id="60" w:name="_Toc15382"/>
      <w:r>
        <w:rPr>
          <w:rFonts w:hint="eastAsia"/>
          <w:b/>
          <w:bCs/>
          <w:lang w:val="en-US" w:eastAsia="zh-CN"/>
        </w:rPr>
        <w:t>3.绩效目标合理性</w:t>
      </w:r>
      <w:bookmarkEnd w:id="60"/>
    </w:p>
    <w:p w14:paraId="346F4D3B">
      <w:pPr>
        <w:bidi w:val="0"/>
        <w:rPr>
          <w:rFonts w:hint="eastAsia"/>
          <w:lang w:eastAsia="zh-CN"/>
        </w:rPr>
      </w:pPr>
      <w:r>
        <w:rPr>
          <w:rFonts w:hint="eastAsia"/>
          <w:lang w:eastAsia="zh-CN"/>
        </w:rPr>
        <w:t>①项目有绩效目标；</w:t>
      </w:r>
    </w:p>
    <w:p w14:paraId="3EEBB81B">
      <w:pPr>
        <w:bidi w:val="0"/>
        <w:rPr>
          <w:rFonts w:hint="eastAsia"/>
          <w:lang w:eastAsia="zh-CN"/>
        </w:rPr>
      </w:pPr>
      <w:r>
        <w:rPr>
          <w:rFonts w:hint="eastAsia"/>
          <w:lang w:eastAsia="zh-CN"/>
        </w:rPr>
        <w:t>②项目绩效目标与实际工作内容具有相关性；</w:t>
      </w:r>
    </w:p>
    <w:p w14:paraId="7445DE7E">
      <w:pPr>
        <w:bidi w:val="0"/>
        <w:rPr>
          <w:rFonts w:hint="eastAsia"/>
          <w:lang w:eastAsia="zh-CN"/>
        </w:rPr>
      </w:pPr>
      <w:r>
        <w:rPr>
          <w:rFonts w:hint="eastAsia"/>
          <w:lang w:eastAsia="zh-CN"/>
        </w:rPr>
        <w:t>③项目预期产出效益和效果符合正常的业绩水平；</w:t>
      </w:r>
    </w:p>
    <w:p w14:paraId="03EF8E5B">
      <w:pPr>
        <w:bidi w:val="0"/>
        <w:rPr>
          <w:rFonts w:hint="eastAsia"/>
          <w:highlight w:val="none"/>
          <w:lang w:eastAsia="zh-CN"/>
        </w:rPr>
      </w:pPr>
      <w:r>
        <w:rPr>
          <w:rFonts w:hint="eastAsia"/>
          <w:lang w:eastAsia="zh-CN"/>
        </w:rPr>
        <w:t>④与预算确定的</w:t>
      </w:r>
      <w:r>
        <w:rPr>
          <w:rFonts w:hint="eastAsia"/>
          <w:highlight w:val="none"/>
          <w:lang w:eastAsia="zh-CN"/>
        </w:rPr>
        <w:t>项目投资额或资金量相匹配。</w:t>
      </w:r>
    </w:p>
    <w:p w14:paraId="0FC76FD1">
      <w:pPr>
        <w:bidi w:val="0"/>
        <w:rPr>
          <w:rFonts w:hint="eastAsia"/>
          <w:highlight w:val="none"/>
          <w:lang w:eastAsia="zh-CN"/>
        </w:rPr>
      </w:pPr>
      <w:r>
        <w:rPr>
          <w:rFonts w:hint="eastAsia"/>
          <w:b/>
          <w:bCs/>
          <w:highlight w:val="none"/>
          <w:lang w:val="en-US" w:eastAsia="zh-CN"/>
        </w:rPr>
        <w:t>综上，该项指标满分</w:t>
      </w:r>
      <w:r>
        <w:rPr>
          <w:rFonts w:hint="eastAsia"/>
          <w:b/>
          <w:bCs/>
          <w:color w:val="000000" w:themeColor="text1"/>
          <w:highlight w:val="none"/>
          <w:lang w:val="en-US" w:eastAsia="zh-CN"/>
          <w14:textFill>
            <w14:solidFill>
              <w14:schemeClr w14:val="tx1"/>
            </w14:solidFill>
          </w14:textFill>
        </w:rPr>
        <w:t>5分，得分5分。</w:t>
      </w:r>
    </w:p>
    <w:p w14:paraId="493E56D7">
      <w:pPr>
        <w:bidi w:val="0"/>
        <w:outlineLvl w:val="2"/>
        <w:rPr>
          <w:rFonts w:hint="default"/>
          <w:b/>
          <w:bCs/>
          <w:highlight w:val="none"/>
          <w:lang w:val="en-US" w:eastAsia="zh-CN"/>
        </w:rPr>
      </w:pPr>
      <w:bookmarkStart w:id="61" w:name="_Toc10650"/>
      <w:r>
        <w:rPr>
          <w:rFonts w:hint="eastAsia"/>
          <w:b/>
          <w:bCs/>
          <w:highlight w:val="none"/>
          <w:lang w:val="en-US" w:eastAsia="zh-CN"/>
        </w:rPr>
        <w:t>4.绩效指标明确性</w:t>
      </w:r>
      <w:bookmarkEnd w:id="61"/>
    </w:p>
    <w:p w14:paraId="7D1C23C3">
      <w:pPr>
        <w:bidi w:val="0"/>
        <w:rPr>
          <w:rFonts w:hint="default"/>
          <w:highlight w:val="none"/>
          <w:lang w:val="en-US" w:eastAsia="zh-CN"/>
        </w:rPr>
      </w:pPr>
      <w:r>
        <w:rPr>
          <w:rFonts w:hint="eastAsia"/>
          <w:highlight w:val="none"/>
          <w:lang w:eastAsia="zh-CN"/>
        </w:rPr>
        <w:t>①将项目绩效目标细化分解为具体的绩效指标，</w:t>
      </w:r>
      <w:r>
        <w:rPr>
          <w:rFonts w:hint="eastAsia"/>
          <w:highlight w:val="none"/>
          <w:lang w:val="en-US" w:eastAsia="zh-CN"/>
        </w:rPr>
        <w:t>5个二级指标，7个三级指标</w:t>
      </w:r>
    </w:p>
    <w:p w14:paraId="7833AE0C">
      <w:pPr>
        <w:bidi w:val="0"/>
        <w:rPr>
          <w:rFonts w:hint="default"/>
          <w:highlight w:val="none"/>
          <w:lang w:val="en-US" w:eastAsia="zh-CN"/>
        </w:rPr>
      </w:pPr>
      <w:r>
        <w:rPr>
          <w:rFonts w:hint="eastAsia"/>
          <w:highlight w:val="none"/>
          <w:lang w:eastAsia="zh-CN"/>
        </w:rPr>
        <w:t>②通过清晰、可衡量的指标值予以体现，量化指标值为</w:t>
      </w:r>
      <w:r>
        <w:rPr>
          <w:rFonts w:hint="eastAsia"/>
          <w:highlight w:val="none"/>
          <w:lang w:val="en-US" w:eastAsia="zh-CN"/>
        </w:rPr>
        <w:t>71.43%</w:t>
      </w:r>
    </w:p>
    <w:p w14:paraId="34C895C1">
      <w:pPr>
        <w:bidi w:val="0"/>
        <w:rPr>
          <w:rFonts w:hint="eastAsia"/>
          <w:highlight w:val="none"/>
          <w:lang w:eastAsia="zh-CN"/>
        </w:rPr>
      </w:pPr>
      <w:r>
        <w:rPr>
          <w:rFonts w:hint="eastAsia"/>
          <w:highlight w:val="none"/>
          <w:lang w:eastAsia="zh-CN"/>
        </w:rPr>
        <w:t>③与项目目标任务数或计划数相对应。</w:t>
      </w:r>
    </w:p>
    <w:p w14:paraId="27D41F60">
      <w:pPr>
        <w:bidi w:val="0"/>
        <w:rPr>
          <w:rFonts w:hint="eastAsia"/>
          <w:lang w:eastAsia="zh-CN"/>
        </w:rPr>
      </w:pPr>
      <w:r>
        <w:rPr>
          <w:rFonts w:hint="eastAsia"/>
          <w:b/>
          <w:bCs/>
          <w:highlight w:val="none"/>
          <w:lang w:val="en-US" w:eastAsia="zh-CN"/>
        </w:rPr>
        <w:t>综上，该项指标满分</w:t>
      </w:r>
      <w:r>
        <w:rPr>
          <w:rFonts w:hint="eastAsia"/>
          <w:b/>
          <w:bCs/>
          <w:color w:val="000000" w:themeColor="text1"/>
          <w:highlight w:val="none"/>
          <w:lang w:val="en-US" w:eastAsia="zh-CN"/>
          <w14:textFill>
            <w14:solidFill>
              <w14:schemeClr w14:val="tx1"/>
            </w14:solidFill>
          </w14:textFill>
        </w:rPr>
        <w:t>5分，得分5分。</w:t>
      </w:r>
    </w:p>
    <w:p w14:paraId="1941B4C0">
      <w:pPr>
        <w:bidi w:val="0"/>
        <w:outlineLvl w:val="2"/>
        <w:rPr>
          <w:rFonts w:hint="default"/>
          <w:b/>
          <w:bCs/>
          <w:lang w:val="en-US" w:eastAsia="zh-CN"/>
        </w:rPr>
      </w:pPr>
      <w:bookmarkStart w:id="62" w:name="_Toc19401"/>
      <w:r>
        <w:rPr>
          <w:rFonts w:hint="eastAsia"/>
          <w:b/>
          <w:bCs/>
          <w:lang w:val="en-US" w:eastAsia="zh-CN"/>
        </w:rPr>
        <w:t>5.预算编制科学性</w:t>
      </w:r>
      <w:bookmarkEnd w:id="62"/>
    </w:p>
    <w:p w14:paraId="7F9F5F6B">
      <w:pPr>
        <w:bidi w:val="0"/>
        <w:rPr>
          <w:rFonts w:hint="eastAsia"/>
          <w:lang w:eastAsia="zh-CN"/>
        </w:rPr>
      </w:pPr>
      <w:r>
        <w:rPr>
          <w:rFonts w:hint="eastAsia"/>
          <w:lang w:eastAsia="zh-CN"/>
        </w:rPr>
        <w:t>①预算编制经过科学论证；</w:t>
      </w:r>
    </w:p>
    <w:p w14:paraId="11202FFC">
      <w:pPr>
        <w:bidi w:val="0"/>
        <w:rPr>
          <w:rFonts w:hint="eastAsia"/>
          <w:lang w:eastAsia="zh-CN"/>
        </w:rPr>
      </w:pPr>
      <w:r>
        <w:rPr>
          <w:rFonts w:hint="eastAsia"/>
          <w:lang w:eastAsia="zh-CN"/>
        </w:rPr>
        <w:t>②预算内容与项目内容匹配；</w:t>
      </w:r>
    </w:p>
    <w:p w14:paraId="53BA6E31">
      <w:pPr>
        <w:bidi w:val="0"/>
        <w:rPr>
          <w:rFonts w:hint="eastAsia"/>
          <w:lang w:eastAsia="zh-CN"/>
        </w:rPr>
      </w:pPr>
      <w:r>
        <w:rPr>
          <w:rFonts w:hint="eastAsia"/>
          <w:lang w:eastAsia="zh-CN"/>
        </w:rPr>
        <w:t>③预算额度测算依据充分，按照标准编制；</w:t>
      </w:r>
    </w:p>
    <w:p w14:paraId="7BC1E819">
      <w:pPr>
        <w:bidi w:val="0"/>
        <w:rPr>
          <w:rFonts w:hint="eastAsia"/>
          <w:lang w:eastAsia="zh-CN"/>
        </w:rPr>
      </w:pPr>
      <w:r>
        <w:rPr>
          <w:rFonts w:hint="eastAsia"/>
          <w:lang w:eastAsia="zh-CN"/>
        </w:rPr>
        <w:t>④预算确定的项目投资额或资金量与工作任务相匹配。</w:t>
      </w:r>
    </w:p>
    <w:p w14:paraId="46BBD800">
      <w:pPr>
        <w:bidi w:val="0"/>
        <w:rPr>
          <w:rFonts w:hint="eastAsia"/>
          <w:lang w:eastAsia="zh-CN"/>
        </w:rPr>
      </w:pPr>
      <w:r>
        <w:rPr>
          <w:rFonts w:hint="eastAsia"/>
          <w:b/>
          <w:bCs/>
          <w:lang w:val="en-US" w:eastAsia="zh-CN"/>
        </w:rPr>
        <w:t>综上，该项指标满分</w:t>
      </w:r>
      <w:r>
        <w:rPr>
          <w:rFonts w:hint="eastAsia"/>
          <w:b/>
          <w:bCs/>
          <w:color w:val="000000" w:themeColor="text1"/>
          <w:highlight w:val="none"/>
          <w:lang w:val="en-US" w:eastAsia="zh-CN"/>
          <w14:textFill>
            <w14:solidFill>
              <w14:schemeClr w14:val="tx1"/>
            </w14:solidFill>
          </w14:textFill>
        </w:rPr>
        <w:t>2分，得分2分。</w:t>
      </w:r>
    </w:p>
    <w:p w14:paraId="4C767086">
      <w:pPr>
        <w:bidi w:val="0"/>
        <w:outlineLvl w:val="2"/>
        <w:rPr>
          <w:rFonts w:hint="default"/>
          <w:b/>
          <w:bCs/>
          <w:lang w:val="en-US" w:eastAsia="zh-CN"/>
        </w:rPr>
      </w:pPr>
      <w:bookmarkStart w:id="63" w:name="_Toc697"/>
      <w:r>
        <w:rPr>
          <w:rFonts w:hint="eastAsia"/>
          <w:b/>
          <w:bCs/>
          <w:lang w:val="en-US" w:eastAsia="zh-CN"/>
        </w:rPr>
        <w:t>6.资金分配合理性</w:t>
      </w:r>
      <w:bookmarkEnd w:id="63"/>
    </w:p>
    <w:p w14:paraId="64373BE3">
      <w:pPr>
        <w:bidi w:val="0"/>
        <w:rPr>
          <w:rFonts w:hint="eastAsia"/>
          <w:lang w:eastAsia="zh-CN"/>
        </w:rPr>
      </w:pPr>
      <w:r>
        <w:rPr>
          <w:rFonts w:hint="eastAsia"/>
          <w:lang w:eastAsia="zh-CN"/>
        </w:rPr>
        <w:t>①预算资金分配依据充分；</w:t>
      </w:r>
    </w:p>
    <w:p w14:paraId="5037FCCF">
      <w:pPr>
        <w:bidi w:val="0"/>
        <w:rPr>
          <w:rFonts w:hint="eastAsia"/>
          <w:lang w:eastAsia="zh-CN"/>
        </w:rPr>
      </w:pPr>
      <w:r>
        <w:rPr>
          <w:rFonts w:hint="eastAsia"/>
          <w:lang w:eastAsia="zh-CN"/>
        </w:rPr>
        <w:t>②资金分配额度合理，与项目单位或地方实际相适应。</w:t>
      </w:r>
    </w:p>
    <w:p w14:paraId="2B7B7783">
      <w:pPr>
        <w:bidi w:val="0"/>
        <w:rPr>
          <w:rFonts w:hint="eastAsia"/>
          <w:lang w:eastAsia="zh-CN"/>
        </w:rPr>
      </w:pPr>
      <w:r>
        <w:rPr>
          <w:rFonts w:hint="eastAsia"/>
          <w:b/>
          <w:bCs/>
          <w:lang w:val="en-US" w:eastAsia="zh-CN"/>
        </w:rPr>
        <w:t>综上，该项指标满分</w:t>
      </w:r>
      <w:r>
        <w:rPr>
          <w:rFonts w:hint="eastAsia"/>
          <w:b/>
          <w:bCs/>
          <w:color w:val="000000" w:themeColor="text1"/>
          <w:highlight w:val="none"/>
          <w:lang w:val="en-US" w:eastAsia="zh-CN"/>
          <w14:textFill>
            <w14:solidFill>
              <w14:schemeClr w14:val="tx1"/>
            </w14:solidFill>
          </w14:textFill>
        </w:rPr>
        <w:t>3分，得分3分。</w:t>
      </w:r>
    </w:p>
    <w:p w14:paraId="4E086E26">
      <w:pPr>
        <w:pStyle w:val="2"/>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64" w:name="_Toc11361"/>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二</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项目过程情况</w:t>
      </w:r>
      <w:bookmarkEnd w:id="64"/>
    </w:p>
    <w:p w14:paraId="6ABDBF7B">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000000" w:themeColor="text1"/>
          <w:kern w:val="2"/>
          <w:highlight w:val="none"/>
          <w:u w:color="000000"/>
          <w:shd w:val="clear" w:color="auto" w:fill="auto"/>
          <w:lang w:val="en-US" w:eastAsia="zh-CN"/>
          <w14:textFill>
            <w14:solidFill>
              <w14:schemeClr w14:val="tx1"/>
            </w14:solidFill>
          </w14:textFill>
        </w:rPr>
        <w:t>20</w:t>
      </w:r>
      <w:r>
        <w:rPr>
          <w:rFonts w:hint="eastAsia" w:ascii="宋体" w:hAnsi="宋体" w:eastAsia="宋体" w:cs="宋体"/>
          <w:color w:val="000000" w:themeColor="text1"/>
          <w:kern w:val="2"/>
          <w:highlight w:val="none"/>
          <w:u w:color="000000"/>
          <w:shd w:val="clear" w:color="auto" w:fill="auto"/>
          <w:lang w:val="zh-TW" w:eastAsia="zh-TW"/>
          <w14:textFill>
            <w14:solidFill>
              <w14:schemeClr w14:val="tx1"/>
            </w14:solidFill>
          </w14:textFill>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5DA09273">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cs="宋体"/>
          <w:b/>
          <w:bCs/>
          <w:color w:val="FF0000"/>
          <w:kern w:val="0"/>
          <w:sz w:val="28"/>
          <w:szCs w:val="28"/>
          <w:highlight w:val="none"/>
          <w:shd w:val="clear" w:color="auto" w:fill="auto"/>
          <w:lang w:val="zh-TW" w:eastAsia="zh-CN"/>
        </w:rPr>
        <w:t>　</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4-2</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w:t>
      </w:r>
      <w:r>
        <w:rPr>
          <w:rFonts w:hint="eastAsia" w:ascii="宋体" w:hAnsi="宋体" w:eastAsia="宋体" w:cs="宋体"/>
          <w:b/>
          <w:bCs/>
          <w:color w:val="000000" w:themeColor="text1"/>
          <w:kern w:val="0"/>
          <w:sz w:val="28"/>
          <w:szCs w:val="28"/>
          <w:highlight w:val="none"/>
          <w:shd w:val="clear" w:color="auto" w:fill="auto"/>
          <w:lang w:val="zh-TW" w:eastAsia="zh-CN"/>
          <w14:textFill>
            <w14:solidFill>
              <w14:schemeClr w14:val="tx1"/>
            </w14:solidFill>
          </w14:textFill>
        </w:rPr>
        <w:t>管理</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317" w:type="dxa"/>
        <w:jc w:val="center"/>
        <w:tblLayout w:type="fixed"/>
        <w:tblCellMar>
          <w:top w:w="0" w:type="dxa"/>
          <w:left w:w="0" w:type="dxa"/>
          <w:bottom w:w="0" w:type="dxa"/>
          <w:right w:w="0" w:type="dxa"/>
        </w:tblCellMar>
      </w:tblPr>
      <w:tblGrid>
        <w:gridCol w:w="1182"/>
        <w:gridCol w:w="738"/>
        <w:gridCol w:w="1248"/>
        <w:gridCol w:w="1176"/>
        <w:gridCol w:w="1833"/>
        <w:gridCol w:w="987"/>
        <w:gridCol w:w="1153"/>
      </w:tblGrid>
      <w:tr w14:paraId="1CD8437F">
        <w:tblPrEx>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D9E09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B3FAD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215E4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11CC6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CAB66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554BA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CCBEC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14:paraId="0739DFBE">
        <w:tblPrEx>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DF05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F36B9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AE19F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2CF32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94E0A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F5B59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127B5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r>
      <w:tr w14:paraId="2763D0C8">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9F2C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451F0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68196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1AF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16CA9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7DDB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A72E0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r>
      <w:tr w14:paraId="11A6BCA6">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457D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99AD8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8428B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62F35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A8F16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11F1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783F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r>
      <w:tr w14:paraId="04D7050B">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A25D4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1095C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241DB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B0338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9C7EB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0A448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6A2C6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r>
      <w:tr w14:paraId="12F3ABBC">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D4B8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C28E5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31A46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1ED36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FDA9A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EBE76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0A9B4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r>
      <w:tr w14:paraId="1C6A2243">
        <w:tblPrEx>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7AD03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C5372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1F6FB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F6E35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489A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r>
    </w:tbl>
    <w:p w14:paraId="74500655">
      <w:pPr>
        <w:bidi w:val="0"/>
        <w:outlineLvl w:val="2"/>
        <w:rPr>
          <w:rFonts w:hint="default"/>
          <w:b/>
          <w:bCs/>
          <w:color w:val="FF0000"/>
          <w:lang w:val="en-US" w:eastAsia="zh-CN"/>
        </w:rPr>
      </w:pPr>
      <w:bookmarkStart w:id="65" w:name="_Toc3886"/>
      <w:r>
        <w:rPr>
          <w:rFonts w:hint="eastAsia"/>
          <w:b/>
          <w:bCs/>
          <w:lang w:val="en-US" w:eastAsia="zh-CN"/>
        </w:rPr>
        <w:t>1.资金到位率</w:t>
      </w:r>
      <w:bookmarkEnd w:id="65"/>
      <w:r>
        <w:rPr>
          <w:rFonts w:hint="eastAsia"/>
          <w:b/>
          <w:bCs/>
          <w:color w:val="FF0000"/>
          <w:lang w:val="en-US" w:eastAsia="zh-CN"/>
        </w:rPr>
        <w:t>　</w:t>
      </w:r>
    </w:p>
    <w:p w14:paraId="67A71693">
      <w:pPr>
        <w:bidi w:val="0"/>
        <w:rPr>
          <w:rFonts w:hint="default"/>
          <w:b w:val="0"/>
          <w:bCs w:val="0"/>
          <w:color w:val="000000" w:themeColor="text1"/>
          <w:highlight w:val="none"/>
          <w:lang w:val="en-US" w:eastAsia="zh-CN"/>
          <w14:textFill>
            <w14:solidFill>
              <w14:schemeClr w14:val="tx1"/>
            </w14:solidFill>
          </w14:textFill>
        </w:rPr>
      </w:pPr>
      <w:r>
        <w:rPr>
          <w:rFonts w:hint="eastAsia"/>
          <w:lang w:eastAsia="zh-CN"/>
        </w:rPr>
        <w:t>资金到位</w:t>
      </w:r>
      <w:r>
        <w:rPr>
          <w:rFonts w:hint="eastAsia"/>
          <w:highlight w:val="none"/>
          <w:lang w:eastAsia="zh-CN"/>
        </w:rPr>
        <w:t>率=</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35万元</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35万元</w:t>
      </w:r>
      <w:r>
        <w:rPr>
          <w:rFonts w:hint="eastAsia"/>
          <w:color w:val="000000" w:themeColor="text1"/>
          <w:highlight w:val="none"/>
          <w:lang w:eastAsia="zh-CN"/>
          <w14:textFill>
            <w14:solidFill>
              <w14:schemeClr w14:val="tx1"/>
            </w14:solidFill>
          </w14:textFill>
        </w:rPr>
        <w:t>）×1</w:t>
      </w:r>
      <w:r>
        <w:rPr>
          <w:rFonts w:hint="eastAsia"/>
          <w:b w:val="0"/>
          <w:bCs w:val="0"/>
          <w:color w:val="000000" w:themeColor="text1"/>
          <w:highlight w:val="none"/>
          <w:lang w:eastAsia="zh-CN"/>
          <w14:textFill>
            <w14:solidFill>
              <w14:schemeClr w14:val="tx1"/>
            </w14:solidFill>
          </w14:textFill>
        </w:rPr>
        <w:t>00%。</w:t>
      </w:r>
      <w:r>
        <w:rPr>
          <w:rFonts w:hint="eastAsia"/>
          <w:b w:val="0"/>
          <w:bCs w:val="0"/>
          <w:color w:val="000000" w:themeColor="text1"/>
          <w:highlight w:val="none"/>
          <w:lang w:val="en-US" w:eastAsia="zh-CN"/>
          <w14:textFill>
            <w14:solidFill>
              <w14:schemeClr w14:val="tx1"/>
            </w14:solidFill>
          </w14:textFill>
        </w:rPr>
        <w:t>=100%</w:t>
      </w:r>
    </w:p>
    <w:p w14:paraId="3729D82C">
      <w:pPr>
        <w:bidi w:val="0"/>
        <w:rPr>
          <w:rFonts w:hint="default"/>
          <w:highlight w:val="none"/>
          <w:lang w:val="en-US" w:eastAsia="zh-CN"/>
        </w:rPr>
      </w:pPr>
      <w:r>
        <w:rPr>
          <w:rFonts w:hint="eastAsia"/>
          <w:b/>
          <w:bCs/>
          <w:highlight w:val="none"/>
          <w:lang w:val="en-US" w:eastAsia="zh-CN"/>
        </w:rPr>
        <w:t>综上，该项指标满分4</w:t>
      </w:r>
      <w:r>
        <w:rPr>
          <w:rFonts w:hint="eastAsia"/>
          <w:b/>
          <w:bCs/>
          <w:color w:val="000000" w:themeColor="text1"/>
          <w:highlight w:val="none"/>
          <w:lang w:val="en-US" w:eastAsia="zh-CN"/>
          <w14:textFill>
            <w14:solidFill>
              <w14:schemeClr w14:val="tx1"/>
            </w14:solidFill>
          </w14:textFill>
        </w:rPr>
        <w:t>分，得分4分。</w:t>
      </w:r>
    </w:p>
    <w:p w14:paraId="5D14BDDB">
      <w:pPr>
        <w:bidi w:val="0"/>
        <w:outlineLvl w:val="2"/>
        <w:rPr>
          <w:rFonts w:hint="default"/>
          <w:b w:val="0"/>
          <w:bCs w:val="0"/>
          <w:highlight w:val="none"/>
          <w:lang w:val="en-US" w:eastAsia="zh-CN"/>
        </w:rPr>
      </w:pPr>
      <w:bookmarkStart w:id="66" w:name="_Toc9705"/>
      <w:r>
        <w:rPr>
          <w:rFonts w:hint="eastAsia"/>
          <w:b/>
          <w:bCs/>
          <w:highlight w:val="none"/>
          <w:lang w:val="en-US" w:eastAsia="zh-CN"/>
        </w:rPr>
        <w:t>2.预算执行率</w:t>
      </w:r>
      <w:bookmarkEnd w:id="66"/>
    </w:p>
    <w:p w14:paraId="5AF162F5">
      <w:pPr>
        <w:bidi w:val="0"/>
        <w:rPr>
          <w:rFonts w:hint="default"/>
          <w:b w:val="0"/>
          <w:bCs w:val="0"/>
          <w:color w:val="000000" w:themeColor="text1"/>
          <w:highlight w:val="none"/>
          <w:lang w:val="en-US" w:eastAsia="zh-CN"/>
          <w14:textFill>
            <w14:solidFill>
              <w14:schemeClr w14:val="tx1"/>
            </w14:solidFill>
          </w14:textFill>
        </w:rPr>
      </w:pPr>
      <w:r>
        <w:rPr>
          <w:rFonts w:hint="eastAsia"/>
          <w:b w:val="0"/>
          <w:bCs w:val="0"/>
          <w:highlight w:val="none"/>
          <w:lang w:eastAsia="zh-CN"/>
        </w:rPr>
        <w:t>预算执行率=</w:t>
      </w:r>
      <w:r>
        <w:rPr>
          <w:rFonts w:hint="eastAsia"/>
          <w:b w:val="0"/>
          <w:bCs w:val="0"/>
          <w:color w:val="000000" w:themeColor="text1"/>
          <w:highlight w:val="none"/>
          <w:lang w:eastAsia="zh-CN"/>
          <w14:textFill>
            <w14:solidFill>
              <w14:schemeClr w14:val="tx1"/>
            </w14:solidFill>
          </w14:textFill>
        </w:rPr>
        <w:t>（</w:t>
      </w:r>
      <w:r>
        <w:rPr>
          <w:rFonts w:hint="eastAsia"/>
          <w:b w:val="0"/>
          <w:bCs w:val="0"/>
          <w:color w:val="000000" w:themeColor="text1"/>
          <w:highlight w:val="none"/>
          <w:lang w:val="en-US" w:eastAsia="zh-CN"/>
          <w14:textFill>
            <w14:solidFill>
              <w14:schemeClr w14:val="tx1"/>
            </w14:solidFill>
          </w14:textFill>
        </w:rPr>
        <w:t>35万元</w:t>
      </w:r>
      <w:r>
        <w:rPr>
          <w:rFonts w:hint="eastAsia"/>
          <w:b w:val="0"/>
          <w:bCs w:val="0"/>
          <w:color w:val="000000" w:themeColor="text1"/>
          <w:highlight w:val="none"/>
          <w:lang w:eastAsia="zh-CN"/>
          <w14:textFill>
            <w14:solidFill>
              <w14:schemeClr w14:val="tx1"/>
            </w14:solidFill>
          </w14:textFill>
        </w:rPr>
        <w:t>/</w:t>
      </w:r>
      <w:r>
        <w:rPr>
          <w:rFonts w:hint="eastAsia"/>
          <w:b w:val="0"/>
          <w:bCs w:val="0"/>
          <w:color w:val="000000" w:themeColor="text1"/>
          <w:highlight w:val="none"/>
          <w:lang w:val="en-US" w:eastAsia="zh-CN"/>
          <w14:textFill>
            <w14:solidFill>
              <w14:schemeClr w14:val="tx1"/>
            </w14:solidFill>
          </w14:textFill>
        </w:rPr>
        <w:t>35万元</w:t>
      </w:r>
      <w:r>
        <w:rPr>
          <w:rFonts w:hint="eastAsia"/>
          <w:b w:val="0"/>
          <w:bCs w:val="0"/>
          <w:color w:val="000000" w:themeColor="text1"/>
          <w:highlight w:val="none"/>
          <w:lang w:eastAsia="zh-CN"/>
          <w14:textFill>
            <w14:solidFill>
              <w14:schemeClr w14:val="tx1"/>
            </w14:solidFill>
          </w14:textFill>
        </w:rPr>
        <w:t>）×100%。</w:t>
      </w:r>
      <w:r>
        <w:rPr>
          <w:rFonts w:hint="eastAsia"/>
          <w:b w:val="0"/>
          <w:bCs w:val="0"/>
          <w:color w:val="000000" w:themeColor="text1"/>
          <w:highlight w:val="none"/>
          <w:lang w:val="en-US" w:eastAsia="zh-CN"/>
          <w14:textFill>
            <w14:solidFill>
              <w14:schemeClr w14:val="tx1"/>
            </w14:solidFill>
          </w14:textFill>
        </w:rPr>
        <w:t>=100%</w:t>
      </w:r>
    </w:p>
    <w:p w14:paraId="59AA9999">
      <w:pPr>
        <w:bidi w:val="0"/>
        <w:rPr>
          <w:rFonts w:hint="eastAsia"/>
          <w:highlight w:val="none"/>
          <w:lang w:eastAsia="zh-CN"/>
        </w:rPr>
      </w:pPr>
      <w:r>
        <w:rPr>
          <w:rFonts w:hint="eastAsia"/>
          <w:b/>
          <w:bCs/>
          <w:highlight w:val="none"/>
          <w:lang w:val="en-US" w:eastAsia="zh-CN"/>
        </w:rPr>
        <w:t>综上，该项指标满分4</w:t>
      </w:r>
      <w:r>
        <w:rPr>
          <w:rFonts w:hint="eastAsia"/>
          <w:b/>
          <w:bCs/>
          <w:color w:val="000000" w:themeColor="text1"/>
          <w:highlight w:val="none"/>
          <w:lang w:val="en-US" w:eastAsia="zh-CN"/>
          <w14:textFill>
            <w14:solidFill>
              <w14:schemeClr w14:val="tx1"/>
            </w14:solidFill>
          </w14:textFill>
        </w:rPr>
        <w:t>分，得分4分。</w:t>
      </w:r>
    </w:p>
    <w:p w14:paraId="166CB913">
      <w:pPr>
        <w:bidi w:val="0"/>
        <w:outlineLvl w:val="2"/>
        <w:rPr>
          <w:rFonts w:hint="default"/>
          <w:b/>
          <w:bCs/>
          <w:lang w:val="en-US" w:eastAsia="zh-CN"/>
        </w:rPr>
      </w:pPr>
      <w:bookmarkStart w:id="67" w:name="_Toc18691"/>
      <w:r>
        <w:rPr>
          <w:rFonts w:hint="eastAsia"/>
          <w:b/>
          <w:bCs/>
          <w:lang w:val="en-US" w:eastAsia="zh-CN"/>
        </w:rPr>
        <w:t>3.资金使用合规性</w:t>
      </w:r>
      <w:bookmarkEnd w:id="67"/>
    </w:p>
    <w:p w14:paraId="28EA9572">
      <w:pPr>
        <w:bidi w:val="0"/>
        <w:rPr>
          <w:rFonts w:hint="eastAsia"/>
          <w:color w:val="auto"/>
          <w:lang w:eastAsia="zh-CN"/>
        </w:rPr>
      </w:pPr>
      <w:r>
        <w:rPr>
          <w:rFonts w:hint="eastAsia"/>
          <w:lang w:eastAsia="zh-CN"/>
        </w:rPr>
        <w:t>①符合国</w:t>
      </w:r>
      <w:r>
        <w:rPr>
          <w:rFonts w:hint="eastAsia"/>
          <w:color w:val="auto"/>
          <w:lang w:eastAsia="zh-CN"/>
        </w:rPr>
        <w:t>家《财务收支审批制度》及有关专项资金管理办法的规定；</w:t>
      </w:r>
    </w:p>
    <w:p w14:paraId="04D68B55">
      <w:pPr>
        <w:bidi w:val="0"/>
        <w:rPr>
          <w:rFonts w:hint="eastAsia"/>
          <w:color w:val="auto"/>
          <w:lang w:eastAsia="zh-CN"/>
        </w:rPr>
      </w:pPr>
      <w:r>
        <w:rPr>
          <w:rFonts w:hint="eastAsia"/>
          <w:color w:val="auto"/>
          <w:lang w:eastAsia="zh-CN"/>
        </w:rPr>
        <w:t>②资金的拨付有完整的审批程序和手续；</w:t>
      </w:r>
    </w:p>
    <w:p w14:paraId="6BF556C3">
      <w:pPr>
        <w:bidi w:val="0"/>
        <w:rPr>
          <w:rFonts w:hint="eastAsia"/>
          <w:color w:val="auto"/>
          <w:lang w:eastAsia="zh-CN"/>
        </w:rPr>
      </w:pPr>
      <w:r>
        <w:rPr>
          <w:rFonts w:hint="eastAsia"/>
          <w:color w:val="auto"/>
          <w:lang w:eastAsia="zh-CN"/>
        </w:rPr>
        <w:t>③符合项目预算批复或合同规定的用途；</w:t>
      </w:r>
    </w:p>
    <w:p w14:paraId="55E75DA1">
      <w:pPr>
        <w:bidi w:val="0"/>
        <w:rPr>
          <w:rFonts w:hint="eastAsia"/>
          <w:color w:val="auto"/>
          <w:lang w:eastAsia="zh-CN"/>
        </w:rPr>
      </w:pPr>
      <w:r>
        <w:rPr>
          <w:rFonts w:hint="eastAsia"/>
          <w:color w:val="auto"/>
          <w:lang w:eastAsia="zh-CN"/>
        </w:rPr>
        <w:t>④</w:t>
      </w:r>
      <w:r>
        <w:rPr>
          <w:rFonts w:hint="eastAsia"/>
          <w:color w:val="auto"/>
          <w:lang w:val="en-US" w:eastAsia="zh-CN"/>
        </w:rPr>
        <w:t>不</w:t>
      </w:r>
      <w:r>
        <w:rPr>
          <w:rFonts w:hint="eastAsia"/>
          <w:color w:val="auto"/>
          <w:lang w:eastAsia="zh-CN"/>
        </w:rPr>
        <w:t>存在截留、挤占、挪用、虚列支出等情况。</w:t>
      </w:r>
    </w:p>
    <w:p w14:paraId="1F810D69">
      <w:pPr>
        <w:bidi w:val="0"/>
        <w:rPr>
          <w:rFonts w:hint="eastAsia"/>
          <w:color w:val="auto"/>
          <w:lang w:eastAsia="zh-CN"/>
        </w:rPr>
      </w:pPr>
      <w:r>
        <w:rPr>
          <w:rFonts w:hint="eastAsia"/>
          <w:b/>
          <w:bCs/>
          <w:color w:val="auto"/>
          <w:lang w:val="en-US" w:eastAsia="zh-CN"/>
        </w:rPr>
        <w:t>综上，该项指标满分4</w:t>
      </w:r>
      <w:r>
        <w:rPr>
          <w:rFonts w:hint="eastAsia"/>
          <w:b/>
          <w:bCs/>
          <w:color w:val="auto"/>
          <w:highlight w:val="none"/>
          <w:lang w:val="en-US" w:eastAsia="zh-CN"/>
        </w:rPr>
        <w:t>分，得分4分。</w:t>
      </w:r>
    </w:p>
    <w:p w14:paraId="2FD9D9FE">
      <w:pPr>
        <w:bidi w:val="0"/>
        <w:rPr>
          <w:rFonts w:hint="eastAsia"/>
          <w:color w:val="auto"/>
          <w:lang w:eastAsia="zh-CN"/>
        </w:rPr>
      </w:pPr>
      <w:r>
        <w:rPr>
          <w:rFonts w:hint="eastAsia"/>
          <w:b/>
          <w:bCs/>
          <w:color w:val="auto"/>
          <w:lang w:val="en-US" w:eastAsia="zh-CN"/>
        </w:rPr>
        <w:t xml:space="preserve">4.管理制度健全性 </w:t>
      </w:r>
      <w:r>
        <w:rPr>
          <w:rFonts w:hint="eastAsia"/>
          <w:color w:val="auto"/>
          <w:lang w:eastAsia="zh-CN"/>
        </w:rPr>
        <w:t>①已制定或具有相应的《财务收支审批制度》《病媒生物防制管理制度》</w:t>
      </w:r>
    </w:p>
    <w:p w14:paraId="03362BAA">
      <w:pPr>
        <w:bidi w:val="0"/>
        <w:rPr>
          <w:rFonts w:hint="eastAsia"/>
          <w:color w:val="auto"/>
          <w:lang w:eastAsia="zh-CN"/>
        </w:rPr>
      </w:pPr>
      <w:r>
        <w:rPr>
          <w:rFonts w:hint="eastAsia"/>
          <w:lang w:eastAsia="zh-CN"/>
        </w:rPr>
        <w:t>②财务和业务管</w:t>
      </w:r>
      <w:r>
        <w:rPr>
          <w:rFonts w:hint="eastAsia"/>
          <w:color w:val="auto"/>
          <w:lang w:eastAsia="zh-CN"/>
        </w:rPr>
        <w:t>理制度</w:t>
      </w:r>
      <w:r>
        <w:rPr>
          <w:rFonts w:hint="eastAsia"/>
          <w:color w:val="auto"/>
          <w:lang w:val="en-US" w:eastAsia="zh-CN"/>
        </w:rPr>
        <w:t>是</w:t>
      </w:r>
      <w:r>
        <w:rPr>
          <w:rFonts w:hint="eastAsia"/>
          <w:color w:val="auto"/>
          <w:lang w:eastAsia="zh-CN"/>
        </w:rPr>
        <w:t>合法、合规、完整。</w:t>
      </w:r>
    </w:p>
    <w:p w14:paraId="32FE005A">
      <w:pPr>
        <w:bidi w:val="0"/>
        <w:rPr>
          <w:rFonts w:hint="eastAsia"/>
          <w:color w:val="auto"/>
          <w:lang w:eastAsia="zh-CN"/>
        </w:rPr>
      </w:pPr>
      <w:r>
        <w:rPr>
          <w:rFonts w:hint="eastAsia"/>
          <w:b/>
          <w:bCs/>
          <w:color w:val="auto"/>
          <w:lang w:val="en-US" w:eastAsia="zh-CN"/>
        </w:rPr>
        <w:t>综上，该项指标满分4</w:t>
      </w:r>
      <w:r>
        <w:rPr>
          <w:rFonts w:hint="eastAsia"/>
          <w:b/>
          <w:bCs/>
          <w:color w:val="auto"/>
          <w:highlight w:val="none"/>
          <w:lang w:val="en-US" w:eastAsia="zh-CN"/>
        </w:rPr>
        <w:t>分，得分4分。</w:t>
      </w:r>
    </w:p>
    <w:p w14:paraId="1EB96CBB">
      <w:pPr>
        <w:bidi w:val="0"/>
        <w:ind w:left="1403" w:leftChars="200" w:hanging="843" w:hangingChars="300"/>
        <w:outlineLvl w:val="2"/>
        <w:rPr>
          <w:rFonts w:hint="eastAsia"/>
          <w:b/>
          <w:bCs/>
          <w:lang w:val="en-US" w:eastAsia="zh-CN"/>
        </w:rPr>
      </w:pPr>
      <w:bookmarkStart w:id="68" w:name="_Toc31684"/>
      <w:r>
        <w:rPr>
          <w:rFonts w:hint="eastAsia"/>
          <w:b/>
          <w:bCs/>
          <w:lang w:val="en-US" w:eastAsia="zh-CN"/>
        </w:rPr>
        <w:t>5.制度执行有效性</w:t>
      </w:r>
      <w:bookmarkEnd w:id="68"/>
    </w:p>
    <w:p w14:paraId="561D28D1">
      <w:pPr>
        <w:bidi w:val="0"/>
        <w:rPr>
          <w:rFonts w:hint="eastAsia"/>
          <w:lang w:eastAsia="zh-CN"/>
        </w:rPr>
      </w:pPr>
      <w:r>
        <w:rPr>
          <w:rFonts w:hint="eastAsia"/>
          <w:lang w:eastAsia="zh-CN"/>
        </w:rPr>
        <w:t>①遵守相关法律法规和相关管理规定；</w:t>
      </w:r>
    </w:p>
    <w:p w14:paraId="7389D9C0">
      <w:pPr>
        <w:bidi w:val="0"/>
        <w:rPr>
          <w:rFonts w:hint="eastAsia"/>
          <w:lang w:eastAsia="zh-CN"/>
        </w:rPr>
      </w:pPr>
      <w:r>
        <w:rPr>
          <w:rFonts w:hint="eastAsia"/>
          <w:lang w:eastAsia="zh-CN"/>
        </w:rPr>
        <w:t>②项目未进行调整</w:t>
      </w:r>
    </w:p>
    <w:p w14:paraId="2E28DBF6">
      <w:pPr>
        <w:bidi w:val="0"/>
        <w:rPr>
          <w:rFonts w:hint="default"/>
          <w:highlight w:val="none"/>
          <w:lang w:val="en-US" w:eastAsia="zh-CN"/>
        </w:rPr>
      </w:pPr>
      <w:r>
        <w:rPr>
          <w:rFonts w:hint="eastAsia"/>
          <w:lang w:eastAsia="zh-CN"/>
        </w:rPr>
        <w:t>③项目合同书、</w:t>
      </w:r>
      <w:r>
        <w:rPr>
          <w:rFonts w:hint="eastAsia"/>
          <w:color w:val="auto"/>
          <w:highlight w:val="none"/>
          <w:lang w:eastAsia="zh-CN"/>
        </w:rPr>
        <w:t>验收报告、技术鉴定等资</w:t>
      </w:r>
      <w:r>
        <w:rPr>
          <w:rFonts w:hint="eastAsia"/>
          <w:lang w:eastAsia="zh-CN"/>
        </w:rPr>
        <w:t>料齐全并及时归档；《国家卫生城市标准》、</w:t>
      </w:r>
      <w:r>
        <w:rPr>
          <w:rFonts w:hint="eastAsia"/>
          <w:lang w:val="en-US" w:eastAsia="zh-CN"/>
        </w:rPr>
        <w:t>《2016年阜康市</w:t>
      </w:r>
      <w:r>
        <w:rPr>
          <w:rFonts w:hint="eastAsia"/>
          <w:lang w:eastAsia="zh-CN"/>
        </w:rPr>
        <w:t>病媒生物密度监测分析》、《阜康市创建国家卫生城市</w:t>
      </w:r>
      <w:r>
        <w:rPr>
          <w:rFonts w:hint="eastAsia"/>
          <w:lang w:val="en-US" w:eastAsia="zh-CN"/>
        </w:rPr>
        <w:t>2016年第一次病媒生物集中消杀工作计划》、《关于阜康市创建国家卫生城市病媒生物防治方案》、《2016年阜康市创建国家卫生城市病媒生物防治消杀</w:t>
      </w:r>
      <w:r>
        <w:rPr>
          <w:rFonts w:hint="eastAsia"/>
          <w:highlight w:val="none"/>
          <w:lang w:val="en-US" w:eastAsia="zh-CN"/>
        </w:rPr>
        <w:t>总结》</w:t>
      </w:r>
    </w:p>
    <w:p w14:paraId="2575001A">
      <w:pPr>
        <w:bidi w:val="0"/>
        <w:rPr>
          <w:rFonts w:hint="default"/>
          <w:lang w:val="en-US" w:eastAsia="zh-CN"/>
        </w:rPr>
      </w:pPr>
      <w:r>
        <w:rPr>
          <w:rFonts w:hint="eastAsia"/>
          <w:highlight w:val="none"/>
          <w:lang w:eastAsia="zh-CN"/>
        </w:rPr>
        <w:t>④项目实施的人员条件</w:t>
      </w:r>
      <w:r>
        <w:rPr>
          <w:rFonts w:hint="eastAsia"/>
          <w:highlight w:val="none"/>
          <w:shd w:val="clear"/>
          <w:lang w:eastAsia="zh-CN"/>
        </w:rPr>
        <w:t>、场地设备、信息支撑等落实到</w:t>
      </w:r>
      <w:r>
        <w:rPr>
          <w:rFonts w:hint="eastAsia"/>
          <w:highlight w:val="none"/>
          <w:lang w:eastAsia="zh-CN"/>
        </w:rPr>
        <w:t>位。公共卫生人员对全市五小行业、公共区</w:t>
      </w:r>
      <w:r>
        <w:rPr>
          <w:rFonts w:hint="eastAsia"/>
          <w:lang w:eastAsia="zh-CN"/>
        </w:rPr>
        <w:t>域、行政单位、聚居区（包括餐饮、旅馆业、农贸市场等）春秋两次灭蟑、鼠、蝇。根据</w:t>
      </w:r>
      <w:r>
        <w:rPr>
          <w:rFonts w:hint="eastAsia"/>
          <w:lang w:val="en-US" w:eastAsia="zh-CN"/>
        </w:rPr>
        <w:t>《2016年阜康市</w:t>
      </w:r>
      <w:r>
        <w:rPr>
          <w:rFonts w:hint="eastAsia"/>
          <w:lang w:eastAsia="zh-CN"/>
        </w:rPr>
        <w:t>病媒生物密度监测分析》报告，达到控制水平标准</w:t>
      </w:r>
      <w:r>
        <w:rPr>
          <w:rFonts w:hint="eastAsia"/>
          <w:lang w:val="en-US" w:eastAsia="zh-CN"/>
        </w:rPr>
        <w:t>C级要求。</w:t>
      </w:r>
    </w:p>
    <w:p w14:paraId="72B2DD8F">
      <w:pPr>
        <w:bidi w:val="0"/>
        <w:rPr>
          <w:rFonts w:hint="eastAsia"/>
          <w:lang w:eastAsia="zh-CN"/>
        </w:rPr>
      </w:pPr>
      <w:r>
        <w:rPr>
          <w:rFonts w:hint="eastAsia"/>
          <w:b/>
          <w:bCs/>
          <w:lang w:val="en-US" w:eastAsia="zh-CN"/>
        </w:rPr>
        <w:t>综上，该项指标满分4</w:t>
      </w:r>
      <w:r>
        <w:rPr>
          <w:rFonts w:hint="eastAsia"/>
          <w:b/>
          <w:bCs/>
          <w:color w:val="000000" w:themeColor="text1"/>
          <w:highlight w:val="none"/>
          <w:lang w:val="en-US" w:eastAsia="zh-CN"/>
          <w14:textFill>
            <w14:solidFill>
              <w14:schemeClr w14:val="tx1"/>
            </w14:solidFill>
          </w14:textFill>
        </w:rPr>
        <w:t>分，得分4分。</w:t>
      </w:r>
    </w:p>
    <w:p w14:paraId="18031321">
      <w:pPr>
        <w:pStyle w:val="2"/>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69" w:name="_Toc16268"/>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三</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项目产出情况</w:t>
      </w:r>
      <w:bookmarkEnd w:id="69"/>
    </w:p>
    <w:p w14:paraId="3E669FBA">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４</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６</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３０</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2EDF4975">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cs="宋体"/>
          <w:b/>
          <w:bCs/>
          <w:color w:val="FF0000"/>
          <w:kern w:val="0"/>
          <w:sz w:val="28"/>
          <w:szCs w:val="28"/>
          <w:highlight w:val="none"/>
          <w:shd w:val="clear" w:color="auto" w:fill="auto"/>
          <w:lang w:val="zh-TW" w:eastAsia="zh-CN"/>
        </w:rPr>
        <w:t>　</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4-3项目产出</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197" w:type="dxa"/>
        <w:tblInd w:w="0" w:type="dxa"/>
        <w:shd w:val="clear" w:color="auto" w:fill="auto"/>
        <w:tblLayout w:type="fixed"/>
        <w:tblCellMar>
          <w:top w:w="0" w:type="dxa"/>
          <w:left w:w="0" w:type="dxa"/>
          <w:bottom w:w="0" w:type="dxa"/>
          <w:right w:w="0" w:type="dxa"/>
        </w:tblCellMar>
      </w:tblPr>
      <w:tblGrid>
        <w:gridCol w:w="634"/>
        <w:gridCol w:w="928"/>
        <w:gridCol w:w="2644"/>
        <w:gridCol w:w="1437"/>
        <w:gridCol w:w="558"/>
        <w:gridCol w:w="1365"/>
        <w:gridCol w:w="631"/>
      </w:tblGrid>
      <w:tr w14:paraId="2B88743C">
        <w:tblPrEx>
          <w:shd w:val="clear" w:color="auto" w:fill="auto"/>
          <w:tblCellMar>
            <w:top w:w="0" w:type="dxa"/>
            <w:left w:w="0" w:type="dxa"/>
            <w:bottom w:w="0" w:type="dxa"/>
            <w:right w:w="0" w:type="dxa"/>
          </w:tblCellMar>
        </w:tblPrEx>
        <w:trPr>
          <w:trHeight w:val="7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5465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b/>
                <w:bCs/>
                <w:color w:val="FF0000"/>
                <w:kern w:val="0"/>
                <w:sz w:val="28"/>
                <w:szCs w:val="28"/>
                <w:highlight w:val="none"/>
                <w:shd w:val="clear" w:color="auto" w:fill="auto"/>
                <w:lang w:val="en-US" w:eastAsia="zh-CN"/>
              </w:rPr>
              <w:t>　</w:t>
            </w: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0819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269A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0B8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年度指标值</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D28B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标杆分值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2AA9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全年实际完成值</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826E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指标得分</w:t>
            </w:r>
          </w:p>
        </w:tc>
      </w:tr>
      <w:tr w14:paraId="472938F7">
        <w:tblPrEx>
          <w:tblCellMar>
            <w:top w:w="0" w:type="dxa"/>
            <w:left w:w="0" w:type="dxa"/>
            <w:bottom w:w="0" w:type="dxa"/>
            <w:right w:w="0" w:type="dxa"/>
          </w:tblCellMar>
        </w:tblPrEx>
        <w:trPr>
          <w:trHeight w:val="415" w:hRule="atLeast"/>
        </w:trPr>
        <w:tc>
          <w:tcPr>
            <w:tcW w:w="6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7F8EA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产出</w:t>
            </w: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419219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数量指标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CE18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消杀合作商家数量</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7028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1家</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AEA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４</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0503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1家</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E487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４</w:t>
            </w:r>
          </w:p>
        </w:tc>
      </w:tr>
      <w:tr w14:paraId="4DF305A1">
        <w:tblPrEx>
          <w:tblCellMar>
            <w:top w:w="0" w:type="dxa"/>
            <w:left w:w="0" w:type="dxa"/>
            <w:bottom w:w="0" w:type="dxa"/>
            <w:right w:w="0" w:type="dxa"/>
          </w:tblCellMar>
        </w:tblPrEx>
        <w:trPr>
          <w:trHeight w:val="415"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3E48CD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C56F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EB51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2016年病媒生物消杀次数</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DD57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12C5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４</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2970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r>
              <w:rPr>
                <w:rFonts w:hint="eastAsia" w:ascii="宋体" w:hAnsi="宋体" w:eastAsia="宋体" w:cs="宋体"/>
                <w:color w:val="auto"/>
                <w:kern w:val="0"/>
                <w:sz w:val="20"/>
                <w:szCs w:val="20"/>
                <w:highlight w:val="none"/>
                <w:shd w:val="clear" w:color="auto" w:fill="auto"/>
                <w:lang w:val="en-US" w:eastAsia="zh-CN"/>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C95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４</w:t>
            </w:r>
          </w:p>
        </w:tc>
      </w:tr>
      <w:tr w14:paraId="6EEA4A75">
        <w:tblPrEx>
          <w:tblCellMar>
            <w:top w:w="0" w:type="dxa"/>
            <w:left w:w="0" w:type="dxa"/>
            <w:bottom w:w="0" w:type="dxa"/>
            <w:right w:w="0" w:type="dxa"/>
          </w:tblCellMar>
        </w:tblPrEx>
        <w:trPr>
          <w:trHeight w:val="39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4DBE2F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3E9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质量指标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715C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2016年病媒生物消杀合格率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E006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E9CF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７</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0C8C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C416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７</w:t>
            </w:r>
          </w:p>
        </w:tc>
      </w:tr>
      <w:tr w14:paraId="7760353F">
        <w:tblPrEx>
          <w:tblCellMar>
            <w:top w:w="0" w:type="dxa"/>
            <w:left w:w="0" w:type="dxa"/>
            <w:bottom w:w="0" w:type="dxa"/>
            <w:right w:w="0" w:type="dxa"/>
          </w:tblCellMar>
        </w:tblPrEx>
        <w:trPr>
          <w:trHeight w:val="41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B3BDC9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7C27A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时效指标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D156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2016年病媒生物消杀及时率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779C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EB75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４</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6E47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4AD6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４</w:t>
            </w:r>
          </w:p>
        </w:tc>
      </w:tr>
      <w:tr w14:paraId="26271DD3">
        <w:tblPrEx>
          <w:tblCellMar>
            <w:top w:w="0" w:type="dxa"/>
            <w:left w:w="0" w:type="dxa"/>
            <w:bottom w:w="0" w:type="dxa"/>
            <w:right w:w="0" w:type="dxa"/>
          </w:tblCellMar>
        </w:tblPrEx>
        <w:trPr>
          <w:trHeight w:val="41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2F2AA2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9C52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12E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2016年病媒生物消杀项目资金执行时间</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876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202</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3年5月</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D3D5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４</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620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202</w:t>
            </w:r>
            <w:r>
              <w:rPr>
                <w:rFonts w:hint="eastAsia" w:cs="宋体"/>
                <w:color w:val="auto"/>
                <w:kern w:val="0"/>
                <w:sz w:val="20"/>
                <w:szCs w:val="20"/>
                <w:highlight w:val="none"/>
                <w:shd w:val="clear" w:color="auto" w:fill="auto"/>
                <w:lang w:val="en-US" w:eastAsia="zh-CN"/>
              </w:rPr>
              <w:t>3年5月</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A22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４</w:t>
            </w:r>
          </w:p>
        </w:tc>
      </w:tr>
      <w:tr w14:paraId="491FE37F">
        <w:tblPrEx>
          <w:tblCellMar>
            <w:top w:w="0" w:type="dxa"/>
            <w:left w:w="0" w:type="dxa"/>
            <w:bottom w:w="0" w:type="dxa"/>
            <w:right w:w="0" w:type="dxa"/>
          </w:tblCellMar>
        </w:tblPrEx>
        <w:trPr>
          <w:trHeight w:val="428" w:hRule="atLeast"/>
        </w:trPr>
        <w:tc>
          <w:tcPr>
            <w:tcW w:w="63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EA58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B83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成本指标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DD8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2016年病媒生物消杀成本</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557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35</w:t>
            </w: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CD91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７</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7DC4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35</w:t>
            </w:r>
            <w:r>
              <w:rPr>
                <w:rFonts w:hint="eastAsia" w:ascii="宋体" w:hAnsi="宋体" w:eastAsia="宋体" w:cs="宋体"/>
                <w:color w:val="auto"/>
                <w:kern w:val="0"/>
                <w:sz w:val="20"/>
                <w:szCs w:val="20"/>
                <w:highlight w:val="none"/>
                <w:shd w:val="clear" w:color="auto" w:fill="auto"/>
                <w:lang w:val="en-US" w:eastAsia="zh-CN"/>
              </w:rPr>
              <w:t>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3B50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７</w:t>
            </w:r>
          </w:p>
        </w:tc>
      </w:tr>
      <w:tr w14:paraId="0650F0A4">
        <w:tblPrEx>
          <w:tblCellMar>
            <w:top w:w="0" w:type="dxa"/>
            <w:left w:w="0" w:type="dxa"/>
            <w:bottom w:w="0" w:type="dxa"/>
            <w:right w:w="0" w:type="dxa"/>
          </w:tblCellMar>
        </w:tblPrEx>
        <w:trPr>
          <w:trHeight w:val="403" w:hRule="atLeast"/>
        </w:trPr>
        <w:tc>
          <w:tcPr>
            <w:tcW w:w="56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83BF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479D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0E8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930D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FF0000"/>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r>
    </w:tbl>
    <w:p w14:paraId="6224B864">
      <w:pPr>
        <w:bidi w:val="0"/>
        <w:rPr>
          <w:rFonts w:hint="default"/>
          <w:b/>
          <w:bCs/>
          <w:color w:val="FF0000"/>
          <w:lang w:val="en-US" w:eastAsia="zh-CN"/>
        </w:rPr>
      </w:pPr>
      <w:bookmarkStart w:id="70" w:name="_Toc11067"/>
      <w:r>
        <w:rPr>
          <w:rFonts w:hint="eastAsia"/>
          <w:b/>
          <w:bCs/>
          <w:lang w:val="en-US" w:eastAsia="zh-CN"/>
        </w:rPr>
        <w:t>1.项目完成数量</w:t>
      </w:r>
      <w:bookmarkEnd w:id="70"/>
      <w:r>
        <w:rPr>
          <w:rFonts w:hint="eastAsia"/>
          <w:b/>
          <w:bCs/>
          <w:color w:val="FF0000"/>
          <w:lang w:val="en-US" w:eastAsia="zh-CN"/>
        </w:rPr>
        <w:t>　</w:t>
      </w:r>
    </w:p>
    <w:p w14:paraId="7AA987C9">
      <w:pPr>
        <w:numPr>
          <w:ilvl w:val="0"/>
          <w:numId w:val="0"/>
        </w:numPr>
        <w:bidi w:val="0"/>
        <w:rPr>
          <w:rFonts w:hint="eastAsia"/>
          <w:color w:val="000000" w:themeColor="text1"/>
          <w:highlight w:val="none"/>
          <w:lang w:val="en-US" w:eastAsia="zh-CN"/>
          <w14:textFill>
            <w14:solidFill>
              <w14:schemeClr w14:val="tx1"/>
            </w14:solidFill>
          </w14:textFill>
        </w:rPr>
      </w:pPr>
      <w:r>
        <w:rPr>
          <w:rFonts w:hint="eastAsia"/>
          <w:lang w:eastAsia="zh-CN"/>
        </w:rPr>
        <w:t>“</w:t>
      </w:r>
      <w:r>
        <w:rPr>
          <w:rFonts w:hint="eastAsia"/>
          <w:lang w:val="en-US" w:eastAsia="zh-CN"/>
        </w:rPr>
        <w:t>消杀合作商家数量</w:t>
      </w:r>
      <w:r>
        <w:rPr>
          <w:rFonts w:hint="eastAsia"/>
          <w:lang w:eastAsia="zh-CN"/>
        </w:rPr>
        <w:t>”</w:t>
      </w:r>
      <w:r>
        <w:rPr>
          <w:rFonts w:hint="eastAsia"/>
          <w:lang w:val="en-US" w:eastAsia="zh-CN"/>
        </w:rPr>
        <w:t>指标，预期目标值为</w:t>
      </w: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r>
        <w:rPr>
          <w:rFonts w:hint="eastAsia"/>
          <w:lang w:val="en-US" w:eastAsia="zh-CN"/>
        </w:rPr>
        <w:t>1家，实际完成为1家。实际完成率=</w:t>
      </w:r>
      <w:r>
        <w:rPr>
          <w:rFonts w:hint="eastAsia"/>
          <w:color w:val="000000" w:themeColor="text1"/>
          <w:highlight w:val="none"/>
          <w:lang w:val="en-US" w:eastAsia="zh-CN"/>
          <w14:textFill>
            <w14:solidFill>
              <w14:schemeClr w14:val="tx1"/>
            </w14:solidFill>
          </w14:textFill>
        </w:rPr>
        <w:t>（１/１）×100%=100%。</w:t>
      </w:r>
    </w:p>
    <w:p w14:paraId="01CEBF44">
      <w:pPr>
        <w:numPr>
          <w:ilvl w:val="0"/>
          <w:numId w:val="0"/>
        </w:numPr>
        <w:bidi w:val="0"/>
        <w:rPr>
          <w:rFonts w:hint="eastAsia"/>
          <w:color w:val="000000" w:themeColor="text1"/>
          <w:highlight w:val="none"/>
          <w:lang w:val="en-US" w:eastAsia="zh-CN"/>
          <w14:textFill>
            <w14:solidFill>
              <w14:schemeClr w14:val="tx1"/>
            </w14:solidFill>
          </w14:textFill>
        </w:rPr>
      </w:pPr>
      <w:r>
        <w:rPr>
          <w:rFonts w:hint="eastAsia"/>
          <w:lang w:eastAsia="zh-CN"/>
        </w:rPr>
        <w:t>“</w:t>
      </w:r>
      <w:r>
        <w:rPr>
          <w:rFonts w:hint="eastAsia"/>
          <w:lang w:val="en-US" w:eastAsia="zh-CN"/>
        </w:rPr>
        <w:t>2016年病媒生物消杀次数</w:t>
      </w:r>
      <w:r>
        <w:rPr>
          <w:rFonts w:hint="eastAsia"/>
          <w:lang w:eastAsia="zh-CN"/>
        </w:rPr>
        <w:t>”</w:t>
      </w:r>
      <w:r>
        <w:rPr>
          <w:rFonts w:hint="eastAsia"/>
          <w:lang w:val="en-US" w:eastAsia="zh-CN"/>
        </w:rPr>
        <w:t>指标，预期目标值为</w:t>
      </w: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r>
        <w:rPr>
          <w:rFonts w:hint="eastAsia"/>
          <w:lang w:val="en-US" w:eastAsia="zh-CN"/>
        </w:rPr>
        <w:t>2次，实际完成为2次。实际完成率=</w:t>
      </w:r>
      <w:r>
        <w:rPr>
          <w:rFonts w:hint="eastAsia"/>
          <w:color w:val="000000" w:themeColor="text1"/>
          <w:highlight w:val="none"/>
          <w:lang w:val="en-US" w:eastAsia="zh-CN"/>
          <w14:textFill>
            <w14:solidFill>
              <w14:schemeClr w14:val="tx1"/>
            </w14:solidFill>
          </w14:textFill>
        </w:rPr>
        <w:t>（２/２）×100%=100%。</w:t>
      </w:r>
    </w:p>
    <w:p w14:paraId="17E0F2CF">
      <w:pPr>
        <w:bidi w:val="0"/>
        <w:rPr>
          <w:rFonts w:hint="eastAsia"/>
          <w:lang w:eastAsia="zh-CN"/>
        </w:rPr>
      </w:pPr>
      <w:r>
        <w:rPr>
          <w:rFonts w:hint="eastAsia"/>
          <w:b/>
          <w:bCs/>
          <w:lang w:val="en-US" w:eastAsia="zh-CN"/>
        </w:rPr>
        <w:t>综上，该项指标</w:t>
      </w:r>
      <w:r>
        <w:rPr>
          <w:rFonts w:hint="eastAsia"/>
          <w:b/>
          <w:bCs/>
          <w:color w:val="000000" w:themeColor="text1"/>
          <w:highlight w:val="none"/>
          <w:lang w:val="en-US" w:eastAsia="zh-CN"/>
          <w14:textFill>
            <w14:solidFill>
              <w14:schemeClr w14:val="tx1"/>
            </w14:solidFill>
          </w14:textFill>
        </w:rPr>
        <w:t>满分8分，得分8分。</w:t>
      </w:r>
    </w:p>
    <w:p w14:paraId="695F3423">
      <w:pPr>
        <w:bidi w:val="0"/>
        <w:outlineLvl w:val="2"/>
        <w:rPr>
          <w:rFonts w:hint="default"/>
          <w:b/>
          <w:bCs/>
          <w:lang w:val="en-US" w:eastAsia="zh-CN"/>
        </w:rPr>
      </w:pPr>
      <w:bookmarkStart w:id="71" w:name="_Toc31739"/>
      <w:r>
        <w:rPr>
          <w:rFonts w:hint="eastAsia"/>
          <w:b/>
          <w:bCs/>
          <w:lang w:val="en-US" w:eastAsia="zh-CN"/>
        </w:rPr>
        <w:t>2.项目完成质量</w:t>
      </w:r>
      <w:bookmarkEnd w:id="71"/>
      <w:r>
        <w:rPr>
          <w:rFonts w:hint="eastAsia"/>
          <w:b/>
          <w:bCs/>
          <w:color w:val="FF0000"/>
          <w:lang w:val="en-US" w:eastAsia="zh-CN"/>
        </w:rPr>
        <w:t>　</w:t>
      </w:r>
    </w:p>
    <w:p w14:paraId="73E08ECB">
      <w:pPr>
        <w:bidi w:val="0"/>
        <w:rPr>
          <w:rFonts w:hint="eastAsia"/>
          <w:lang w:eastAsia="zh-CN"/>
        </w:rPr>
      </w:pPr>
      <w:r>
        <w:rPr>
          <w:rFonts w:hint="eastAsia"/>
          <w:lang w:eastAsia="zh-CN"/>
        </w:rPr>
        <w:t>“</w:t>
      </w:r>
      <w:r>
        <w:rPr>
          <w:rFonts w:hint="eastAsia"/>
          <w:lang w:val="en-US" w:eastAsia="zh-CN"/>
        </w:rPr>
        <w:t>2016年病媒生物消杀合格率</w:t>
      </w:r>
      <w:r>
        <w:rPr>
          <w:rFonts w:hint="eastAsia"/>
          <w:lang w:eastAsia="zh-CN"/>
        </w:rPr>
        <w:t>”</w:t>
      </w:r>
      <w:r>
        <w:rPr>
          <w:rFonts w:hint="eastAsia"/>
          <w:lang w:val="en-US" w:eastAsia="zh-CN"/>
        </w:rPr>
        <w:t>指标，预期目标值为100%，实际完成为100%。</w:t>
      </w:r>
    </w:p>
    <w:p w14:paraId="3D11D6C6">
      <w:pPr>
        <w:bidi w:val="0"/>
        <w:rPr>
          <w:rFonts w:hint="eastAsia"/>
          <w:lang w:eastAsia="zh-CN"/>
        </w:rPr>
      </w:pPr>
      <w:r>
        <w:rPr>
          <w:rFonts w:hint="eastAsia"/>
          <w:b/>
          <w:bCs/>
          <w:lang w:val="en-US" w:eastAsia="zh-CN"/>
        </w:rPr>
        <w:t>综上，该项指标满分７</w:t>
      </w:r>
      <w:r>
        <w:rPr>
          <w:rFonts w:hint="eastAsia"/>
          <w:b/>
          <w:bCs/>
          <w:color w:val="000000" w:themeColor="text1"/>
          <w:highlight w:val="none"/>
          <w:lang w:val="en-US" w:eastAsia="zh-CN"/>
          <w14:textFill>
            <w14:solidFill>
              <w14:schemeClr w14:val="tx1"/>
            </w14:solidFill>
          </w14:textFill>
        </w:rPr>
        <w:t>分，得分７分。</w:t>
      </w:r>
    </w:p>
    <w:p w14:paraId="09AC4461">
      <w:pPr>
        <w:bidi w:val="0"/>
        <w:outlineLvl w:val="2"/>
        <w:rPr>
          <w:rFonts w:hint="default"/>
          <w:b/>
          <w:bCs/>
          <w:lang w:val="en-US" w:eastAsia="zh-CN"/>
        </w:rPr>
      </w:pPr>
      <w:bookmarkStart w:id="72" w:name="_Toc18307"/>
      <w:r>
        <w:rPr>
          <w:rFonts w:hint="eastAsia"/>
          <w:b/>
          <w:bCs/>
          <w:lang w:val="en-US" w:eastAsia="zh-CN"/>
        </w:rPr>
        <w:t>3.项目完成时效</w:t>
      </w:r>
      <w:bookmarkEnd w:id="72"/>
      <w:r>
        <w:rPr>
          <w:rFonts w:hint="eastAsia"/>
          <w:b/>
          <w:bCs/>
          <w:color w:val="FF0000"/>
          <w:lang w:val="en-US" w:eastAsia="zh-CN"/>
        </w:rPr>
        <w:t>　</w:t>
      </w:r>
    </w:p>
    <w:p w14:paraId="234238CA">
      <w:pPr>
        <w:bidi w:val="0"/>
        <w:rPr>
          <w:rFonts w:hint="eastAsia"/>
          <w:lang w:val="en-US" w:eastAsia="zh-CN"/>
        </w:rPr>
      </w:pPr>
      <w:r>
        <w:rPr>
          <w:rFonts w:hint="eastAsia"/>
          <w:lang w:eastAsia="zh-CN"/>
        </w:rPr>
        <w:t>“</w:t>
      </w:r>
      <w:r>
        <w:rPr>
          <w:rFonts w:hint="eastAsia"/>
          <w:lang w:val="en-US" w:eastAsia="zh-CN"/>
        </w:rPr>
        <w:t>2016年病媒生物消杀及时率</w:t>
      </w:r>
      <w:r>
        <w:rPr>
          <w:rFonts w:hint="eastAsia"/>
          <w:lang w:eastAsia="zh-CN"/>
        </w:rPr>
        <w:t>”</w:t>
      </w:r>
      <w:r>
        <w:rPr>
          <w:rFonts w:hint="eastAsia"/>
          <w:lang w:val="en-US" w:eastAsia="zh-CN"/>
        </w:rPr>
        <w:t>指标，预期目标值为100%，实际完成为100%。</w:t>
      </w:r>
    </w:p>
    <w:p w14:paraId="1B66CCCB">
      <w:pPr>
        <w:bidi w:val="0"/>
        <w:rPr>
          <w:rFonts w:hint="eastAsia"/>
          <w:lang w:val="en-US" w:eastAsia="zh-CN"/>
        </w:rPr>
      </w:pPr>
      <w:r>
        <w:rPr>
          <w:rFonts w:hint="eastAsia"/>
          <w:lang w:val="en-US" w:eastAsia="zh-CN"/>
        </w:rPr>
        <w:t>“2016年病媒生物消杀项目资金执行时间”指标，预期目标值为2023年5月，实际完成为2023年5月。</w:t>
      </w:r>
    </w:p>
    <w:p w14:paraId="06BC3294">
      <w:pPr>
        <w:bidi w:val="0"/>
        <w:rPr>
          <w:rFonts w:hint="eastAsia"/>
          <w:lang w:eastAsia="zh-CN"/>
        </w:rPr>
      </w:pPr>
      <w:r>
        <w:rPr>
          <w:rFonts w:hint="eastAsia"/>
          <w:b/>
          <w:bCs/>
          <w:lang w:val="en-US" w:eastAsia="zh-CN"/>
        </w:rPr>
        <w:t>综上，该项指标满分</w:t>
      </w:r>
      <w:r>
        <w:rPr>
          <w:rFonts w:hint="eastAsia"/>
          <w:b/>
          <w:bCs/>
          <w:color w:val="000000" w:themeColor="text1"/>
          <w:highlight w:val="none"/>
          <w:lang w:val="en-US" w:eastAsia="zh-CN"/>
          <w14:textFill>
            <w14:solidFill>
              <w14:schemeClr w14:val="tx1"/>
            </w14:solidFill>
          </w14:textFill>
        </w:rPr>
        <w:t>8分，得分8分。</w:t>
      </w:r>
    </w:p>
    <w:p w14:paraId="5BE8A3D9">
      <w:pPr>
        <w:bidi w:val="0"/>
        <w:outlineLvl w:val="2"/>
        <w:rPr>
          <w:rFonts w:hint="default"/>
          <w:b/>
          <w:bCs/>
          <w:lang w:val="en-US" w:eastAsia="zh-CN"/>
        </w:rPr>
      </w:pPr>
      <w:bookmarkStart w:id="73" w:name="_Toc32765"/>
      <w:r>
        <w:rPr>
          <w:rFonts w:hint="eastAsia"/>
          <w:b/>
          <w:bCs/>
          <w:lang w:val="en-US" w:eastAsia="zh-CN"/>
        </w:rPr>
        <w:t>4.项目完成成本</w:t>
      </w:r>
      <w:bookmarkEnd w:id="73"/>
      <w:r>
        <w:rPr>
          <w:rFonts w:hint="eastAsia"/>
          <w:b/>
          <w:bCs/>
          <w:color w:val="FF0000"/>
          <w:lang w:val="en-US" w:eastAsia="zh-CN"/>
        </w:rPr>
        <w:t>　</w:t>
      </w:r>
    </w:p>
    <w:p w14:paraId="259C7509">
      <w:pPr>
        <w:bidi w:val="0"/>
        <w:rPr>
          <w:rFonts w:hint="eastAsia"/>
          <w:lang w:eastAsia="zh-CN"/>
        </w:rPr>
      </w:pPr>
      <w:r>
        <w:rPr>
          <w:rFonts w:hint="eastAsia"/>
          <w:lang w:val="en-US" w:eastAsia="zh-CN"/>
        </w:rPr>
        <w:t>“2016年病媒生物消杀成本”指标，预期目标值为35万元，实际完成为35万元。实际完成率=（35/35）×100%=100%。</w:t>
      </w:r>
    </w:p>
    <w:p w14:paraId="6639D80D">
      <w:pPr>
        <w:bidi w:val="0"/>
        <w:rPr>
          <w:rFonts w:hint="eastAsia"/>
          <w:lang w:eastAsia="zh-CN"/>
        </w:rPr>
      </w:pPr>
      <w:r>
        <w:rPr>
          <w:rFonts w:hint="eastAsia"/>
          <w:b/>
          <w:bCs/>
          <w:lang w:val="en-US" w:eastAsia="zh-CN"/>
        </w:rPr>
        <w:t>综上，该项指标满分７</w:t>
      </w:r>
      <w:r>
        <w:rPr>
          <w:rFonts w:hint="eastAsia"/>
          <w:b/>
          <w:bCs/>
          <w:color w:val="000000" w:themeColor="text1"/>
          <w:highlight w:val="none"/>
          <w:lang w:val="en-US" w:eastAsia="zh-CN"/>
          <w14:textFill>
            <w14:solidFill>
              <w14:schemeClr w14:val="tx1"/>
            </w14:solidFill>
          </w14:textFill>
        </w:rPr>
        <w:t>分，得分７分。</w:t>
      </w:r>
    </w:p>
    <w:p w14:paraId="40A59D0D">
      <w:pPr>
        <w:pStyle w:val="2"/>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74" w:name="_Toc18446"/>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四</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项目效益情况</w:t>
      </w:r>
      <w:bookmarkEnd w:id="74"/>
    </w:p>
    <w:p w14:paraId="5813F35A">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cs="宋体"/>
          <w:color w:val="auto"/>
          <w:kern w:val="2"/>
          <w:highlight w:val="none"/>
          <w:u w:color="000000"/>
          <w:shd w:val="clear" w:color="auto" w:fill="auto"/>
          <w:lang w:val="en-US" w:eastAsia="zh-CN"/>
        </w:rPr>
        <w:t>效益</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２个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２个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３０</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0771BD26">
      <w:pPr>
        <w:pageBreakBefore w:val="0"/>
        <w:widowControl w:val="0"/>
        <w:kinsoku/>
        <w:wordWrap/>
        <w:overflowPunct/>
        <w:topLinePunct w:val="0"/>
        <w:autoSpaceDE/>
        <w:autoSpaceDN/>
        <w:bidi w:val="0"/>
        <w:adjustRightInd/>
        <w:spacing w:line="360" w:lineRule="auto"/>
        <w:ind w:firstLine="560"/>
        <w:jc w:val="center"/>
        <w:textAlignment w:val="auto"/>
        <w:rPr>
          <w:rFonts w:hint="default" w:ascii="宋体" w:hAnsi="宋体" w:eastAsia="宋体" w:cs="宋体"/>
          <w:color w:val="auto"/>
          <w:kern w:val="2"/>
          <w:highlight w:val="none"/>
          <w:u w:color="000000"/>
          <w:shd w:val="clear" w:color="auto" w:fill="auto"/>
          <w:lang w:val="en-US" w:eastAsia="zh-TW"/>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4-4项目效益</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372" w:type="dxa"/>
        <w:jc w:val="center"/>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14:paraId="0C1F81CE">
        <w:tblPrEx>
          <w:shd w:val="clear" w:color="auto" w:fill="auto"/>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6C58F3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w:t>
            </w:r>
          </w:p>
          <w:p w14:paraId="2EA982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76CA47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3144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4C40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年度指</w:t>
            </w:r>
          </w:p>
          <w:p w14:paraId="461F2AD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5A4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标杆</w:t>
            </w:r>
          </w:p>
          <w:p w14:paraId="43A1C4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D40B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全年实</w:t>
            </w:r>
          </w:p>
          <w:p w14:paraId="1C5A432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DD0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w:t>
            </w:r>
          </w:p>
          <w:p w14:paraId="54BD4E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14:paraId="0958DF0B">
        <w:tblPrEx>
          <w:tblCellMar>
            <w:top w:w="0" w:type="dxa"/>
            <w:left w:w="0" w:type="dxa"/>
            <w:bottom w:w="0" w:type="dxa"/>
            <w:right w:w="0" w:type="dxa"/>
          </w:tblCellMar>
        </w:tblPrEx>
        <w:trPr>
          <w:trHeight w:val="436" w:hRule="atLeast"/>
          <w:jc w:val="center"/>
        </w:trPr>
        <w:tc>
          <w:tcPr>
            <w:tcW w:w="685"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14:paraId="4174890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效益</w:t>
            </w:r>
          </w:p>
        </w:tc>
        <w:tc>
          <w:tcPr>
            <w:tcW w:w="172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715EF8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经济效益指标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702001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3D6F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0835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D17C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42FE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14:paraId="02F32393">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7FB9D9E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311EB2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2850B7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广大居民的健康和安全意识</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9C4F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逐步提高</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3932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１５</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9BBB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96F1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１５</w:t>
            </w:r>
          </w:p>
        </w:tc>
      </w:tr>
      <w:tr w14:paraId="7D064F1F">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748065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1F1A1B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生态效益指标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EED7D7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7743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4346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B79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32AE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p>
        </w:tc>
      </w:tr>
      <w:tr w14:paraId="0D420ECB">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753EAB5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3518583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可持续影响指标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587D05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109C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2EF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71B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A7DA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w:t>
            </w:r>
          </w:p>
        </w:tc>
      </w:tr>
      <w:tr w14:paraId="647DA91D">
        <w:tblPrEx>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CD78E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4251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E065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服务群众满意度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7EE7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≥９０%</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DF37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１５</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F75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９０%</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449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１５</w:t>
            </w:r>
          </w:p>
        </w:tc>
      </w:tr>
      <w:tr w14:paraId="6085E1C2">
        <w:tblPrEx>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C19E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ACD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F45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61D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30</w:t>
            </w:r>
          </w:p>
        </w:tc>
      </w:tr>
    </w:tbl>
    <w:p w14:paraId="7E77031F">
      <w:pPr>
        <w:bidi w:val="0"/>
        <w:outlineLvl w:val="2"/>
        <w:rPr>
          <w:rFonts w:hint="default"/>
          <w:b/>
          <w:bCs/>
          <w:lang w:val="en-US" w:eastAsia="zh-CN"/>
        </w:rPr>
      </w:pPr>
      <w:bookmarkStart w:id="75" w:name="_Toc8010"/>
      <w:r>
        <w:rPr>
          <w:rFonts w:hint="eastAsia"/>
          <w:b/>
          <w:bCs/>
          <w:lang w:val="en-US" w:eastAsia="zh-CN"/>
        </w:rPr>
        <w:t>1.经济效益指标</w:t>
      </w:r>
      <w:bookmarkEnd w:id="75"/>
      <w:r>
        <w:rPr>
          <w:rFonts w:hint="eastAsia"/>
          <w:b/>
          <w:bCs/>
          <w:color w:val="FF0000"/>
          <w:lang w:val="en-US" w:eastAsia="zh-CN"/>
        </w:rPr>
        <w:t>　</w:t>
      </w:r>
    </w:p>
    <w:p w14:paraId="495B96A5">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cs="宋体"/>
          <w:color w:val="000000" w:themeColor="text1"/>
          <w:highlight w:val="none"/>
          <w:shd w:val="clear" w:color="auto" w:fill="auto"/>
          <w:lang w:val="en-US" w:eastAsia="zh-CN"/>
          <w14:textFill>
            <w14:solidFill>
              <w14:schemeClr w14:val="tx1"/>
            </w14:solidFill>
          </w14:textFill>
        </w:rPr>
        <w:t>本项目不涉及经济效益</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w:t>
      </w:r>
    </w:p>
    <w:p w14:paraId="5E1237C3">
      <w:pPr>
        <w:bidi w:val="0"/>
        <w:outlineLvl w:val="2"/>
        <w:rPr>
          <w:rFonts w:hint="eastAsia"/>
          <w:b/>
          <w:bCs/>
          <w:lang w:val="en-US" w:eastAsia="zh-CN"/>
        </w:rPr>
      </w:pPr>
      <w:bookmarkStart w:id="76" w:name="_Toc27006"/>
      <w:r>
        <w:rPr>
          <w:rFonts w:hint="eastAsia"/>
          <w:b/>
          <w:bCs/>
          <w:lang w:val="en-US" w:eastAsia="zh-CN"/>
        </w:rPr>
        <w:t>2.社会效益指标</w:t>
      </w:r>
      <w:bookmarkEnd w:id="76"/>
      <w:r>
        <w:rPr>
          <w:rFonts w:hint="eastAsia"/>
          <w:b/>
          <w:bCs/>
          <w:color w:val="FF0000"/>
          <w:lang w:val="en-US" w:eastAsia="zh-CN"/>
        </w:rPr>
        <w:t>　</w:t>
      </w:r>
    </w:p>
    <w:p w14:paraId="24B5EF3D">
      <w:pPr>
        <w:bidi w:val="0"/>
        <w:rPr>
          <w:rFonts w:hint="eastAsia"/>
          <w:lang w:val="en-US" w:eastAsia="zh-CN"/>
        </w:rPr>
      </w:pPr>
      <w:r>
        <w:rPr>
          <w:rFonts w:hint="eastAsia"/>
          <w:lang w:val="en-US" w:eastAsia="zh-CN"/>
        </w:rPr>
        <w:t>“广大居民的健康和安全意识”指标，预期目标值为逐步提高，实际完成为100%。</w:t>
      </w:r>
    </w:p>
    <w:p w14:paraId="6ED6A25F">
      <w:pPr>
        <w:bidi w:val="0"/>
        <w:rPr>
          <w:rFonts w:hint="default"/>
          <w:lang w:val="en-US" w:eastAsia="zh-CN"/>
        </w:rPr>
      </w:pPr>
      <w:r>
        <w:rPr>
          <w:rFonts w:hint="eastAsia"/>
          <w:lang w:val="en-US" w:eastAsia="zh-CN"/>
        </w:rPr>
        <w:t>通过项目的实施，广大居民的健康和安全意识逐步提高。</w:t>
      </w:r>
    </w:p>
    <w:p w14:paraId="18B59107">
      <w:pPr>
        <w:bidi w:val="0"/>
        <w:rPr>
          <w:rFonts w:hint="eastAsia"/>
          <w:color w:val="auto"/>
          <w:lang w:val="en-US" w:eastAsia="zh-CN"/>
        </w:rPr>
      </w:pPr>
      <w:r>
        <w:rPr>
          <w:rFonts w:hint="eastAsia"/>
          <w:b/>
          <w:bCs/>
          <w:lang w:val="en-US" w:eastAsia="zh-CN"/>
        </w:rPr>
        <w:t>综上，该项指标满分</w:t>
      </w:r>
      <w:r>
        <w:rPr>
          <w:rFonts w:hint="eastAsia"/>
          <w:b/>
          <w:bCs/>
          <w:color w:val="auto"/>
          <w:lang w:val="en-US" w:eastAsia="zh-CN"/>
        </w:rPr>
        <w:t>１５分，得分１５分。</w:t>
      </w:r>
    </w:p>
    <w:p w14:paraId="4B90ABFD">
      <w:pPr>
        <w:bidi w:val="0"/>
        <w:outlineLvl w:val="2"/>
        <w:rPr>
          <w:rFonts w:hint="eastAsia"/>
          <w:lang w:val="en-US" w:eastAsia="zh-CN"/>
        </w:rPr>
      </w:pPr>
      <w:bookmarkStart w:id="77" w:name="_Toc23106"/>
      <w:r>
        <w:rPr>
          <w:rFonts w:hint="eastAsia"/>
          <w:b/>
          <w:bCs/>
          <w:lang w:val="en-US" w:eastAsia="zh-CN"/>
        </w:rPr>
        <w:t>3.生态效益指标</w:t>
      </w:r>
      <w:bookmarkEnd w:id="77"/>
      <w:r>
        <w:rPr>
          <w:rFonts w:hint="eastAsia"/>
          <w:b/>
          <w:bCs/>
          <w:color w:val="FF0000"/>
          <w:lang w:val="en-US" w:eastAsia="zh-CN"/>
        </w:rPr>
        <w:t>　</w:t>
      </w:r>
    </w:p>
    <w:p w14:paraId="5FFECC3E">
      <w:pPr>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78" w:name="_Toc3271"/>
      <w:r>
        <w:rPr>
          <w:rFonts w:hint="eastAsia" w:cs="宋体"/>
          <w:color w:val="000000" w:themeColor="text1"/>
          <w:highlight w:val="none"/>
          <w:shd w:val="clear" w:color="auto" w:fill="auto"/>
          <w:lang w:val="en-US" w:eastAsia="zh-CN"/>
          <w14:textFill>
            <w14:solidFill>
              <w14:schemeClr w14:val="tx1"/>
            </w14:solidFill>
          </w14:textFill>
        </w:rPr>
        <w:t>本项目不涉及</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生态效益指标</w:t>
      </w:r>
    </w:p>
    <w:p w14:paraId="3F29BBB5">
      <w:pPr>
        <w:bidi w:val="0"/>
        <w:outlineLvl w:val="2"/>
        <w:rPr>
          <w:rFonts w:hint="eastAsia"/>
          <w:b/>
          <w:bCs/>
          <w:lang w:val="en-US" w:eastAsia="zh-CN"/>
        </w:rPr>
      </w:pPr>
      <w:r>
        <w:rPr>
          <w:rFonts w:hint="eastAsia"/>
          <w:b/>
          <w:bCs/>
          <w:lang w:val="en-US" w:eastAsia="zh-CN"/>
        </w:rPr>
        <w:t>4.满意度指标</w:t>
      </w:r>
      <w:bookmarkEnd w:id="78"/>
    </w:p>
    <w:p w14:paraId="3E04A26D">
      <w:pPr>
        <w:bidi w:val="0"/>
        <w:rPr>
          <w:rFonts w:hint="eastAsia"/>
          <w:b/>
          <w:bCs/>
          <w:lang w:val="en-US" w:eastAsia="zh-CN"/>
        </w:rPr>
      </w:pPr>
      <w:r>
        <w:rPr>
          <w:rFonts w:hint="eastAsia"/>
          <w:lang w:val="en-US" w:eastAsia="zh-CN"/>
        </w:rPr>
        <w:t>“服务群众满意度”指标，预期目标值为</w:t>
      </w:r>
      <w:r>
        <w:rPr>
          <w:rFonts w:hint="eastAsia" w:cs="宋体"/>
          <w:b w:val="0"/>
          <w:bCs w:val="0"/>
          <w:color w:val="000000" w:themeColor="text1"/>
          <w:kern w:val="0"/>
          <w:sz w:val="20"/>
          <w:szCs w:val="20"/>
          <w:highlight w:val="none"/>
          <w:shd w:val="clear" w:color="auto" w:fill="auto"/>
          <w:lang w:val="en-US" w:eastAsia="zh-CN"/>
          <w14:textFill>
            <w14:solidFill>
              <w14:schemeClr w14:val="tx1"/>
            </w14:solidFill>
          </w14:textFill>
        </w:rPr>
        <w:t>９０</w:t>
      </w:r>
      <w:r>
        <w:rPr>
          <w:rFonts w:hint="eastAsia" w:ascii="宋体" w:hAnsi="宋体" w:eastAsia="宋体" w:cs="宋体"/>
          <w:b w:val="0"/>
          <w:bCs w:val="0"/>
          <w:color w:val="000000" w:themeColor="text1"/>
          <w:kern w:val="0"/>
          <w:sz w:val="20"/>
          <w:szCs w:val="20"/>
          <w:highlight w:val="none"/>
          <w:shd w:val="clear" w:color="auto" w:fill="auto"/>
          <w:lang w:val="en-US" w:eastAsia="zh-CN"/>
          <w14:textFill>
            <w14:solidFill>
              <w14:schemeClr w14:val="tx1"/>
            </w14:solidFill>
          </w14:textFill>
        </w:rPr>
        <w:t>%</w:t>
      </w:r>
      <w:r>
        <w:rPr>
          <w:rFonts w:hint="eastAsia"/>
          <w:lang w:val="en-US" w:eastAsia="zh-CN"/>
        </w:rPr>
        <w:t>，实际完成为</w:t>
      </w:r>
      <w:r>
        <w:rPr>
          <w:rFonts w:hint="eastAsia" w:cs="宋体"/>
          <w:b w:val="0"/>
          <w:bCs w:val="0"/>
          <w:color w:val="000000" w:themeColor="text1"/>
          <w:kern w:val="0"/>
          <w:sz w:val="20"/>
          <w:szCs w:val="20"/>
          <w:highlight w:val="none"/>
          <w:shd w:val="clear" w:color="auto" w:fill="auto"/>
          <w:lang w:val="en-US" w:eastAsia="zh-CN"/>
          <w14:textFill>
            <w14:solidFill>
              <w14:schemeClr w14:val="tx1"/>
            </w14:solidFill>
          </w14:textFill>
        </w:rPr>
        <w:t>９０</w:t>
      </w:r>
      <w:r>
        <w:rPr>
          <w:rFonts w:hint="eastAsia" w:ascii="宋体" w:hAnsi="宋体" w:eastAsia="宋体" w:cs="宋体"/>
          <w:b w:val="0"/>
          <w:bCs w:val="0"/>
          <w:color w:val="000000" w:themeColor="text1"/>
          <w:kern w:val="0"/>
          <w:sz w:val="20"/>
          <w:szCs w:val="20"/>
          <w:highlight w:val="none"/>
          <w:shd w:val="clear" w:color="auto" w:fill="auto"/>
          <w:lang w:val="en-US" w:eastAsia="zh-CN"/>
          <w14:textFill>
            <w14:solidFill>
              <w14:schemeClr w14:val="tx1"/>
            </w14:solidFill>
          </w14:textFill>
        </w:rPr>
        <w:t>%</w:t>
      </w:r>
      <w:r>
        <w:rPr>
          <w:rFonts w:hint="eastAsia"/>
          <w:lang w:val="en-US" w:eastAsia="zh-CN"/>
        </w:rPr>
        <w:t>。</w:t>
      </w:r>
    </w:p>
    <w:p w14:paraId="18F92FC8">
      <w:pPr>
        <w:bidi w:val="0"/>
        <w:rPr>
          <w:rFonts w:hint="eastAsia"/>
          <w:b/>
          <w:bCs/>
          <w:lang w:val="en-US" w:eastAsia="zh-CN"/>
        </w:rPr>
      </w:pPr>
      <w:r>
        <w:rPr>
          <w:rFonts w:hint="eastAsia"/>
          <w:b/>
          <w:bCs/>
          <w:lang w:val="en-US" w:eastAsia="zh-CN"/>
        </w:rPr>
        <w:t>综上，该项指标满分</w:t>
      </w:r>
      <w:r>
        <w:rPr>
          <w:rFonts w:hint="eastAsia"/>
          <w:b/>
          <w:bCs/>
          <w:color w:val="auto"/>
          <w:lang w:val="en-US" w:eastAsia="zh-CN"/>
        </w:rPr>
        <w:t>１５分，得分１５分。</w:t>
      </w:r>
    </w:p>
    <w:p w14:paraId="3D3A7D22">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79" w:name="_Toc19962"/>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五、预算执行进度与指标偏差</w:t>
      </w:r>
      <w:bookmarkEnd w:id="79"/>
    </w:p>
    <w:p w14:paraId="6805F4CB">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eastAsia" w:cs="仿宋_GB2312"/>
          <w:b w:val="0"/>
          <w:bCs w:val="0"/>
          <w:color w:val="000000" w:themeColor="text1"/>
          <w:sz w:val="28"/>
          <w:szCs w:val="28"/>
          <w:lang w:val="en-US" w:eastAsia="zh-CN"/>
          <w14:textFill>
            <w14:solidFill>
              <w14:schemeClr w14:val="tx1"/>
            </w14:solidFill>
          </w14:textFill>
        </w:rPr>
      </w:pPr>
      <w:r>
        <w:rPr>
          <w:rFonts w:hint="eastAsia"/>
          <w:color w:val="auto"/>
          <w:lang w:val="en-US" w:eastAsia="zh-CN"/>
        </w:rPr>
        <w:t>　</w:t>
      </w:r>
      <w:r>
        <w:rPr>
          <w:rFonts w:hint="eastAsia" w:cs="仿宋_GB2312"/>
          <w:b w:val="0"/>
          <w:bCs w:val="0"/>
          <w:color w:val="auto"/>
          <w:sz w:val="28"/>
          <w:szCs w:val="28"/>
          <w:lang w:val="en-US" w:eastAsia="zh-CN"/>
        </w:rPr>
        <w:t>该</w:t>
      </w:r>
      <w:r>
        <w:rPr>
          <w:rFonts w:hint="eastAsia" w:cs="仿宋_GB2312"/>
          <w:b w:val="0"/>
          <w:bCs w:val="0"/>
          <w:color w:val="auto"/>
          <w:sz w:val="28"/>
          <w:szCs w:val="28"/>
          <w:lang w:eastAsia="zh-CN"/>
        </w:rPr>
        <w:t>项目预算资金总额为</w:t>
      </w:r>
      <w:r>
        <w:rPr>
          <w:rFonts w:hint="eastAsia"/>
          <w:b w:val="0"/>
          <w:bCs w:val="0"/>
          <w:color w:val="auto"/>
          <w:lang w:val="en-US" w:eastAsia="zh-CN"/>
        </w:rPr>
        <w:t>３５</w:t>
      </w:r>
      <w:r>
        <w:rPr>
          <w:rFonts w:hint="eastAsia" w:cs="仿宋_GB2312"/>
          <w:b w:val="0"/>
          <w:bCs w:val="0"/>
          <w:color w:val="auto"/>
          <w:sz w:val="28"/>
          <w:szCs w:val="28"/>
          <w:lang w:val="en-US" w:eastAsia="zh-CN"/>
        </w:rPr>
        <w:t>万元，全年执行数为</w:t>
      </w:r>
      <w:r>
        <w:rPr>
          <w:rFonts w:hint="eastAsia"/>
          <w:b w:val="0"/>
          <w:bCs w:val="0"/>
          <w:color w:val="auto"/>
          <w:lang w:val="en-US" w:eastAsia="zh-CN"/>
        </w:rPr>
        <w:t>３５</w:t>
      </w:r>
      <w:r>
        <w:rPr>
          <w:rFonts w:hint="eastAsia" w:cs="仿宋_GB2312"/>
          <w:b w:val="0"/>
          <w:bCs w:val="0"/>
          <w:color w:val="auto"/>
          <w:sz w:val="28"/>
          <w:szCs w:val="28"/>
          <w:lang w:val="en-US" w:eastAsia="zh-CN"/>
        </w:rPr>
        <w:t>万元，预算执行率为</w:t>
      </w:r>
      <w:r>
        <w:rPr>
          <w:rFonts w:hint="eastAsia"/>
          <w:b w:val="0"/>
          <w:bCs w:val="0"/>
          <w:color w:val="auto"/>
          <w:lang w:val="en-US" w:eastAsia="zh-CN"/>
        </w:rPr>
        <w:t>１００</w:t>
      </w:r>
      <w:r>
        <w:rPr>
          <w:rFonts w:hint="eastAsia" w:cs="仿宋_GB2312"/>
          <w:b w:val="0"/>
          <w:bCs w:val="0"/>
          <w:color w:val="auto"/>
          <w:sz w:val="28"/>
          <w:szCs w:val="28"/>
          <w:lang w:val="en-US" w:eastAsia="zh-CN"/>
        </w:rPr>
        <w:t>%，</w:t>
      </w:r>
      <w:r>
        <w:rPr>
          <w:rFonts w:hint="eastAsia" w:cs="仿宋_GB2312"/>
          <w:b w:val="0"/>
          <w:bCs w:val="0"/>
          <w:color w:val="auto"/>
          <w:sz w:val="28"/>
          <w:szCs w:val="28"/>
          <w:lang w:eastAsia="zh-CN"/>
        </w:rPr>
        <w:t>总体完成率为</w:t>
      </w:r>
      <w:r>
        <w:rPr>
          <w:rFonts w:hint="eastAsia"/>
          <w:b w:val="0"/>
          <w:bCs w:val="0"/>
          <w:color w:val="auto"/>
          <w:lang w:val="en-US" w:eastAsia="zh-CN"/>
        </w:rPr>
        <w:t>１００</w:t>
      </w:r>
      <w:r>
        <w:rPr>
          <w:rFonts w:hint="eastAsia" w:cs="仿宋_GB2312"/>
          <w:b w:val="0"/>
          <w:bCs w:val="0"/>
          <w:color w:val="auto"/>
          <w:sz w:val="28"/>
          <w:szCs w:val="28"/>
          <w:lang w:val="zh-TW" w:eastAsia="zh-TW"/>
        </w:rPr>
        <w:t>%。</w:t>
      </w:r>
      <w:r>
        <w:rPr>
          <w:rFonts w:hint="eastAsia" w:cs="仿宋_GB2312"/>
          <w:b w:val="0"/>
          <w:bCs w:val="0"/>
          <w:color w:val="auto"/>
          <w:sz w:val="28"/>
          <w:szCs w:val="28"/>
          <w:lang w:val="en-US" w:eastAsia="zh-CN"/>
        </w:rPr>
        <w:t>预算执行率与总体完成率之间的偏差为</w:t>
      </w:r>
      <w:r>
        <w:rPr>
          <w:rFonts w:hint="eastAsia"/>
          <w:b w:val="0"/>
          <w:bCs w:val="0"/>
          <w:color w:val="auto"/>
          <w:lang w:val="en-US" w:eastAsia="zh-CN"/>
        </w:rPr>
        <w:t>０</w:t>
      </w:r>
      <w:r>
        <w:rPr>
          <w:rFonts w:hint="eastAsia" w:cs="仿宋_GB2312"/>
          <w:b w:val="0"/>
          <w:bCs w:val="0"/>
          <w:color w:val="auto"/>
          <w:sz w:val="28"/>
          <w:szCs w:val="28"/>
          <w:lang w:val="en-US" w:eastAsia="zh-CN"/>
        </w:rPr>
        <w:t>%，无</w:t>
      </w:r>
      <w:r>
        <w:rPr>
          <w:rFonts w:hint="eastAsia"/>
          <w:b w:val="0"/>
          <w:bCs w:val="0"/>
          <w:color w:val="auto"/>
        </w:rPr>
        <w:t>偏差</w:t>
      </w:r>
      <w:r>
        <w:rPr>
          <w:rFonts w:hint="eastAsia" w:ascii="仿宋_GB2312" w:hAnsi="仿宋_GB2312" w:cs="仿宋_GB2312"/>
          <w:b w:val="0"/>
          <w:bCs w:val="0"/>
          <w:color w:val="auto"/>
          <w:sz w:val="28"/>
          <w:szCs w:val="28"/>
        </w:rPr>
        <w:t>。</w:t>
      </w:r>
    </w:p>
    <w:p w14:paraId="5C14BCD6">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80" w:name="_Toc29934"/>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六、主要经验及做法、存在的问题及原因分析</w:t>
      </w:r>
      <w:bookmarkEnd w:id="80"/>
    </w:p>
    <w:p w14:paraId="5D6CD4E3">
      <w:pPr>
        <w:numPr>
          <w:ilvl w:val="0"/>
          <w:numId w:val="0"/>
        </w:numPr>
        <w:bidi w:val="0"/>
        <w:ind w:left="560" w:leftChars="0"/>
        <w:outlineLvl w:val="1"/>
        <w:rPr>
          <w:rFonts w:hint="eastAsia"/>
          <w:b/>
          <w:bCs/>
          <w:lang w:eastAsia="zh-CN"/>
        </w:rPr>
      </w:pPr>
      <w:bookmarkStart w:id="81" w:name="_Toc13160"/>
      <w:bookmarkStart w:id="82" w:name="_Toc1921"/>
      <w:bookmarkStart w:id="83" w:name="_Toc28290"/>
      <w:r>
        <w:rPr>
          <w:rFonts w:hint="eastAsia"/>
          <w:b/>
          <w:bCs/>
          <w:lang w:eastAsia="zh-CN"/>
        </w:rPr>
        <w:t>（</w:t>
      </w:r>
      <w:r>
        <w:rPr>
          <w:rFonts w:hint="eastAsia"/>
          <w:b/>
          <w:bCs/>
          <w:lang w:val="en-US" w:eastAsia="zh-CN"/>
        </w:rPr>
        <w:t>一</w:t>
      </w:r>
      <w:r>
        <w:rPr>
          <w:rFonts w:hint="eastAsia"/>
          <w:b/>
          <w:bCs/>
          <w:lang w:eastAsia="zh-CN"/>
        </w:rPr>
        <w:t>）</w:t>
      </w:r>
      <w:r>
        <w:rPr>
          <w:rFonts w:hint="eastAsia"/>
          <w:b/>
          <w:bCs/>
        </w:rPr>
        <w:t>主要经验及做法</w:t>
      </w:r>
      <w:bookmarkEnd w:id="81"/>
    </w:p>
    <w:p w14:paraId="4DD3F43E">
      <w:pPr>
        <w:bidi w:val="0"/>
        <w:rPr>
          <w:rFonts w:hint="eastAsia"/>
          <w:color w:val="auto"/>
          <w:lang w:eastAsia="zh-CN"/>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2016年病媒生物消杀项目</w:t>
      </w:r>
      <w:r>
        <w:rPr>
          <w:rFonts w:hint="eastAsia"/>
          <w:lang w:eastAsia="zh-CN"/>
        </w:rPr>
        <w:t>20</w:t>
      </w:r>
      <w:r>
        <w:rPr>
          <w:rFonts w:hint="eastAsia"/>
          <w:lang w:val="en-US" w:eastAsia="zh-CN"/>
        </w:rPr>
        <w:t>23</w:t>
      </w:r>
      <w:r>
        <w:rPr>
          <w:rFonts w:hint="eastAsia"/>
          <w:lang w:eastAsia="zh-CN"/>
        </w:rPr>
        <w:t>年预算</w:t>
      </w:r>
      <w:r>
        <w:rPr>
          <w:rFonts w:hint="eastAsia"/>
          <w:lang w:val="en-US" w:eastAsia="zh-CN"/>
        </w:rPr>
        <w:t>数</w:t>
      </w:r>
      <w:r>
        <w:rPr>
          <w:rFonts w:hint="eastAsia"/>
          <w:color w:val="auto"/>
          <w:lang w:eastAsia="zh-CN"/>
        </w:rPr>
        <w:t>为</w:t>
      </w:r>
      <w:r>
        <w:rPr>
          <w:rFonts w:hint="eastAsia"/>
          <w:color w:val="auto"/>
          <w:lang w:val="en-US" w:eastAsia="zh-CN"/>
        </w:rPr>
        <w:t>35</w:t>
      </w:r>
      <w:r>
        <w:rPr>
          <w:rFonts w:hint="eastAsia"/>
          <w:color w:val="auto"/>
          <w:lang w:eastAsia="zh-CN"/>
        </w:rPr>
        <w:t>万元，</w:t>
      </w:r>
      <w:r>
        <w:rPr>
          <w:rFonts w:hint="eastAsia"/>
          <w:color w:val="auto"/>
          <w:lang w:val="en-US" w:eastAsia="zh-CN"/>
        </w:rPr>
        <w:t>截至2023年12月31日共</w:t>
      </w:r>
      <w:r>
        <w:rPr>
          <w:rFonts w:hint="eastAsia"/>
          <w:color w:val="auto"/>
          <w:lang w:eastAsia="zh-CN"/>
        </w:rPr>
        <w:t>支出</w:t>
      </w:r>
      <w:r>
        <w:rPr>
          <w:rFonts w:hint="eastAsia"/>
          <w:color w:val="auto"/>
          <w:lang w:val="en-US" w:eastAsia="zh-CN"/>
        </w:rPr>
        <w:t>35</w:t>
      </w:r>
      <w:r>
        <w:rPr>
          <w:rFonts w:hint="eastAsia"/>
          <w:color w:val="auto"/>
          <w:lang w:eastAsia="zh-CN"/>
        </w:rPr>
        <w:t>万元，预算</w:t>
      </w:r>
      <w:r>
        <w:rPr>
          <w:rFonts w:hint="eastAsia"/>
          <w:color w:val="auto"/>
          <w:lang w:val="en-US" w:eastAsia="zh-CN"/>
        </w:rPr>
        <w:t>执行</w:t>
      </w:r>
      <w:r>
        <w:rPr>
          <w:rFonts w:hint="eastAsia"/>
          <w:color w:val="auto"/>
          <w:lang w:eastAsia="zh-CN"/>
        </w:rPr>
        <w:t>率为</w:t>
      </w:r>
      <w:r>
        <w:rPr>
          <w:rFonts w:hint="eastAsia"/>
          <w:color w:val="auto"/>
          <w:lang w:val="en-US" w:eastAsia="zh-CN"/>
        </w:rPr>
        <w:t>100</w:t>
      </w:r>
      <w:r>
        <w:rPr>
          <w:rFonts w:hint="eastAsia"/>
          <w:color w:val="auto"/>
          <w:lang w:eastAsia="zh-CN"/>
        </w:rPr>
        <w:t>%。</w:t>
      </w:r>
    </w:p>
    <w:p w14:paraId="70178A37">
      <w:pPr>
        <w:bidi w:val="0"/>
        <w:rPr>
          <w:rFonts w:hint="eastAsia"/>
          <w:lang w:eastAsia="zh-CN"/>
        </w:rPr>
      </w:pPr>
      <w:r>
        <w:rPr>
          <w:rFonts w:hint="eastAsia"/>
          <w:color w:val="auto"/>
          <w:lang w:val="en-US" w:eastAsia="zh-CN"/>
        </w:rPr>
        <w:t>阜康市疾病预防控制中心</w:t>
      </w:r>
      <w:r>
        <w:rPr>
          <w:rFonts w:hint="eastAsia"/>
          <w:color w:val="auto"/>
          <w:lang w:eastAsia="zh-CN"/>
        </w:rPr>
        <w:t>建立健全了预算管理规章制度，各部门严格按照预算编制的原则和要求做好当年预算编制工作，在预算绩效管理工作中，做到合理安排各项资金，重点保障基本支出，按轻重缓急顺序原则，优先安排了</w:t>
      </w:r>
      <w:r>
        <w:rPr>
          <w:rFonts w:hint="eastAsia"/>
          <w:color w:val="auto"/>
          <w:lang w:val="en-US" w:eastAsia="zh-CN"/>
        </w:rPr>
        <w:t>阜康市疾病预防控制中心</w:t>
      </w:r>
      <w:r>
        <w:rPr>
          <w:rFonts w:hint="eastAsia"/>
          <w:color w:val="auto"/>
          <w:lang w:eastAsia="zh-CN"/>
        </w:rPr>
        <w:t>事业发展中关系民生与稳定的项目，切实优化资源配置，提高了资金使用</w:t>
      </w:r>
      <w:r>
        <w:rPr>
          <w:rFonts w:hint="eastAsia"/>
          <w:lang w:eastAsia="zh-CN"/>
        </w:rPr>
        <w:t>的效率和效果。</w:t>
      </w:r>
    </w:p>
    <w:bookmarkEnd w:id="82"/>
    <w:bookmarkEnd w:id="83"/>
    <w:p w14:paraId="78ADB5BD">
      <w:pPr>
        <w:numPr>
          <w:ilvl w:val="0"/>
          <w:numId w:val="2"/>
        </w:numPr>
        <w:bidi w:val="0"/>
        <w:ind w:left="0" w:leftChars="0" w:firstLine="562" w:firstLineChars="200"/>
        <w:outlineLvl w:val="1"/>
        <w:rPr>
          <w:rFonts w:hint="eastAsia"/>
          <w:b/>
          <w:bCs/>
        </w:rPr>
      </w:pPr>
      <w:bookmarkStart w:id="84" w:name="_Toc9582"/>
      <w:r>
        <w:rPr>
          <w:rFonts w:hint="eastAsia"/>
          <w:b/>
          <w:bCs/>
        </w:rPr>
        <w:t>存在的问题及原因分析</w:t>
      </w:r>
      <w:bookmarkEnd w:id="84"/>
    </w:p>
    <w:p w14:paraId="1C093ED6">
      <w:pPr>
        <w:bidi w:val="0"/>
        <w:ind w:left="0" w:leftChars="0" w:firstLine="281" w:firstLineChars="100"/>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b/>
          <w:bCs/>
          <w:lang w:eastAsia="zh-CN"/>
        </w:rPr>
        <w:t>　</w:t>
      </w:r>
      <w:r>
        <w:rPr>
          <w:rFonts w:hint="eastAsia"/>
          <w:b w:val="0"/>
          <w:bCs w:val="0"/>
          <w:lang w:val="en-US" w:eastAsia="zh-CN"/>
        </w:rPr>
        <w:t>1</w:t>
      </w:r>
      <w:r>
        <w:rPr>
          <w:rFonts w:hint="eastAsia"/>
          <w:b/>
          <w:bCs/>
          <w:lang w:val="en-US" w:eastAsia="zh-CN"/>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单位内控职责不够细化，项目预算的绩效设定与实际的项目支出存在些许差距。</w:t>
      </w:r>
    </w:p>
    <w:p w14:paraId="61F55F24">
      <w:pPr>
        <w:bidi w:val="0"/>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2.部分业务人员绩效管理意识有待增强，未能全面深入认识理解绩效管理工作的意义。业务水平和能力还需大幅度提高 </w:t>
      </w:r>
    </w:p>
    <w:p w14:paraId="5A65A2EC">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85" w:name="_Toc5230"/>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b/>
          <w:bCs/>
          <w:color w:val="FF0000"/>
          <w:highlight w:val="none"/>
          <w:shd w:val="clear" w:color="auto" w:fill="auto"/>
          <w:lang w:val="en-US" w:eastAsia="zh-CN"/>
        </w:rPr>
        <w:t>　</w:t>
      </w: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七、有关建议</w:t>
      </w:r>
      <w:bookmarkEnd w:id="85"/>
    </w:p>
    <w:p w14:paraId="37B9D218">
      <w:pPr>
        <w:bidi w:val="0"/>
        <w:ind w:left="0" w:leftChars="0" w:firstLine="0" w:firstLineChars="0"/>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bookmarkStart w:id="86" w:name="_Toc15618"/>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（一）健全单位内控制度细化内控职责 ，争取在今后工作中准确把握项目资金支出，达到资金的最大效益。</w:t>
      </w:r>
    </w:p>
    <w:p w14:paraId="635674EA">
      <w:pPr>
        <w:bidi w:val="0"/>
        <w:ind w:left="0" w:leftChars="0" w:firstLine="0" w:firstLineChars="0"/>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p>
    <w:p w14:paraId="69049628">
      <w:pPr>
        <w:bidi w:val="0"/>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）要进一步加大业务人员培训力度，</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加强</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业务人员各类</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培训学习，强化目标审核</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，提高绩效目标编制质量，</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提高</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业务水平和能力。</w:t>
      </w:r>
    </w:p>
    <w:p w14:paraId="176E357B">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八、其他需要说明的问题</w:t>
      </w:r>
      <w:bookmarkEnd w:id="86"/>
    </w:p>
    <w:p w14:paraId="715B4013">
      <w:pPr>
        <w:bidi w:val="0"/>
        <w:rPr>
          <w:rFonts w:hint="eastAsia" w:ascii="宋体" w:hAnsi="宋体" w:eastAsia="宋体" w:cs="宋体"/>
          <w:lang w:val="en-US" w:eastAsia="zh-CN"/>
        </w:rPr>
        <w:sectPr>
          <w:footerReference r:id="rId5" w:type="default"/>
          <w:pgSz w:w="11906" w:h="16838"/>
          <w:pgMar w:top="1440" w:right="1800" w:bottom="1440" w:left="960" w:header="737" w:footer="851" w:gutter="0"/>
          <w:pgNumType w:fmt="decimal" w:start="1"/>
          <w:cols w:space="720" w:num="1"/>
          <w:docGrid w:type="lines" w:linePitch="408" w:charSpace="0"/>
        </w:sectPr>
      </w:pPr>
      <w:r>
        <w:rPr>
          <w:rFonts w:hint="eastAsia" w:ascii="宋体" w:hAnsi="宋体" w:eastAsia="宋体" w:cs="宋体"/>
          <w:lang w:val="en-US" w:eastAsia="zh-CN"/>
        </w:rPr>
        <w:t>无其他需要说明的问题。</w:t>
      </w:r>
    </w:p>
    <w:p w14:paraId="6169DCB4">
      <w:pPr>
        <w:pStyle w:val="3"/>
        <w:pageBreakBefore w:val="0"/>
        <w:numPr>
          <w:ilvl w:val="0"/>
          <w:numId w:val="0"/>
        </w:numPr>
        <w:kinsoku/>
        <w:wordWrap/>
        <w:overflowPunct/>
        <w:topLinePunct w:val="0"/>
        <w:autoSpaceDE/>
        <w:autoSpaceDN/>
        <w:bidi w:val="0"/>
        <w:adjustRightInd/>
        <w:spacing w:beforeLines="0" w:afterLines="0" w:line="360" w:lineRule="auto"/>
        <w:textAlignment w:val="auto"/>
      </w:pPr>
      <w:bookmarkStart w:id="87" w:name="_Toc11349"/>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附件一、项目支出绩效自评表</w:t>
      </w:r>
      <w:bookmarkEnd w:id="87"/>
    </w:p>
    <w:tbl>
      <w:tblPr>
        <w:tblStyle w:val="11"/>
        <w:tblW w:w="49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37"/>
        <w:gridCol w:w="937"/>
        <w:gridCol w:w="937"/>
        <w:gridCol w:w="1128"/>
        <w:gridCol w:w="1223"/>
        <w:gridCol w:w="938"/>
        <w:gridCol w:w="938"/>
        <w:gridCol w:w="1033"/>
        <w:gridCol w:w="938"/>
        <w:gridCol w:w="938"/>
        <w:gridCol w:w="1128"/>
        <w:gridCol w:w="1128"/>
        <w:gridCol w:w="1033"/>
        <w:gridCol w:w="938"/>
      </w:tblGrid>
      <w:tr w14:paraId="1736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4174" w:type="dxa"/>
            <w:gridSpan w:val="14"/>
            <w:tcBorders>
              <w:top w:val="nil"/>
              <w:left w:val="nil"/>
              <w:bottom w:val="nil"/>
              <w:right w:val="nil"/>
            </w:tcBorders>
            <w:shd w:val="clear" w:color="auto" w:fill="auto"/>
            <w:vAlign w:val="center"/>
          </w:tcPr>
          <w:p w14:paraId="64850C81">
            <w:pPr>
              <w:keepNext w:val="0"/>
              <w:keepLines w:val="0"/>
              <w:widowControl/>
              <w:suppressLineNumbers w:val="0"/>
              <w:ind w:firstLine="801" w:firstLineChars="200"/>
              <w:jc w:val="center"/>
              <w:textAlignment w:val="center"/>
              <w:rPr>
                <w:rFonts w:ascii="华文中宋" w:hAnsi="华文中宋" w:eastAsia="华文中宋" w:cs="华文中宋"/>
                <w:b/>
                <w:bCs/>
                <w:i w:val="0"/>
                <w:iCs w:val="0"/>
                <w:color w:val="000000"/>
                <w:sz w:val="40"/>
                <w:szCs w:val="40"/>
                <w:u w:val="none"/>
              </w:rPr>
            </w:pPr>
            <w:r>
              <w:rPr>
                <w:rFonts w:hint="eastAsia" w:ascii="华文中宋" w:hAnsi="华文中宋" w:eastAsia="华文中宋" w:cs="华文中宋"/>
                <w:b/>
                <w:bCs/>
                <w:i w:val="0"/>
                <w:iCs w:val="0"/>
                <w:color w:val="000000"/>
                <w:kern w:val="0"/>
                <w:sz w:val="40"/>
                <w:szCs w:val="40"/>
                <w:u w:val="none"/>
                <w:lang w:val="en-US" w:eastAsia="zh-CN" w:bidi="ar"/>
              </w:rPr>
              <w:t>项目支出绩效自评表</w:t>
            </w:r>
          </w:p>
        </w:tc>
      </w:tr>
      <w:tr w14:paraId="7D5F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174" w:type="dxa"/>
            <w:gridSpan w:val="14"/>
            <w:tcBorders>
              <w:top w:val="nil"/>
              <w:left w:val="nil"/>
              <w:bottom w:val="single" w:color="auto" w:sz="4" w:space="0"/>
              <w:right w:val="nil"/>
            </w:tcBorders>
            <w:shd w:val="clear" w:color="auto" w:fill="auto"/>
            <w:vAlign w:val="center"/>
          </w:tcPr>
          <w:p w14:paraId="395A212C">
            <w:pPr>
              <w:keepNext w:val="0"/>
              <w:keepLines w:val="0"/>
              <w:widowControl/>
              <w:suppressLineNumbers w:val="0"/>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（2023年度）</w:t>
            </w:r>
          </w:p>
        </w:tc>
      </w:tr>
      <w:tr w14:paraId="5C16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02" w:type="dxa"/>
            <w:gridSpan w:val="2"/>
            <w:tcBorders>
              <w:top w:val="single" w:color="auto" w:sz="4" w:space="0"/>
            </w:tcBorders>
            <w:shd w:val="clear" w:color="auto" w:fill="auto"/>
            <w:vAlign w:val="center"/>
          </w:tcPr>
          <w:p w14:paraId="13E02EE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472" w:type="dxa"/>
            <w:gridSpan w:val="12"/>
            <w:tcBorders>
              <w:top w:val="single" w:color="auto" w:sz="4" w:space="0"/>
            </w:tcBorders>
            <w:shd w:val="clear" w:color="auto" w:fill="auto"/>
            <w:vAlign w:val="center"/>
          </w:tcPr>
          <w:p w14:paraId="4BA6094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2016年病媒生物消杀项目</w:t>
            </w:r>
          </w:p>
        </w:tc>
      </w:tr>
      <w:tr w14:paraId="5B4A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02" w:type="dxa"/>
            <w:gridSpan w:val="2"/>
            <w:shd w:val="clear" w:color="auto" w:fill="auto"/>
            <w:vAlign w:val="center"/>
          </w:tcPr>
          <w:p w14:paraId="5E8EB01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5214" w:type="dxa"/>
            <w:gridSpan w:val="5"/>
            <w:shd w:val="clear" w:color="auto" w:fill="auto"/>
            <w:vAlign w:val="center"/>
          </w:tcPr>
          <w:p w14:paraId="7357C86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阜康市卫生健康委员会</w:t>
            </w:r>
          </w:p>
        </w:tc>
        <w:tc>
          <w:tcPr>
            <w:tcW w:w="1642" w:type="dxa"/>
            <w:gridSpan w:val="2"/>
            <w:shd w:val="clear" w:color="auto" w:fill="auto"/>
            <w:vAlign w:val="center"/>
          </w:tcPr>
          <w:p w14:paraId="1C2DFF5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5616" w:type="dxa"/>
            <w:gridSpan w:val="5"/>
            <w:shd w:val="clear" w:color="auto" w:fill="auto"/>
            <w:vAlign w:val="center"/>
          </w:tcPr>
          <w:p w14:paraId="33F5207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阜康市疾病预防控制中心</w:t>
            </w:r>
          </w:p>
        </w:tc>
      </w:tr>
      <w:tr w14:paraId="494C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02" w:type="dxa"/>
            <w:gridSpan w:val="2"/>
            <w:vMerge w:val="restart"/>
            <w:shd w:val="clear" w:color="auto" w:fill="auto"/>
            <w:vAlign w:val="center"/>
          </w:tcPr>
          <w:p w14:paraId="6EDC622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464" w:type="dxa"/>
            <w:gridSpan w:val="2"/>
            <w:shd w:val="clear" w:color="auto" w:fill="auto"/>
            <w:vAlign w:val="center"/>
          </w:tcPr>
          <w:p w14:paraId="317E268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1060" w:type="dxa"/>
            <w:shd w:val="clear" w:color="auto" w:fill="auto"/>
            <w:vAlign w:val="center"/>
          </w:tcPr>
          <w:p w14:paraId="3636312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690" w:type="dxa"/>
            <w:gridSpan w:val="2"/>
            <w:shd w:val="clear" w:color="auto" w:fill="auto"/>
            <w:vAlign w:val="center"/>
          </w:tcPr>
          <w:p w14:paraId="34C5CE2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642" w:type="dxa"/>
            <w:gridSpan w:val="2"/>
            <w:shd w:val="clear" w:color="auto" w:fill="auto"/>
            <w:vAlign w:val="center"/>
          </w:tcPr>
          <w:p w14:paraId="7B66E29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136" w:type="dxa"/>
            <w:gridSpan w:val="2"/>
            <w:shd w:val="clear" w:color="auto" w:fill="auto"/>
            <w:vAlign w:val="center"/>
          </w:tcPr>
          <w:p w14:paraId="0F66A38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分值权重</w:t>
            </w:r>
          </w:p>
        </w:tc>
        <w:tc>
          <w:tcPr>
            <w:tcW w:w="1914" w:type="dxa"/>
            <w:gridSpan w:val="2"/>
            <w:shd w:val="clear" w:color="auto" w:fill="auto"/>
            <w:vAlign w:val="center"/>
          </w:tcPr>
          <w:p w14:paraId="7E73A57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1566" w:type="dxa"/>
            <w:shd w:val="clear" w:color="auto" w:fill="auto"/>
            <w:vAlign w:val="center"/>
          </w:tcPr>
          <w:p w14:paraId="64754B2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51CC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02" w:type="dxa"/>
            <w:gridSpan w:val="2"/>
            <w:vMerge w:val="continue"/>
            <w:shd w:val="clear" w:color="auto" w:fill="auto"/>
            <w:vAlign w:val="center"/>
          </w:tcPr>
          <w:p w14:paraId="63581508">
            <w:pPr>
              <w:jc w:val="center"/>
              <w:rPr>
                <w:rFonts w:hint="eastAsia" w:ascii="宋体" w:hAnsi="宋体" w:eastAsia="宋体" w:cs="宋体"/>
                <w:i w:val="0"/>
                <w:iCs w:val="0"/>
                <w:color w:val="000000"/>
                <w:sz w:val="20"/>
                <w:szCs w:val="20"/>
                <w:u w:val="none"/>
              </w:rPr>
            </w:pPr>
          </w:p>
        </w:tc>
        <w:tc>
          <w:tcPr>
            <w:tcW w:w="2464" w:type="dxa"/>
            <w:gridSpan w:val="2"/>
            <w:shd w:val="clear" w:color="auto" w:fill="auto"/>
            <w:vAlign w:val="center"/>
          </w:tcPr>
          <w:p w14:paraId="08EF80A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060" w:type="dxa"/>
            <w:shd w:val="clear" w:color="auto" w:fill="auto"/>
            <w:vAlign w:val="center"/>
          </w:tcPr>
          <w:p w14:paraId="35C7C23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1690" w:type="dxa"/>
            <w:gridSpan w:val="2"/>
            <w:shd w:val="clear" w:color="auto" w:fill="auto"/>
            <w:vAlign w:val="center"/>
          </w:tcPr>
          <w:p w14:paraId="0798A4C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1642" w:type="dxa"/>
            <w:gridSpan w:val="2"/>
            <w:shd w:val="clear" w:color="auto" w:fill="auto"/>
            <w:vAlign w:val="center"/>
          </w:tcPr>
          <w:p w14:paraId="60A31DD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2136" w:type="dxa"/>
            <w:gridSpan w:val="2"/>
            <w:shd w:val="clear" w:color="auto" w:fill="auto"/>
            <w:vAlign w:val="center"/>
          </w:tcPr>
          <w:p w14:paraId="3421677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14" w:type="dxa"/>
            <w:gridSpan w:val="2"/>
            <w:shd w:val="clear" w:color="auto" w:fill="auto"/>
            <w:vAlign w:val="center"/>
          </w:tcPr>
          <w:p w14:paraId="617AB89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566" w:type="dxa"/>
            <w:shd w:val="clear" w:color="auto" w:fill="auto"/>
            <w:vAlign w:val="center"/>
          </w:tcPr>
          <w:p w14:paraId="0231F48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52D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702" w:type="dxa"/>
            <w:gridSpan w:val="2"/>
            <w:vMerge w:val="continue"/>
            <w:shd w:val="clear" w:color="auto" w:fill="auto"/>
            <w:vAlign w:val="center"/>
          </w:tcPr>
          <w:p w14:paraId="24313AD2">
            <w:pPr>
              <w:jc w:val="center"/>
              <w:rPr>
                <w:rFonts w:hint="eastAsia" w:ascii="宋体" w:hAnsi="宋体" w:eastAsia="宋体" w:cs="宋体"/>
                <w:i w:val="0"/>
                <w:iCs w:val="0"/>
                <w:color w:val="000000"/>
                <w:sz w:val="20"/>
                <w:szCs w:val="20"/>
                <w:u w:val="none"/>
              </w:rPr>
            </w:pPr>
          </w:p>
        </w:tc>
        <w:tc>
          <w:tcPr>
            <w:tcW w:w="2464" w:type="dxa"/>
            <w:gridSpan w:val="2"/>
            <w:shd w:val="clear" w:color="auto" w:fill="auto"/>
            <w:vAlign w:val="center"/>
          </w:tcPr>
          <w:p w14:paraId="663E741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060" w:type="dxa"/>
            <w:shd w:val="clear" w:color="auto" w:fill="auto"/>
            <w:vAlign w:val="center"/>
          </w:tcPr>
          <w:p w14:paraId="17DBAFD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1690" w:type="dxa"/>
            <w:gridSpan w:val="2"/>
            <w:shd w:val="clear" w:color="auto" w:fill="auto"/>
            <w:vAlign w:val="center"/>
          </w:tcPr>
          <w:p w14:paraId="55EFCC2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1642" w:type="dxa"/>
            <w:gridSpan w:val="2"/>
            <w:shd w:val="clear" w:color="auto" w:fill="auto"/>
            <w:vAlign w:val="center"/>
          </w:tcPr>
          <w:p w14:paraId="410F58E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2136" w:type="dxa"/>
            <w:gridSpan w:val="2"/>
            <w:shd w:val="clear" w:color="auto" w:fill="auto"/>
            <w:vAlign w:val="center"/>
          </w:tcPr>
          <w:p w14:paraId="690F6E2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14" w:type="dxa"/>
            <w:gridSpan w:val="2"/>
            <w:shd w:val="clear" w:color="auto" w:fill="auto"/>
            <w:vAlign w:val="center"/>
          </w:tcPr>
          <w:p w14:paraId="37E510C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6" w:type="dxa"/>
            <w:shd w:val="clear" w:color="auto" w:fill="auto"/>
            <w:vAlign w:val="center"/>
          </w:tcPr>
          <w:p w14:paraId="169E736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078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02" w:type="dxa"/>
            <w:gridSpan w:val="2"/>
            <w:vMerge w:val="continue"/>
            <w:shd w:val="clear" w:color="auto" w:fill="auto"/>
            <w:vAlign w:val="center"/>
          </w:tcPr>
          <w:p w14:paraId="1010CB30">
            <w:pPr>
              <w:jc w:val="center"/>
              <w:rPr>
                <w:rFonts w:hint="eastAsia" w:ascii="宋体" w:hAnsi="宋体" w:eastAsia="宋体" w:cs="宋体"/>
                <w:i w:val="0"/>
                <w:iCs w:val="0"/>
                <w:color w:val="000000"/>
                <w:sz w:val="20"/>
                <w:szCs w:val="20"/>
                <w:u w:val="none"/>
              </w:rPr>
            </w:pPr>
          </w:p>
        </w:tc>
        <w:tc>
          <w:tcPr>
            <w:tcW w:w="2464" w:type="dxa"/>
            <w:gridSpan w:val="2"/>
            <w:shd w:val="clear" w:color="auto" w:fill="auto"/>
            <w:vAlign w:val="center"/>
          </w:tcPr>
          <w:p w14:paraId="42E890D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060" w:type="dxa"/>
            <w:shd w:val="clear" w:color="auto" w:fill="auto"/>
            <w:vAlign w:val="center"/>
          </w:tcPr>
          <w:p w14:paraId="3F3DD4C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690" w:type="dxa"/>
            <w:gridSpan w:val="2"/>
            <w:shd w:val="clear" w:color="auto" w:fill="auto"/>
            <w:vAlign w:val="center"/>
          </w:tcPr>
          <w:p w14:paraId="624A021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642" w:type="dxa"/>
            <w:gridSpan w:val="2"/>
            <w:shd w:val="clear" w:color="auto" w:fill="auto"/>
            <w:vAlign w:val="center"/>
          </w:tcPr>
          <w:p w14:paraId="476AFCB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136" w:type="dxa"/>
            <w:gridSpan w:val="2"/>
            <w:shd w:val="clear" w:color="auto" w:fill="auto"/>
            <w:vAlign w:val="center"/>
          </w:tcPr>
          <w:p w14:paraId="3C03DDC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14" w:type="dxa"/>
            <w:gridSpan w:val="2"/>
            <w:shd w:val="clear" w:color="auto" w:fill="auto"/>
            <w:vAlign w:val="center"/>
          </w:tcPr>
          <w:p w14:paraId="304470F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6" w:type="dxa"/>
            <w:shd w:val="clear" w:color="auto" w:fill="auto"/>
            <w:vAlign w:val="center"/>
          </w:tcPr>
          <w:p w14:paraId="7195526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A9F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4" w:type="dxa"/>
            <w:vMerge w:val="restart"/>
            <w:shd w:val="clear" w:color="auto" w:fill="auto"/>
            <w:vAlign w:val="center"/>
          </w:tcPr>
          <w:p w14:paraId="047FF90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7784" w:type="dxa"/>
            <w:gridSpan w:val="8"/>
            <w:shd w:val="clear" w:color="auto" w:fill="auto"/>
            <w:vAlign w:val="center"/>
          </w:tcPr>
          <w:p w14:paraId="44F8068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5616" w:type="dxa"/>
            <w:gridSpan w:val="5"/>
            <w:shd w:val="clear" w:color="auto" w:fill="auto"/>
            <w:vAlign w:val="center"/>
          </w:tcPr>
          <w:p w14:paraId="082D36A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总体目标完成情况</w:t>
            </w:r>
          </w:p>
        </w:tc>
      </w:tr>
      <w:tr w14:paraId="34C4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74" w:type="dxa"/>
            <w:vMerge w:val="continue"/>
            <w:shd w:val="clear" w:color="auto" w:fill="auto"/>
            <w:vAlign w:val="center"/>
          </w:tcPr>
          <w:p w14:paraId="341B37B7">
            <w:pPr>
              <w:jc w:val="center"/>
              <w:rPr>
                <w:rFonts w:hint="eastAsia" w:ascii="宋体" w:hAnsi="宋体" w:eastAsia="宋体" w:cs="宋体"/>
                <w:i w:val="0"/>
                <w:iCs w:val="0"/>
                <w:color w:val="000000"/>
                <w:sz w:val="20"/>
                <w:szCs w:val="20"/>
                <w:u w:val="none"/>
              </w:rPr>
            </w:pPr>
          </w:p>
        </w:tc>
        <w:tc>
          <w:tcPr>
            <w:tcW w:w="7784" w:type="dxa"/>
            <w:gridSpan w:val="8"/>
            <w:shd w:val="clear" w:color="auto" w:fill="auto"/>
            <w:vAlign w:val="center"/>
          </w:tcPr>
          <w:p w14:paraId="7215240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为保证疾病预防控制，针对2016年病媒生物消杀项目，阜康市疾病预防控制中心2023年预计完成2016年病媒生物消杀2次，项目的实施让广大居民的健康和安全意识逐步提高。</w:t>
            </w:r>
          </w:p>
        </w:tc>
        <w:tc>
          <w:tcPr>
            <w:tcW w:w="5616" w:type="dxa"/>
            <w:gridSpan w:val="5"/>
            <w:shd w:val="clear" w:color="auto" w:fill="auto"/>
            <w:vAlign w:val="center"/>
          </w:tcPr>
          <w:p w14:paraId="565FB41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截至2023年12月31日本项目完成2016年病媒生物消杀次数2次，达到广大居民的健康和安全意识逐步提高。</w:t>
            </w:r>
          </w:p>
        </w:tc>
      </w:tr>
      <w:tr w14:paraId="7707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4" w:type="dxa"/>
            <w:shd w:val="clear" w:color="auto" w:fill="auto"/>
            <w:vAlign w:val="center"/>
          </w:tcPr>
          <w:p w14:paraId="500B1662">
            <w:pPr>
              <w:jc w:val="center"/>
              <w:rPr>
                <w:rFonts w:hint="eastAsia" w:ascii="宋体" w:hAnsi="宋体" w:eastAsia="宋体" w:cs="宋体"/>
                <w:i w:val="0"/>
                <w:iCs w:val="0"/>
                <w:color w:val="000000"/>
                <w:sz w:val="20"/>
                <w:szCs w:val="20"/>
                <w:u w:val="none"/>
              </w:rPr>
            </w:pPr>
          </w:p>
        </w:tc>
        <w:tc>
          <w:tcPr>
            <w:tcW w:w="928" w:type="dxa"/>
            <w:shd w:val="clear" w:color="auto" w:fill="auto"/>
            <w:vAlign w:val="center"/>
          </w:tcPr>
          <w:p w14:paraId="03507CC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923" w:type="dxa"/>
            <w:shd w:val="clear" w:color="auto" w:fill="auto"/>
            <w:vAlign w:val="center"/>
          </w:tcPr>
          <w:p w14:paraId="0FDB513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541" w:type="dxa"/>
            <w:shd w:val="clear" w:color="auto" w:fill="auto"/>
            <w:vAlign w:val="center"/>
          </w:tcPr>
          <w:p w14:paraId="42B0355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060" w:type="dxa"/>
            <w:shd w:val="clear" w:color="auto" w:fill="auto"/>
            <w:vAlign w:val="center"/>
          </w:tcPr>
          <w:p w14:paraId="4AAE686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934" w:type="dxa"/>
            <w:shd w:val="clear" w:color="auto" w:fill="auto"/>
            <w:vAlign w:val="center"/>
          </w:tcPr>
          <w:p w14:paraId="411B1E3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指标值设置依据</w:t>
            </w:r>
          </w:p>
        </w:tc>
        <w:tc>
          <w:tcPr>
            <w:tcW w:w="756" w:type="dxa"/>
            <w:shd w:val="clear" w:color="auto" w:fill="auto"/>
            <w:vAlign w:val="center"/>
          </w:tcPr>
          <w:p w14:paraId="6735C69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上年完成值</w:t>
            </w:r>
          </w:p>
        </w:tc>
        <w:tc>
          <w:tcPr>
            <w:tcW w:w="716" w:type="dxa"/>
            <w:shd w:val="clear" w:color="auto" w:fill="auto"/>
            <w:vAlign w:val="center"/>
          </w:tcPr>
          <w:p w14:paraId="573EA6B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指标分值权重</w:t>
            </w:r>
          </w:p>
        </w:tc>
        <w:tc>
          <w:tcPr>
            <w:tcW w:w="926" w:type="dxa"/>
            <w:shd w:val="clear" w:color="auto" w:fill="auto"/>
            <w:vAlign w:val="center"/>
          </w:tcPr>
          <w:p w14:paraId="36DC546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指标赋分规则</w:t>
            </w:r>
          </w:p>
        </w:tc>
        <w:tc>
          <w:tcPr>
            <w:tcW w:w="1052" w:type="dxa"/>
            <w:shd w:val="clear" w:color="auto" w:fill="auto"/>
            <w:vAlign w:val="center"/>
          </w:tcPr>
          <w:p w14:paraId="257E92E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佐证资料</w:t>
            </w:r>
          </w:p>
        </w:tc>
        <w:tc>
          <w:tcPr>
            <w:tcW w:w="1084" w:type="dxa"/>
            <w:shd w:val="clear" w:color="auto" w:fill="auto"/>
            <w:vAlign w:val="center"/>
          </w:tcPr>
          <w:p w14:paraId="73211C4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指标实际完成值</w:t>
            </w:r>
          </w:p>
        </w:tc>
        <w:tc>
          <w:tcPr>
            <w:tcW w:w="918" w:type="dxa"/>
            <w:shd w:val="clear" w:color="auto" w:fill="auto"/>
            <w:vAlign w:val="center"/>
          </w:tcPr>
          <w:p w14:paraId="7A15906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完成率</w:t>
            </w:r>
          </w:p>
        </w:tc>
        <w:tc>
          <w:tcPr>
            <w:tcW w:w="996" w:type="dxa"/>
            <w:shd w:val="clear" w:color="auto" w:fill="auto"/>
            <w:vAlign w:val="center"/>
          </w:tcPr>
          <w:p w14:paraId="548D2CD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指标得分</w:t>
            </w:r>
          </w:p>
        </w:tc>
        <w:tc>
          <w:tcPr>
            <w:tcW w:w="1566" w:type="dxa"/>
            <w:shd w:val="clear" w:color="auto" w:fill="auto"/>
            <w:vAlign w:val="center"/>
          </w:tcPr>
          <w:p w14:paraId="117229C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7068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4" w:type="dxa"/>
            <w:vMerge w:val="restart"/>
            <w:shd w:val="clear" w:color="auto" w:fill="auto"/>
            <w:vAlign w:val="center"/>
          </w:tcPr>
          <w:p w14:paraId="4B419EC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928" w:type="dxa"/>
            <w:vMerge w:val="restart"/>
            <w:shd w:val="clear" w:color="auto" w:fill="auto"/>
            <w:vAlign w:val="center"/>
          </w:tcPr>
          <w:p w14:paraId="2F1A3E5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23" w:type="dxa"/>
            <w:vMerge w:val="restart"/>
            <w:shd w:val="clear" w:color="auto" w:fill="auto"/>
            <w:vAlign w:val="center"/>
          </w:tcPr>
          <w:p w14:paraId="5C5EAF1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41" w:type="dxa"/>
            <w:shd w:val="clear" w:color="auto" w:fill="auto"/>
            <w:vAlign w:val="center"/>
          </w:tcPr>
          <w:p w14:paraId="6E234E4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消杀合作商家数量</w:t>
            </w:r>
          </w:p>
        </w:tc>
        <w:tc>
          <w:tcPr>
            <w:tcW w:w="1060" w:type="dxa"/>
            <w:shd w:val="clear" w:color="auto" w:fill="auto"/>
            <w:vAlign w:val="center"/>
          </w:tcPr>
          <w:p w14:paraId="4490994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≧1家</w:t>
            </w:r>
          </w:p>
        </w:tc>
        <w:tc>
          <w:tcPr>
            <w:tcW w:w="934" w:type="dxa"/>
            <w:shd w:val="clear" w:color="auto" w:fill="auto"/>
            <w:vAlign w:val="center"/>
          </w:tcPr>
          <w:p w14:paraId="57B96AF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56" w:type="dxa"/>
            <w:shd w:val="clear" w:color="auto" w:fill="auto"/>
            <w:vAlign w:val="center"/>
          </w:tcPr>
          <w:p w14:paraId="636CAB6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6" w:type="dxa"/>
            <w:shd w:val="clear" w:color="auto" w:fill="auto"/>
            <w:vAlign w:val="center"/>
          </w:tcPr>
          <w:p w14:paraId="56FA202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26" w:type="dxa"/>
            <w:shd w:val="clear" w:color="auto" w:fill="auto"/>
            <w:vAlign w:val="center"/>
          </w:tcPr>
          <w:p w14:paraId="1F5ADA1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按完成比例赋分</w:t>
            </w:r>
          </w:p>
        </w:tc>
        <w:tc>
          <w:tcPr>
            <w:tcW w:w="1052" w:type="dxa"/>
            <w:shd w:val="clear" w:color="auto" w:fill="auto"/>
            <w:vAlign w:val="center"/>
          </w:tcPr>
          <w:p w14:paraId="5C210CB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84" w:type="dxa"/>
            <w:shd w:val="clear" w:color="auto" w:fill="auto"/>
            <w:vAlign w:val="center"/>
          </w:tcPr>
          <w:p w14:paraId="66CDE73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1家</w:t>
            </w:r>
          </w:p>
        </w:tc>
        <w:tc>
          <w:tcPr>
            <w:tcW w:w="918" w:type="dxa"/>
            <w:shd w:val="clear" w:color="auto" w:fill="auto"/>
            <w:vAlign w:val="center"/>
          </w:tcPr>
          <w:p w14:paraId="3DDA492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96" w:type="dxa"/>
            <w:shd w:val="clear" w:color="auto" w:fill="auto"/>
            <w:vAlign w:val="center"/>
          </w:tcPr>
          <w:p w14:paraId="22F302F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66" w:type="dxa"/>
            <w:shd w:val="clear" w:color="auto" w:fill="auto"/>
            <w:vAlign w:val="center"/>
          </w:tcPr>
          <w:p w14:paraId="7EE6A176">
            <w:pPr>
              <w:rPr>
                <w:rFonts w:hint="eastAsia" w:ascii="宋体" w:hAnsi="宋体" w:eastAsia="宋体" w:cs="宋体"/>
                <w:i w:val="0"/>
                <w:iCs w:val="0"/>
                <w:color w:val="000000"/>
                <w:sz w:val="20"/>
                <w:szCs w:val="20"/>
                <w:u w:val="none"/>
              </w:rPr>
            </w:pPr>
          </w:p>
        </w:tc>
      </w:tr>
      <w:tr w14:paraId="5976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774" w:type="dxa"/>
            <w:vMerge w:val="continue"/>
            <w:shd w:val="clear" w:color="auto" w:fill="auto"/>
            <w:vAlign w:val="center"/>
          </w:tcPr>
          <w:p w14:paraId="3A560A67">
            <w:pPr>
              <w:jc w:val="center"/>
              <w:rPr>
                <w:rFonts w:hint="eastAsia" w:ascii="宋体" w:hAnsi="宋体" w:eastAsia="宋体" w:cs="宋体"/>
                <w:i w:val="0"/>
                <w:iCs w:val="0"/>
                <w:color w:val="000000"/>
                <w:sz w:val="20"/>
                <w:szCs w:val="20"/>
                <w:u w:val="none"/>
              </w:rPr>
            </w:pPr>
          </w:p>
        </w:tc>
        <w:tc>
          <w:tcPr>
            <w:tcW w:w="928" w:type="dxa"/>
            <w:vMerge w:val="continue"/>
            <w:shd w:val="clear" w:color="auto" w:fill="auto"/>
            <w:vAlign w:val="center"/>
          </w:tcPr>
          <w:p w14:paraId="74AA7443">
            <w:pPr>
              <w:jc w:val="center"/>
              <w:rPr>
                <w:rFonts w:hint="eastAsia" w:ascii="宋体" w:hAnsi="宋体" w:eastAsia="宋体" w:cs="宋体"/>
                <w:i w:val="0"/>
                <w:iCs w:val="0"/>
                <w:color w:val="000000"/>
                <w:sz w:val="20"/>
                <w:szCs w:val="20"/>
                <w:u w:val="none"/>
              </w:rPr>
            </w:pPr>
          </w:p>
        </w:tc>
        <w:tc>
          <w:tcPr>
            <w:tcW w:w="923" w:type="dxa"/>
            <w:vMerge w:val="continue"/>
            <w:shd w:val="clear" w:color="auto" w:fill="auto"/>
            <w:vAlign w:val="center"/>
          </w:tcPr>
          <w:p w14:paraId="2D3F22D7">
            <w:pPr>
              <w:jc w:val="center"/>
              <w:rPr>
                <w:rFonts w:hint="eastAsia" w:ascii="宋体" w:hAnsi="宋体" w:eastAsia="宋体" w:cs="宋体"/>
                <w:i w:val="0"/>
                <w:iCs w:val="0"/>
                <w:color w:val="000000"/>
                <w:sz w:val="20"/>
                <w:szCs w:val="20"/>
                <w:u w:val="none"/>
              </w:rPr>
            </w:pPr>
          </w:p>
        </w:tc>
        <w:tc>
          <w:tcPr>
            <w:tcW w:w="1541" w:type="dxa"/>
            <w:shd w:val="clear" w:color="auto" w:fill="auto"/>
            <w:vAlign w:val="center"/>
          </w:tcPr>
          <w:p w14:paraId="0AD44D1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2016年病媒生物消杀次数</w:t>
            </w:r>
          </w:p>
        </w:tc>
        <w:tc>
          <w:tcPr>
            <w:tcW w:w="1060" w:type="dxa"/>
            <w:shd w:val="clear" w:color="auto" w:fill="auto"/>
            <w:vAlign w:val="center"/>
          </w:tcPr>
          <w:p w14:paraId="356A011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934" w:type="dxa"/>
            <w:shd w:val="clear" w:color="auto" w:fill="auto"/>
            <w:vAlign w:val="center"/>
          </w:tcPr>
          <w:p w14:paraId="07E7ED8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56" w:type="dxa"/>
            <w:shd w:val="clear" w:color="auto" w:fill="auto"/>
            <w:vAlign w:val="center"/>
          </w:tcPr>
          <w:p w14:paraId="61D8E03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6" w:type="dxa"/>
            <w:shd w:val="clear" w:color="auto" w:fill="auto"/>
            <w:vAlign w:val="center"/>
          </w:tcPr>
          <w:p w14:paraId="50A6333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26" w:type="dxa"/>
            <w:shd w:val="clear" w:color="auto" w:fill="auto"/>
            <w:vAlign w:val="center"/>
          </w:tcPr>
          <w:p w14:paraId="491C3AF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按完成比例赋分</w:t>
            </w:r>
          </w:p>
        </w:tc>
        <w:tc>
          <w:tcPr>
            <w:tcW w:w="1052" w:type="dxa"/>
            <w:shd w:val="clear" w:color="auto" w:fill="auto"/>
            <w:vAlign w:val="center"/>
          </w:tcPr>
          <w:p w14:paraId="54E4477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84" w:type="dxa"/>
            <w:shd w:val="clear" w:color="auto" w:fill="auto"/>
            <w:vAlign w:val="center"/>
          </w:tcPr>
          <w:p w14:paraId="2B5A17B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918" w:type="dxa"/>
            <w:shd w:val="clear" w:color="auto" w:fill="auto"/>
            <w:vAlign w:val="center"/>
          </w:tcPr>
          <w:p w14:paraId="357427F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96" w:type="dxa"/>
            <w:shd w:val="clear" w:color="auto" w:fill="auto"/>
            <w:vAlign w:val="center"/>
          </w:tcPr>
          <w:p w14:paraId="74977B8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66" w:type="dxa"/>
            <w:shd w:val="clear" w:color="auto" w:fill="auto"/>
            <w:vAlign w:val="center"/>
          </w:tcPr>
          <w:p w14:paraId="7DB654C1">
            <w:pPr>
              <w:rPr>
                <w:rFonts w:hint="eastAsia" w:ascii="宋体" w:hAnsi="宋体" w:eastAsia="宋体" w:cs="宋体"/>
                <w:i w:val="0"/>
                <w:iCs w:val="0"/>
                <w:color w:val="000000"/>
                <w:sz w:val="20"/>
                <w:szCs w:val="20"/>
                <w:u w:val="none"/>
              </w:rPr>
            </w:pPr>
          </w:p>
        </w:tc>
      </w:tr>
      <w:tr w14:paraId="1AB9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4" w:type="dxa"/>
            <w:vMerge w:val="continue"/>
            <w:shd w:val="clear" w:color="auto" w:fill="auto"/>
            <w:vAlign w:val="center"/>
          </w:tcPr>
          <w:p w14:paraId="6E1F5ED4">
            <w:pPr>
              <w:jc w:val="center"/>
              <w:rPr>
                <w:rFonts w:hint="eastAsia" w:ascii="宋体" w:hAnsi="宋体" w:eastAsia="宋体" w:cs="宋体"/>
                <w:i w:val="0"/>
                <w:iCs w:val="0"/>
                <w:color w:val="000000"/>
                <w:sz w:val="20"/>
                <w:szCs w:val="20"/>
                <w:u w:val="none"/>
              </w:rPr>
            </w:pPr>
          </w:p>
        </w:tc>
        <w:tc>
          <w:tcPr>
            <w:tcW w:w="928" w:type="dxa"/>
            <w:vMerge w:val="continue"/>
            <w:shd w:val="clear" w:color="auto" w:fill="auto"/>
            <w:vAlign w:val="center"/>
          </w:tcPr>
          <w:p w14:paraId="71BE266A">
            <w:pPr>
              <w:jc w:val="center"/>
              <w:rPr>
                <w:rFonts w:hint="eastAsia" w:ascii="宋体" w:hAnsi="宋体" w:eastAsia="宋体" w:cs="宋体"/>
                <w:i w:val="0"/>
                <w:iCs w:val="0"/>
                <w:color w:val="000000"/>
                <w:sz w:val="20"/>
                <w:szCs w:val="20"/>
                <w:u w:val="none"/>
              </w:rPr>
            </w:pPr>
          </w:p>
        </w:tc>
        <w:tc>
          <w:tcPr>
            <w:tcW w:w="923" w:type="dxa"/>
            <w:shd w:val="clear" w:color="auto" w:fill="auto"/>
            <w:vAlign w:val="center"/>
          </w:tcPr>
          <w:p w14:paraId="0430F1A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41" w:type="dxa"/>
            <w:shd w:val="clear" w:color="auto" w:fill="auto"/>
            <w:vAlign w:val="center"/>
          </w:tcPr>
          <w:p w14:paraId="29AADC1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2016年病媒生物消杀合格率</w:t>
            </w:r>
          </w:p>
        </w:tc>
        <w:tc>
          <w:tcPr>
            <w:tcW w:w="1060" w:type="dxa"/>
            <w:shd w:val="clear" w:color="auto" w:fill="auto"/>
            <w:vAlign w:val="center"/>
          </w:tcPr>
          <w:p w14:paraId="200D0B5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4" w:type="dxa"/>
            <w:shd w:val="clear" w:color="auto" w:fill="auto"/>
            <w:vAlign w:val="center"/>
          </w:tcPr>
          <w:p w14:paraId="595B74E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56" w:type="dxa"/>
            <w:shd w:val="clear" w:color="auto" w:fill="auto"/>
            <w:vAlign w:val="center"/>
          </w:tcPr>
          <w:p w14:paraId="0FBFADD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6" w:type="dxa"/>
            <w:shd w:val="clear" w:color="auto" w:fill="auto"/>
            <w:vAlign w:val="center"/>
          </w:tcPr>
          <w:p w14:paraId="144EF79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26" w:type="dxa"/>
            <w:shd w:val="clear" w:color="auto" w:fill="auto"/>
            <w:vAlign w:val="center"/>
          </w:tcPr>
          <w:p w14:paraId="4EC338B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按完成比例赋分</w:t>
            </w:r>
          </w:p>
        </w:tc>
        <w:tc>
          <w:tcPr>
            <w:tcW w:w="1052" w:type="dxa"/>
            <w:shd w:val="clear" w:color="auto" w:fill="auto"/>
            <w:vAlign w:val="center"/>
          </w:tcPr>
          <w:p w14:paraId="69B07AC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84" w:type="dxa"/>
            <w:shd w:val="clear" w:color="auto" w:fill="auto"/>
            <w:vAlign w:val="center"/>
          </w:tcPr>
          <w:p w14:paraId="54215C9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18" w:type="dxa"/>
            <w:shd w:val="clear" w:color="auto" w:fill="auto"/>
            <w:vAlign w:val="center"/>
          </w:tcPr>
          <w:p w14:paraId="32927E7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96" w:type="dxa"/>
            <w:shd w:val="clear" w:color="auto" w:fill="auto"/>
            <w:vAlign w:val="center"/>
          </w:tcPr>
          <w:p w14:paraId="234BD1C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66" w:type="dxa"/>
            <w:shd w:val="clear" w:color="auto" w:fill="auto"/>
            <w:vAlign w:val="center"/>
          </w:tcPr>
          <w:p w14:paraId="0F77E2CF">
            <w:pPr>
              <w:rPr>
                <w:rFonts w:hint="eastAsia" w:ascii="宋体" w:hAnsi="宋体" w:eastAsia="宋体" w:cs="宋体"/>
                <w:i w:val="0"/>
                <w:iCs w:val="0"/>
                <w:color w:val="000000"/>
                <w:sz w:val="20"/>
                <w:szCs w:val="20"/>
                <w:u w:val="none"/>
              </w:rPr>
            </w:pPr>
          </w:p>
        </w:tc>
      </w:tr>
      <w:tr w14:paraId="63C2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774" w:type="dxa"/>
            <w:vMerge w:val="continue"/>
            <w:shd w:val="clear" w:color="auto" w:fill="auto"/>
            <w:vAlign w:val="center"/>
          </w:tcPr>
          <w:p w14:paraId="4013814A">
            <w:pPr>
              <w:jc w:val="center"/>
              <w:rPr>
                <w:rFonts w:hint="eastAsia" w:ascii="宋体" w:hAnsi="宋体" w:eastAsia="宋体" w:cs="宋体"/>
                <w:i w:val="0"/>
                <w:iCs w:val="0"/>
                <w:color w:val="000000"/>
                <w:sz w:val="20"/>
                <w:szCs w:val="20"/>
                <w:u w:val="none"/>
              </w:rPr>
            </w:pPr>
          </w:p>
        </w:tc>
        <w:tc>
          <w:tcPr>
            <w:tcW w:w="928" w:type="dxa"/>
            <w:vMerge w:val="continue"/>
            <w:shd w:val="clear" w:color="auto" w:fill="auto"/>
            <w:vAlign w:val="center"/>
          </w:tcPr>
          <w:p w14:paraId="42AD2A4B">
            <w:pPr>
              <w:jc w:val="center"/>
              <w:rPr>
                <w:rFonts w:hint="eastAsia" w:ascii="宋体" w:hAnsi="宋体" w:eastAsia="宋体" w:cs="宋体"/>
                <w:i w:val="0"/>
                <w:iCs w:val="0"/>
                <w:color w:val="000000"/>
                <w:sz w:val="20"/>
                <w:szCs w:val="20"/>
                <w:u w:val="none"/>
              </w:rPr>
            </w:pPr>
          </w:p>
        </w:tc>
        <w:tc>
          <w:tcPr>
            <w:tcW w:w="923" w:type="dxa"/>
            <w:vMerge w:val="restart"/>
            <w:shd w:val="clear" w:color="auto" w:fill="auto"/>
            <w:vAlign w:val="center"/>
          </w:tcPr>
          <w:p w14:paraId="2DDE4B4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41" w:type="dxa"/>
            <w:shd w:val="clear" w:color="auto" w:fill="auto"/>
            <w:vAlign w:val="center"/>
          </w:tcPr>
          <w:p w14:paraId="31A1AC8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2016年病媒生物消杀及时率</w:t>
            </w:r>
          </w:p>
        </w:tc>
        <w:tc>
          <w:tcPr>
            <w:tcW w:w="1060" w:type="dxa"/>
            <w:shd w:val="clear" w:color="auto" w:fill="auto"/>
            <w:vAlign w:val="center"/>
          </w:tcPr>
          <w:p w14:paraId="4AE17BA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4" w:type="dxa"/>
            <w:shd w:val="clear" w:color="auto" w:fill="auto"/>
            <w:vAlign w:val="center"/>
          </w:tcPr>
          <w:p w14:paraId="6CEF8CC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56" w:type="dxa"/>
            <w:shd w:val="clear" w:color="auto" w:fill="auto"/>
            <w:vAlign w:val="center"/>
          </w:tcPr>
          <w:p w14:paraId="1C9A4AB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6" w:type="dxa"/>
            <w:shd w:val="clear" w:color="auto" w:fill="auto"/>
            <w:vAlign w:val="center"/>
          </w:tcPr>
          <w:p w14:paraId="45AD3CE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26" w:type="dxa"/>
            <w:shd w:val="clear" w:color="auto" w:fill="auto"/>
            <w:vAlign w:val="center"/>
          </w:tcPr>
          <w:p w14:paraId="30EF92B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按完成比例赋分</w:t>
            </w:r>
          </w:p>
        </w:tc>
        <w:tc>
          <w:tcPr>
            <w:tcW w:w="1052" w:type="dxa"/>
            <w:shd w:val="clear" w:color="auto" w:fill="auto"/>
            <w:vAlign w:val="center"/>
          </w:tcPr>
          <w:p w14:paraId="4E36B76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84" w:type="dxa"/>
            <w:shd w:val="clear" w:color="auto" w:fill="auto"/>
            <w:vAlign w:val="center"/>
          </w:tcPr>
          <w:p w14:paraId="63F7FDB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18" w:type="dxa"/>
            <w:shd w:val="clear" w:color="auto" w:fill="auto"/>
            <w:vAlign w:val="center"/>
          </w:tcPr>
          <w:p w14:paraId="5EC30EB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96" w:type="dxa"/>
            <w:shd w:val="clear" w:color="auto" w:fill="auto"/>
            <w:vAlign w:val="center"/>
          </w:tcPr>
          <w:p w14:paraId="1A5CA29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66" w:type="dxa"/>
            <w:shd w:val="clear" w:color="auto" w:fill="auto"/>
            <w:vAlign w:val="center"/>
          </w:tcPr>
          <w:p w14:paraId="6470B078">
            <w:pPr>
              <w:rPr>
                <w:rFonts w:hint="eastAsia" w:ascii="宋体" w:hAnsi="宋体" w:eastAsia="宋体" w:cs="宋体"/>
                <w:i w:val="0"/>
                <w:iCs w:val="0"/>
                <w:color w:val="000000"/>
                <w:sz w:val="20"/>
                <w:szCs w:val="20"/>
                <w:u w:val="none"/>
              </w:rPr>
            </w:pPr>
          </w:p>
        </w:tc>
      </w:tr>
      <w:tr w14:paraId="6F39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4" w:type="dxa"/>
            <w:vMerge w:val="continue"/>
            <w:shd w:val="clear" w:color="auto" w:fill="auto"/>
            <w:vAlign w:val="center"/>
          </w:tcPr>
          <w:p w14:paraId="650DD02F">
            <w:pPr>
              <w:jc w:val="center"/>
              <w:rPr>
                <w:rFonts w:hint="eastAsia" w:ascii="宋体" w:hAnsi="宋体" w:eastAsia="宋体" w:cs="宋体"/>
                <w:i w:val="0"/>
                <w:iCs w:val="0"/>
                <w:color w:val="000000"/>
                <w:sz w:val="20"/>
                <w:szCs w:val="20"/>
                <w:u w:val="none"/>
              </w:rPr>
            </w:pPr>
          </w:p>
        </w:tc>
        <w:tc>
          <w:tcPr>
            <w:tcW w:w="928" w:type="dxa"/>
            <w:vMerge w:val="continue"/>
            <w:shd w:val="clear" w:color="auto" w:fill="auto"/>
            <w:vAlign w:val="center"/>
          </w:tcPr>
          <w:p w14:paraId="0E9F80E5">
            <w:pPr>
              <w:jc w:val="center"/>
              <w:rPr>
                <w:rFonts w:hint="eastAsia" w:ascii="宋体" w:hAnsi="宋体" w:eastAsia="宋体" w:cs="宋体"/>
                <w:i w:val="0"/>
                <w:iCs w:val="0"/>
                <w:color w:val="000000"/>
                <w:sz w:val="20"/>
                <w:szCs w:val="20"/>
                <w:u w:val="none"/>
              </w:rPr>
            </w:pPr>
          </w:p>
        </w:tc>
        <w:tc>
          <w:tcPr>
            <w:tcW w:w="923" w:type="dxa"/>
            <w:vMerge w:val="continue"/>
            <w:shd w:val="clear" w:color="auto" w:fill="auto"/>
            <w:vAlign w:val="center"/>
          </w:tcPr>
          <w:p w14:paraId="41F7FACA">
            <w:pPr>
              <w:jc w:val="center"/>
              <w:rPr>
                <w:rFonts w:hint="eastAsia" w:ascii="宋体" w:hAnsi="宋体" w:eastAsia="宋体" w:cs="宋体"/>
                <w:i w:val="0"/>
                <w:iCs w:val="0"/>
                <w:color w:val="000000"/>
                <w:sz w:val="20"/>
                <w:szCs w:val="20"/>
                <w:u w:val="none"/>
              </w:rPr>
            </w:pPr>
          </w:p>
        </w:tc>
        <w:tc>
          <w:tcPr>
            <w:tcW w:w="1541" w:type="dxa"/>
            <w:shd w:val="clear" w:color="auto" w:fill="auto"/>
            <w:vAlign w:val="center"/>
          </w:tcPr>
          <w:p w14:paraId="374626C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2016年病媒生物消杀项目资金执行时间</w:t>
            </w:r>
          </w:p>
        </w:tc>
        <w:tc>
          <w:tcPr>
            <w:tcW w:w="1060" w:type="dxa"/>
            <w:shd w:val="clear" w:color="auto" w:fill="auto"/>
            <w:vAlign w:val="center"/>
          </w:tcPr>
          <w:p w14:paraId="560FFA1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2023年5月</w:t>
            </w:r>
          </w:p>
        </w:tc>
        <w:tc>
          <w:tcPr>
            <w:tcW w:w="934" w:type="dxa"/>
            <w:shd w:val="clear" w:color="auto" w:fill="auto"/>
            <w:vAlign w:val="center"/>
          </w:tcPr>
          <w:p w14:paraId="069C5E5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56" w:type="dxa"/>
            <w:shd w:val="clear" w:color="auto" w:fill="auto"/>
            <w:vAlign w:val="center"/>
          </w:tcPr>
          <w:p w14:paraId="5572F4D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6" w:type="dxa"/>
            <w:shd w:val="clear" w:color="auto" w:fill="auto"/>
            <w:vAlign w:val="center"/>
          </w:tcPr>
          <w:p w14:paraId="18F5D55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26" w:type="dxa"/>
            <w:shd w:val="clear" w:color="auto" w:fill="auto"/>
            <w:vAlign w:val="center"/>
          </w:tcPr>
          <w:p w14:paraId="3CA2325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按完成比例赋分</w:t>
            </w:r>
          </w:p>
        </w:tc>
        <w:tc>
          <w:tcPr>
            <w:tcW w:w="1052" w:type="dxa"/>
            <w:shd w:val="clear" w:color="auto" w:fill="auto"/>
            <w:vAlign w:val="center"/>
          </w:tcPr>
          <w:p w14:paraId="0381E7D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84" w:type="dxa"/>
            <w:shd w:val="clear" w:color="auto" w:fill="auto"/>
            <w:vAlign w:val="center"/>
          </w:tcPr>
          <w:p w14:paraId="68336A2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2023年5月</w:t>
            </w:r>
          </w:p>
        </w:tc>
        <w:tc>
          <w:tcPr>
            <w:tcW w:w="918" w:type="dxa"/>
            <w:shd w:val="clear" w:color="auto" w:fill="auto"/>
            <w:vAlign w:val="center"/>
          </w:tcPr>
          <w:p w14:paraId="4C765F6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96" w:type="dxa"/>
            <w:shd w:val="clear" w:color="auto" w:fill="auto"/>
            <w:vAlign w:val="center"/>
          </w:tcPr>
          <w:p w14:paraId="00206AE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66" w:type="dxa"/>
            <w:shd w:val="clear" w:color="auto" w:fill="auto"/>
            <w:vAlign w:val="center"/>
          </w:tcPr>
          <w:p w14:paraId="30642BDE">
            <w:pPr>
              <w:rPr>
                <w:rFonts w:hint="eastAsia" w:ascii="宋体" w:hAnsi="宋体" w:eastAsia="宋体" w:cs="宋体"/>
                <w:i w:val="0"/>
                <w:iCs w:val="0"/>
                <w:color w:val="000000"/>
                <w:sz w:val="20"/>
                <w:szCs w:val="20"/>
                <w:u w:val="none"/>
              </w:rPr>
            </w:pPr>
          </w:p>
        </w:tc>
      </w:tr>
      <w:tr w14:paraId="58C3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4" w:type="dxa"/>
            <w:vMerge w:val="continue"/>
            <w:shd w:val="clear" w:color="auto" w:fill="auto"/>
            <w:vAlign w:val="center"/>
          </w:tcPr>
          <w:p w14:paraId="3960241C">
            <w:pPr>
              <w:jc w:val="center"/>
              <w:rPr>
                <w:rFonts w:hint="eastAsia" w:ascii="宋体" w:hAnsi="宋体" w:eastAsia="宋体" w:cs="宋体"/>
                <w:i w:val="0"/>
                <w:iCs w:val="0"/>
                <w:color w:val="000000"/>
                <w:sz w:val="20"/>
                <w:szCs w:val="20"/>
                <w:u w:val="none"/>
              </w:rPr>
            </w:pPr>
          </w:p>
        </w:tc>
        <w:tc>
          <w:tcPr>
            <w:tcW w:w="928" w:type="dxa"/>
            <w:vMerge w:val="restart"/>
            <w:shd w:val="clear" w:color="auto" w:fill="auto"/>
            <w:vAlign w:val="center"/>
          </w:tcPr>
          <w:p w14:paraId="42043C8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23" w:type="dxa"/>
            <w:shd w:val="clear" w:color="auto" w:fill="auto"/>
            <w:vAlign w:val="center"/>
          </w:tcPr>
          <w:p w14:paraId="0555FDE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541" w:type="dxa"/>
            <w:shd w:val="clear" w:color="auto" w:fill="auto"/>
            <w:vAlign w:val="center"/>
          </w:tcPr>
          <w:p w14:paraId="5F84826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2016年病媒生物消杀成本</w:t>
            </w:r>
          </w:p>
        </w:tc>
        <w:tc>
          <w:tcPr>
            <w:tcW w:w="1060" w:type="dxa"/>
            <w:shd w:val="clear" w:color="auto" w:fill="auto"/>
            <w:vAlign w:val="center"/>
          </w:tcPr>
          <w:p w14:paraId="35AA0C7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≦35万元</w:t>
            </w:r>
          </w:p>
        </w:tc>
        <w:tc>
          <w:tcPr>
            <w:tcW w:w="934" w:type="dxa"/>
            <w:shd w:val="clear" w:color="auto" w:fill="auto"/>
            <w:vAlign w:val="center"/>
          </w:tcPr>
          <w:p w14:paraId="2330C12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预算支出标准</w:t>
            </w:r>
          </w:p>
        </w:tc>
        <w:tc>
          <w:tcPr>
            <w:tcW w:w="756" w:type="dxa"/>
            <w:shd w:val="clear" w:color="auto" w:fill="auto"/>
            <w:vAlign w:val="center"/>
          </w:tcPr>
          <w:p w14:paraId="1632B32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6" w:type="dxa"/>
            <w:shd w:val="clear" w:color="auto" w:fill="auto"/>
            <w:vAlign w:val="center"/>
          </w:tcPr>
          <w:p w14:paraId="781B936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26" w:type="dxa"/>
            <w:shd w:val="clear" w:color="auto" w:fill="auto"/>
            <w:vAlign w:val="center"/>
          </w:tcPr>
          <w:p w14:paraId="4E219BA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按完成比例赋分</w:t>
            </w:r>
          </w:p>
        </w:tc>
        <w:tc>
          <w:tcPr>
            <w:tcW w:w="1052" w:type="dxa"/>
            <w:shd w:val="clear" w:color="auto" w:fill="auto"/>
            <w:vAlign w:val="center"/>
          </w:tcPr>
          <w:p w14:paraId="4704920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c>
          <w:tcPr>
            <w:tcW w:w="1084" w:type="dxa"/>
            <w:shd w:val="clear" w:color="auto" w:fill="auto"/>
            <w:vAlign w:val="center"/>
          </w:tcPr>
          <w:p w14:paraId="4872733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35万元</w:t>
            </w:r>
          </w:p>
        </w:tc>
        <w:tc>
          <w:tcPr>
            <w:tcW w:w="918" w:type="dxa"/>
            <w:shd w:val="clear" w:color="auto" w:fill="auto"/>
            <w:vAlign w:val="center"/>
          </w:tcPr>
          <w:p w14:paraId="3B42249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96" w:type="dxa"/>
            <w:shd w:val="clear" w:color="auto" w:fill="auto"/>
            <w:vAlign w:val="center"/>
          </w:tcPr>
          <w:p w14:paraId="6A8D2DA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66" w:type="dxa"/>
            <w:shd w:val="clear" w:color="auto" w:fill="auto"/>
            <w:vAlign w:val="center"/>
          </w:tcPr>
          <w:p w14:paraId="3210AE82">
            <w:pPr>
              <w:rPr>
                <w:rFonts w:hint="eastAsia" w:ascii="宋体" w:hAnsi="宋体" w:eastAsia="宋体" w:cs="宋体"/>
                <w:i w:val="0"/>
                <w:iCs w:val="0"/>
                <w:color w:val="000000"/>
                <w:sz w:val="20"/>
                <w:szCs w:val="20"/>
                <w:u w:val="none"/>
              </w:rPr>
            </w:pPr>
          </w:p>
        </w:tc>
      </w:tr>
      <w:tr w14:paraId="63EF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4" w:type="dxa"/>
            <w:vMerge w:val="continue"/>
            <w:shd w:val="clear" w:color="auto" w:fill="auto"/>
            <w:vAlign w:val="center"/>
          </w:tcPr>
          <w:p w14:paraId="471150D9">
            <w:pPr>
              <w:jc w:val="center"/>
              <w:rPr>
                <w:rFonts w:hint="eastAsia" w:ascii="宋体" w:hAnsi="宋体" w:eastAsia="宋体" w:cs="宋体"/>
                <w:i w:val="0"/>
                <w:iCs w:val="0"/>
                <w:color w:val="000000"/>
                <w:sz w:val="20"/>
                <w:szCs w:val="20"/>
                <w:u w:val="none"/>
              </w:rPr>
            </w:pPr>
          </w:p>
        </w:tc>
        <w:tc>
          <w:tcPr>
            <w:tcW w:w="928" w:type="dxa"/>
            <w:vMerge w:val="continue"/>
            <w:shd w:val="clear" w:color="auto" w:fill="auto"/>
            <w:vAlign w:val="center"/>
          </w:tcPr>
          <w:p w14:paraId="32901AF5">
            <w:pPr>
              <w:jc w:val="center"/>
              <w:rPr>
                <w:rFonts w:hint="eastAsia" w:ascii="宋体" w:hAnsi="宋体" w:eastAsia="宋体" w:cs="宋体"/>
                <w:i w:val="0"/>
                <w:iCs w:val="0"/>
                <w:color w:val="000000"/>
                <w:sz w:val="20"/>
                <w:szCs w:val="20"/>
                <w:u w:val="none"/>
              </w:rPr>
            </w:pPr>
          </w:p>
        </w:tc>
        <w:tc>
          <w:tcPr>
            <w:tcW w:w="923" w:type="dxa"/>
            <w:shd w:val="clear" w:color="auto" w:fill="auto"/>
            <w:vAlign w:val="center"/>
          </w:tcPr>
          <w:p w14:paraId="262A704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1541" w:type="dxa"/>
            <w:shd w:val="clear" w:color="auto" w:fill="auto"/>
            <w:vAlign w:val="center"/>
          </w:tcPr>
          <w:p w14:paraId="38A8A11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0" w:type="dxa"/>
            <w:shd w:val="clear" w:color="auto" w:fill="auto"/>
            <w:vAlign w:val="center"/>
          </w:tcPr>
          <w:p w14:paraId="061FD61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4" w:type="dxa"/>
            <w:shd w:val="clear" w:color="auto" w:fill="auto"/>
            <w:vAlign w:val="center"/>
          </w:tcPr>
          <w:p w14:paraId="21AB869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6" w:type="dxa"/>
            <w:shd w:val="clear" w:color="auto" w:fill="auto"/>
            <w:vAlign w:val="center"/>
          </w:tcPr>
          <w:p w14:paraId="14BA43E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6" w:type="dxa"/>
            <w:shd w:val="clear" w:color="auto" w:fill="auto"/>
            <w:vAlign w:val="center"/>
          </w:tcPr>
          <w:p w14:paraId="766DBDC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6" w:type="dxa"/>
            <w:shd w:val="clear" w:color="auto" w:fill="auto"/>
            <w:vAlign w:val="center"/>
          </w:tcPr>
          <w:p w14:paraId="597D882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2" w:type="dxa"/>
            <w:shd w:val="clear" w:color="auto" w:fill="auto"/>
            <w:vAlign w:val="center"/>
          </w:tcPr>
          <w:p w14:paraId="187316D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4" w:type="dxa"/>
            <w:shd w:val="clear" w:color="auto" w:fill="auto"/>
            <w:vAlign w:val="center"/>
          </w:tcPr>
          <w:p w14:paraId="210A71E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8" w:type="dxa"/>
            <w:shd w:val="clear" w:color="auto" w:fill="auto"/>
            <w:vAlign w:val="center"/>
          </w:tcPr>
          <w:p w14:paraId="2DA4DD5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6" w:type="dxa"/>
            <w:shd w:val="clear" w:color="auto" w:fill="auto"/>
            <w:vAlign w:val="center"/>
          </w:tcPr>
          <w:p w14:paraId="7DD81F6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6" w:type="dxa"/>
            <w:shd w:val="clear" w:color="auto" w:fill="auto"/>
            <w:vAlign w:val="center"/>
          </w:tcPr>
          <w:p w14:paraId="5CF5A0E4">
            <w:pPr>
              <w:rPr>
                <w:rFonts w:hint="eastAsia" w:ascii="宋体" w:hAnsi="宋体" w:eastAsia="宋体" w:cs="宋体"/>
                <w:i w:val="0"/>
                <w:iCs w:val="0"/>
                <w:color w:val="000000"/>
                <w:sz w:val="20"/>
                <w:szCs w:val="20"/>
                <w:u w:val="none"/>
              </w:rPr>
            </w:pPr>
          </w:p>
        </w:tc>
      </w:tr>
      <w:tr w14:paraId="2DEA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774" w:type="dxa"/>
            <w:vMerge w:val="continue"/>
            <w:shd w:val="clear" w:color="auto" w:fill="auto"/>
            <w:vAlign w:val="center"/>
          </w:tcPr>
          <w:p w14:paraId="733FDC84">
            <w:pPr>
              <w:jc w:val="center"/>
              <w:rPr>
                <w:rFonts w:hint="eastAsia" w:ascii="宋体" w:hAnsi="宋体" w:eastAsia="宋体" w:cs="宋体"/>
                <w:i w:val="0"/>
                <w:iCs w:val="0"/>
                <w:color w:val="000000"/>
                <w:sz w:val="20"/>
                <w:szCs w:val="20"/>
                <w:u w:val="none"/>
              </w:rPr>
            </w:pPr>
          </w:p>
        </w:tc>
        <w:tc>
          <w:tcPr>
            <w:tcW w:w="928" w:type="dxa"/>
            <w:vMerge w:val="continue"/>
            <w:shd w:val="clear" w:color="auto" w:fill="auto"/>
            <w:vAlign w:val="center"/>
          </w:tcPr>
          <w:p w14:paraId="61079D02">
            <w:pPr>
              <w:jc w:val="center"/>
              <w:rPr>
                <w:rFonts w:hint="eastAsia" w:ascii="宋体" w:hAnsi="宋体" w:eastAsia="宋体" w:cs="宋体"/>
                <w:i w:val="0"/>
                <w:iCs w:val="0"/>
                <w:color w:val="000000"/>
                <w:sz w:val="20"/>
                <w:szCs w:val="20"/>
                <w:u w:val="none"/>
              </w:rPr>
            </w:pPr>
          </w:p>
        </w:tc>
        <w:tc>
          <w:tcPr>
            <w:tcW w:w="923" w:type="dxa"/>
            <w:shd w:val="clear" w:color="auto" w:fill="auto"/>
            <w:vAlign w:val="center"/>
          </w:tcPr>
          <w:p w14:paraId="433AEAC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1541" w:type="dxa"/>
            <w:shd w:val="clear" w:color="auto" w:fill="auto"/>
            <w:vAlign w:val="center"/>
          </w:tcPr>
          <w:p w14:paraId="09943AA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0" w:type="dxa"/>
            <w:shd w:val="clear" w:color="auto" w:fill="auto"/>
            <w:vAlign w:val="center"/>
          </w:tcPr>
          <w:p w14:paraId="3F4346E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4" w:type="dxa"/>
            <w:shd w:val="clear" w:color="auto" w:fill="auto"/>
            <w:vAlign w:val="center"/>
          </w:tcPr>
          <w:p w14:paraId="005CE6C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6" w:type="dxa"/>
            <w:shd w:val="clear" w:color="auto" w:fill="auto"/>
            <w:vAlign w:val="center"/>
          </w:tcPr>
          <w:p w14:paraId="657D451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6" w:type="dxa"/>
            <w:shd w:val="clear" w:color="auto" w:fill="auto"/>
            <w:vAlign w:val="center"/>
          </w:tcPr>
          <w:p w14:paraId="3B4A584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6" w:type="dxa"/>
            <w:shd w:val="clear" w:color="auto" w:fill="auto"/>
            <w:vAlign w:val="center"/>
          </w:tcPr>
          <w:p w14:paraId="0737483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2" w:type="dxa"/>
            <w:shd w:val="clear" w:color="auto" w:fill="auto"/>
            <w:vAlign w:val="center"/>
          </w:tcPr>
          <w:p w14:paraId="6D600F2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4" w:type="dxa"/>
            <w:shd w:val="clear" w:color="auto" w:fill="auto"/>
            <w:vAlign w:val="center"/>
          </w:tcPr>
          <w:p w14:paraId="78AAEFB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8" w:type="dxa"/>
            <w:shd w:val="clear" w:color="auto" w:fill="auto"/>
            <w:vAlign w:val="center"/>
          </w:tcPr>
          <w:p w14:paraId="1B4B2B3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6" w:type="dxa"/>
            <w:shd w:val="clear" w:color="auto" w:fill="auto"/>
            <w:vAlign w:val="center"/>
          </w:tcPr>
          <w:p w14:paraId="02A0C18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6" w:type="dxa"/>
            <w:shd w:val="clear" w:color="auto" w:fill="auto"/>
            <w:vAlign w:val="center"/>
          </w:tcPr>
          <w:p w14:paraId="11248005">
            <w:pPr>
              <w:rPr>
                <w:rFonts w:hint="eastAsia" w:ascii="宋体" w:hAnsi="宋体" w:eastAsia="宋体" w:cs="宋体"/>
                <w:i w:val="0"/>
                <w:iCs w:val="0"/>
                <w:color w:val="000000"/>
                <w:sz w:val="20"/>
                <w:szCs w:val="20"/>
                <w:u w:val="none"/>
              </w:rPr>
            </w:pPr>
          </w:p>
        </w:tc>
      </w:tr>
      <w:tr w14:paraId="2765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4" w:type="dxa"/>
            <w:vMerge w:val="continue"/>
            <w:shd w:val="clear" w:color="auto" w:fill="auto"/>
            <w:vAlign w:val="center"/>
          </w:tcPr>
          <w:p w14:paraId="22B7A0F3">
            <w:pPr>
              <w:jc w:val="center"/>
              <w:rPr>
                <w:rFonts w:hint="eastAsia" w:ascii="宋体" w:hAnsi="宋体" w:eastAsia="宋体" w:cs="宋体"/>
                <w:i w:val="0"/>
                <w:iCs w:val="0"/>
                <w:color w:val="000000"/>
                <w:sz w:val="20"/>
                <w:szCs w:val="20"/>
                <w:u w:val="none"/>
              </w:rPr>
            </w:pPr>
          </w:p>
        </w:tc>
        <w:tc>
          <w:tcPr>
            <w:tcW w:w="928" w:type="dxa"/>
            <w:vMerge w:val="restart"/>
            <w:shd w:val="clear" w:color="auto" w:fill="auto"/>
            <w:vAlign w:val="center"/>
          </w:tcPr>
          <w:p w14:paraId="616D18A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23" w:type="dxa"/>
            <w:shd w:val="clear" w:color="auto" w:fill="auto"/>
            <w:vAlign w:val="center"/>
          </w:tcPr>
          <w:p w14:paraId="4D5133F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541" w:type="dxa"/>
            <w:shd w:val="clear" w:color="auto" w:fill="auto"/>
            <w:vAlign w:val="center"/>
          </w:tcPr>
          <w:p w14:paraId="6102CB1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0" w:type="dxa"/>
            <w:shd w:val="clear" w:color="auto" w:fill="auto"/>
            <w:vAlign w:val="center"/>
          </w:tcPr>
          <w:p w14:paraId="7B52D68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4" w:type="dxa"/>
            <w:shd w:val="clear" w:color="auto" w:fill="auto"/>
            <w:vAlign w:val="center"/>
          </w:tcPr>
          <w:p w14:paraId="301C172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6" w:type="dxa"/>
            <w:shd w:val="clear" w:color="auto" w:fill="auto"/>
            <w:vAlign w:val="center"/>
          </w:tcPr>
          <w:p w14:paraId="2FED94D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6" w:type="dxa"/>
            <w:shd w:val="clear" w:color="auto" w:fill="auto"/>
            <w:vAlign w:val="center"/>
          </w:tcPr>
          <w:p w14:paraId="53DAAA4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6" w:type="dxa"/>
            <w:shd w:val="clear" w:color="auto" w:fill="auto"/>
            <w:vAlign w:val="center"/>
          </w:tcPr>
          <w:p w14:paraId="3B57243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2" w:type="dxa"/>
            <w:shd w:val="clear" w:color="auto" w:fill="auto"/>
            <w:vAlign w:val="center"/>
          </w:tcPr>
          <w:p w14:paraId="3761AAE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4" w:type="dxa"/>
            <w:shd w:val="clear" w:color="auto" w:fill="auto"/>
            <w:vAlign w:val="center"/>
          </w:tcPr>
          <w:p w14:paraId="3B23DBC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8" w:type="dxa"/>
            <w:shd w:val="clear" w:color="auto" w:fill="auto"/>
            <w:vAlign w:val="center"/>
          </w:tcPr>
          <w:p w14:paraId="3C36335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6" w:type="dxa"/>
            <w:shd w:val="clear" w:color="auto" w:fill="auto"/>
            <w:vAlign w:val="center"/>
          </w:tcPr>
          <w:p w14:paraId="0F43C0C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6" w:type="dxa"/>
            <w:shd w:val="clear" w:color="auto" w:fill="auto"/>
            <w:vAlign w:val="center"/>
          </w:tcPr>
          <w:p w14:paraId="22B95D02">
            <w:pPr>
              <w:rPr>
                <w:rFonts w:hint="eastAsia" w:ascii="宋体" w:hAnsi="宋体" w:eastAsia="宋体" w:cs="宋体"/>
                <w:i w:val="0"/>
                <w:iCs w:val="0"/>
                <w:color w:val="000000"/>
                <w:sz w:val="20"/>
                <w:szCs w:val="20"/>
                <w:u w:val="none"/>
              </w:rPr>
            </w:pPr>
          </w:p>
        </w:tc>
      </w:tr>
      <w:tr w14:paraId="20FC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4" w:type="dxa"/>
            <w:vMerge w:val="continue"/>
            <w:shd w:val="clear" w:color="auto" w:fill="auto"/>
            <w:vAlign w:val="center"/>
          </w:tcPr>
          <w:p w14:paraId="4DF62BA2">
            <w:pPr>
              <w:jc w:val="center"/>
              <w:rPr>
                <w:rFonts w:hint="eastAsia" w:ascii="宋体" w:hAnsi="宋体" w:eastAsia="宋体" w:cs="宋体"/>
                <w:i w:val="0"/>
                <w:iCs w:val="0"/>
                <w:color w:val="000000"/>
                <w:sz w:val="20"/>
                <w:szCs w:val="20"/>
                <w:u w:val="none"/>
              </w:rPr>
            </w:pPr>
          </w:p>
        </w:tc>
        <w:tc>
          <w:tcPr>
            <w:tcW w:w="928" w:type="dxa"/>
            <w:vMerge w:val="continue"/>
            <w:shd w:val="clear" w:color="auto" w:fill="auto"/>
            <w:vAlign w:val="center"/>
          </w:tcPr>
          <w:p w14:paraId="4FF16473">
            <w:pPr>
              <w:jc w:val="center"/>
              <w:rPr>
                <w:rFonts w:hint="eastAsia" w:ascii="宋体" w:hAnsi="宋体" w:eastAsia="宋体" w:cs="宋体"/>
                <w:i w:val="0"/>
                <w:iCs w:val="0"/>
                <w:color w:val="000000"/>
                <w:sz w:val="20"/>
                <w:szCs w:val="20"/>
                <w:u w:val="none"/>
              </w:rPr>
            </w:pPr>
          </w:p>
        </w:tc>
        <w:tc>
          <w:tcPr>
            <w:tcW w:w="923" w:type="dxa"/>
            <w:shd w:val="clear" w:color="auto" w:fill="auto"/>
            <w:vAlign w:val="center"/>
          </w:tcPr>
          <w:p w14:paraId="33F1E7A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541" w:type="dxa"/>
            <w:shd w:val="clear" w:color="auto" w:fill="auto"/>
            <w:vAlign w:val="center"/>
          </w:tcPr>
          <w:p w14:paraId="28A503B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广大居民的健康和安全意识</w:t>
            </w:r>
          </w:p>
        </w:tc>
        <w:tc>
          <w:tcPr>
            <w:tcW w:w="1060" w:type="dxa"/>
            <w:shd w:val="clear" w:color="auto" w:fill="auto"/>
            <w:vAlign w:val="center"/>
          </w:tcPr>
          <w:p w14:paraId="2BA7992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逐步提高</w:t>
            </w:r>
          </w:p>
        </w:tc>
        <w:tc>
          <w:tcPr>
            <w:tcW w:w="934" w:type="dxa"/>
            <w:shd w:val="clear" w:color="auto" w:fill="auto"/>
            <w:vAlign w:val="center"/>
          </w:tcPr>
          <w:p w14:paraId="266F84D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其他标准</w:t>
            </w:r>
          </w:p>
        </w:tc>
        <w:tc>
          <w:tcPr>
            <w:tcW w:w="756" w:type="dxa"/>
            <w:shd w:val="clear" w:color="auto" w:fill="auto"/>
            <w:vAlign w:val="center"/>
          </w:tcPr>
          <w:p w14:paraId="5379594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6" w:type="dxa"/>
            <w:shd w:val="clear" w:color="auto" w:fill="auto"/>
            <w:vAlign w:val="center"/>
          </w:tcPr>
          <w:p w14:paraId="44059FA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26" w:type="dxa"/>
            <w:shd w:val="clear" w:color="auto" w:fill="auto"/>
            <w:vAlign w:val="center"/>
          </w:tcPr>
          <w:p w14:paraId="72D44B1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052" w:type="dxa"/>
            <w:shd w:val="clear" w:color="auto" w:fill="auto"/>
            <w:vAlign w:val="center"/>
          </w:tcPr>
          <w:p w14:paraId="355894B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说明材料</w:t>
            </w:r>
          </w:p>
        </w:tc>
        <w:tc>
          <w:tcPr>
            <w:tcW w:w="1084" w:type="dxa"/>
            <w:shd w:val="clear" w:color="auto" w:fill="auto"/>
            <w:vAlign w:val="center"/>
          </w:tcPr>
          <w:p w14:paraId="2897314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18" w:type="dxa"/>
            <w:shd w:val="clear" w:color="auto" w:fill="auto"/>
            <w:vAlign w:val="center"/>
          </w:tcPr>
          <w:p w14:paraId="346C5E0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96" w:type="dxa"/>
            <w:shd w:val="clear" w:color="auto" w:fill="auto"/>
            <w:vAlign w:val="center"/>
          </w:tcPr>
          <w:p w14:paraId="232A8BB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66" w:type="dxa"/>
            <w:shd w:val="clear" w:color="auto" w:fill="auto"/>
            <w:vAlign w:val="center"/>
          </w:tcPr>
          <w:p w14:paraId="65078087">
            <w:pPr>
              <w:rPr>
                <w:rFonts w:hint="eastAsia" w:ascii="宋体" w:hAnsi="宋体" w:eastAsia="宋体" w:cs="宋体"/>
                <w:i w:val="0"/>
                <w:iCs w:val="0"/>
                <w:color w:val="000000"/>
                <w:sz w:val="20"/>
                <w:szCs w:val="20"/>
                <w:u w:val="none"/>
              </w:rPr>
            </w:pPr>
          </w:p>
        </w:tc>
      </w:tr>
      <w:tr w14:paraId="1368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4" w:type="dxa"/>
            <w:vMerge w:val="continue"/>
            <w:shd w:val="clear" w:color="auto" w:fill="auto"/>
            <w:vAlign w:val="center"/>
          </w:tcPr>
          <w:p w14:paraId="166BB83A">
            <w:pPr>
              <w:jc w:val="center"/>
              <w:rPr>
                <w:rFonts w:hint="eastAsia" w:ascii="宋体" w:hAnsi="宋体" w:eastAsia="宋体" w:cs="宋体"/>
                <w:i w:val="0"/>
                <w:iCs w:val="0"/>
                <w:color w:val="000000"/>
                <w:sz w:val="20"/>
                <w:szCs w:val="20"/>
                <w:u w:val="none"/>
              </w:rPr>
            </w:pPr>
          </w:p>
        </w:tc>
        <w:tc>
          <w:tcPr>
            <w:tcW w:w="928" w:type="dxa"/>
            <w:vMerge w:val="continue"/>
            <w:shd w:val="clear" w:color="auto" w:fill="auto"/>
            <w:vAlign w:val="center"/>
          </w:tcPr>
          <w:p w14:paraId="7AACECEA">
            <w:pPr>
              <w:jc w:val="center"/>
              <w:rPr>
                <w:rFonts w:hint="eastAsia" w:ascii="宋体" w:hAnsi="宋体" w:eastAsia="宋体" w:cs="宋体"/>
                <w:i w:val="0"/>
                <w:iCs w:val="0"/>
                <w:color w:val="000000"/>
                <w:sz w:val="20"/>
                <w:szCs w:val="20"/>
                <w:u w:val="none"/>
              </w:rPr>
            </w:pPr>
          </w:p>
        </w:tc>
        <w:tc>
          <w:tcPr>
            <w:tcW w:w="923" w:type="dxa"/>
            <w:shd w:val="clear" w:color="auto" w:fill="auto"/>
            <w:vAlign w:val="center"/>
          </w:tcPr>
          <w:p w14:paraId="088C7AB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541" w:type="dxa"/>
            <w:shd w:val="clear" w:color="auto" w:fill="auto"/>
            <w:vAlign w:val="center"/>
          </w:tcPr>
          <w:p w14:paraId="4856E8F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0" w:type="dxa"/>
            <w:shd w:val="clear" w:color="auto" w:fill="auto"/>
            <w:vAlign w:val="center"/>
          </w:tcPr>
          <w:p w14:paraId="0E7B04B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4" w:type="dxa"/>
            <w:shd w:val="clear" w:color="auto" w:fill="auto"/>
            <w:vAlign w:val="center"/>
          </w:tcPr>
          <w:p w14:paraId="2131442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6" w:type="dxa"/>
            <w:shd w:val="clear" w:color="auto" w:fill="auto"/>
            <w:vAlign w:val="center"/>
          </w:tcPr>
          <w:p w14:paraId="26C80E5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6" w:type="dxa"/>
            <w:shd w:val="clear" w:color="auto" w:fill="auto"/>
            <w:vAlign w:val="center"/>
          </w:tcPr>
          <w:p w14:paraId="1FAF851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6" w:type="dxa"/>
            <w:shd w:val="clear" w:color="auto" w:fill="auto"/>
            <w:vAlign w:val="center"/>
          </w:tcPr>
          <w:p w14:paraId="20D839D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2" w:type="dxa"/>
            <w:shd w:val="clear" w:color="auto" w:fill="auto"/>
            <w:vAlign w:val="center"/>
          </w:tcPr>
          <w:p w14:paraId="2650B00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4" w:type="dxa"/>
            <w:shd w:val="clear" w:color="auto" w:fill="auto"/>
            <w:vAlign w:val="center"/>
          </w:tcPr>
          <w:p w14:paraId="064019C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8" w:type="dxa"/>
            <w:shd w:val="clear" w:color="auto" w:fill="auto"/>
            <w:vAlign w:val="center"/>
          </w:tcPr>
          <w:p w14:paraId="6ECBAA9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6" w:type="dxa"/>
            <w:shd w:val="clear" w:color="auto" w:fill="auto"/>
            <w:vAlign w:val="center"/>
          </w:tcPr>
          <w:p w14:paraId="4135DC0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6" w:type="dxa"/>
            <w:shd w:val="clear" w:color="auto" w:fill="auto"/>
            <w:vAlign w:val="center"/>
          </w:tcPr>
          <w:p w14:paraId="3C416654">
            <w:pPr>
              <w:rPr>
                <w:rFonts w:hint="eastAsia" w:ascii="宋体" w:hAnsi="宋体" w:eastAsia="宋体" w:cs="宋体"/>
                <w:i w:val="0"/>
                <w:iCs w:val="0"/>
                <w:color w:val="000000"/>
                <w:sz w:val="20"/>
                <w:szCs w:val="20"/>
                <w:u w:val="none"/>
              </w:rPr>
            </w:pPr>
          </w:p>
        </w:tc>
      </w:tr>
      <w:tr w14:paraId="6960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4" w:type="dxa"/>
            <w:vMerge w:val="continue"/>
            <w:shd w:val="clear" w:color="auto" w:fill="auto"/>
            <w:vAlign w:val="center"/>
          </w:tcPr>
          <w:p w14:paraId="295F43BE">
            <w:pPr>
              <w:jc w:val="center"/>
              <w:rPr>
                <w:rFonts w:hint="eastAsia" w:ascii="宋体" w:hAnsi="宋体" w:eastAsia="宋体" w:cs="宋体"/>
                <w:i w:val="0"/>
                <w:iCs w:val="0"/>
                <w:color w:val="000000"/>
                <w:sz w:val="20"/>
                <w:szCs w:val="20"/>
                <w:u w:val="none"/>
              </w:rPr>
            </w:pPr>
          </w:p>
        </w:tc>
        <w:tc>
          <w:tcPr>
            <w:tcW w:w="928" w:type="dxa"/>
            <w:shd w:val="clear" w:color="auto" w:fill="auto"/>
            <w:vAlign w:val="center"/>
          </w:tcPr>
          <w:p w14:paraId="50967C4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923" w:type="dxa"/>
            <w:shd w:val="clear" w:color="auto" w:fill="auto"/>
            <w:vAlign w:val="center"/>
          </w:tcPr>
          <w:p w14:paraId="36AED58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41" w:type="dxa"/>
            <w:shd w:val="clear" w:color="auto" w:fill="auto"/>
            <w:vAlign w:val="center"/>
          </w:tcPr>
          <w:p w14:paraId="53062BC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0" w:type="dxa"/>
            <w:shd w:val="clear" w:color="auto" w:fill="auto"/>
            <w:vAlign w:val="center"/>
          </w:tcPr>
          <w:p w14:paraId="6B120C5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4" w:type="dxa"/>
            <w:shd w:val="clear" w:color="auto" w:fill="auto"/>
            <w:vAlign w:val="center"/>
          </w:tcPr>
          <w:p w14:paraId="64EB3BF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6" w:type="dxa"/>
            <w:shd w:val="clear" w:color="auto" w:fill="auto"/>
            <w:vAlign w:val="center"/>
          </w:tcPr>
          <w:p w14:paraId="399A821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6" w:type="dxa"/>
            <w:shd w:val="clear" w:color="auto" w:fill="auto"/>
            <w:vAlign w:val="center"/>
          </w:tcPr>
          <w:p w14:paraId="1E879BC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6" w:type="dxa"/>
            <w:shd w:val="clear" w:color="auto" w:fill="auto"/>
            <w:vAlign w:val="center"/>
          </w:tcPr>
          <w:p w14:paraId="5BA074C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2" w:type="dxa"/>
            <w:shd w:val="clear" w:color="auto" w:fill="auto"/>
            <w:vAlign w:val="center"/>
          </w:tcPr>
          <w:p w14:paraId="7690764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4" w:type="dxa"/>
            <w:shd w:val="clear" w:color="auto" w:fill="auto"/>
            <w:vAlign w:val="center"/>
          </w:tcPr>
          <w:p w14:paraId="27CDA2C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8" w:type="dxa"/>
            <w:shd w:val="clear" w:color="auto" w:fill="auto"/>
            <w:vAlign w:val="center"/>
          </w:tcPr>
          <w:p w14:paraId="6A0E101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6" w:type="dxa"/>
            <w:shd w:val="clear" w:color="auto" w:fill="auto"/>
            <w:vAlign w:val="center"/>
          </w:tcPr>
          <w:p w14:paraId="3EC2B3D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6" w:type="dxa"/>
            <w:shd w:val="clear" w:color="auto" w:fill="auto"/>
            <w:vAlign w:val="center"/>
          </w:tcPr>
          <w:p w14:paraId="394CA200">
            <w:pPr>
              <w:rPr>
                <w:rFonts w:hint="eastAsia" w:ascii="宋体" w:hAnsi="宋体" w:eastAsia="宋体" w:cs="宋体"/>
                <w:i w:val="0"/>
                <w:iCs w:val="0"/>
                <w:color w:val="000000"/>
                <w:sz w:val="20"/>
                <w:szCs w:val="20"/>
                <w:u w:val="none"/>
              </w:rPr>
            </w:pPr>
          </w:p>
        </w:tc>
      </w:tr>
      <w:tr w14:paraId="3E10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66" w:type="dxa"/>
            <w:gridSpan w:val="4"/>
            <w:shd w:val="clear" w:color="auto" w:fill="auto"/>
            <w:vAlign w:val="center"/>
          </w:tcPr>
          <w:p w14:paraId="7A0638C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1060" w:type="dxa"/>
            <w:shd w:val="clear" w:color="auto" w:fill="auto"/>
            <w:vAlign w:val="center"/>
          </w:tcPr>
          <w:p w14:paraId="12B203F5">
            <w:pPr>
              <w:jc w:val="center"/>
              <w:rPr>
                <w:rFonts w:hint="eastAsia" w:ascii="宋体" w:hAnsi="宋体" w:eastAsia="宋体" w:cs="宋体"/>
                <w:i w:val="0"/>
                <w:iCs w:val="0"/>
                <w:color w:val="000000"/>
                <w:sz w:val="20"/>
                <w:szCs w:val="20"/>
                <w:u w:val="none"/>
              </w:rPr>
            </w:pPr>
          </w:p>
        </w:tc>
        <w:tc>
          <w:tcPr>
            <w:tcW w:w="934" w:type="dxa"/>
            <w:shd w:val="clear" w:color="auto" w:fill="auto"/>
            <w:vAlign w:val="center"/>
          </w:tcPr>
          <w:p w14:paraId="3F895A0D">
            <w:pPr>
              <w:jc w:val="center"/>
              <w:rPr>
                <w:rFonts w:hint="eastAsia" w:ascii="宋体" w:hAnsi="宋体" w:eastAsia="宋体" w:cs="宋体"/>
                <w:b/>
                <w:bCs/>
                <w:i w:val="0"/>
                <w:iCs w:val="0"/>
                <w:color w:val="000000"/>
                <w:sz w:val="20"/>
                <w:szCs w:val="20"/>
                <w:u w:val="none"/>
              </w:rPr>
            </w:pPr>
          </w:p>
        </w:tc>
        <w:tc>
          <w:tcPr>
            <w:tcW w:w="756" w:type="dxa"/>
            <w:shd w:val="clear" w:color="auto" w:fill="auto"/>
            <w:vAlign w:val="center"/>
          </w:tcPr>
          <w:p w14:paraId="415DA2CA">
            <w:pPr>
              <w:jc w:val="center"/>
              <w:rPr>
                <w:rFonts w:hint="eastAsia" w:ascii="宋体" w:hAnsi="宋体" w:eastAsia="宋体" w:cs="宋体"/>
                <w:i w:val="0"/>
                <w:iCs w:val="0"/>
                <w:color w:val="000000"/>
                <w:sz w:val="20"/>
                <w:szCs w:val="20"/>
                <w:u w:val="none"/>
              </w:rPr>
            </w:pPr>
          </w:p>
        </w:tc>
        <w:tc>
          <w:tcPr>
            <w:tcW w:w="716" w:type="dxa"/>
            <w:shd w:val="clear" w:color="auto" w:fill="auto"/>
            <w:vAlign w:val="center"/>
          </w:tcPr>
          <w:p w14:paraId="2791D26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100分</w:t>
            </w:r>
          </w:p>
        </w:tc>
        <w:tc>
          <w:tcPr>
            <w:tcW w:w="926" w:type="dxa"/>
            <w:shd w:val="clear" w:color="auto" w:fill="auto"/>
            <w:vAlign w:val="center"/>
          </w:tcPr>
          <w:p w14:paraId="4AF1CDC5">
            <w:pPr>
              <w:jc w:val="center"/>
              <w:rPr>
                <w:rFonts w:hint="eastAsia" w:ascii="宋体" w:hAnsi="宋体" w:eastAsia="宋体" w:cs="宋体"/>
                <w:i w:val="0"/>
                <w:iCs w:val="0"/>
                <w:color w:val="000000"/>
                <w:sz w:val="20"/>
                <w:szCs w:val="20"/>
                <w:u w:val="none"/>
              </w:rPr>
            </w:pPr>
          </w:p>
        </w:tc>
        <w:tc>
          <w:tcPr>
            <w:tcW w:w="1052" w:type="dxa"/>
            <w:shd w:val="clear" w:color="auto" w:fill="auto"/>
            <w:vAlign w:val="center"/>
          </w:tcPr>
          <w:p w14:paraId="4ABC4821">
            <w:pPr>
              <w:jc w:val="center"/>
              <w:rPr>
                <w:rFonts w:hint="eastAsia" w:ascii="宋体" w:hAnsi="宋体" w:eastAsia="宋体" w:cs="宋体"/>
                <w:i w:val="0"/>
                <w:iCs w:val="0"/>
                <w:color w:val="000000"/>
                <w:sz w:val="20"/>
                <w:szCs w:val="20"/>
                <w:u w:val="none"/>
              </w:rPr>
            </w:pPr>
          </w:p>
        </w:tc>
        <w:tc>
          <w:tcPr>
            <w:tcW w:w="1084" w:type="dxa"/>
            <w:shd w:val="clear" w:color="auto" w:fill="auto"/>
            <w:vAlign w:val="center"/>
          </w:tcPr>
          <w:p w14:paraId="069AC1E2">
            <w:pPr>
              <w:jc w:val="center"/>
              <w:rPr>
                <w:rFonts w:hint="eastAsia" w:ascii="宋体" w:hAnsi="宋体" w:eastAsia="宋体" w:cs="宋体"/>
                <w:i w:val="0"/>
                <w:iCs w:val="0"/>
                <w:color w:val="000000"/>
                <w:sz w:val="20"/>
                <w:szCs w:val="20"/>
                <w:u w:val="none"/>
              </w:rPr>
            </w:pPr>
          </w:p>
        </w:tc>
        <w:tc>
          <w:tcPr>
            <w:tcW w:w="918" w:type="dxa"/>
            <w:shd w:val="clear" w:color="auto" w:fill="auto"/>
            <w:vAlign w:val="center"/>
          </w:tcPr>
          <w:p w14:paraId="4A429C10">
            <w:pPr>
              <w:jc w:val="center"/>
              <w:rPr>
                <w:rFonts w:hint="eastAsia" w:ascii="宋体" w:hAnsi="宋体" w:eastAsia="宋体" w:cs="宋体"/>
                <w:i w:val="0"/>
                <w:iCs w:val="0"/>
                <w:color w:val="000000"/>
                <w:sz w:val="20"/>
                <w:szCs w:val="20"/>
                <w:u w:val="none"/>
              </w:rPr>
            </w:pPr>
          </w:p>
        </w:tc>
        <w:tc>
          <w:tcPr>
            <w:tcW w:w="996" w:type="dxa"/>
            <w:shd w:val="clear" w:color="auto" w:fill="auto"/>
            <w:vAlign w:val="center"/>
          </w:tcPr>
          <w:p w14:paraId="483CE33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66" w:type="dxa"/>
            <w:shd w:val="clear" w:color="auto" w:fill="auto"/>
            <w:vAlign w:val="center"/>
          </w:tcPr>
          <w:p w14:paraId="3459084A">
            <w:pPr>
              <w:rPr>
                <w:rFonts w:hint="eastAsia" w:ascii="宋体" w:hAnsi="宋体" w:eastAsia="宋体" w:cs="宋体"/>
                <w:i w:val="0"/>
                <w:iCs w:val="0"/>
                <w:color w:val="000000"/>
                <w:sz w:val="20"/>
                <w:szCs w:val="20"/>
                <w:u w:val="none"/>
              </w:rPr>
            </w:pPr>
          </w:p>
        </w:tc>
      </w:tr>
    </w:tbl>
    <w:p w14:paraId="75BA7A50">
      <w:pPr>
        <w:ind w:left="0" w:leftChars="0" w:firstLine="0" w:firstLineChars="0"/>
        <w:rPr>
          <w:rFonts w:hint="default"/>
          <w:lang w:val="en-US" w:eastAsia="zh-CN"/>
        </w:rPr>
        <w:sectPr>
          <w:pgSz w:w="16838" w:h="11906" w:orient="landscape"/>
          <w:pgMar w:top="960" w:right="1440" w:bottom="1800" w:left="1440" w:header="737" w:footer="851" w:gutter="0"/>
          <w:pgNumType w:fmt="decimal" w:start="1"/>
          <w:cols w:space="720" w:num="1"/>
          <w:docGrid w:type="lines" w:linePitch="408" w:charSpace="0"/>
        </w:sectPr>
      </w:pPr>
    </w:p>
    <w:p w14:paraId="5B5976B5">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88" w:name="_Toc15067"/>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附件二、项目支出绩效评价指标体系打分表</w:t>
      </w:r>
      <w:bookmarkEnd w:id="88"/>
    </w:p>
    <w:tbl>
      <w:tblPr>
        <w:tblStyle w:val="11"/>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61"/>
        <w:gridCol w:w="727"/>
        <w:gridCol w:w="820"/>
        <w:gridCol w:w="2141"/>
        <w:gridCol w:w="7821"/>
        <w:gridCol w:w="785"/>
        <w:gridCol w:w="769"/>
      </w:tblGrid>
      <w:tr w14:paraId="737EB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tblHeader/>
          <w:jc w:val="center"/>
        </w:trPr>
        <w:tc>
          <w:tcPr>
            <w:tcW w:w="861" w:type="dxa"/>
            <w:shd w:val="clear" w:color="auto" w:fill="auto"/>
            <w:noWrap w:val="0"/>
            <w:vAlign w:val="center"/>
          </w:tcPr>
          <w:p w14:paraId="591CCAE5">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727" w:type="dxa"/>
            <w:shd w:val="clear" w:color="auto" w:fill="auto"/>
            <w:noWrap w:val="0"/>
            <w:vAlign w:val="center"/>
          </w:tcPr>
          <w:p w14:paraId="26D0A2E8">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820" w:type="dxa"/>
            <w:shd w:val="clear" w:color="auto" w:fill="auto"/>
            <w:noWrap w:val="0"/>
            <w:vAlign w:val="center"/>
          </w:tcPr>
          <w:p w14:paraId="602B0FA6">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2141" w:type="dxa"/>
            <w:shd w:val="clear" w:color="auto" w:fill="auto"/>
            <w:noWrap w:val="0"/>
            <w:vAlign w:val="center"/>
          </w:tcPr>
          <w:p w14:paraId="5CA45E32">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7821" w:type="dxa"/>
            <w:shd w:val="clear" w:color="auto" w:fill="auto"/>
            <w:noWrap w:val="0"/>
            <w:vAlign w:val="center"/>
          </w:tcPr>
          <w:p w14:paraId="2AC972E4">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指标说明</w:t>
            </w:r>
          </w:p>
        </w:tc>
        <w:tc>
          <w:tcPr>
            <w:tcW w:w="785" w:type="dxa"/>
            <w:shd w:val="clear" w:color="auto" w:fill="auto"/>
            <w:noWrap w:val="0"/>
            <w:vAlign w:val="center"/>
          </w:tcPr>
          <w:p w14:paraId="6A8FD768">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分值</w:t>
            </w:r>
          </w:p>
        </w:tc>
        <w:tc>
          <w:tcPr>
            <w:tcW w:w="769" w:type="dxa"/>
            <w:shd w:val="clear" w:color="auto" w:fill="auto"/>
            <w:noWrap w:val="0"/>
            <w:vAlign w:val="center"/>
          </w:tcPr>
          <w:p w14:paraId="3F6B4112">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得分</w:t>
            </w:r>
          </w:p>
        </w:tc>
      </w:tr>
      <w:tr w14:paraId="154DE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861" w:type="dxa"/>
            <w:vMerge w:val="restart"/>
            <w:shd w:val="clear" w:color="auto" w:fill="auto"/>
            <w:noWrap w:val="0"/>
            <w:vAlign w:val="center"/>
          </w:tcPr>
          <w:p w14:paraId="38362425">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p w14:paraId="49937FB0">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14:paraId="3D5CACF4">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7" w:type="dxa"/>
            <w:vMerge w:val="restart"/>
            <w:shd w:val="clear" w:color="auto" w:fill="auto"/>
            <w:noWrap w:val="0"/>
            <w:vAlign w:val="center"/>
          </w:tcPr>
          <w:p w14:paraId="28B2DD74">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　</w:t>
            </w:r>
          </w:p>
        </w:tc>
        <w:tc>
          <w:tcPr>
            <w:tcW w:w="820" w:type="dxa"/>
            <w:shd w:val="clear" w:color="auto" w:fill="auto"/>
            <w:noWrap w:val="0"/>
            <w:vAlign w:val="center"/>
          </w:tcPr>
          <w:p w14:paraId="3C4D1501">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立项依据</w:t>
            </w:r>
          </w:p>
          <w:p w14:paraId="289E18AD">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充分性</w:t>
            </w:r>
          </w:p>
        </w:tc>
        <w:tc>
          <w:tcPr>
            <w:tcW w:w="2141" w:type="dxa"/>
            <w:shd w:val="clear" w:color="auto" w:fill="auto"/>
            <w:noWrap w:val="0"/>
            <w:vAlign w:val="center"/>
          </w:tcPr>
          <w:p w14:paraId="06158B19">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项目立项是否符合法律法规、相关政策、发展规划以及部门职责，用以反映和考核项目立项依据情况。</w:t>
            </w:r>
          </w:p>
        </w:tc>
        <w:tc>
          <w:tcPr>
            <w:tcW w:w="7821" w:type="dxa"/>
            <w:shd w:val="clear" w:color="auto" w:fill="auto"/>
            <w:noWrap w:val="0"/>
            <w:vAlign w:val="center"/>
          </w:tcPr>
          <w:p w14:paraId="39D5FE70">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507FD9E8">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①项目立项是否符合国家法律法规、国民经济发展规划和相关政策；</w:t>
            </w:r>
          </w:p>
          <w:p w14:paraId="52B5627A">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②项目立项是否符合行业发展规划和政策要求；</w:t>
            </w:r>
          </w:p>
          <w:p w14:paraId="5B65CE61">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③项目立项是否与部门职责范围相符，属于部门履职所需；</w:t>
            </w:r>
          </w:p>
          <w:p w14:paraId="7B6FBB92">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④项目是否属于公共财政支持范围，是否符合中央、地方事权支出责任划分原则；</w:t>
            </w:r>
          </w:p>
          <w:p w14:paraId="60B22939">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⑤项目是否与相关部门同类项目或部门内部相关项目重复。</w:t>
            </w:r>
          </w:p>
        </w:tc>
        <w:tc>
          <w:tcPr>
            <w:tcW w:w="785" w:type="dxa"/>
            <w:shd w:val="clear" w:color="auto" w:fill="auto"/>
            <w:noWrap w:val="0"/>
            <w:vAlign w:val="center"/>
          </w:tcPr>
          <w:p w14:paraId="167257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noWrap w:val="0"/>
            <w:vAlign w:val="center"/>
          </w:tcPr>
          <w:p w14:paraId="4C7D644A">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14:paraId="5173A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shd w:val="clear" w:color="auto" w:fill="auto"/>
            <w:noWrap w:val="0"/>
            <w:vAlign w:val="center"/>
          </w:tcPr>
          <w:p w14:paraId="694ED367">
            <w:pPr>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noWrap w:val="0"/>
            <w:vAlign w:val="center"/>
          </w:tcPr>
          <w:p w14:paraId="2B9FA68B">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auto"/>
            <w:noWrap w:val="0"/>
            <w:vAlign w:val="center"/>
          </w:tcPr>
          <w:p w14:paraId="6C4D426B">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立项程序</w:t>
            </w:r>
          </w:p>
          <w:p w14:paraId="0EC60BFE">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规范性</w:t>
            </w:r>
          </w:p>
        </w:tc>
        <w:tc>
          <w:tcPr>
            <w:tcW w:w="2141" w:type="dxa"/>
            <w:shd w:val="clear" w:color="auto" w:fill="auto"/>
            <w:noWrap w:val="0"/>
            <w:vAlign w:val="center"/>
          </w:tcPr>
          <w:p w14:paraId="169234B2">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项目申请、设立过程是否符合相关要求，用以反映和考核项目立项的规范情况。</w:t>
            </w:r>
          </w:p>
        </w:tc>
        <w:tc>
          <w:tcPr>
            <w:tcW w:w="7821" w:type="dxa"/>
            <w:shd w:val="clear" w:color="auto" w:fill="auto"/>
            <w:noWrap w:val="0"/>
            <w:vAlign w:val="center"/>
          </w:tcPr>
          <w:p w14:paraId="0915B63D">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41FBA15E">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①项目是否按照规定的程序申请设立；</w:t>
            </w:r>
          </w:p>
          <w:p w14:paraId="50E30B44">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②审批文件、材料是否符合相关要求；</w:t>
            </w:r>
          </w:p>
          <w:p w14:paraId="233B463B">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③事前是否已经过必要的可行性研究、专家论证、风险评估、绩效评估、集体决策。</w:t>
            </w:r>
          </w:p>
        </w:tc>
        <w:tc>
          <w:tcPr>
            <w:tcW w:w="785" w:type="dxa"/>
            <w:shd w:val="clear" w:color="auto" w:fill="auto"/>
            <w:noWrap w:val="0"/>
            <w:vAlign w:val="center"/>
          </w:tcPr>
          <w:p w14:paraId="21F3A5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noWrap w:val="0"/>
            <w:vAlign w:val="center"/>
          </w:tcPr>
          <w:p w14:paraId="509400FB">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3</w:t>
            </w:r>
          </w:p>
        </w:tc>
      </w:tr>
      <w:tr w14:paraId="72F08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shd w:val="clear" w:color="auto" w:fill="auto"/>
            <w:noWrap w:val="0"/>
            <w:vAlign w:val="center"/>
          </w:tcPr>
          <w:p w14:paraId="52855C12">
            <w:pPr>
              <w:spacing w:line="0" w:lineRule="atLeast"/>
              <w:ind w:firstLine="0" w:firstLineChars="0"/>
              <w:jc w:val="center"/>
              <w:rPr>
                <w:rFonts w:ascii="宋体" w:hAnsi="宋体" w:eastAsia="宋体" w:cs="宋体"/>
                <w:color w:val="000000"/>
                <w:kern w:val="0"/>
                <w:sz w:val="22"/>
                <w:szCs w:val="22"/>
              </w:rPr>
            </w:pPr>
          </w:p>
        </w:tc>
        <w:tc>
          <w:tcPr>
            <w:tcW w:w="727" w:type="dxa"/>
            <w:shd w:val="clear" w:color="auto" w:fill="auto"/>
            <w:noWrap w:val="0"/>
            <w:vAlign w:val="center"/>
          </w:tcPr>
          <w:p w14:paraId="0514E536">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　</w:t>
            </w:r>
          </w:p>
        </w:tc>
        <w:tc>
          <w:tcPr>
            <w:tcW w:w="820" w:type="dxa"/>
            <w:shd w:val="clear" w:color="auto" w:fill="auto"/>
            <w:noWrap w:val="0"/>
            <w:vAlign w:val="center"/>
          </w:tcPr>
          <w:p w14:paraId="0B0B546A">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p w14:paraId="3C54B02F">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141" w:type="dxa"/>
            <w:shd w:val="clear" w:color="auto" w:fill="auto"/>
            <w:noWrap w:val="0"/>
            <w:vAlign w:val="center"/>
          </w:tcPr>
          <w:p w14:paraId="1EF259B6">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项目所设定的绩效目标是否依据充分，是否符合客观实际，用以反映和考核项目绩效目标与项目实施的相符情况。</w:t>
            </w:r>
          </w:p>
        </w:tc>
        <w:tc>
          <w:tcPr>
            <w:tcW w:w="7821" w:type="dxa"/>
            <w:shd w:val="clear" w:color="auto" w:fill="auto"/>
            <w:noWrap w:val="0"/>
            <w:vAlign w:val="center"/>
          </w:tcPr>
          <w:p w14:paraId="2628703D">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2933C2A4">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（如未设定预算绩效目标，也可考核其他工作任务目标）</w:t>
            </w:r>
          </w:p>
          <w:p w14:paraId="42F8E739">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①项目是否有绩效目标；</w:t>
            </w:r>
          </w:p>
          <w:p w14:paraId="29D5A27A">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②项目绩效目标与实际工作内容是否具有相关性；</w:t>
            </w:r>
          </w:p>
          <w:p w14:paraId="1914F3F4">
            <w:pPr>
              <w:widowControl/>
              <w:spacing w:line="0" w:lineRule="atLeast"/>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③项目预期产出效益和效果是否符合正常的业绩水平；</w:t>
            </w:r>
          </w:p>
          <w:p w14:paraId="44BB3752">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④是否与预算确定的项目投资额或资金量相匹配。</w:t>
            </w:r>
          </w:p>
        </w:tc>
        <w:tc>
          <w:tcPr>
            <w:tcW w:w="785" w:type="dxa"/>
            <w:shd w:val="clear" w:color="auto" w:fill="auto"/>
            <w:noWrap w:val="0"/>
            <w:vAlign w:val="center"/>
          </w:tcPr>
          <w:p w14:paraId="3727E3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noWrap w:val="0"/>
            <w:vAlign w:val="center"/>
          </w:tcPr>
          <w:p w14:paraId="4460C95A">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14:paraId="3D826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shd w:val="clear" w:color="auto" w:fill="auto"/>
            <w:noWrap w:val="0"/>
            <w:vAlign w:val="center"/>
          </w:tcPr>
          <w:p w14:paraId="6BF9CD4D">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tc>
        <w:tc>
          <w:tcPr>
            <w:tcW w:w="727" w:type="dxa"/>
            <w:shd w:val="clear" w:color="auto" w:fill="auto"/>
            <w:noWrap w:val="0"/>
            <w:vAlign w:val="center"/>
          </w:tcPr>
          <w:p w14:paraId="7898F243">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tc>
        <w:tc>
          <w:tcPr>
            <w:tcW w:w="820" w:type="dxa"/>
            <w:shd w:val="clear" w:color="auto" w:fill="auto"/>
            <w:noWrap w:val="0"/>
            <w:vAlign w:val="center"/>
          </w:tcPr>
          <w:p w14:paraId="59CCCA36">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14:paraId="155137D2">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明确性</w:t>
            </w:r>
          </w:p>
        </w:tc>
        <w:tc>
          <w:tcPr>
            <w:tcW w:w="2141" w:type="dxa"/>
            <w:shd w:val="clear" w:color="auto" w:fill="auto"/>
            <w:noWrap w:val="0"/>
            <w:vAlign w:val="center"/>
          </w:tcPr>
          <w:p w14:paraId="242F934C">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依据绩效目标设定的绩效指标是否清晰、细化、可衡量等，用以反映和考核项目绩效目标的明细化情况。</w:t>
            </w:r>
          </w:p>
        </w:tc>
        <w:tc>
          <w:tcPr>
            <w:tcW w:w="7821" w:type="dxa"/>
            <w:shd w:val="clear" w:color="auto" w:fill="auto"/>
            <w:noWrap w:val="0"/>
            <w:vAlign w:val="center"/>
          </w:tcPr>
          <w:p w14:paraId="1A997A3A">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0685865F">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①是否将项目绩效目标细化分解为具体的绩效指标；</w:t>
            </w:r>
          </w:p>
          <w:p w14:paraId="63DCEDF3">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②是否通过清晰、可衡量的指标值予以体现；</w:t>
            </w:r>
          </w:p>
          <w:p w14:paraId="1CEB9FBE">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③是否与项目目标任务数或计划数相对应。</w:t>
            </w:r>
          </w:p>
          <w:p w14:paraId="49666A51">
            <w:pPr>
              <w:widowControl/>
              <w:spacing w:line="0" w:lineRule="atLeast"/>
              <w:ind w:firstLine="0" w:firstLineChars="0"/>
              <w:rPr>
                <w:rFonts w:hint="eastAsia" w:ascii="宋体" w:hAnsi="宋体" w:eastAsia="宋体" w:cs="宋体"/>
                <w:color w:val="000000"/>
                <w:kern w:val="0"/>
                <w:sz w:val="22"/>
                <w:szCs w:val="22"/>
                <w:lang w:eastAsia="zh-CN"/>
              </w:rPr>
            </w:pPr>
          </w:p>
        </w:tc>
        <w:tc>
          <w:tcPr>
            <w:tcW w:w="785" w:type="dxa"/>
            <w:shd w:val="clear" w:color="auto" w:fill="auto"/>
            <w:noWrap w:val="0"/>
            <w:vAlign w:val="center"/>
          </w:tcPr>
          <w:p w14:paraId="0153BB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noWrap w:val="0"/>
            <w:vAlign w:val="center"/>
          </w:tcPr>
          <w:p w14:paraId="23BF1099">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14:paraId="27B44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42" w:hRule="atLeast"/>
          <w:jc w:val="center"/>
        </w:trPr>
        <w:tc>
          <w:tcPr>
            <w:tcW w:w="861" w:type="dxa"/>
            <w:vMerge w:val="continue"/>
            <w:shd w:val="clear" w:color="auto" w:fill="auto"/>
            <w:noWrap w:val="0"/>
            <w:vAlign w:val="center"/>
          </w:tcPr>
          <w:p w14:paraId="7F6455E0">
            <w:pPr>
              <w:spacing w:line="0" w:lineRule="atLeast"/>
              <w:ind w:firstLine="0" w:firstLineChars="0"/>
              <w:jc w:val="center"/>
              <w:rPr>
                <w:rFonts w:ascii="宋体" w:hAnsi="宋体" w:eastAsia="宋体" w:cs="宋体"/>
                <w:color w:val="000000"/>
                <w:kern w:val="0"/>
                <w:sz w:val="22"/>
                <w:szCs w:val="22"/>
              </w:rPr>
            </w:pPr>
          </w:p>
        </w:tc>
        <w:tc>
          <w:tcPr>
            <w:tcW w:w="727" w:type="dxa"/>
            <w:vMerge w:val="restart"/>
            <w:shd w:val="clear" w:color="auto" w:fill="auto"/>
            <w:noWrap w:val="0"/>
            <w:vAlign w:val="center"/>
          </w:tcPr>
          <w:p w14:paraId="0F622731">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p w14:paraId="5596CC2C">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20" w:type="dxa"/>
            <w:shd w:val="clear" w:color="auto" w:fill="auto"/>
            <w:noWrap w:val="0"/>
            <w:vAlign w:val="center"/>
          </w:tcPr>
          <w:p w14:paraId="4F738437">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14:paraId="09A7DCB4">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科学性</w:t>
            </w:r>
          </w:p>
        </w:tc>
        <w:tc>
          <w:tcPr>
            <w:tcW w:w="2141" w:type="dxa"/>
            <w:shd w:val="clear" w:color="auto" w:fill="auto"/>
            <w:noWrap w:val="0"/>
            <w:vAlign w:val="center"/>
          </w:tcPr>
          <w:p w14:paraId="380DD5A4">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项目预算编制是否经过科学论证、有明确标准，资金额度与年度目标是否相适应，用以反映和考核项目预算编制的科学性、合理性情况。</w:t>
            </w:r>
          </w:p>
        </w:tc>
        <w:tc>
          <w:tcPr>
            <w:tcW w:w="7821" w:type="dxa"/>
            <w:shd w:val="clear" w:color="auto" w:fill="auto"/>
            <w:noWrap w:val="0"/>
            <w:vAlign w:val="center"/>
          </w:tcPr>
          <w:p w14:paraId="5074D7F3">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2B43A246">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①预算编制是否经过科学论证；</w:t>
            </w:r>
          </w:p>
          <w:p w14:paraId="48BBBCCE">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②预算内容与项目内容是否匹配；</w:t>
            </w:r>
          </w:p>
          <w:p w14:paraId="15D175BF">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③预算额度测算依据是否充分，是否按照标准编制；</w:t>
            </w:r>
          </w:p>
          <w:p w14:paraId="11D9A45B">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④预算确定的项目投资额或资金量是否与工作任务相匹配。</w:t>
            </w:r>
          </w:p>
        </w:tc>
        <w:tc>
          <w:tcPr>
            <w:tcW w:w="785" w:type="dxa"/>
            <w:shd w:val="clear" w:color="auto" w:fill="auto"/>
            <w:noWrap w:val="0"/>
            <w:vAlign w:val="center"/>
          </w:tcPr>
          <w:p w14:paraId="66A660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noWrap w:val="0"/>
            <w:vAlign w:val="center"/>
          </w:tcPr>
          <w:p w14:paraId="5E94DD98">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14:paraId="705F0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06" w:hRule="atLeast"/>
          <w:jc w:val="center"/>
        </w:trPr>
        <w:tc>
          <w:tcPr>
            <w:tcW w:w="861" w:type="dxa"/>
            <w:vMerge w:val="continue"/>
            <w:shd w:val="clear" w:color="auto" w:fill="auto"/>
            <w:noWrap w:val="0"/>
            <w:vAlign w:val="center"/>
          </w:tcPr>
          <w:p w14:paraId="44135A7A">
            <w:pPr>
              <w:widowControl/>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noWrap w:val="0"/>
            <w:vAlign w:val="center"/>
          </w:tcPr>
          <w:p w14:paraId="097991DD">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auto"/>
            <w:noWrap w:val="0"/>
            <w:vAlign w:val="center"/>
          </w:tcPr>
          <w:p w14:paraId="0865E828">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14:paraId="4CBF5165">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141" w:type="dxa"/>
            <w:shd w:val="clear" w:color="auto" w:fill="auto"/>
            <w:noWrap w:val="0"/>
            <w:vAlign w:val="center"/>
          </w:tcPr>
          <w:p w14:paraId="47F34A6D">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项目预算资金分配是否有测算依据，与补助单位或地方实际是否相适应，用以反映和考核项目预算资金分配的科学性、合理性情况。</w:t>
            </w:r>
          </w:p>
        </w:tc>
        <w:tc>
          <w:tcPr>
            <w:tcW w:w="7821" w:type="dxa"/>
            <w:shd w:val="clear" w:color="auto" w:fill="auto"/>
            <w:noWrap w:val="0"/>
            <w:vAlign w:val="center"/>
          </w:tcPr>
          <w:p w14:paraId="6655BADC">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544D3723">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①预算资金分配依据是否充分；</w:t>
            </w:r>
          </w:p>
          <w:p w14:paraId="252A839E">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②资金分配额度是否合理，与项目单位或地方实际是否相适应。</w:t>
            </w:r>
          </w:p>
        </w:tc>
        <w:tc>
          <w:tcPr>
            <w:tcW w:w="785" w:type="dxa"/>
            <w:shd w:val="clear" w:color="auto" w:fill="auto"/>
            <w:noWrap w:val="0"/>
            <w:vAlign w:val="center"/>
          </w:tcPr>
          <w:p w14:paraId="049775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noWrap w:val="0"/>
            <w:vAlign w:val="center"/>
          </w:tcPr>
          <w:p w14:paraId="0B485918">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3</w:t>
            </w:r>
          </w:p>
        </w:tc>
      </w:tr>
      <w:tr w14:paraId="5819C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shd w:val="clear" w:color="auto" w:fill="auto"/>
            <w:noWrap w:val="0"/>
            <w:vAlign w:val="center"/>
          </w:tcPr>
          <w:p w14:paraId="671E4BB7">
            <w:pPr>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过程</w:t>
            </w:r>
          </w:p>
        </w:tc>
        <w:tc>
          <w:tcPr>
            <w:tcW w:w="727" w:type="dxa"/>
            <w:vMerge w:val="restart"/>
            <w:shd w:val="clear" w:color="auto" w:fill="auto"/>
            <w:noWrap w:val="0"/>
            <w:vAlign w:val="center"/>
          </w:tcPr>
          <w:p w14:paraId="5B223162">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820" w:type="dxa"/>
            <w:shd w:val="clear" w:color="auto" w:fill="auto"/>
            <w:noWrap w:val="0"/>
            <w:vAlign w:val="center"/>
          </w:tcPr>
          <w:p w14:paraId="34D3B74D">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p>
        </w:tc>
        <w:tc>
          <w:tcPr>
            <w:tcW w:w="2141" w:type="dxa"/>
            <w:shd w:val="clear" w:color="auto" w:fill="auto"/>
            <w:noWrap w:val="0"/>
            <w:vAlign w:val="center"/>
          </w:tcPr>
          <w:p w14:paraId="784D3D4B">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实际到位资金与预算资金的比率，用以反映和考核资金落实情况对项目实施的总体保障程度。</w:t>
            </w:r>
          </w:p>
        </w:tc>
        <w:tc>
          <w:tcPr>
            <w:tcW w:w="7821" w:type="dxa"/>
            <w:shd w:val="clear" w:color="auto" w:fill="auto"/>
            <w:noWrap w:val="0"/>
            <w:vAlign w:val="center"/>
          </w:tcPr>
          <w:p w14:paraId="792A13B9">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资金到位率=（实际到位资金/预算资金）×100%。</w:t>
            </w:r>
          </w:p>
          <w:p w14:paraId="4A72969D">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实际到位资金：一定时期（本年度或项目期）内落实到具体项目的资金。</w:t>
            </w:r>
          </w:p>
          <w:p w14:paraId="06FF0EC8">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预算资金：一定时期（本年度或项目期）内预算安排到具体项目的资金。</w:t>
            </w:r>
          </w:p>
        </w:tc>
        <w:tc>
          <w:tcPr>
            <w:tcW w:w="785" w:type="dxa"/>
            <w:shd w:val="clear" w:color="auto" w:fill="auto"/>
            <w:noWrap w:val="0"/>
            <w:vAlign w:val="center"/>
          </w:tcPr>
          <w:p w14:paraId="0D746D0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15218FF7">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24EE1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shd w:val="clear" w:color="auto" w:fill="auto"/>
            <w:noWrap w:val="0"/>
            <w:vAlign w:val="center"/>
          </w:tcPr>
          <w:p w14:paraId="7E00F4A3">
            <w:pPr>
              <w:spacing w:line="0" w:lineRule="atLeast"/>
              <w:ind w:firstLine="0" w:firstLineChars="0"/>
              <w:jc w:val="center"/>
              <w:rPr>
                <w:rFonts w:hint="eastAsia" w:ascii="宋体" w:hAnsi="宋体" w:eastAsia="宋体" w:cs="宋体"/>
                <w:color w:val="000000"/>
                <w:kern w:val="0"/>
                <w:sz w:val="22"/>
                <w:szCs w:val="22"/>
              </w:rPr>
            </w:pPr>
          </w:p>
        </w:tc>
        <w:tc>
          <w:tcPr>
            <w:tcW w:w="727" w:type="dxa"/>
            <w:vMerge w:val="continue"/>
            <w:shd w:val="clear" w:color="auto" w:fill="auto"/>
            <w:noWrap w:val="0"/>
            <w:vAlign w:val="center"/>
          </w:tcPr>
          <w:p w14:paraId="6BC64076">
            <w:pPr>
              <w:spacing w:line="0" w:lineRule="atLeast"/>
              <w:ind w:firstLine="0" w:firstLineChars="0"/>
              <w:jc w:val="center"/>
              <w:rPr>
                <w:rFonts w:hint="eastAsia" w:ascii="宋体" w:hAnsi="宋体" w:eastAsia="宋体" w:cs="宋体"/>
                <w:color w:val="000000"/>
                <w:kern w:val="0"/>
                <w:sz w:val="22"/>
                <w:szCs w:val="22"/>
              </w:rPr>
            </w:pPr>
          </w:p>
        </w:tc>
        <w:tc>
          <w:tcPr>
            <w:tcW w:w="820" w:type="dxa"/>
            <w:shd w:val="clear" w:color="auto" w:fill="auto"/>
            <w:noWrap w:val="0"/>
            <w:vAlign w:val="center"/>
          </w:tcPr>
          <w:p w14:paraId="1B0C59E7">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2141" w:type="dxa"/>
            <w:shd w:val="clear" w:color="auto" w:fill="auto"/>
            <w:noWrap w:val="0"/>
            <w:vAlign w:val="center"/>
          </w:tcPr>
          <w:p w14:paraId="28636D61">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项目预算资金是否按照计划执行，用以反映或考核项目预算执行情况。</w:t>
            </w:r>
          </w:p>
        </w:tc>
        <w:tc>
          <w:tcPr>
            <w:tcW w:w="7821" w:type="dxa"/>
            <w:shd w:val="clear" w:color="auto" w:fill="auto"/>
            <w:noWrap w:val="0"/>
            <w:vAlign w:val="center"/>
          </w:tcPr>
          <w:p w14:paraId="088E3425">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预算执行率=（实际支出资金/实际到位资金）×100%。</w:t>
            </w:r>
          </w:p>
          <w:p w14:paraId="3F36C5D7">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实际支出资金：一定时期（本年度或项目期）内项目实际拨付的资金。</w:t>
            </w:r>
          </w:p>
        </w:tc>
        <w:tc>
          <w:tcPr>
            <w:tcW w:w="785" w:type="dxa"/>
            <w:shd w:val="clear" w:color="auto" w:fill="auto"/>
            <w:noWrap w:val="0"/>
            <w:vAlign w:val="center"/>
          </w:tcPr>
          <w:p w14:paraId="183BD15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5CDFD168">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48D32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restart"/>
            <w:shd w:val="clear" w:color="auto" w:fill="auto"/>
            <w:noWrap w:val="0"/>
            <w:vAlign w:val="center"/>
          </w:tcPr>
          <w:p w14:paraId="2462FCA3">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p w14:paraId="4FB0A179">
            <w:pPr>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过程　</w:t>
            </w:r>
          </w:p>
        </w:tc>
        <w:tc>
          <w:tcPr>
            <w:tcW w:w="727" w:type="dxa"/>
            <w:shd w:val="clear" w:color="auto" w:fill="auto"/>
            <w:noWrap w:val="0"/>
            <w:vAlign w:val="center"/>
          </w:tcPr>
          <w:p w14:paraId="45222698">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资金管理</w:t>
            </w:r>
          </w:p>
        </w:tc>
        <w:tc>
          <w:tcPr>
            <w:tcW w:w="820" w:type="dxa"/>
            <w:shd w:val="clear" w:color="auto" w:fill="auto"/>
            <w:noWrap w:val="0"/>
            <w:vAlign w:val="center"/>
          </w:tcPr>
          <w:p w14:paraId="262333BE">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资金使用</w:t>
            </w:r>
          </w:p>
          <w:p w14:paraId="46300B72">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合规性</w:t>
            </w:r>
          </w:p>
        </w:tc>
        <w:tc>
          <w:tcPr>
            <w:tcW w:w="2141" w:type="dxa"/>
            <w:shd w:val="clear" w:color="auto" w:fill="auto"/>
            <w:noWrap w:val="0"/>
            <w:vAlign w:val="center"/>
          </w:tcPr>
          <w:p w14:paraId="7552A356">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c>
          <w:tcPr>
            <w:tcW w:w="7821" w:type="dxa"/>
            <w:shd w:val="clear" w:color="auto" w:fill="auto"/>
            <w:noWrap w:val="0"/>
            <w:vAlign w:val="center"/>
          </w:tcPr>
          <w:p w14:paraId="67E3E9D8">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65D7951D">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①是否符合国家财经法规和财务管理制度以及有关专项资金管理办法的规定；</w:t>
            </w:r>
          </w:p>
          <w:p w14:paraId="4872E12C">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②资金的拨付是否有完整的审批程序和手续；</w:t>
            </w:r>
          </w:p>
          <w:p w14:paraId="05E07011">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③是否符合项目预算批复或合同规定的用途；</w:t>
            </w:r>
          </w:p>
          <w:p w14:paraId="71008F24">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④是否存在截留、挤占、挪用、虚列支出等情况。</w:t>
            </w:r>
          </w:p>
        </w:tc>
        <w:tc>
          <w:tcPr>
            <w:tcW w:w="785" w:type="dxa"/>
            <w:shd w:val="clear" w:color="auto" w:fill="auto"/>
            <w:noWrap w:val="0"/>
            <w:vAlign w:val="center"/>
          </w:tcPr>
          <w:p w14:paraId="7B45490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332A52A8">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40E0F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861" w:type="dxa"/>
            <w:vMerge w:val="continue"/>
            <w:shd w:val="clear" w:color="auto" w:fill="auto"/>
            <w:noWrap w:val="0"/>
            <w:vAlign w:val="center"/>
          </w:tcPr>
          <w:p w14:paraId="3C5756EB">
            <w:pPr>
              <w:spacing w:line="0" w:lineRule="atLeast"/>
              <w:ind w:firstLine="0" w:firstLineChars="0"/>
              <w:jc w:val="center"/>
              <w:rPr>
                <w:rFonts w:ascii="宋体" w:hAnsi="宋体" w:eastAsia="宋体" w:cs="宋体"/>
                <w:color w:val="auto"/>
                <w:kern w:val="0"/>
                <w:sz w:val="22"/>
                <w:szCs w:val="22"/>
              </w:rPr>
            </w:pPr>
          </w:p>
        </w:tc>
        <w:tc>
          <w:tcPr>
            <w:tcW w:w="727" w:type="dxa"/>
            <w:vMerge w:val="restart"/>
            <w:shd w:val="clear" w:color="auto" w:fill="auto"/>
            <w:noWrap w:val="0"/>
            <w:vAlign w:val="center"/>
          </w:tcPr>
          <w:p w14:paraId="33CED77B">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组织实施</w:t>
            </w:r>
          </w:p>
          <w:p w14:paraId="76BEE1BA">
            <w:pPr>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820" w:type="dxa"/>
            <w:shd w:val="clear" w:color="auto" w:fill="auto"/>
            <w:noWrap w:val="0"/>
            <w:vAlign w:val="center"/>
          </w:tcPr>
          <w:p w14:paraId="490678C1">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管理制度</w:t>
            </w:r>
          </w:p>
          <w:p w14:paraId="7429493D">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健全性</w:t>
            </w:r>
          </w:p>
        </w:tc>
        <w:tc>
          <w:tcPr>
            <w:tcW w:w="2141" w:type="dxa"/>
            <w:shd w:val="clear" w:color="auto" w:fill="auto"/>
            <w:noWrap w:val="0"/>
            <w:vAlign w:val="center"/>
          </w:tcPr>
          <w:p w14:paraId="3B643A8B">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c>
          <w:tcPr>
            <w:tcW w:w="7821" w:type="dxa"/>
            <w:shd w:val="clear" w:color="auto" w:fill="auto"/>
            <w:noWrap w:val="0"/>
            <w:vAlign w:val="center"/>
          </w:tcPr>
          <w:p w14:paraId="733D0416">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6EC0CD13">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①是否已制定或具有相应的财务和业务管理制度；</w:t>
            </w:r>
          </w:p>
          <w:p w14:paraId="0A6BBBD1">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②财务和业务管理制度是否合法、合规、完整。</w:t>
            </w:r>
          </w:p>
        </w:tc>
        <w:tc>
          <w:tcPr>
            <w:tcW w:w="785" w:type="dxa"/>
            <w:shd w:val="clear" w:color="auto" w:fill="auto"/>
            <w:noWrap w:val="0"/>
            <w:vAlign w:val="center"/>
          </w:tcPr>
          <w:p w14:paraId="54095E4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311902DC">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2D0D1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shd w:val="clear" w:color="auto" w:fill="auto"/>
            <w:noWrap w:val="0"/>
            <w:vAlign w:val="center"/>
          </w:tcPr>
          <w:p w14:paraId="2826CC39">
            <w:pPr>
              <w:widowControl/>
              <w:spacing w:line="0" w:lineRule="atLeast"/>
              <w:ind w:firstLine="0" w:firstLineChars="0"/>
              <w:jc w:val="center"/>
              <w:rPr>
                <w:rFonts w:ascii="宋体" w:hAnsi="宋体" w:eastAsia="宋体" w:cs="宋体"/>
                <w:color w:val="auto"/>
                <w:kern w:val="0"/>
                <w:sz w:val="22"/>
                <w:szCs w:val="22"/>
              </w:rPr>
            </w:pPr>
          </w:p>
        </w:tc>
        <w:tc>
          <w:tcPr>
            <w:tcW w:w="727" w:type="dxa"/>
            <w:vMerge w:val="continue"/>
            <w:shd w:val="clear" w:color="auto" w:fill="auto"/>
            <w:noWrap w:val="0"/>
            <w:vAlign w:val="center"/>
          </w:tcPr>
          <w:p w14:paraId="0F259366">
            <w:pPr>
              <w:widowControl/>
              <w:spacing w:line="0" w:lineRule="atLeast"/>
              <w:ind w:firstLine="0" w:firstLineChars="0"/>
              <w:jc w:val="center"/>
              <w:rPr>
                <w:rFonts w:ascii="宋体" w:hAnsi="宋体" w:eastAsia="宋体" w:cs="宋体"/>
                <w:color w:val="auto"/>
                <w:kern w:val="0"/>
                <w:sz w:val="22"/>
                <w:szCs w:val="22"/>
              </w:rPr>
            </w:pPr>
          </w:p>
        </w:tc>
        <w:tc>
          <w:tcPr>
            <w:tcW w:w="820" w:type="dxa"/>
            <w:shd w:val="clear" w:color="auto" w:fill="auto"/>
            <w:noWrap w:val="0"/>
            <w:vAlign w:val="center"/>
          </w:tcPr>
          <w:p w14:paraId="334D2D3A">
            <w:pPr>
              <w:widowControl/>
              <w:spacing w:line="0" w:lineRule="atLeast"/>
              <w:ind w:firstLine="0" w:firstLineChars="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制度执行</w:t>
            </w:r>
          </w:p>
          <w:p w14:paraId="540218E9">
            <w:pPr>
              <w:widowControl/>
              <w:spacing w:line="0" w:lineRule="atLeast"/>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有效性</w:t>
            </w:r>
          </w:p>
        </w:tc>
        <w:tc>
          <w:tcPr>
            <w:tcW w:w="2141" w:type="dxa"/>
            <w:shd w:val="clear" w:color="auto" w:fill="auto"/>
            <w:noWrap w:val="0"/>
            <w:vAlign w:val="center"/>
          </w:tcPr>
          <w:p w14:paraId="157BACE2">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项目实施是否符合相关管理规定，用以反映和考核相关管理制度的有效执行情况。</w:t>
            </w:r>
          </w:p>
        </w:tc>
        <w:tc>
          <w:tcPr>
            <w:tcW w:w="7821" w:type="dxa"/>
            <w:shd w:val="clear" w:color="auto" w:fill="auto"/>
            <w:noWrap w:val="0"/>
            <w:vAlign w:val="center"/>
          </w:tcPr>
          <w:p w14:paraId="126C7D6B">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14:paraId="7DD39361">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①是否遵守相关法律法规和相关管理规定；</w:t>
            </w:r>
          </w:p>
          <w:p w14:paraId="6435A3D0">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②项目调整及支出调整手续是否完备；</w:t>
            </w:r>
          </w:p>
          <w:p w14:paraId="620E6A52">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③项目合同书、验收报告、技术鉴定等资料是否齐全并及时归档；</w:t>
            </w:r>
          </w:p>
          <w:p w14:paraId="6CFC9871">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④项目实施的人员条件、场地设备、信息支撑等是否落实到位。</w:t>
            </w:r>
          </w:p>
        </w:tc>
        <w:tc>
          <w:tcPr>
            <w:tcW w:w="785" w:type="dxa"/>
            <w:shd w:val="clear" w:color="auto" w:fill="auto"/>
            <w:noWrap w:val="0"/>
            <w:vAlign w:val="center"/>
          </w:tcPr>
          <w:p w14:paraId="24A84EC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05762AA3">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14:paraId="6ED62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vMerge w:val="restart"/>
            <w:shd w:val="clear" w:color="auto" w:fill="auto"/>
            <w:noWrap w:val="0"/>
            <w:vAlign w:val="center"/>
          </w:tcPr>
          <w:p w14:paraId="37A2A206">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tc>
        <w:tc>
          <w:tcPr>
            <w:tcW w:w="727" w:type="dxa"/>
            <w:vMerge w:val="restart"/>
            <w:shd w:val="clear" w:color="auto" w:fill="auto"/>
            <w:noWrap w:val="0"/>
            <w:vAlign w:val="center"/>
          </w:tcPr>
          <w:p w14:paraId="00503C7A">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0"/>
                <w:szCs w:val="20"/>
                <w:highlight w:val="none"/>
                <w:shd w:val="clear" w:color="auto" w:fill="auto"/>
                <w:lang w:val="en-US" w:eastAsia="zh-CN"/>
              </w:rPr>
              <w:t>数量指标</w:t>
            </w:r>
          </w:p>
        </w:tc>
        <w:tc>
          <w:tcPr>
            <w:tcW w:w="820" w:type="dxa"/>
            <w:shd w:val="clear" w:color="auto" w:fill="auto"/>
            <w:noWrap w:val="0"/>
            <w:vAlign w:val="center"/>
          </w:tcPr>
          <w:p w14:paraId="262DB5DD">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消杀合作商家数量</w:t>
            </w:r>
          </w:p>
        </w:tc>
        <w:tc>
          <w:tcPr>
            <w:tcW w:w="2141" w:type="dxa"/>
            <w:shd w:val="clear" w:color="auto" w:fill="auto"/>
            <w:noWrap w:val="0"/>
            <w:vAlign w:val="center"/>
          </w:tcPr>
          <w:p w14:paraId="7F22877E">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项目实施的实际产出数与计划产出数的比率，用以反映和考核项目产出数量目标的实现程度。</w:t>
            </w:r>
          </w:p>
        </w:tc>
        <w:tc>
          <w:tcPr>
            <w:tcW w:w="7821" w:type="dxa"/>
            <w:shd w:val="clear" w:color="auto" w:fill="auto"/>
            <w:noWrap w:val="0"/>
            <w:vAlign w:val="center"/>
          </w:tcPr>
          <w:p w14:paraId="59CA620C">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14:paraId="34935DC9">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14:paraId="7EC03C3F">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noWrap w:val="0"/>
            <w:vAlign w:val="center"/>
          </w:tcPr>
          <w:p w14:paraId="52CC3317">
            <w:pPr>
              <w:widowControl/>
              <w:spacing w:line="0" w:lineRule="atLeast"/>
              <w:ind w:firstLine="0" w:firstLineChars="0"/>
              <w:rPr>
                <w:rFonts w:hint="default" w:ascii="宋体" w:hAnsi="宋体" w:eastAsia="宋体" w:cs="宋体"/>
                <w:color w:val="000000"/>
                <w:kern w:val="0"/>
                <w:sz w:val="22"/>
                <w:szCs w:val="22"/>
                <w:lang w:val="en-GB"/>
              </w:rPr>
            </w:pPr>
            <w:r>
              <w:rPr>
                <w:rFonts w:hint="default" w:cs="宋体"/>
                <w:color w:val="000000"/>
                <w:kern w:val="0"/>
                <w:sz w:val="22"/>
                <w:szCs w:val="22"/>
                <w:lang w:val="en-GB"/>
              </w:rPr>
              <w:t>4</w:t>
            </w:r>
          </w:p>
        </w:tc>
        <w:tc>
          <w:tcPr>
            <w:tcW w:w="769" w:type="dxa"/>
            <w:shd w:val="clear" w:color="auto" w:fill="auto"/>
            <w:noWrap w:val="0"/>
            <w:vAlign w:val="center"/>
          </w:tcPr>
          <w:p w14:paraId="2D206211">
            <w:pPr>
              <w:widowControl/>
              <w:spacing w:line="0" w:lineRule="atLeast"/>
              <w:ind w:firstLine="0" w:firstLineChars="0"/>
              <w:rPr>
                <w:rFonts w:hint="default" w:ascii="宋体" w:hAnsi="宋体" w:eastAsia="宋体" w:cs="宋体"/>
                <w:color w:val="000000"/>
                <w:kern w:val="0"/>
                <w:sz w:val="22"/>
                <w:szCs w:val="22"/>
                <w:lang w:val="en-GB"/>
              </w:rPr>
            </w:pPr>
            <w:r>
              <w:rPr>
                <w:rFonts w:hint="default" w:cs="宋体"/>
                <w:color w:val="000000"/>
                <w:kern w:val="0"/>
                <w:sz w:val="22"/>
                <w:szCs w:val="22"/>
                <w:lang w:val="en-GB"/>
              </w:rPr>
              <w:t>4</w:t>
            </w:r>
          </w:p>
        </w:tc>
      </w:tr>
      <w:tr w14:paraId="20F6E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vMerge w:val="continue"/>
            <w:shd w:val="clear" w:color="auto" w:fill="auto"/>
            <w:noWrap w:val="0"/>
            <w:vAlign w:val="center"/>
          </w:tcPr>
          <w:p w14:paraId="3B7AD263">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shd w:val="clear" w:color="auto" w:fill="auto"/>
            <w:noWrap w:val="0"/>
            <w:vAlign w:val="center"/>
          </w:tcPr>
          <w:p w14:paraId="077E6B56">
            <w:pPr>
              <w:widowControl/>
              <w:spacing w:line="0" w:lineRule="atLeast"/>
              <w:ind w:firstLine="0" w:firstLineChars="0"/>
              <w:jc w:val="center"/>
              <w:rPr>
                <w:rFonts w:hint="eastAsia" w:ascii="宋体" w:hAnsi="宋体" w:eastAsia="宋体" w:cs="宋体"/>
                <w:color w:val="auto"/>
                <w:kern w:val="0"/>
                <w:sz w:val="20"/>
                <w:szCs w:val="20"/>
                <w:highlight w:val="none"/>
                <w:shd w:val="clear" w:color="auto" w:fill="auto"/>
                <w:lang w:val="en-US" w:eastAsia="zh-CN"/>
              </w:rPr>
            </w:pPr>
          </w:p>
        </w:tc>
        <w:tc>
          <w:tcPr>
            <w:tcW w:w="820" w:type="dxa"/>
            <w:shd w:val="clear" w:color="auto" w:fill="auto"/>
            <w:noWrap w:val="0"/>
            <w:vAlign w:val="center"/>
          </w:tcPr>
          <w:p w14:paraId="6F7462BD">
            <w:pPr>
              <w:widowControl/>
              <w:spacing w:line="0" w:lineRule="atLeast"/>
              <w:ind w:firstLine="0" w:firstLineChars="0"/>
              <w:jc w:val="center"/>
              <w:rPr>
                <w:rFonts w:hint="eastAsia" w:cs="宋体"/>
                <w:color w:val="auto"/>
                <w:kern w:val="0"/>
                <w:sz w:val="22"/>
                <w:szCs w:val="22"/>
                <w:highlight w:val="none"/>
                <w:lang w:val="en-US" w:eastAsia="zh-CN"/>
              </w:rPr>
            </w:pPr>
            <w:r>
              <w:rPr>
                <w:rFonts w:hint="eastAsia" w:cs="宋体"/>
                <w:color w:val="auto"/>
                <w:kern w:val="0"/>
                <w:sz w:val="22"/>
                <w:szCs w:val="22"/>
                <w:highlight w:val="none"/>
                <w:lang w:val="en-US" w:eastAsia="zh-CN"/>
              </w:rPr>
              <w:t>2016年病媒生物消杀次数</w:t>
            </w:r>
          </w:p>
        </w:tc>
        <w:tc>
          <w:tcPr>
            <w:tcW w:w="2141" w:type="dxa"/>
            <w:shd w:val="clear" w:color="auto" w:fill="auto"/>
            <w:noWrap w:val="0"/>
            <w:vAlign w:val="center"/>
          </w:tcPr>
          <w:p w14:paraId="387B4D21">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项目实施的实际产出数与计划产出数的比率，用以反映和考核项目产出数量目标的实现程度。</w:t>
            </w:r>
          </w:p>
        </w:tc>
        <w:tc>
          <w:tcPr>
            <w:tcW w:w="7821" w:type="dxa"/>
            <w:shd w:val="clear" w:color="auto" w:fill="auto"/>
            <w:noWrap w:val="0"/>
            <w:vAlign w:val="center"/>
          </w:tcPr>
          <w:p w14:paraId="6DF7DC1A">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14:paraId="6CC6BC76">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14:paraId="6C761DA1">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noWrap w:val="0"/>
            <w:vAlign w:val="center"/>
          </w:tcPr>
          <w:p w14:paraId="591A6A6C">
            <w:pPr>
              <w:widowControl/>
              <w:spacing w:line="0" w:lineRule="atLeast"/>
              <w:ind w:firstLine="0" w:firstLineChars="0"/>
              <w:rPr>
                <w:rFonts w:hint="default" w:ascii="宋体" w:hAnsi="宋体" w:eastAsia="宋体" w:cs="宋体"/>
                <w:color w:val="000000"/>
                <w:kern w:val="0"/>
                <w:sz w:val="22"/>
                <w:szCs w:val="22"/>
                <w:lang w:val="en-GB"/>
              </w:rPr>
            </w:pPr>
            <w:r>
              <w:rPr>
                <w:rFonts w:hint="default" w:cs="宋体"/>
                <w:color w:val="000000"/>
                <w:kern w:val="0"/>
                <w:sz w:val="22"/>
                <w:szCs w:val="22"/>
                <w:lang w:val="en-GB"/>
              </w:rPr>
              <w:t>4</w:t>
            </w:r>
          </w:p>
        </w:tc>
        <w:tc>
          <w:tcPr>
            <w:tcW w:w="769" w:type="dxa"/>
            <w:shd w:val="clear" w:color="auto" w:fill="auto"/>
            <w:noWrap w:val="0"/>
            <w:vAlign w:val="center"/>
          </w:tcPr>
          <w:p w14:paraId="44327B9D">
            <w:pPr>
              <w:widowControl/>
              <w:spacing w:line="0" w:lineRule="atLeast"/>
              <w:ind w:firstLine="0" w:firstLineChars="0"/>
              <w:rPr>
                <w:rFonts w:hint="default" w:ascii="宋体" w:hAnsi="宋体" w:eastAsia="宋体" w:cs="宋体"/>
                <w:color w:val="000000"/>
                <w:kern w:val="0"/>
                <w:sz w:val="22"/>
                <w:szCs w:val="22"/>
                <w:lang w:val="en-GB"/>
              </w:rPr>
            </w:pPr>
            <w:r>
              <w:rPr>
                <w:rFonts w:hint="default" w:cs="宋体"/>
                <w:color w:val="000000"/>
                <w:kern w:val="0"/>
                <w:sz w:val="22"/>
                <w:szCs w:val="22"/>
                <w:lang w:val="en-GB"/>
              </w:rPr>
              <w:t>4</w:t>
            </w:r>
          </w:p>
        </w:tc>
      </w:tr>
      <w:tr w14:paraId="3E6FA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18" w:hRule="atLeast"/>
          <w:jc w:val="center"/>
        </w:trPr>
        <w:tc>
          <w:tcPr>
            <w:tcW w:w="861" w:type="dxa"/>
            <w:vMerge w:val="restart"/>
            <w:shd w:val="clear" w:color="auto" w:fill="auto"/>
            <w:noWrap w:val="0"/>
            <w:vAlign w:val="center"/>
          </w:tcPr>
          <w:p w14:paraId="6F1D277C">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tc>
        <w:tc>
          <w:tcPr>
            <w:tcW w:w="727" w:type="dxa"/>
            <w:shd w:val="clear" w:color="auto" w:fill="auto"/>
            <w:noWrap w:val="0"/>
            <w:vAlign w:val="center"/>
          </w:tcPr>
          <w:p w14:paraId="0C3C6000">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0"/>
                <w:szCs w:val="20"/>
                <w:highlight w:val="none"/>
                <w:shd w:val="clear" w:color="auto" w:fill="auto"/>
                <w:lang w:val="en-US" w:eastAsia="zh-CN"/>
              </w:rPr>
              <w:t>质量指标</w:t>
            </w:r>
          </w:p>
        </w:tc>
        <w:tc>
          <w:tcPr>
            <w:tcW w:w="820" w:type="dxa"/>
            <w:shd w:val="clear" w:color="auto" w:fill="auto"/>
            <w:noWrap w:val="0"/>
            <w:vAlign w:val="center"/>
          </w:tcPr>
          <w:p w14:paraId="7AAB8CD1">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2016年病媒生物消杀合格率</w:t>
            </w:r>
          </w:p>
        </w:tc>
        <w:tc>
          <w:tcPr>
            <w:tcW w:w="2141" w:type="dxa"/>
            <w:shd w:val="clear" w:color="auto" w:fill="auto"/>
            <w:noWrap w:val="0"/>
            <w:vAlign w:val="center"/>
          </w:tcPr>
          <w:p w14:paraId="00D0DC7B">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项目完成的质量达标产出数与实际产出数的比率，用以反映和考核项目产出质量目标的实现程度。</w:t>
            </w:r>
          </w:p>
        </w:tc>
        <w:tc>
          <w:tcPr>
            <w:tcW w:w="7821" w:type="dxa"/>
            <w:shd w:val="clear" w:color="auto" w:fill="auto"/>
            <w:noWrap w:val="0"/>
            <w:vAlign w:val="center"/>
          </w:tcPr>
          <w:p w14:paraId="512C9980">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质量达标率=（质量达标产出数/实际产出数）×100%。</w:t>
            </w:r>
          </w:p>
          <w:p w14:paraId="2E7BB5FC">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auto" w:fill="auto"/>
            <w:noWrap w:val="0"/>
            <w:vAlign w:val="center"/>
          </w:tcPr>
          <w:p w14:paraId="288A5D32">
            <w:pPr>
              <w:widowControl/>
              <w:spacing w:line="0" w:lineRule="atLeast"/>
              <w:ind w:firstLine="0" w:firstLineChars="0"/>
              <w:rPr>
                <w:rFonts w:hint="default" w:ascii="宋体" w:hAnsi="宋体" w:eastAsia="宋体" w:cs="宋体"/>
                <w:color w:val="000000"/>
                <w:kern w:val="0"/>
                <w:sz w:val="22"/>
                <w:szCs w:val="22"/>
                <w:lang w:val="en-GB"/>
              </w:rPr>
            </w:pPr>
            <w:r>
              <w:rPr>
                <w:rFonts w:hint="default" w:cs="宋体"/>
                <w:color w:val="000000"/>
                <w:kern w:val="0"/>
                <w:sz w:val="22"/>
                <w:szCs w:val="22"/>
                <w:lang w:val="en-GB"/>
              </w:rPr>
              <w:t>7</w:t>
            </w:r>
          </w:p>
        </w:tc>
        <w:tc>
          <w:tcPr>
            <w:tcW w:w="769" w:type="dxa"/>
            <w:shd w:val="clear" w:color="auto" w:fill="auto"/>
            <w:noWrap w:val="0"/>
            <w:vAlign w:val="center"/>
          </w:tcPr>
          <w:p w14:paraId="30EED647">
            <w:pPr>
              <w:widowControl/>
              <w:spacing w:line="0" w:lineRule="atLeast"/>
              <w:ind w:firstLine="0" w:firstLineChars="0"/>
              <w:rPr>
                <w:rFonts w:hint="default" w:ascii="宋体" w:hAnsi="宋体" w:eastAsia="宋体" w:cs="宋体"/>
                <w:color w:val="000000"/>
                <w:kern w:val="0"/>
                <w:sz w:val="22"/>
                <w:szCs w:val="22"/>
                <w:lang w:val="en-GB"/>
              </w:rPr>
            </w:pPr>
            <w:r>
              <w:rPr>
                <w:rFonts w:hint="default" w:cs="宋体"/>
                <w:color w:val="000000"/>
                <w:kern w:val="0"/>
                <w:sz w:val="22"/>
                <w:szCs w:val="22"/>
                <w:lang w:val="en-GB"/>
              </w:rPr>
              <w:t>7</w:t>
            </w:r>
          </w:p>
        </w:tc>
      </w:tr>
      <w:tr w14:paraId="3DBC7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shd w:val="clear" w:color="auto" w:fill="auto"/>
            <w:noWrap w:val="0"/>
            <w:vAlign w:val="center"/>
          </w:tcPr>
          <w:p w14:paraId="0941484B">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auto"/>
            <w:noWrap w:val="0"/>
            <w:vAlign w:val="center"/>
          </w:tcPr>
          <w:p w14:paraId="324030BA">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产出时效</w:t>
            </w:r>
          </w:p>
        </w:tc>
        <w:tc>
          <w:tcPr>
            <w:tcW w:w="820" w:type="dxa"/>
            <w:shd w:val="clear" w:color="auto" w:fill="auto"/>
            <w:noWrap w:val="0"/>
            <w:vAlign w:val="center"/>
          </w:tcPr>
          <w:p w14:paraId="12DFC0DF">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2016年病媒生物消杀及时率</w:t>
            </w:r>
          </w:p>
        </w:tc>
        <w:tc>
          <w:tcPr>
            <w:tcW w:w="2141" w:type="dxa"/>
            <w:shd w:val="clear" w:color="auto" w:fill="auto"/>
            <w:noWrap w:val="0"/>
            <w:vAlign w:val="center"/>
          </w:tcPr>
          <w:p w14:paraId="3D918EB5">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项目实际完成时间与计划完成时间的比较，用以反映和考核项目产出时效目标的实现程度。</w:t>
            </w:r>
          </w:p>
        </w:tc>
        <w:tc>
          <w:tcPr>
            <w:tcW w:w="7821" w:type="dxa"/>
            <w:shd w:val="clear" w:color="auto" w:fill="auto"/>
            <w:noWrap w:val="0"/>
            <w:vAlign w:val="center"/>
          </w:tcPr>
          <w:p w14:paraId="3B4E1029">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实际完成时间：项目实施单位完成该项目实际所耗用的时间。</w:t>
            </w:r>
          </w:p>
          <w:p w14:paraId="3E48EC7B">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计划完成时间：按照项目实施计划或相关规定完成该项目所需的时间。</w:t>
            </w:r>
          </w:p>
        </w:tc>
        <w:tc>
          <w:tcPr>
            <w:tcW w:w="785" w:type="dxa"/>
            <w:shd w:val="clear" w:color="auto" w:fill="auto"/>
            <w:noWrap w:val="0"/>
            <w:vAlign w:val="center"/>
          </w:tcPr>
          <w:p w14:paraId="0FE6E573">
            <w:pPr>
              <w:widowControl/>
              <w:spacing w:line="0" w:lineRule="atLeast"/>
              <w:ind w:firstLine="0" w:firstLineChars="0"/>
              <w:rPr>
                <w:rFonts w:hint="default" w:ascii="宋体" w:hAnsi="宋体" w:eastAsia="宋体" w:cs="宋体"/>
                <w:color w:val="000000"/>
                <w:kern w:val="0"/>
                <w:sz w:val="22"/>
                <w:szCs w:val="22"/>
                <w:lang w:val="en-GB"/>
              </w:rPr>
            </w:pPr>
            <w:r>
              <w:rPr>
                <w:rFonts w:hint="default" w:cs="宋体"/>
                <w:color w:val="000000"/>
                <w:kern w:val="0"/>
                <w:sz w:val="22"/>
                <w:szCs w:val="22"/>
                <w:lang w:val="en-GB"/>
              </w:rPr>
              <w:t>4</w:t>
            </w:r>
          </w:p>
        </w:tc>
        <w:tc>
          <w:tcPr>
            <w:tcW w:w="769" w:type="dxa"/>
            <w:shd w:val="clear" w:color="auto" w:fill="auto"/>
            <w:noWrap w:val="0"/>
            <w:vAlign w:val="center"/>
          </w:tcPr>
          <w:p w14:paraId="2D7646D1">
            <w:pPr>
              <w:widowControl/>
              <w:spacing w:line="0" w:lineRule="atLeast"/>
              <w:ind w:firstLine="0" w:firstLineChars="0"/>
              <w:rPr>
                <w:rFonts w:hint="default" w:ascii="宋体" w:hAnsi="宋体" w:eastAsia="宋体" w:cs="宋体"/>
                <w:color w:val="000000"/>
                <w:kern w:val="0"/>
                <w:sz w:val="22"/>
                <w:szCs w:val="22"/>
                <w:lang w:val="en-GB"/>
              </w:rPr>
            </w:pPr>
            <w:r>
              <w:rPr>
                <w:rFonts w:hint="default" w:cs="宋体"/>
                <w:color w:val="000000"/>
                <w:kern w:val="0"/>
                <w:sz w:val="22"/>
                <w:szCs w:val="22"/>
                <w:lang w:val="en-GB"/>
              </w:rPr>
              <w:t>4</w:t>
            </w:r>
          </w:p>
        </w:tc>
      </w:tr>
      <w:tr w14:paraId="5D5D7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shd w:val="clear" w:color="auto" w:fill="auto"/>
            <w:noWrap w:val="0"/>
            <w:vAlign w:val="center"/>
          </w:tcPr>
          <w:p w14:paraId="0611738D">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noWrap w:val="0"/>
            <w:vAlign w:val="center"/>
          </w:tcPr>
          <w:p w14:paraId="599AB510">
            <w:pPr>
              <w:spacing w:line="0" w:lineRule="atLeast"/>
              <w:ind w:firstLine="0" w:firstLineChars="0"/>
              <w:jc w:val="center"/>
              <w:rPr>
                <w:rFonts w:hint="eastAsia" w:ascii="宋体" w:hAnsi="宋体" w:eastAsia="宋体" w:cs="宋体"/>
                <w:color w:val="auto"/>
                <w:kern w:val="0"/>
                <w:sz w:val="22"/>
                <w:szCs w:val="22"/>
                <w:highlight w:val="none"/>
              </w:rPr>
            </w:pPr>
          </w:p>
        </w:tc>
        <w:tc>
          <w:tcPr>
            <w:tcW w:w="820" w:type="dxa"/>
            <w:shd w:val="clear" w:color="auto" w:fill="auto"/>
            <w:noWrap w:val="0"/>
            <w:vAlign w:val="center"/>
          </w:tcPr>
          <w:p w14:paraId="24D139A9">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2016年病媒生物消杀项目资金执行时间</w:t>
            </w:r>
          </w:p>
        </w:tc>
        <w:tc>
          <w:tcPr>
            <w:tcW w:w="2141" w:type="dxa"/>
            <w:shd w:val="clear" w:color="auto" w:fill="auto"/>
            <w:noWrap w:val="0"/>
            <w:vAlign w:val="center"/>
          </w:tcPr>
          <w:p w14:paraId="21EE2987">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项目实际完成时间与计划完成时间的比较，用以反映和考核项目产出时效目标的实现程度。</w:t>
            </w:r>
          </w:p>
        </w:tc>
        <w:tc>
          <w:tcPr>
            <w:tcW w:w="7821" w:type="dxa"/>
            <w:shd w:val="clear" w:color="auto" w:fill="auto"/>
            <w:noWrap w:val="0"/>
            <w:vAlign w:val="center"/>
          </w:tcPr>
          <w:p w14:paraId="28037809">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实际完成时间：项目实施单位完成该项目实际所耗用的时间。</w:t>
            </w:r>
          </w:p>
          <w:p w14:paraId="4720C04D">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计划完成时间：按照项目实施计划或相关规定完成该项目所需的时间。</w:t>
            </w:r>
          </w:p>
        </w:tc>
        <w:tc>
          <w:tcPr>
            <w:tcW w:w="785" w:type="dxa"/>
            <w:shd w:val="clear" w:color="auto" w:fill="auto"/>
            <w:noWrap w:val="0"/>
            <w:vAlign w:val="center"/>
          </w:tcPr>
          <w:p w14:paraId="39297A82">
            <w:pPr>
              <w:widowControl/>
              <w:spacing w:line="0" w:lineRule="atLeast"/>
              <w:ind w:firstLine="0" w:firstLineChars="0"/>
              <w:rPr>
                <w:rFonts w:hint="default" w:ascii="宋体" w:hAnsi="宋体" w:eastAsia="宋体" w:cs="宋体"/>
                <w:color w:val="000000"/>
                <w:kern w:val="0"/>
                <w:sz w:val="22"/>
                <w:szCs w:val="22"/>
                <w:lang w:val="en-GB"/>
              </w:rPr>
            </w:pPr>
            <w:r>
              <w:rPr>
                <w:rFonts w:hint="default" w:cs="宋体"/>
                <w:color w:val="000000"/>
                <w:kern w:val="0"/>
                <w:sz w:val="22"/>
                <w:szCs w:val="22"/>
                <w:lang w:val="en-GB"/>
              </w:rPr>
              <w:t>4</w:t>
            </w:r>
          </w:p>
        </w:tc>
        <w:tc>
          <w:tcPr>
            <w:tcW w:w="769" w:type="dxa"/>
            <w:shd w:val="clear" w:color="auto" w:fill="auto"/>
            <w:noWrap w:val="0"/>
            <w:vAlign w:val="center"/>
          </w:tcPr>
          <w:p w14:paraId="25785C6A">
            <w:pPr>
              <w:widowControl/>
              <w:spacing w:line="0" w:lineRule="atLeast"/>
              <w:ind w:firstLine="0" w:firstLineChars="0"/>
              <w:rPr>
                <w:rFonts w:hint="default" w:ascii="宋体" w:hAnsi="宋体" w:eastAsia="宋体" w:cs="宋体"/>
                <w:color w:val="000000"/>
                <w:kern w:val="0"/>
                <w:sz w:val="22"/>
                <w:szCs w:val="22"/>
                <w:lang w:val="en-GB"/>
              </w:rPr>
            </w:pPr>
            <w:r>
              <w:rPr>
                <w:rFonts w:hint="default" w:cs="宋体"/>
                <w:color w:val="000000"/>
                <w:kern w:val="0"/>
                <w:sz w:val="22"/>
                <w:szCs w:val="22"/>
                <w:lang w:val="en-GB"/>
              </w:rPr>
              <w:t>4</w:t>
            </w:r>
          </w:p>
        </w:tc>
      </w:tr>
      <w:tr w14:paraId="22CA5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shd w:val="clear" w:color="auto" w:fill="auto"/>
            <w:noWrap w:val="0"/>
            <w:vAlign w:val="center"/>
          </w:tcPr>
          <w:p w14:paraId="14AD63F6">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noWrap w:val="0"/>
            <w:vAlign w:val="center"/>
          </w:tcPr>
          <w:p w14:paraId="653D361E">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产出成本</w:t>
            </w:r>
          </w:p>
        </w:tc>
        <w:tc>
          <w:tcPr>
            <w:tcW w:w="820" w:type="dxa"/>
            <w:shd w:val="clear" w:color="auto" w:fill="auto"/>
            <w:noWrap w:val="0"/>
            <w:vAlign w:val="center"/>
          </w:tcPr>
          <w:p w14:paraId="72143CBF">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2016年病媒生物消杀成本</w:t>
            </w:r>
          </w:p>
        </w:tc>
        <w:tc>
          <w:tcPr>
            <w:tcW w:w="2141" w:type="dxa"/>
            <w:shd w:val="clear" w:color="auto" w:fill="auto"/>
            <w:noWrap w:val="0"/>
            <w:vAlign w:val="center"/>
          </w:tcPr>
          <w:p w14:paraId="5054AAD8">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完成项目计划工作目标的实际节约成本与计划成本的比率，用以反映和考核项目的成本节约程度。</w:t>
            </w:r>
          </w:p>
        </w:tc>
        <w:tc>
          <w:tcPr>
            <w:tcW w:w="7821" w:type="dxa"/>
            <w:shd w:val="clear" w:color="auto" w:fill="auto"/>
            <w:noWrap w:val="0"/>
            <w:vAlign w:val="center"/>
          </w:tcPr>
          <w:p w14:paraId="6FFF277D">
            <w:pPr>
              <w:widowControl/>
              <w:spacing w:line="0" w:lineRule="atLeast"/>
              <w:ind w:firstLine="0" w:firstLineChars="0"/>
              <w:rPr>
                <w:rFonts w:hint="eastAsia" w:ascii="宋体" w:hAnsi="宋体" w:eastAsia="宋体" w:cs="宋体"/>
                <w:color w:val="000000"/>
                <w:kern w:val="0"/>
                <w:sz w:val="22"/>
                <w:szCs w:val="22"/>
                <w:lang w:eastAsia="zh-CN"/>
              </w:rPr>
            </w:pPr>
          </w:p>
          <w:p w14:paraId="7F719578">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成本节约率=[（计划成本-实际成本）/计划成本]×100%。</w:t>
            </w:r>
          </w:p>
          <w:p w14:paraId="3D5B2C40">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实际成本：项目实施单位如期、保质、保量完成既定工作目标实际所耗费的支出。</w:t>
            </w:r>
          </w:p>
          <w:p w14:paraId="4D398C85">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计划成本：项目实施单位为完成工作目标计划安排的支出，一般以项目预算为参考。</w:t>
            </w:r>
          </w:p>
        </w:tc>
        <w:tc>
          <w:tcPr>
            <w:tcW w:w="785" w:type="dxa"/>
            <w:shd w:val="clear" w:color="auto" w:fill="auto"/>
            <w:noWrap w:val="0"/>
            <w:vAlign w:val="center"/>
          </w:tcPr>
          <w:p w14:paraId="224513F7">
            <w:pPr>
              <w:widowControl/>
              <w:spacing w:line="0" w:lineRule="atLeast"/>
              <w:ind w:firstLine="0" w:firstLineChars="0"/>
              <w:rPr>
                <w:rFonts w:hint="default" w:ascii="宋体" w:hAnsi="宋体" w:eastAsia="宋体" w:cs="宋体"/>
                <w:color w:val="000000"/>
                <w:kern w:val="0"/>
                <w:sz w:val="22"/>
                <w:szCs w:val="22"/>
                <w:lang w:val="en-GB"/>
              </w:rPr>
            </w:pPr>
            <w:r>
              <w:rPr>
                <w:rFonts w:hint="default" w:cs="宋体"/>
                <w:color w:val="000000"/>
                <w:kern w:val="0"/>
                <w:sz w:val="22"/>
                <w:szCs w:val="22"/>
                <w:lang w:val="en-GB"/>
              </w:rPr>
              <w:t>7</w:t>
            </w:r>
          </w:p>
        </w:tc>
        <w:tc>
          <w:tcPr>
            <w:tcW w:w="769" w:type="dxa"/>
            <w:shd w:val="clear" w:color="auto" w:fill="auto"/>
            <w:noWrap w:val="0"/>
            <w:vAlign w:val="center"/>
          </w:tcPr>
          <w:p w14:paraId="10C8B375">
            <w:pPr>
              <w:widowControl/>
              <w:spacing w:line="0" w:lineRule="atLeast"/>
              <w:ind w:firstLine="0" w:firstLineChars="0"/>
              <w:rPr>
                <w:rFonts w:hint="default" w:ascii="宋体" w:hAnsi="宋体" w:eastAsia="宋体" w:cs="宋体"/>
                <w:color w:val="000000"/>
                <w:kern w:val="0"/>
                <w:sz w:val="22"/>
                <w:szCs w:val="22"/>
                <w:lang w:val="en-GB"/>
              </w:rPr>
            </w:pPr>
            <w:r>
              <w:rPr>
                <w:rFonts w:hint="default" w:cs="宋体"/>
                <w:color w:val="000000"/>
                <w:kern w:val="0"/>
                <w:sz w:val="22"/>
                <w:szCs w:val="22"/>
                <w:lang w:val="en-GB"/>
              </w:rPr>
              <w:t>7</w:t>
            </w:r>
          </w:p>
        </w:tc>
      </w:tr>
      <w:tr w14:paraId="16BD6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restart"/>
            <w:shd w:val="clear" w:color="auto" w:fill="auto"/>
            <w:noWrap w:val="0"/>
            <w:vAlign w:val="center"/>
          </w:tcPr>
          <w:p w14:paraId="263E83EA">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效益　</w:t>
            </w:r>
          </w:p>
        </w:tc>
        <w:tc>
          <w:tcPr>
            <w:tcW w:w="727" w:type="dxa"/>
            <w:vMerge w:val="restart"/>
            <w:shd w:val="clear" w:color="auto" w:fill="auto"/>
            <w:noWrap w:val="0"/>
            <w:vAlign w:val="center"/>
          </w:tcPr>
          <w:p w14:paraId="06F487E0">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项目效益　</w:t>
            </w:r>
          </w:p>
        </w:tc>
        <w:tc>
          <w:tcPr>
            <w:tcW w:w="820" w:type="dxa"/>
            <w:shd w:val="clear" w:color="auto" w:fill="auto"/>
            <w:noWrap w:val="0"/>
            <w:vAlign w:val="center"/>
          </w:tcPr>
          <w:p w14:paraId="6417F711">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广大居民的健康和安全意识</w:t>
            </w:r>
          </w:p>
        </w:tc>
        <w:tc>
          <w:tcPr>
            <w:tcW w:w="2141" w:type="dxa"/>
            <w:shd w:val="clear" w:color="auto" w:fill="auto"/>
            <w:noWrap w:val="0"/>
            <w:vAlign w:val="center"/>
          </w:tcPr>
          <w:p w14:paraId="0E37E232">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项目实施所产生的效益。</w:t>
            </w:r>
          </w:p>
        </w:tc>
        <w:tc>
          <w:tcPr>
            <w:tcW w:w="7821" w:type="dxa"/>
            <w:shd w:val="clear" w:color="auto" w:fill="auto"/>
            <w:noWrap w:val="0"/>
            <w:vAlign w:val="center"/>
          </w:tcPr>
          <w:p w14:paraId="0859D64B">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785" w:type="dxa"/>
            <w:shd w:val="clear" w:color="auto" w:fill="auto"/>
            <w:noWrap w:val="0"/>
            <w:vAlign w:val="center"/>
          </w:tcPr>
          <w:p w14:paraId="6657B97F">
            <w:pPr>
              <w:widowControl/>
              <w:spacing w:line="0" w:lineRule="atLeast"/>
              <w:ind w:firstLine="0" w:firstLineChars="0"/>
              <w:rPr>
                <w:rFonts w:hint="default" w:ascii="宋体" w:hAnsi="宋体" w:eastAsia="宋体" w:cs="宋体"/>
                <w:color w:val="000000"/>
                <w:kern w:val="0"/>
                <w:sz w:val="22"/>
                <w:szCs w:val="22"/>
                <w:lang w:val="en-GB"/>
              </w:rPr>
            </w:pPr>
            <w:r>
              <w:rPr>
                <w:rFonts w:hint="default" w:cs="宋体"/>
                <w:color w:val="000000"/>
                <w:kern w:val="0"/>
                <w:sz w:val="22"/>
                <w:szCs w:val="22"/>
                <w:lang w:val="en-GB"/>
              </w:rPr>
              <w:t>15</w:t>
            </w:r>
          </w:p>
        </w:tc>
        <w:tc>
          <w:tcPr>
            <w:tcW w:w="769" w:type="dxa"/>
            <w:shd w:val="clear" w:color="auto" w:fill="auto"/>
            <w:noWrap w:val="0"/>
            <w:vAlign w:val="center"/>
          </w:tcPr>
          <w:p w14:paraId="0E4C3C25">
            <w:pPr>
              <w:widowControl/>
              <w:spacing w:line="0" w:lineRule="atLeast"/>
              <w:ind w:firstLine="0" w:firstLineChars="0"/>
              <w:rPr>
                <w:rFonts w:hint="default" w:ascii="宋体" w:hAnsi="宋体" w:eastAsia="宋体" w:cs="宋体"/>
                <w:color w:val="000000"/>
                <w:kern w:val="0"/>
                <w:sz w:val="22"/>
                <w:szCs w:val="22"/>
                <w:lang w:val="en-GB"/>
              </w:rPr>
            </w:pPr>
            <w:r>
              <w:rPr>
                <w:rFonts w:hint="default" w:cs="宋体"/>
                <w:color w:val="000000"/>
                <w:kern w:val="0"/>
                <w:sz w:val="22"/>
                <w:szCs w:val="22"/>
                <w:lang w:val="en-GB"/>
              </w:rPr>
              <w:t>15</w:t>
            </w:r>
          </w:p>
        </w:tc>
      </w:tr>
      <w:tr w14:paraId="76F78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vMerge w:val="continue"/>
            <w:shd w:val="clear" w:color="auto" w:fill="auto"/>
            <w:noWrap w:val="0"/>
            <w:vAlign w:val="center"/>
          </w:tcPr>
          <w:p w14:paraId="6D7E2D68">
            <w:pPr>
              <w:widowControl/>
              <w:spacing w:line="0" w:lineRule="atLeast"/>
              <w:ind w:firstLine="0" w:firstLineChars="0"/>
              <w:jc w:val="center"/>
              <w:rPr>
                <w:rFonts w:ascii="宋体" w:hAnsi="宋体" w:eastAsia="宋体" w:cs="宋体"/>
                <w:color w:val="000000"/>
                <w:kern w:val="0"/>
                <w:sz w:val="22"/>
                <w:szCs w:val="22"/>
                <w:highlight w:val="yellow"/>
              </w:rPr>
            </w:pPr>
          </w:p>
        </w:tc>
        <w:tc>
          <w:tcPr>
            <w:tcW w:w="727" w:type="dxa"/>
            <w:vMerge w:val="continue"/>
            <w:shd w:val="clear" w:color="auto" w:fill="auto"/>
            <w:noWrap w:val="0"/>
            <w:vAlign w:val="center"/>
          </w:tcPr>
          <w:p w14:paraId="20AD053A">
            <w:pPr>
              <w:widowControl/>
              <w:spacing w:line="0" w:lineRule="atLeast"/>
              <w:ind w:firstLine="0" w:firstLineChars="0"/>
              <w:jc w:val="center"/>
              <w:rPr>
                <w:rFonts w:ascii="宋体" w:hAnsi="宋体" w:eastAsia="宋体" w:cs="宋体"/>
                <w:color w:val="000000"/>
                <w:kern w:val="0"/>
                <w:sz w:val="22"/>
                <w:szCs w:val="22"/>
                <w:highlight w:val="yellow"/>
              </w:rPr>
            </w:pPr>
          </w:p>
        </w:tc>
        <w:tc>
          <w:tcPr>
            <w:tcW w:w="820" w:type="dxa"/>
            <w:shd w:val="clear" w:color="auto" w:fill="auto"/>
            <w:noWrap w:val="0"/>
            <w:vAlign w:val="center"/>
          </w:tcPr>
          <w:p w14:paraId="16BAC256">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服务群众满意度</w:t>
            </w:r>
          </w:p>
        </w:tc>
        <w:tc>
          <w:tcPr>
            <w:tcW w:w="2141" w:type="dxa"/>
            <w:shd w:val="clear" w:color="auto" w:fill="auto"/>
            <w:noWrap w:val="0"/>
            <w:vAlign w:val="center"/>
          </w:tcPr>
          <w:p w14:paraId="122E29C6">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社会公众或服务对象对项目实施效果的满意程度。</w:t>
            </w:r>
          </w:p>
        </w:tc>
        <w:tc>
          <w:tcPr>
            <w:tcW w:w="7821" w:type="dxa"/>
            <w:shd w:val="clear" w:color="auto" w:fill="auto"/>
            <w:noWrap w:val="0"/>
            <w:vAlign w:val="center"/>
          </w:tcPr>
          <w:p w14:paraId="2DF922DD">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社会公众或服务对象是指因该项目实施而受到影响的部门（单位）、群体或个人。一般采取社会调查的方式。</w:t>
            </w:r>
          </w:p>
        </w:tc>
        <w:tc>
          <w:tcPr>
            <w:tcW w:w="785" w:type="dxa"/>
            <w:shd w:val="clear" w:color="auto" w:fill="auto"/>
            <w:noWrap w:val="0"/>
            <w:vAlign w:val="center"/>
          </w:tcPr>
          <w:p w14:paraId="2C80EAB0">
            <w:pPr>
              <w:widowControl/>
              <w:spacing w:line="0" w:lineRule="atLeast"/>
              <w:ind w:firstLine="0" w:firstLineChars="0"/>
              <w:rPr>
                <w:rFonts w:hint="default" w:ascii="宋体" w:hAnsi="宋体" w:eastAsia="宋体" w:cs="宋体"/>
                <w:color w:val="000000"/>
                <w:kern w:val="0"/>
                <w:sz w:val="22"/>
                <w:szCs w:val="22"/>
                <w:lang w:val="en-GB"/>
              </w:rPr>
            </w:pPr>
            <w:r>
              <w:rPr>
                <w:rFonts w:hint="default" w:cs="宋体"/>
                <w:color w:val="000000"/>
                <w:kern w:val="0"/>
                <w:sz w:val="22"/>
                <w:szCs w:val="22"/>
                <w:lang w:val="en-GB"/>
              </w:rPr>
              <w:t>15</w:t>
            </w:r>
          </w:p>
        </w:tc>
        <w:tc>
          <w:tcPr>
            <w:tcW w:w="769" w:type="dxa"/>
            <w:shd w:val="clear" w:color="auto" w:fill="auto"/>
            <w:noWrap w:val="0"/>
            <w:vAlign w:val="center"/>
          </w:tcPr>
          <w:p w14:paraId="434B20CE">
            <w:pPr>
              <w:widowControl/>
              <w:spacing w:line="0" w:lineRule="atLeast"/>
              <w:ind w:firstLine="0" w:firstLineChars="0"/>
              <w:rPr>
                <w:rFonts w:hint="default" w:ascii="宋体" w:hAnsi="宋体" w:eastAsia="宋体" w:cs="宋体"/>
                <w:color w:val="000000"/>
                <w:kern w:val="0"/>
                <w:sz w:val="22"/>
                <w:szCs w:val="22"/>
                <w:lang w:val="en-GB"/>
              </w:rPr>
            </w:pPr>
            <w:r>
              <w:rPr>
                <w:rFonts w:hint="default" w:cs="宋体"/>
                <w:color w:val="000000"/>
                <w:kern w:val="0"/>
                <w:sz w:val="22"/>
                <w:szCs w:val="22"/>
                <w:lang w:val="en-GB"/>
              </w:rPr>
              <w:t>15</w:t>
            </w:r>
          </w:p>
        </w:tc>
      </w:tr>
      <w:tr w14:paraId="08C57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17" w:hRule="atLeast"/>
          <w:jc w:val="center"/>
        </w:trPr>
        <w:tc>
          <w:tcPr>
            <w:tcW w:w="4549" w:type="dxa"/>
            <w:gridSpan w:val="4"/>
            <w:shd w:val="clear" w:color="auto" w:fill="auto"/>
            <w:noWrap w:val="0"/>
            <w:vAlign w:val="center"/>
          </w:tcPr>
          <w:p w14:paraId="0562F23A">
            <w:pPr>
              <w:widowControl/>
              <w:spacing w:line="0" w:lineRule="atLeast"/>
              <w:ind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合计</w:t>
            </w:r>
          </w:p>
        </w:tc>
        <w:tc>
          <w:tcPr>
            <w:tcW w:w="7821" w:type="dxa"/>
            <w:shd w:val="clear" w:color="auto" w:fill="auto"/>
            <w:noWrap w:val="0"/>
            <w:vAlign w:val="center"/>
          </w:tcPr>
          <w:p w14:paraId="013B6B32">
            <w:pPr>
              <w:widowControl/>
              <w:spacing w:line="0" w:lineRule="atLeast"/>
              <w:ind w:firstLine="0" w:firstLineChars="0"/>
              <w:rPr>
                <w:rFonts w:hint="eastAsia" w:ascii="宋体" w:hAnsi="宋体" w:eastAsia="宋体" w:cs="宋体"/>
                <w:color w:val="000000"/>
                <w:kern w:val="0"/>
                <w:sz w:val="22"/>
                <w:szCs w:val="22"/>
              </w:rPr>
            </w:pPr>
          </w:p>
        </w:tc>
        <w:tc>
          <w:tcPr>
            <w:tcW w:w="785" w:type="dxa"/>
            <w:shd w:val="clear" w:color="auto" w:fill="auto"/>
            <w:noWrap w:val="0"/>
            <w:vAlign w:val="center"/>
          </w:tcPr>
          <w:p w14:paraId="3E05ADAD">
            <w:pPr>
              <w:widowControl/>
              <w:spacing w:line="0" w:lineRule="atLeast"/>
              <w:ind w:firstLine="0" w:firstLineChars="0"/>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100</w:t>
            </w:r>
          </w:p>
        </w:tc>
        <w:tc>
          <w:tcPr>
            <w:tcW w:w="769" w:type="dxa"/>
            <w:shd w:val="clear" w:color="auto" w:fill="auto"/>
            <w:noWrap w:val="0"/>
            <w:vAlign w:val="center"/>
          </w:tcPr>
          <w:p w14:paraId="592D3FD1">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100</w:t>
            </w:r>
          </w:p>
        </w:tc>
      </w:tr>
    </w:tbl>
    <w:p w14:paraId="7E43DD6F">
      <w:pPr>
        <w:spacing w:line="240" w:lineRule="auto"/>
        <w:ind w:firstLine="0" w:firstLineChars="0"/>
        <w:rPr>
          <w:rFonts w:ascii="Times New Roman" w:hAnsi="Times New Roman" w:eastAsia="仿宋_GB2312" w:cs="Times New Roman"/>
          <w:sz w:val="30"/>
          <w:szCs w:val="24"/>
        </w:rPr>
      </w:pPr>
    </w:p>
    <w:p w14:paraId="01F712CB">
      <w:pPr>
        <w:rPr>
          <w:rFonts w:hint="default"/>
          <w:lang w:val="en-US" w:eastAsia="zh-CN"/>
        </w:rPr>
      </w:pPr>
    </w:p>
    <w:sectPr>
      <w:pgSz w:w="16838" w:h="11906" w:orient="landscape"/>
      <w:pgMar w:top="1800" w:right="1440" w:bottom="1800" w:left="1440" w:header="737" w:footer="851" w:gutter="0"/>
      <w:pgNumType w:fmt="decimal"/>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B7C7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938A9">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3938A9">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pPr>
        <w:ind w:left="-404"/>
      </w:pPr>
      <w:rPr>
        <w:rFonts w:hint="eastAsia"/>
      </w:rPr>
    </w:lvl>
  </w:abstractNum>
  <w:abstractNum w:abstractNumId="1">
    <w:nsid w:val="1FFA6D59"/>
    <w:multiLevelType w:val="singleLevel"/>
    <w:tmpl w:val="1FFA6D59"/>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NzIwMTU3YTRiZGFmNmQzZjIzZGVlNTEwZTE2MjkifQ=="/>
  </w:docVars>
  <w:rsids>
    <w:rsidRoot w:val="00172A27"/>
    <w:rsid w:val="004B4077"/>
    <w:rsid w:val="007D6A04"/>
    <w:rsid w:val="00E23C81"/>
    <w:rsid w:val="01253350"/>
    <w:rsid w:val="01282E62"/>
    <w:rsid w:val="014029CF"/>
    <w:rsid w:val="01470C4C"/>
    <w:rsid w:val="02200440"/>
    <w:rsid w:val="02284B43"/>
    <w:rsid w:val="02B015E2"/>
    <w:rsid w:val="02DC08FA"/>
    <w:rsid w:val="033B569D"/>
    <w:rsid w:val="039C3BA0"/>
    <w:rsid w:val="03A47189"/>
    <w:rsid w:val="03A845BB"/>
    <w:rsid w:val="03B45AD1"/>
    <w:rsid w:val="04D12EE4"/>
    <w:rsid w:val="04D63993"/>
    <w:rsid w:val="07127727"/>
    <w:rsid w:val="077F0E21"/>
    <w:rsid w:val="07890F4F"/>
    <w:rsid w:val="08892439"/>
    <w:rsid w:val="08EB30F3"/>
    <w:rsid w:val="09237408"/>
    <w:rsid w:val="09781BD6"/>
    <w:rsid w:val="09F359DF"/>
    <w:rsid w:val="0A575E65"/>
    <w:rsid w:val="0ACA0AB6"/>
    <w:rsid w:val="0C032502"/>
    <w:rsid w:val="0C27698C"/>
    <w:rsid w:val="0D4452F3"/>
    <w:rsid w:val="0DAF7221"/>
    <w:rsid w:val="0F5E5042"/>
    <w:rsid w:val="0FE95707"/>
    <w:rsid w:val="10510571"/>
    <w:rsid w:val="10787A20"/>
    <w:rsid w:val="108672DE"/>
    <w:rsid w:val="10EC685A"/>
    <w:rsid w:val="11FA6155"/>
    <w:rsid w:val="120A60B9"/>
    <w:rsid w:val="12CF0947"/>
    <w:rsid w:val="12F1313F"/>
    <w:rsid w:val="136C678E"/>
    <w:rsid w:val="13EB2FF5"/>
    <w:rsid w:val="14B04B46"/>
    <w:rsid w:val="15A46B04"/>
    <w:rsid w:val="165825BC"/>
    <w:rsid w:val="16BC5D73"/>
    <w:rsid w:val="176F36D7"/>
    <w:rsid w:val="1795226D"/>
    <w:rsid w:val="18456B1E"/>
    <w:rsid w:val="1BE7640B"/>
    <w:rsid w:val="1C1171C5"/>
    <w:rsid w:val="1C93513C"/>
    <w:rsid w:val="1D265138"/>
    <w:rsid w:val="1D7B6BCA"/>
    <w:rsid w:val="1DA41A79"/>
    <w:rsid w:val="1DF53469"/>
    <w:rsid w:val="1E2F24F2"/>
    <w:rsid w:val="1E58492F"/>
    <w:rsid w:val="1E5B6757"/>
    <w:rsid w:val="1ED10AC6"/>
    <w:rsid w:val="1F161993"/>
    <w:rsid w:val="1F89225F"/>
    <w:rsid w:val="1F900A1F"/>
    <w:rsid w:val="1FC0575D"/>
    <w:rsid w:val="206132C7"/>
    <w:rsid w:val="21B00C1D"/>
    <w:rsid w:val="21B5603D"/>
    <w:rsid w:val="2229784B"/>
    <w:rsid w:val="23031BEB"/>
    <w:rsid w:val="23917691"/>
    <w:rsid w:val="244D65B8"/>
    <w:rsid w:val="245E1E24"/>
    <w:rsid w:val="25AD5E5D"/>
    <w:rsid w:val="2732478D"/>
    <w:rsid w:val="27661469"/>
    <w:rsid w:val="27782B38"/>
    <w:rsid w:val="27900EAD"/>
    <w:rsid w:val="279B538A"/>
    <w:rsid w:val="27D476D3"/>
    <w:rsid w:val="286F545C"/>
    <w:rsid w:val="29314FBC"/>
    <w:rsid w:val="2C024B86"/>
    <w:rsid w:val="2C927671"/>
    <w:rsid w:val="2D7C5CD6"/>
    <w:rsid w:val="2E483E7E"/>
    <w:rsid w:val="2E690493"/>
    <w:rsid w:val="2E9854BD"/>
    <w:rsid w:val="2F0D407F"/>
    <w:rsid w:val="2F3A6112"/>
    <w:rsid w:val="2F454B19"/>
    <w:rsid w:val="310224D9"/>
    <w:rsid w:val="31B4621C"/>
    <w:rsid w:val="31E3230A"/>
    <w:rsid w:val="330957E0"/>
    <w:rsid w:val="33356F64"/>
    <w:rsid w:val="33944516"/>
    <w:rsid w:val="34B62907"/>
    <w:rsid w:val="36BD137C"/>
    <w:rsid w:val="385D37E7"/>
    <w:rsid w:val="38782EDD"/>
    <w:rsid w:val="390A1244"/>
    <w:rsid w:val="39C32484"/>
    <w:rsid w:val="3B42664A"/>
    <w:rsid w:val="3BC452BC"/>
    <w:rsid w:val="3D836A4E"/>
    <w:rsid w:val="3EA37E97"/>
    <w:rsid w:val="3F996E83"/>
    <w:rsid w:val="3FBE0BC5"/>
    <w:rsid w:val="4048103A"/>
    <w:rsid w:val="40736643"/>
    <w:rsid w:val="40D24A7A"/>
    <w:rsid w:val="412E2F0E"/>
    <w:rsid w:val="42621029"/>
    <w:rsid w:val="435241E2"/>
    <w:rsid w:val="43975C51"/>
    <w:rsid w:val="439E3FA7"/>
    <w:rsid w:val="44342102"/>
    <w:rsid w:val="44B32266"/>
    <w:rsid w:val="44FC64F4"/>
    <w:rsid w:val="467F4585"/>
    <w:rsid w:val="46805AA2"/>
    <w:rsid w:val="468E24F6"/>
    <w:rsid w:val="470628CB"/>
    <w:rsid w:val="47555BD4"/>
    <w:rsid w:val="47E96399"/>
    <w:rsid w:val="48E12B50"/>
    <w:rsid w:val="499441BE"/>
    <w:rsid w:val="499A6C1C"/>
    <w:rsid w:val="4A054118"/>
    <w:rsid w:val="4A2138F0"/>
    <w:rsid w:val="4A583887"/>
    <w:rsid w:val="4B9F6E02"/>
    <w:rsid w:val="4C89637B"/>
    <w:rsid w:val="4DD65589"/>
    <w:rsid w:val="4E6E48A8"/>
    <w:rsid w:val="4EEC036B"/>
    <w:rsid w:val="501D2673"/>
    <w:rsid w:val="50C80BF1"/>
    <w:rsid w:val="51382A3D"/>
    <w:rsid w:val="51852833"/>
    <w:rsid w:val="52F11AC8"/>
    <w:rsid w:val="534F49D9"/>
    <w:rsid w:val="53555F0F"/>
    <w:rsid w:val="535D23D5"/>
    <w:rsid w:val="56DE7DB7"/>
    <w:rsid w:val="56F4341A"/>
    <w:rsid w:val="575A7321"/>
    <w:rsid w:val="580C3AB9"/>
    <w:rsid w:val="583C7AE0"/>
    <w:rsid w:val="586C1E9A"/>
    <w:rsid w:val="586E0800"/>
    <w:rsid w:val="59216F96"/>
    <w:rsid w:val="59280AFA"/>
    <w:rsid w:val="598C4145"/>
    <w:rsid w:val="59957D1B"/>
    <w:rsid w:val="59D4294E"/>
    <w:rsid w:val="5A9B61F6"/>
    <w:rsid w:val="5B634312"/>
    <w:rsid w:val="5B9D2CCD"/>
    <w:rsid w:val="5B9E71EA"/>
    <w:rsid w:val="5E226FBC"/>
    <w:rsid w:val="5F511D53"/>
    <w:rsid w:val="5FCC6F60"/>
    <w:rsid w:val="5FE72BD2"/>
    <w:rsid w:val="60120613"/>
    <w:rsid w:val="60652CC9"/>
    <w:rsid w:val="618D5292"/>
    <w:rsid w:val="622E78FA"/>
    <w:rsid w:val="63343F70"/>
    <w:rsid w:val="64296E1C"/>
    <w:rsid w:val="649E64A2"/>
    <w:rsid w:val="651E7201"/>
    <w:rsid w:val="65E5270A"/>
    <w:rsid w:val="663D3C54"/>
    <w:rsid w:val="66862C89"/>
    <w:rsid w:val="66BB486D"/>
    <w:rsid w:val="67394C7D"/>
    <w:rsid w:val="675F2433"/>
    <w:rsid w:val="68126B38"/>
    <w:rsid w:val="68291A1A"/>
    <w:rsid w:val="68352BB8"/>
    <w:rsid w:val="691B1594"/>
    <w:rsid w:val="693A016B"/>
    <w:rsid w:val="6A17429C"/>
    <w:rsid w:val="6A567EA3"/>
    <w:rsid w:val="6B4B4368"/>
    <w:rsid w:val="6B79100E"/>
    <w:rsid w:val="6B7F4733"/>
    <w:rsid w:val="6C844C00"/>
    <w:rsid w:val="6DC8062D"/>
    <w:rsid w:val="6DD32C57"/>
    <w:rsid w:val="6E10212C"/>
    <w:rsid w:val="6E43561A"/>
    <w:rsid w:val="6E557973"/>
    <w:rsid w:val="6E9568DB"/>
    <w:rsid w:val="6F0D6C22"/>
    <w:rsid w:val="6F47657F"/>
    <w:rsid w:val="6FAF23D9"/>
    <w:rsid w:val="70635CF6"/>
    <w:rsid w:val="70670707"/>
    <w:rsid w:val="7126715B"/>
    <w:rsid w:val="720E3691"/>
    <w:rsid w:val="724E244C"/>
    <w:rsid w:val="72DA6946"/>
    <w:rsid w:val="732764B3"/>
    <w:rsid w:val="74026044"/>
    <w:rsid w:val="7459229E"/>
    <w:rsid w:val="74746410"/>
    <w:rsid w:val="74FC5A6A"/>
    <w:rsid w:val="75E5007C"/>
    <w:rsid w:val="77813724"/>
    <w:rsid w:val="77861774"/>
    <w:rsid w:val="78F31435"/>
    <w:rsid w:val="79145A61"/>
    <w:rsid w:val="79300B45"/>
    <w:rsid w:val="794D3E18"/>
    <w:rsid w:val="79863A8A"/>
    <w:rsid w:val="79F3729A"/>
    <w:rsid w:val="7A880722"/>
    <w:rsid w:val="7ACB0498"/>
    <w:rsid w:val="7AED0B4D"/>
    <w:rsid w:val="7C1E4487"/>
    <w:rsid w:val="7C215E02"/>
    <w:rsid w:val="7CF23764"/>
    <w:rsid w:val="7E797F74"/>
    <w:rsid w:val="7F924011"/>
    <w:rsid w:val="7FC5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3">
    <w:name w:val="heading 1"/>
    <w:basedOn w:val="1"/>
    <w:next w:val="1"/>
    <w:autoRedefine/>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2">
    <w:name w:val="heading 2"/>
    <w:basedOn w:val="1"/>
    <w:next w:val="1"/>
    <w:link w:val="15"/>
    <w:autoRedefine/>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4">
    <w:name w:val="heading 3"/>
    <w:basedOn w:val="1"/>
    <w:next w:val="1"/>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7"/>
    <w:autoRedefine/>
    <w:qFormat/>
    <w:uiPriority w:val="0"/>
    <w:pPr>
      <w:spacing w:before="240" w:after="240" w:line="360" w:lineRule="auto"/>
      <w:jc w:val="center"/>
    </w:pPr>
    <w:rPr>
      <w:b/>
      <w:sz w:val="44"/>
    </w:rPr>
  </w:style>
  <w:style w:type="paragraph" w:styleId="7">
    <w:name w:val="Body Text 2"/>
    <w:basedOn w:val="1"/>
    <w:autoRedefine/>
    <w:qFormat/>
    <w:uiPriority w:val="0"/>
    <w:pPr>
      <w:spacing w:after="120" w:line="480" w:lineRule="auto"/>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qFormat/>
    <w:uiPriority w:val="0"/>
    <w:pPr>
      <w:spacing w:before="240" w:beforeLines="0" w:after="60" w:afterLines="0"/>
      <w:jc w:val="left"/>
      <w:outlineLvl w:val="0"/>
    </w:pPr>
    <w:rPr>
      <w:rFonts w:ascii="MS Sans Serif" w:hAnsi="MS Sans Serif" w:eastAsia="宋体" w:cs="MS Sans Serif"/>
      <w:b/>
      <w:bCs/>
      <w:sz w:val="24"/>
      <w:szCs w:val="32"/>
    </w:rPr>
  </w:style>
  <w:style w:type="character" w:styleId="13">
    <w:name w:val="Strong"/>
    <w:basedOn w:val="12"/>
    <w:qFormat/>
    <w:uiPriority w:val="0"/>
    <w:rPr>
      <w:b/>
      <w:bCs/>
    </w:rPr>
  </w:style>
  <w:style w:type="paragraph" w:customStyle="1" w:styleId="14">
    <w:name w:val="正文 A"/>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5">
    <w:name w:val="标题 2 Char"/>
    <w:link w:val="2"/>
    <w:autoRedefine/>
    <w:qFormat/>
    <w:uiPriority w:val="0"/>
    <w:rPr>
      <w:rFonts w:ascii="Arial" w:hAnsi="Arial" w:eastAsia="楷体"/>
      <w:b/>
      <w:sz w:val="32"/>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autoRedefine/>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8813</Words>
  <Characters>9224</Characters>
  <Lines>0</Lines>
  <Paragraphs>0</Paragraphs>
  <TotalTime>1</TotalTime>
  <ScaleCrop>false</ScaleCrop>
  <LinksUpToDate>false</LinksUpToDate>
  <CharactersWithSpaces>9301</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想不到的瑞</cp:lastModifiedBy>
  <dcterms:modified xsi:type="dcterms:W3CDTF">2024-10-10T07:34:54Z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62131E07F2F546D7A2B55C5CA71AD5A4</vt:lpwstr>
  </property>
</Properties>
</file>