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0E59">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14:paraId="4E5B13E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0CE81C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D1FE6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ascii="宋体" w:hAnsi="宋体" w:eastAsia="宋体" w:cs="宋体"/>
          <w:b/>
          <w:bCs/>
          <w:color w:val="auto"/>
          <w:sz w:val="40"/>
          <w:szCs w:val="40"/>
          <w:highlight w:val="none"/>
          <w:shd w:val="clear" w:color="auto" w:fill="auto"/>
          <w:lang w:val="en-US" w:eastAsia="zh-CN"/>
        </w:rPr>
        <w:t>自治区公共卫生服务【地方公共卫生】补助资金全民健康体检项目</w:t>
      </w:r>
      <w:r>
        <w:rPr>
          <w:rFonts w:hint="eastAsia" w:ascii="宋体" w:hAnsi="宋体" w:eastAsia="宋体" w:cs="宋体"/>
          <w:b/>
          <w:bCs/>
          <w:color w:val="auto"/>
          <w:sz w:val="40"/>
          <w:szCs w:val="40"/>
          <w:highlight w:val="none"/>
          <w:shd w:val="clear" w:color="auto" w:fill="auto"/>
        </w:rPr>
        <w:t>支出绩效评价报告</w:t>
      </w:r>
      <w:bookmarkEnd w:id="0"/>
    </w:p>
    <w:p w14:paraId="5B2D5B9F">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5F381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94CDE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7D54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F2AC2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0E01E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3D8EA6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011EB2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项目名称：自治区公共卫生服务【地方公共卫生】补助资金全民健康体检</w:t>
      </w:r>
    </w:p>
    <w:p w14:paraId="7855B3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实施单位：阜康市上户沟哈萨克民族乡卫生院</w:t>
      </w:r>
    </w:p>
    <w:p w14:paraId="2BF113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主管部门：阜康市卫生健康委员会</w:t>
      </w:r>
    </w:p>
    <w:p w14:paraId="12BCA351">
      <w:pPr>
        <w:pStyle w:val="2"/>
        <w:outlineLvl w:val="9"/>
        <w:rPr>
          <w:rFonts w:hint="eastAsia" w:ascii="宋体" w:hAnsi="宋体" w:eastAsia="宋体" w:cs="宋体"/>
          <w:b/>
          <w:color w:val="auto"/>
          <w:kern w:val="2"/>
          <w:sz w:val="28"/>
          <w:szCs w:val="28"/>
          <w:highlight w:val="none"/>
          <w:shd w:val="clear" w:color="auto" w:fill="auto"/>
          <w:lang w:val="en-US" w:eastAsia="zh-CN"/>
        </w:rPr>
      </w:pPr>
    </w:p>
    <w:p w14:paraId="29DB17F2">
      <w:pPr>
        <w:rPr>
          <w:rFonts w:hint="eastAsia"/>
          <w:color w:val="auto"/>
          <w:highlight w:val="none"/>
          <w:lang w:val="en-US" w:eastAsia="zh-CN"/>
        </w:rPr>
      </w:pPr>
      <w:r>
        <w:rPr>
          <w:rFonts w:hint="eastAsia"/>
          <w:color w:val="auto"/>
          <w:highlight w:val="none"/>
          <w:lang w:val="en-US" w:eastAsia="zh-CN"/>
        </w:rPr>
        <w:br w:type="page"/>
      </w:r>
    </w:p>
    <w:p w14:paraId="0071B735">
      <w:pPr>
        <w:rPr>
          <w:rFonts w:hint="eastAsia"/>
          <w:color w:val="auto"/>
          <w:highlight w:val="none"/>
          <w:lang w:val="en-US" w:eastAsia="zh-CN"/>
        </w:rPr>
      </w:pPr>
    </w:p>
    <w:sdt>
      <w:sdtPr>
        <w:rPr>
          <w:rFonts w:ascii="宋体" w:hAnsi="宋体" w:eastAsia="宋体" w:cs="宋体"/>
          <w:b/>
          <w:bCs/>
          <w:color w:val="auto"/>
          <w:kern w:val="2"/>
          <w:sz w:val="28"/>
          <w:szCs w:val="40"/>
          <w:highlight w:val="none"/>
          <w:lang w:val="en-US" w:eastAsia="zh-CN" w:bidi="ar-SA"/>
        </w:rPr>
        <w:id w:val="147474046"/>
        <w15:color w:val="DBDBDB"/>
      </w:sdtPr>
      <w:sdtEndPr>
        <w:rPr>
          <w:rFonts w:hint="eastAsia" w:ascii="宋体" w:hAnsi="宋体" w:eastAsia="宋体" w:cs="宋体"/>
          <w:b/>
          <w:bCs/>
          <w:color w:val="auto"/>
          <w:kern w:val="2"/>
          <w:sz w:val="28"/>
          <w:szCs w:val="28"/>
          <w:highlight w:val="none"/>
          <w:lang w:val="en-US" w:eastAsia="zh-CN" w:bidi="ar-SA"/>
        </w:rPr>
      </w:sdtEndPr>
      <w:sdtContent>
        <w:p w14:paraId="565CA3EE">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rPr>
          </w:pPr>
          <w:r>
            <w:rPr>
              <w:rFonts w:ascii="宋体" w:hAnsi="宋体" w:eastAsia="宋体"/>
              <w:b/>
              <w:bCs/>
              <w:color w:val="auto"/>
              <w:sz w:val="40"/>
              <w:szCs w:val="40"/>
              <w:highlight w:val="none"/>
            </w:rPr>
            <w:t>目录</w:t>
          </w:r>
        </w:p>
        <w:p w14:paraId="337AD776">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14:paraId="036FCD00">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1D7CEAA4">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15C5EB10">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14:paraId="10E82FE9">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4</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77C950AB">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16BB4E37">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color w:val="auto"/>
              <w:sz w:val="28"/>
              <w:szCs w:val="28"/>
              <w:highlight w:val="none"/>
              <w:lang w:val="en-US" w:eastAsia="zh-CN"/>
            </w:rPr>
            <w:fldChar w:fldCharType="end"/>
          </w:r>
        </w:p>
        <w:p w14:paraId="3A3EEAE4">
          <w:pPr>
            <w:pStyle w:val="19"/>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color w:val="auto"/>
              <w:sz w:val="28"/>
              <w:szCs w:val="28"/>
              <w:highlight w:val="none"/>
              <w:lang w:val="en-US" w:eastAsia="zh-CN"/>
            </w:rPr>
            <w:fldChar w:fldCharType="end"/>
          </w:r>
        </w:p>
        <w:p w14:paraId="25F3B7BF">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3ABD55E1">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0F436D7">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color w:val="auto"/>
              <w:sz w:val="28"/>
              <w:szCs w:val="28"/>
              <w:highlight w:val="none"/>
              <w:lang w:val="en-US" w:eastAsia="zh-CN"/>
            </w:rPr>
            <w:fldChar w:fldCharType="end"/>
          </w:r>
        </w:p>
        <w:p w14:paraId="1925A3C9">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color w:val="auto"/>
              <w:sz w:val="28"/>
              <w:szCs w:val="28"/>
              <w:highlight w:val="none"/>
              <w:lang w:val="en-US" w:eastAsia="zh-CN"/>
            </w:rPr>
            <w:fldChar w:fldCharType="end"/>
          </w:r>
        </w:p>
        <w:p w14:paraId="03DD9CF3">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color w:val="auto"/>
              <w:sz w:val="28"/>
              <w:szCs w:val="28"/>
              <w:highlight w:val="none"/>
              <w:lang w:val="en-US" w:eastAsia="zh-CN"/>
            </w:rPr>
            <w:fldChar w:fldCharType="end"/>
          </w:r>
        </w:p>
        <w:p w14:paraId="608A4FF5">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color w:val="auto"/>
              <w:sz w:val="28"/>
              <w:szCs w:val="28"/>
              <w:highlight w:val="none"/>
              <w:lang w:val="en-US" w:eastAsia="zh-CN"/>
            </w:rPr>
            <w:fldChar w:fldCharType="end"/>
          </w:r>
        </w:p>
        <w:p w14:paraId="6F4AF86F">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8582B3F">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09DDB36">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2E754046">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64557CD7">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1E93BFA">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4BC7AA5">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14:paraId="1A518A28">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cols w:space="720" w:num="1"/>
              <w:docGrid w:type="lines" w:linePitch="408" w:charSpace="0"/>
            </w:sectPr>
          </w:pPr>
          <w:r>
            <w:rPr>
              <w:rFonts w:hint="eastAsia"/>
              <w:color w:val="auto"/>
              <w:sz w:val="28"/>
              <w:szCs w:val="28"/>
              <w:highlight w:val="none"/>
              <w:lang w:val="en-US" w:eastAsia="zh-CN"/>
            </w:rPr>
            <w:fldChar w:fldCharType="end"/>
          </w:r>
        </w:p>
      </w:sdtContent>
    </w:sdt>
    <w:p w14:paraId="745082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ascii="宋体" w:hAnsi="宋体" w:eastAsia="宋体" w:cs="宋体"/>
          <w:b/>
          <w:bCs/>
          <w:color w:val="auto"/>
          <w:sz w:val="36"/>
          <w:szCs w:val="36"/>
          <w:highlight w:val="none"/>
          <w:shd w:val="clear" w:color="auto" w:fill="auto"/>
          <w:lang w:val="en-US" w:eastAsia="zh-CN"/>
        </w:rPr>
        <w:t>全民健康体检</w:t>
      </w:r>
      <w:r>
        <w:rPr>
          <w:rFonts w:hint="eastAsia" w:ascii="宋体" w:hAnsi="宋体" w:eastAsia="宋体" w:cs="宋体"/>
          <w:b/>
          <w:bCs/>
          <w:color w:val="auto"/>
          <w:sz w:val="36"/>
          <w:szCs w:val="36"/>
          <w:highlight w:val="none"/>
          <w:shd w:val="clear" w:color="auto" w:fill="auto"/>
        </w:rPr>
        <w:t>支出绩效评价报告</w:t>
      </w:r>
      <w:bookmarkEnd w:id="1"/>
    </w:p>
    <w:p w14:paraId="09E7CCA6">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579F1712">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2148B029">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4" w:name="_Toc5043"/>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bookmarkEnd w:id="4"/>
    </w:p>
    <w:p w14:paraId="136E482E">
      <w:pPr>
        <w:bidi w:val="0"/>
        <w:rPr>
          <w:rFonts w:hint="eastAsia"/>
          <w:color w:val="auto"/>
          <w:highlight w:val="none"/>
          <w:lang w:val="en-US" w:eastAsia="zh-CN"/>
        </w:rPr>
      </w:pPr>
      <w:r>
        <w:rPr>
          <w:rFonts w:hint="eastAsia" w:cs="宋体"/>
          <w:color w:val="auto"/>
          <w:highlight w:val="none"/>
          <w:shd w:val="clear" w:color="auto" w:fill="auto"/>
          <w:lang w:val="en-US" w:eastAsia="zh-CN"/>
        </w:rPr>
        <w:t>为深入贯彻落实全国卫生与健康大会精神和习近平总书记关于新疆工作总目标的总体要求，自2016年起提出坚持医疗惠民，实施全民健康工程。全民健康体检工程启动后，自治区党委陈全国书记多次作出批示，强调要把“抓紧抓好全民健康体检，尽早实现城乡人民群众全覆盖”作为当前应突出办好的三件和民意、得民心的实事之一，以推动总书记治疆方略落地生根，见到成效。</w:t>
      </w:r>
    </w:p>
    <w:p w14:paraId="36792AC8">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5" w:name="_Toc27343"/>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bookmarkEnd w:id="5"/>
    </w:p>
    <w:p w14:paraId="797FC38D">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bookmarkStart w:id="6" w:name="_Toc16592"/>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w:t>
      </w:r>
      <w:bookmarkEnd w:id="6"/>
      <w:r>
        <w:rPr>
          <w:rFonts w:hint="eastAsia" w:ascii="宋体" w:hAnsi="宋体" w:eastAsia="宋体" w:cs="宋体"/>
          <w:b w:val="0"/>
          <w:bCs w:val="0"/>
          <w:color w:val="auto"/>
          <w:kern w:val="2"/>
          <w:sz w:val="28"/>
          <w:szCs w:val="28"/>
          <w:highlight w:val="none"/>
          <w:shd w:val="clear" w:color="auto" w:fill="auto"/>
          <w:lang w:val="en-US" w:eastAsia="zh-CN" w:bidi="ar-SA"/>
        </w:rPr>
        <w:t>根据各乡镇、街道办事处区域特点和医疗资源配置情况，合理设置固定体检点1个，流动体检车一辆，采取集中体检和上门服务体检方式开展体检。建立健全各项阳性结果报告、追踪登记管理，严格落实危急值立即反馈、重要异常结果24-48小时内通知体检者复检，一般体检结果15天内通过手机短信、微信推送、面对面、体检报告单复印等多种方式一对一反馈、一对一指导。</w:t>
      </w:r>
    </w:p>
    <w:p w14:paraId="4CCC7E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b/>
          <w:bCs/>
          <w:color w:val="auto"/>
          <w:highlight w:val="none"/>
          <w:shd w:val="clear" w:color="auto" w:fill="auto"/>
          <w:lang w:val="en-US" w:eastAsia="zh-CN"/>
        </w:rPr>
        <w:t>组织实施</w:t>
      </w:r>
      <w:r>
        <w:rPr>
          <w:rFonts w:hint="eastAsia" w:ascii="宋体" w:hAnsi="宋体" w:eastAsia="宋体" w:cs="宋体"/>
          <w:b/>
          <w:bCs/>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2016</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自治区党委为深入贯彻落实全国卫生与健康大会精神和习近平总书记关于新疆工作总目标的总体要求，提出坚持医疗惠民，实施全民健康工程，决定从当年起每年对所有新疆籍城乡居民进行一次免费健康体检。</w:t>
      </w:r>
      <w:r>
        <w:rPr>
          <w:rFonts w:hint="eastAsia" w:cs="宋体"/>
          <w:b w:val="0"/>
          <w:bCs w:val="0"/>
          <w:color w:val="auto"/>
          <w:kern w:val="2"/>
          <w:sz w:val="28"/>
          <w:szCs w:val="28"/>
          <w:highlight w:val="none"/>
          <w:shd w:val="clear" w:color="auto" w:fill="auto"/>
          <w:lang w:val="en-US" w:eastAsia="zh-CN" w:bidi="ar-SA"/>
        </w:rPr>
        <w:t>我单位根据各级要求</w:t>
      </w:r>
      <w:r>
        <w:rPr>
          <w:rFonts w:hint="eastAsia" w:ascii="宋体" w:hAnsi="宋体" w:eastAsia="宋体" w:cs="宋体"/>
          <w:color w:val="auto"/>
          <w:highlight w:val="none"/>
          <w:shd w:val="clear" w:color="auto" w:fill="auto"/>
          <w:lang w:val="en-US" w:eastAsia="zh-CN"/>
        </w:rPr>
        <w:t>确定项目领导小组，</w:t>
      </w:r>
      <w:r>
        <w:rPr>
          <w:rFonts w:hint="eastAsia" w:ascii="宋体" w:hAnsi="宋体" w:eastAsia="宋体" w:cs="宋体"/>
          <w:b w:val="0"/>
          <w:bCs w:val="0"/>
          <w:color w:val="auto"/>
          <w:kern w:val="2"/>
          <w:sz w:val="28"/>
          <w:szCs w:val="28"/>
          <w:highlight w:val="none"/>
          <w:shd w:val="clear" w:color="auto" w:fill="auto"/>
          <w:lang w:val="en-US" w:eastAsia="zh-CN" w:bidi="ar-SA"/>
        </w:rPr>
        <w:t>明确了责任分工：组长为张小东，副组长为叶尔那尔，项目负责人为黑扎提,组员为杜智勇、马容、马微，其中：张小东负责监管工作，杜智勇负责项目档案资料，马容负责资金拨付工作</w:t>
      </w:r>
      <w:r>
        <w:rPr>
          <w:rFonts w:hint="eastAsia"/>
          <w:color w:val="auto"/>
          <w:highlight w:val="none"/>
          <w:lang w:val="en-US" w:eastAsia="zh-CN"/>
        </w:rPr>
        <w:t>。</w:t>
      </w:r>
    </w:p>
    <w:p w14:paraId="19FBF226">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7" w:name="_Toc1858"/>
      <w:r>
        <w:rPr>
          <w:rFonts w:hint="eastAsia" w:ascii="宋体" w:hAnsi="宋体" w:eastAsia="宋体" w:cs="宋体"/>
          <w:color w:val="auto"/>
          <w:highlight w:val="none"/>
          <w:shd w:val="clear" w:color="auto" w:fill="auto"/>
          <w:lang w:val="en-US" w:eastAsia="zh-CN"/>
        </w:rPr>
        <w:t>3.资金投入和使用情况</w:t>
      </w:r>
      <w:bookmarkEnd w:id="7"/>
    </w:p>
    <w:p w14:paraId="040296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14:paraId="4BA8E6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val="en-US" w:eastAsia="zh-CN"/>
        </w:rPr>
        <w:t>预算安排总额为</w:t>
      </w:r>
      <w:r>
        <w:rPr>
          <w:rFonts w:hint="eastAsia" w:cs="宋体"/>
          <w:color w:val="auto"/>
          <w:highlight w:val="none"/>
          <w:shd w:val="clear" w:color="auto" w:fill="auto"/>
          <w:lang w:val="en-US" w:eastAsia="zh-CN"/>
        </w:rPr>
        <w:t>27.75</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金27.75</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27.75</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6CC4F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091115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截至2023年12月31日，全民健康体检</w:t>
      </w:r>
      <w:r>
        <w:rPr>
          <w:rFonts w:hint="eastAsia" w:ascii="宋体" w:hAnsi="宋体" w:eastAsia="宋体" w:cs="宋体"/>
          <w:color w:val="auto"/>
          <w:highlight w:val="none"/>
          <w:shd w:val="clear" w:color="auto" w:fill="auto"/>
        </w:rPr>
        <w:t>项目实际支付资金</w:t>
      </w:r>
      <w:r>
        <w:rPr>
          <w:rFonts w:hint="eastAsia" w:cs="宋体"/>
          <w:color w:val="auto"/>
          <w:highlight w:val="none"/>
          <w:shd w:val="clear" w:color="auto" w:fill="auto"/>
          <w:lang w:val="en-US" w:eastAsia="zh-CN"/>
        </w:rPr>
        <w:t>27.75</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全民健康体检试剂耗材购置、体检人员劳务费、体检所需办公用品耗材购置及体检设备维护保养等方面。</w:t>
      </w:r>
    </w:p>
    <w:p w14:paraId="64CB0BA3">
      <w:pPr>
        <w:pStyle w:val="4"/>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highlight w:val="none"/>
          <w:shd w:val="clear" w:color="auto" w:fill="auto"/>
        </w:rPr>
      </w:pPr>
      <w:bookmarkStart w:id="8" w:name="_Toc2879"/>
      <w:r>
        <w:rPr>
          <w:rFonts w:hint="eastAsia" w:ascii="宋体" w:hAnsi="宋体" w:eastAsia="宋体" w:cs="宋体"/>
          <w:color w:val="auto"/>
          <w:highlight w:val="none"/>
          <w:shd w:val="clear" w:color="auto" w:fill="auto"/>
        </w:rPr>
        <w:t>项目绩效目标</w:t>
      </w:r>
      <w:bookmarkEnd w:id="8"/>
    </w:p>
    <w:p w14:paraId="77F21B81">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1D4FF7D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全民健康体检项目绩效总体目标为：针对此项目阜康市上户沟哈萨克族乡卫生院负责开展全民健康体检及拨付补贴，落实全民健康体检工作，阜康市上户沟哈萨克族乡卫生院预计完成6625人的体检，系统录入人次数达到6625人次，系统录入合格率达到100%，预2023年12月底前完成，居民健康保健意识和知晓率逐步提高，居民健康水平提高。</w:t>
      </w:r>
    </w:p>
    <w:p w14:paraId="75D812E8">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0D5091B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14:paraId="753E94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14:paraId="38C619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652F2C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享受全民健康体检人数</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为≥6625</w:t>
      </w:r>
      <w:r>
        <w:rPr>
          <w:rFonts w:hint="eastAsia" w:cs="宋体"/>
          <w:color w:val="auto"/>
          <w:highlight w:val="none"/>
          <w:shd w:val="clear" w:color="auto" w:fill="auto"/>
          <w:lang w:val="en-US" w:eastAsia="zh-CN"/>
        </w:rPr>
        <w:t>人</w:t>
      </w:r>
      <w:r>
        <w:rPr>
          <w:rFonts w:hint="eastAsia" w:ascii="宋体" w:hAnsi="宋体" w:eastAsia="宋体" w:cs="宋体"/>
          <w:color w:val="auto"/>
          <w:highlight w:val="none"/>
          <w:shd w:val="clear" w:color="auto" w:fill="auto"/>
          <w:lang w:val="en-US" w:eastAsia="zh-CN"/>
        </w:rPr>
        <w:t>；</w:t>
      </w:r>
    </w:p>
    <w:p w14:paraId="52867C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系统录入人次</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为≥6625</w:t>
      </w:r>
      <w:r>
        <w:rPr>
          <w:rFonts w:hint="eastAsia" w:cs="宋体"/>
          <w:color w:val="auto"/>
          <w:highlight w:val="none"/>
          <w:shd w:val="clear" w:color="auto" w:fill="auto"/>
          <w:lang w:val="en-US" w:eastAsia="zh-CN"/>
        </w:rPr>
        <w:t>人</w:t>
      </w:r>
      <w:r>
        <w:rPr>
          <w:rFonts w:hint="eastAsia" w:ascii="宋体" w:hAnsi="宋体" w:eastAsia="宋体" w:cs="宋体"/>
          <w:color w:val="auto"/>
          <w:highlight w:val="none"/>
          <w:shd w:val="clear" w:color="auto" w:fill="auto"/>
          <w:lang w:val="en-US" w:eastAsia="zh-CN"/>
        </w:rPr>
        <w:t>；</w:t>
      </w:r>
    </w:p>
    <w:p w14:paraId="1C7B93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0B51DA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录入合格率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458746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048A0C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为2023</w:t>
      </w:r>
      <w:r>
        <w:rPr>
          <w:rFonts w:hint="eastAsia" w:cs="宋体"/>
          <w:color w:val="auto"/>
          <w:highlight w:val="none"/>
          <w:shd w:val="clear" w:color="auto" w:fill="auto"/>
          <w:lang w:val="en-US" w:eastAsia="zh-CN"/>
        </w:rPr>
        <w:t>年</w:t>
      </w:r>
      <w:r>
        <w:rPr>
          <w:rFonts w:hint="eastAsia" w:ascii="宋体" w:hAnsi="宋体" w:eastAsia="宋体" w:cs="宋体"/>
          <w:color w:val="auto"/>
          <w:highlight w:val="none"/>
          <w:shd w:val="clear" w:color="auto" w:fill="auto"/>
          <w:lang w:val="en-US" w:eastAsia="zh-CN"/>
        </w:rPr>
        <w:t>12</w:t>
      </w:r>
      <w:r>
        <w:rPr>
          <w:rFonts w:hint="eastAsia" w:cs="宋体"/>
          <w:color w:val="auto"/>
          <w:highlight w:val="none"/>
          <w:shd w:val="clear" w:color="auto" w:fill="auto"/>
          <w:lang w:val="en-US" w:eastAsia="zh-CN"/>
        </w:rPr>
        <w:t>月</w:t>
      </w:r>
      <w:r>
        <w:rPr>
          <w:rFonts w:hint="eastAsia" w:ascii="宋体" w:hAnsi="宋体" w:eastAsia="宋体" w:cs="宋体"/>
          <w:color w:val="auto"/>
          <w:highlight w:val="none"/>
          <w:shd w:val="clear" w:color="auto" w:fill="auto"/>
          <w:lang w:val="en-US" w:eastAsia="zh-CN"/>
        </w:rPr>
        <w:t>31</w:t>
      </w:r>
      <w:r>
        <w:rPr>
          <w:rFonts w:hint="eastAsia" w:cs="宋体"/>
          <w:color w:val="auto"/>
          <w:highlight w:val="none"/>
          <w:shd w:val="clear" w:color="auto" w:fill="auto"/>
          <w:lang w:val="en-US" w:eastAsia="zh-CN"/>
        </w:rPr>
        <w:t>日</w:t>
      </w:r>
      <w:r>
        <w:rPr>
          <w:rFonts w:hint="eastAsia" w:ascii="宋体" w:hAnsi="宋体" w:eastAsia="宋体" w:cs="宋体"/>
          <w:color w:val="auto"/>
          <w:highlight w:val="none"/>
          <w:shd w:val="clear" w:color="auto" w:fill="auto"/>
          <w:lang w:val="en-US" w:eastAsia="zh-CN"/>
        </w:rPr>
        <w:t>；</w:t>
      </w:r>
    </w:p>
    <w:p w14:paraId="2CDA20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14:paraId="15E9FB2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w:t>
      </w:r>
      <w:r>
        <w:rPr>
          <w:rFonts w:hint="eastAsia" w:cs="宋体"/>
          <w:color w:val="auto"/>
          <w:highlight w:val="none"/>
          <w:shd w:val="clear" w:color="auto" w:fill="auto"/>
          <w:lang w:val="en-US" w:eastAsia="zh-CN"/>
        </w:rPr>
        <w:t>成本</w:t>
      </w:r>
      <w:r>
        <w:rPr>
          <w:rFonts w:hint="eastAsia" w:ascii="宋体" w:hAnsi="宋体" w:eastAsia="宋体" w:cs="宋体"/>
          <w:color w:val="auto"/>
          <w:highlight w:val="none"/>
          <w:shd w:val="clear" w:color="auto" w:fill="auto"/>
          <w:lang w:val="en-US" w:eastAsia="zh-CN"/>
        </w:rPr>
        <w:t>指标</w:t>
      </w:r>
    </w:p>
    <w:p w14:paraId="7C5E59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“体检费用补贴费用区间”指标，预期指标值为≤10</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元/人；</w:t>
      </w:r>
    </w:p>
    <w:p w14:paraId="09D747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“全民体检投入经费”指标，预期指标值为≤27.75万元；</w:t>
      </w:r>
    </w:p>
    <w:p w14:paraId="56C5C40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w:t>
      </w:r>
      <w:r>
        <w:rPr>
          <w:rFonts w:hint="eastAsia" w:cs="宋体"/>
          <w:color w:val="auto"/>
          <w:highlight w:val="none"/>
          <w:shd w:val="clear" w:color="auto" w:fill="auto"/>
          <w:lang w:val="en-US" w:eastAsia="zh-CN"/>
        </w:rPr>
        <w:t>成本</w:t>
      </w:r>
      <w:r>
        <w:rPr>
          <w:rFonts w:hint="eastAsia" w:ascii="宋体" w:hAnsi="宋体" w:eastAsia="宋体" w:cs="宋体"/>
          <w:color w:val="auto"/>
          <w:highlight w:val="none"/>
          <w:shd w:val="clear" w:color="auto" w:fill="auto"/>
          <w:lang w:val="en-US" w:eastAsia="zh-CN"/>
        </w:rPr>
        <w:t>指标</w:t>
      </w:r>
    </w:p>
    <w:p w14:paraId="258E10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本项目不涉及社会成本指标。</w:t>
      </w:r>
    </w:p>
    <w:p w14:paraId="686A2D69">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生态环境成本指标</w:t>
      </w:r>
    </w:p>
    <w:p w14:paraId="367926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本项目不涉及生态环境成本指标。</w:t>
      </w:r>
    </w:p>
    <w:p w14:paraId="58B3AD0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14:paraId="40A2A03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18C7A71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经济效益</w:t>
      </w:r>
      <w:r>
        <w:rPr>
          <w:rFonts w:hint="eastAsia" w:cs="宋体"/>
          <w:color w:val="auto"/>
          <w:highlight w:val="none"/>
          <w:shd w:val="clear" w:color="auto" w:fill="auto"/>
          <w:lang w:val="en-US" w:eastAsia="zh-CN"/>
        </w:rPr>
        <w:t>指标</w:t>
      </w:r>
      <w:r>
        <w:rPr>
          <w:rFonts w:hint="eastAsia" w:ascii="宋体" w:hAnsi="宋体" w:eastAsia="宋体" w:cs="宋体"/>
          <w:color w:val="auto"/>
          <w:highlight w:val="none"/>
          <w:shd w:val="clear" w:color="auto" w:fill="auto"/>
          <w:lang w:val="en-US" w:eastAsia="zh-CN"/>
        </w:rPr>
        <w:t>；</w:t>
      </w:r>
    </w:p>
    <w:p w14:paraId="56BF0F8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79DD3AC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提高全民健康意识及自我健康管理水平</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逐步提升</w:t>
      </w:r>
      <w:r>
        <w:rPr>
          <w:rFonts w:hint="eastAsia" w:ascii="宋体" w:hAnsi="宋体" w:eastAsia="宋体" w:cs="宋体"/>
          <w:color w:val="auto"/>
          <w:highlight w:val="none"/>
          <w:shd w:val="clear" w:color="auto" w:fill="auto"/>
          <w:lang w:val="en-US" w:eastAsia="zh-CN"/>
        </w:rPr>
        <w:t>；</w:t>
      </w:r>
    </w:p>
    <w:p w14:paraId="168478C6">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1041F60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w:t>
      </w:r>
      <w:r>
        <w:rPr>
          <w:rFonts w:hint="eastAsia" w:ascii="宋体" w:hAnsi="宋体" w:eastAsia="宋体" w:cs="宋体"/>
          <w:color w:val="auto"/>
          <w:highlight w:val="none"/>
          <w:shd w:val="clear" w:color="auto" w:fill="auto"/>
          <w:lang w:val="en-US" w:eastAsia="zh-CN"/>
        </w:rPr>
        <w:t>效益</w:t>
      </w:r>
      <w:r>
        <w:rPr>
          <w:rFonts w:hint="eastAsia" w:cs="宋体"/>
          <w:color w:val="auto"/>
          <w:highlight w:val="none"/>
          <w:shd w:val="clear" w:color="auto" w:fill="auto"/>
          <w:lang w:val="en-US" w:eastAsia="zh-CN"/>
        </w:rPr>
        <w:t>指标</w:t>
      </w:r>
      <w:r>
        <w:rPr>
          <w:rFonts w:hint="eastAsia" w:ascii="宋体" w:hAnsi="宋体" w:eastAsia="宋体" w:cs="宋体"/>
          <w:color w:val="auto"/>
          <w:highlight w:val="none"/>
          <w:shd w:val="clear" w:color="auto" w:fill="auto"/>
          <w:lang w:val="en-US" w:eastAsia="zh-CN"/>
        </w:rPr>
        <w:t>；</w:t>
      </w:r>
    </w:p>
    <w:p w14:paraId="37E4DF7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14:paraId="5BD641D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指标</w:t>
      </w:r>
      <w:r>
        <w:rPr>
          <w:rFonts w:hint="eastAsia" w:ascii="宋体" w:hAnsi="宋体" w:eastAsia="宋体" w:cs="宋体"/>
          <w:color w:val="auto"/>
          <w:highlight w:val="none"/>
          <w:shd w:val="clear" w:color="auto" w:fill="auto"/>
          <w:lang w:val="en-US" w:eastAsia="zh-CN"/>
        </w:rPr>
        <w:t>；</w:t>
      </w:r>
    </w:p>
    <w:p w14:paraId="0398D57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3D0C3E7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4E5D75BE">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11" w:name="_Toc2549"/>
      <w:r>
        <w:rPr>
          <w:rFonts w:hint="eastAsia" w:ascii="宋体" w:hAnsi="宋体" w:eastAsia="宋体" w:cs="宋体"/>
          <w:b/>
          <w:bCs/>
          <w:color w:val="auto"/>
          <w:highlight w:val="none"/>
          <w:shd w:val="clear" w:color="auto" w:fill="auto"/>
        </w:rPr>
        <w:t>二、绩效评价工作开展情况</w:t>
      </w:r>
      <w:bookmarkEnd w:id="11"/>
    </w:p>
    <w:p w14:paraId="1675B7FE">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12" w:name="_Toc21664"/>
      <w:bookmarkStart w:id="13" w:name="_Toc480473081"/>
      <w:bookmarkStart w:id="14" w:name="_Toc5258"/>
      <w:bookmarkStart w:id="15" w:name="_Toc26632"/>
      <w:bookmarkStart w:id="16" w:name="_Toc5462343"/>
      <w:bookmarkStart w:id="17" w:name="_Toc22169_WPSOffice_Level2"/>
      <w:bookmarkStart w:id="18" w:name="_Toc12868"/>
      <w:bookmarkStart w:id="19" w:name="_Toc22922"/>
      <w:bookmarkStart w:id="20" w:name="_Toc21778"/>
      <w:r>
        <w:rPr>
          <w:rFonts w:hint="eastAsia" w:ascii="宋体" w:hAnsi="宋体" w:eastAsia="宋体" w:cs="宋体"/>
          <w:color w:val="auto"/>
          <w:sz w:val="32"/>
          <w:szCs w:val="32"/>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auto"/>
          <w:sz w:val="32"/>
          <w:szCs w:val="32"/>
          <w:highlight w:val="none"/>
          <w:shd w:val="clear" w:color="auto" w:fill="auto"/>
          <w:lang w:eastAsia="zh-CN"/>
        </w:rPr>
        <w:t>、对象和范围</w:t>
      </w:r>
      <w:bookmarkEnd w:id="20"/>
    </w:p>
    <w:p w14:paraId="58C00061">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21" w:name="_Toc15732"/>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bookmarkEnd w:id="21"/>
    </w:p>
    <w:p w14:paraId="20FFF7F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14:paraId="68568348">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2" w:name="_Toc30609"/>
      <w:r>
        <w:rPr>
          <w:rFonts w:hint="eastAsia" w:ascii="宋体" w:hAnsi="宋体" w:eastAsia="宋体" w:cs="宋体"/>
          <w:color w:val="auto"/>
          <w:highlight w:val="none"/>
          <w:shd w:val="clear" w:color="auto" w:fill="auto"/>
          <w:lang w:val="en-US" w:eastAsia="zh-CN"/>
        </w:rPr>
        <w:t>2.绩效评价的对象和范围</w:t>
      </w:r>
      <w:bookmarkEnd w:id="22"/>
    </w:p>
    <w:p w14:paraId="396D07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val="en-US" w:eastAsia="zh-CN"/>
        </w:rPr>
        <w:t>项目开展部门绩效评价。</w:t>
      </w:r>
    </w:p>
    <w:p w14:paraId="48139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0CE96F73">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bookmarkStart w:id="23" w:name="_Toc15902"/>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bookmarkEnd w:id="23"/>
    </w:p>
    <w:p w14:paraId="71590907">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4"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4"/>
    </w:p>
    <w:p w14:paraId="5147DE7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eastAsia="zh-CN"/>
        </w:rPr>
        <w:t>项目实际开展情况，运用定量和定性分析相结合的方法，总结经验做法，反思项目实施和管理中的问题，以切实提升财政资金管理的科学化、规范化和精细化水平。</w:t>
      </w:r>
    </w:p>
    <w:p w14:paraId="418899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14:paraId="7509F5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14:paraId="61BBBF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14:paraId="594D8D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14:paraId="0DE6AB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14:paraId="23B98AA0">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5" w:name="_Toc428278230"/>
      <w:bookmarkStart w:id="26" w:name="_Toc419984722"/>
      <w:bookmarkStart w:id="27" w:name="_Toc1913"/>
      <w:bookmarkStart w:id="28" w:name="_Toc26131"/>
      <w:bookmarkStart w:id="29"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5"/>
      <w:bookmarkEnd w:id="26"/>
      <w:bookmarkEnd w:id="27"/>
      <w:bookmarkEnd w:id="28"/>
      <w:r>
        <w:rPr>
          <w:rFonts w:hint="eastAsia" w:ascii="宋体" w:hAnsi="宋体" w:eastAsia="宋体" w:cs="宋体"/>
          <w:color w:val="auto"/>
          <w:highlight w:val="none"/>
          <w:shd w:val="clear" w:color="auto" w:fill="auto"/>
          <w:lang w:val="en-US" w:eastAsia="zh-CN"/>
        </w:rPr>
        <w:t>标准</w:t>
      </w:r>
      <w:bookmarkEnd w:id="29"/>
    </w:p>
    <w:p w14:paraId="3D0764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14:paraId="3A0CAE97">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66BC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45F7DF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bookmarkStart w:id="90" w:name="_GoBack"/>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auto"/>
            <w:vAlign w:val="center"/>
          </w:tcPr>
          <w:p w14:paraId="136B0F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auto"/>
            <w:vAlign w:val="center"/>
          </w:tcPr>
          <w:p w14:paraId="487C5C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auto"/>
            <w:vAlign w:val="center"/>
          </w:tcPr>
          <w:p w14:paraId="0AE823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auto"/>
            <w:vAlign w:val="center"/>
          </w:tcPr>
          <w:p w14:paraId="7A559C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0C5C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0FC4D4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auto"/>
            <w:vAlign w:val="center"/>
          </w:tcPr>
          <w:p w14:paraId="0D4F11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auto"/>
            <w:vAlign w:val="center"/>
          </w:tcPr>
          <w:p w14:paraId="4D4536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256F0D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auto"/>
            <w:vAlign w:val="center"/>
          </w:tcPr>
          <w:p w14:paraId="0C148A1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auto"/>
            <w:vAlign w:val="center"/>
          </w:tcPr>
          <w:p w14:paraId="65B41F5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FBEE67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60E4792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7C5410E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1E58523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371146B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0F6E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50F6EA0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3EA94D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6BD8CD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1CC10A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auto"/>
            <w:vAlign w:val="center"/>
          </w:tcPr>
          <w:p w14:paraId="5355DE1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auto"/>
            <w:vAlign w:val="center"/>
          </w:tcPr>
          <w:p w14:paraId="17E3A36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1EE5BD7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1299545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0436162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24A3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0E291E6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557508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auto"/>
            <w:vAlign w:val="center"/>
          </w:tcPr>
          <w:p w14:paraId="46B2FE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37C478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7ACC099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auto" w:fill="auto"/>
            <w:vAlign w:val="center"/>
          </w:tcPr>
          <w:p w14:paraId="2388CB7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444BD7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408F858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3D9CE0C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2214B98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295E191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0579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0BA8E5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177402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1D0701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4C6EBD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auto" w:fill="auto"/>
            <w:vAlign w:val="center"/>
          </w:tcPr>
          <w:p w14:paraId="627FACB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auto" w:fill="auto"/>
            <w:vAlign w:val="center"/>
          </w:tcPr>
          <w:p w14:paraId="0F62363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9DEDA1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3ED3B38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702A9B9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1DC5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7B3A6C4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66BC8E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auto"/>
            <w:vAlign w:val="center"/>
          </w:tcPr>
          <w:p w14:paraId="295882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67C4D0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auto"/>
            <w:vAlign w:val="center"/>
          </w:tcPr>
          <w:p w14:paraId="1B89B2E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7507961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1E0CE0D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04998AD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6EA7000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66F2E8B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67EA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0D0093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4A4433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568065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24F154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23969E7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6DA5CD3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109261D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69919C1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6546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30589A77">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auto"/>
            <w:vAlign w:val="center"/>
          </w:tcPr>
          <w:p w14:paraId="0BADA5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auto"/>
            <w:vAlign w:val="center"/>
          </w:tcPr>
          <w:p w14:paraId="515FC4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auto" w:fill="auto"/>
            <w:vAlign w:val="center"/>
          </w:tcPr>
          <w:p w14:paraId="7DE12F8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auto" w:fill="auto"/>
            <w:vAlign w:val="center"/>
          </w:tcPr>
          <w:p w14:paraId="1CCC2FA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4F72717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4758A17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73D0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4B80100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6651BBD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81D29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auto"/>
            <w:vAlign w:val="center"/>
          </w:tcPr>
          <w:p w14:paraId="4EDBFA1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auto"/>
            <w:vAlign w:val="center"/>
          </w:tcPr>
          <w:p w14:paraId="36FB289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2728A67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5670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5DD571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DD83D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15E502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6BBC2E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auto" w:fill="auto"/>
            <w:vAlign w:val="center"/>
          </w:tcPr>
          <w:p w14:paraId="2B5ED9A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auto" w:fill="auto"/>
            <w:vAlign w:val="center"/>
          </w:tcPr>
          <w:p w14:paraId="5D98D0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B62995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48618FE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1602F88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1A93571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5EF1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12EE042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5FA25F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auto"/>
            <w:vAlign w:val="center"/>
          </w:tcPr>
          <w:p w14:paraId="133437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047D1C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auto" w:fill="auto"/>
            <w:vAlign w:val="center"/>
          </w:tcPr>
          <w:p w14:paraId="7D4AB3C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auto" w:fill="auto"/>
            <w:vAlign w:val="center"/>
          </w:tcPr>
          <w:p w14:paraId="6E84D8C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D0110B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1736964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49B3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686003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5DFCE9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7ED144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37336C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auto" w:fill="auto"/>
            <w:vAlign w:val="center"/>
          </w:tcPr>
          <w:p w14:paraId="0A0BFFA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auto" w:fill="auto"/>
            <w:vAlign w:val="center"/>
          </w:tcPr>
          <w:p w14:paraId="31A865C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803382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47885F6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345273E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5AF153F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6ED1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097AD4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auto"/>
            <w:vAlign w:val="center"/>
          </w:tcPr>
          <w:p w14:paraId="38EE6E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auto"/>
            <w:vAlign w:val="center"/>
          </w:tcPr>
          <w:p w14:paraId="07E924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auto" w:fill="auto"/>
            <w:vAlign w:val="center"/>
          </w:tcPr>
          <w:p w14:paraId="6CDC34C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auto" w:fill="auto"/>
            <w:vAlign w:val="center"/>
          </w:tcPr>
          <w:p w14:paraId="2E01736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2851C2F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66BCDB4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5EC7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0C235D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18AD8D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auto"/>
            <w:vAlign w:val="center"/>
          </w:tcPr>
          <w:p w14:paraId="694A54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auto" w:fill="auto"/>
            <w:vAlign w:val="center"/>
          </w:tcPr>
          <w:p w14:paraId="0E4612C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auto" w:fill="auto"/>
            <w:vAlign w:val="center"/>
          </w:tcPr>
          <w:p w14:paraId="060A80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2A250CD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296A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7AD4D32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1907EA6A">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auto"/>
            <w:vAlign w:val="center"/>
          </w:tcPr>
          <w:p w14:paraId="414EBF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auto" w:fill="auto"/>
            <w:vAlign w:val="center"/>
          </w:tcPr>
          <w:p w14:paraId="05C7E26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auto" w:fill="auto"/>
            <w:vAlign w:val="center"/>
          </w:tcPr>
          <w:p w14:paraId="46A2072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6CC64E6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0890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26978C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19D622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auto"/>
            <w:vAlign w:val="center"/>
          </w:tcPr>
          <w:p w14:paraId="0D90C2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auto" w:fill="auto"/>
            <w:vAlign w:val="center"/>
          </w:tcPr>
          <w:p w14:paraId="16FA0C8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auto" w:fill="auto"/>
            <w:vAlign w:val="center"/>
          </w:tcPr>
          <w:p w14:paraId="291D571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138AA1C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4ACEF3C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719C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41025E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auto"/>
            <w:vAlign w:val="center"/>
          </w:tcPr>
          <w:p w14:paraId="30C263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auto"/>
            <w:vAlign w:val="center"/>
          </w:tcPr>
          <w:p w14:paraId="5224A6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auto"/>
            <w:vAlign w:val="center"/>
          </w:tcPr>
          <w:p w14:paraId="6F1CD6E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auto"/>
            <w:vAlign w:val="center"/>
          </w:tcPr>
          <w:p w14:paraId="79818B7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0445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739CA5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0F740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1C1D3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auto" w:fill="auto"/>
            <w:vAlign w:val="center"/>
          </w:tcPr>
          <w:p w14:paraId="1CB1955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auto" w:fill="auto"/>
            <w:vAlign w:val="center"/>
          </w:tcPr>
          <w:p w14:paraId="2BBD179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bookmarkEnd w:id="90"/>
    </w:tbl>
    <w:p w14:paraId="193C87C4">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30"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30"/>
    </w:p>
    <w:p w14:paraId="497F11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val="en-US" w:eastAsia="zh-CN"/>
        </w:rPr>
        <w:t>项目进行评价。</w:t>
      </w:r>
    </w:p>
    <w:p w14:paraId="5C13B27B">
      <w:pPr>
        <w:pStyle w:val="5"/>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14:paraId="1E322F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14:paraId="093C54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14:paraId="204D72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14:paraId="6F8EB7FD">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14:paraId="4DA611D7">
      <w:pPr>
        <w:pStyle w:val="5"/>
        <w:outlineLvl w:val="1"/>
        <w:rPr>
          <w:rFonts w:hint="default" w:ascii="宋体" w:hAnsi="宋体" w:eastAsia="宋体" w:cs="宋体"/>
          <w:color w:val="auto"/>
          <w:highlight w:val="none"/>
          <w:shd w:val="clear" w:color="auto" w:fill="auto"/>
          <w:lang w:val="en-US" w:eastAsia="zh-CN"/>
        </w:rPr>
      </w:pPr>
      <w:bookmarkStart w:id="32" w:name="_Toc1070"/>
      <w:r>
        <w:rPr>
          <w:rFonts w:hint="eastAsia" w:ascii="宋体" w:hAnsi="宋体" w:eastAsia="宋体" w:cs="宋体"/>
          <w:color w:val="auto"/>
          <w:highlight w:val="none"/>
          <w:shd w:val="clear" w:color="auto" w:fill="auto"/>
          <w:lang w:val="en-US" w:eastAsia="zh-CN"/>
        </w:rPr>
        <w:t>（三）绩效评价工作过程</w:t>
      </w:r>
      <w:bookmarkEnd w:id="32"/>
    </w:p>
    <w:p w14:paraId="7AC7171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3" w:name="_Toc12862"/>
      <w:r>
        <w:rPr>
          <w:rFonts w:hint="eastAsia" w:ascii="宋体" w:hAnsi="宋体" w:eastAsia="宋体" w:cs="宋体"/>
          <w:color w:val="auto"/>
          <w:highlight w:val="none"/>
          <w:shd w:val="clear" w:color="auto" w:fill="auto"/>
          <w:lang w:val="en-US" w:eastAsia="zh-CN"/>
        </w:rPr>
        <w:t>1.前期准备</w:t>
      </w:r>
      <w:bookmarkEnd w:id="33"/>
    </w:p>
    <w:p w14:paraId="31AB0B8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14:paraId="42B0C68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32CD4C3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4"/>
    </w:p>
    <w:p w14:paraId="4126A4B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全民健康体检项目实施内容、目标信息、预算信息以及其他的一些项目基本信息，有了初步了解，为制定绩效评价工作方案做好准备。</w:t>
      </w:r>
      <w:bookmarkEnd w:id="35"/>
    </w:p>
    <w:p w14:paraId="7D84FED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6"/>
    </w:p>
    <w:p w14:paraId="1534951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7"/>
    </w:p>
    <w:p w14:paraId="1BADFA3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8"/>
    </w:p>
    <w:p w14:paraId="29B0A57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9"/>
    </w:p>
    <w:p w14:paraId="0CA7EBE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40"/>
    </w:p>
    <w:p w14:paraId="5BD57E5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1"/>
    </w:p>
    <w:p w14:paraId="19BD741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2"/>
    </w:p>
    <w:p w14:paraId="7E33D72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3"/>
    </w:p>
    <w:p w14:paraId="3239DF2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4"/>
    </w:p>
    <w:p w14:paraId="42CF643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5"/>
    </w:p>
    <w:p w14:paraId="6A18664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6"/>
    </w:p>
    <w:p w14:paraId="0FBA85E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7"/>
    </w:p>
    <w:p w14:paraId="107459B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8"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7A0BFE2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9"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9"/>
    </w:p>
    <w:p w14:paraId="7295B05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50"/>
    </w:p>
    <w:p w14:paraId="42A1434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1"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1"/>
    </w:p>
    <w:p w14:paraId="1065ED7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2"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2"/>
    </w:p>
    <w:p w14:paraId="0D006D7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3"/>
    </w:p>
    <w:p w14:paraId="7D3FAA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4"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4"/>
    </w:p>
    <w:p w14:paraId="7AA16D5D">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55" w:name="_Toc1100"/>
      <w:r>
        <w:rPr>
          <w:rFonts w:hint="eastAsia" w:ascii="宋体" w:hAnsi="宋体" w:eastAsia="宋体" w:cs="宋体"/>
          <w:b/>
          <w:bCs/>
          <w:color w:val="auto"/>
          <w:highlight w:val="none"/>
          <w:shd w:val="clear" w:color="auto" w:fill="auto"/>
          <w:lang w:val="en-US" w:eastAsia="zh-CN"/>
        </w:rPr>
        <w:t>三、</w:t>
      </w:r>
      <w:r>
        <w:rPr>
          <w:rFonts w:hint="eastAsia" w:ascii="宋体" w:hAnsi="宋体" w:eastAsia="宋体" w:cs="宋体"/>
          <w:b/>
          <w:bCs/>
          <w:color w:val="auto"/>
          <w:highlight w:val="none"/>
          <w:shd w:val="clear" w:color="auto" w:fill="auto"/>
        </w:rPr>
        <w:t>综合评价情况及评价结论</w:t>
      </w:r>
      <w:bookmarkEnd w:id="55"/>
    </w:p>
    <w:p w14:paraId="0AE6C3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94.6</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3"/>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42B744A9">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73697F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cs="宋体"/>
                <w:b/>
                <w:bCs/>
                <w:color w:val="auto"/>
                <w:kern w:val="0"/>
                <w:sz w:val="28"/>
                <w:szCs w:val="28"/>
                <w:highlight w:val="none"/>
                <w:shd w:val="clear" w:color="auto" w:fill="auto"/>
                <w:lang w:val="en-US" w:eastAsia="zh-CN"/>
              </w:rPr>
              <w:t>全民健康体检</w:t>
            </w:r>
            <w:r>
              <w:rPr>
                <w:rFonts w:hint="eastAsia" w:ascii="宋体" w:hAnsi="宋体" w:eastAsia="宋体" w:cs="宋体"/>
                <w:b/>
                <w:bCs/>
                <w:color w:val="auto"/>
                <w:kern w:val="0"/>
                <w:sz w:val="28"/>
                <w:szCs w:val="28"/>
                <w:highlight w:val="none"/>
                <w:shd w:val="clear" w:color="auto" w:fill="auto"/>
                <w:lang w:val="en-US" w:eastAsia="zh-CN"/>
              </w:rPr>
              <w:t>项目得分表</w:t>
            </w:r>
          </w:p>
          <w:p w14:paraId="1E2224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0C78C04E">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5F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E8D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43C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33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76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15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2B713F06">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A8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5B8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9D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D4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01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8C0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4AB3F49F">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1E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678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13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98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25.6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74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51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94.6</w:t>
            </w:r>
          </w:p>
        </w:tc>
      </w:tr>
      <w:tr w14:paraId="540F0C50">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68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F7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49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82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85.33</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32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42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94.6</w:t>
            </w:r>
            <w:r>
              <w:rPr>
                <w:rFonts w:hint="eastAsia" w:ascii="宋体" w:hAnsi="宋体" w:eastAsia="宋体" w:cs="宋体"/>
                <w:color w:val="auto"/>
                <w:kern w:val="0"/>
                <w:sz w:val="21"/>
                <w:szCs w:val="21"/>
                <w:highlight w:val="none"/>
                <w:shd w:val="clear" w:color="auto" w:fill="auto"/>
                <w:lang w:val="en-US" w:eastAsia="zh-CN"/>
              </w:rPr>
              <w:t>%</w:t>
            </w:r>
          </w:p>
        </w:tc>
      </w:tr>
    </w:tbl>
    <w:p w14:paraId="7F6C67C5">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14:paraId="6FF09018">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57" w:name="_Toc15355"/>
      <w:r>
        <w:rPr>
          <w:rFonts w:hint="eastAsia" w:ascii="宋体" w:hAnsi="宋体" w:eastAsia="宋体" w:cs="宋体"/>
          <w:color w:val="auto"/>
          <w:highlight w:val="none"/>
          <w:shd w:val="clear" w:color="auto" w:fill="auto"/>
        </w:rPr>
        <w:t>（一）项目决策情况</w:t>
      </w:r>
      <w:bookmarkEnd w:id="57"/>
    </w:p>
    <w:p w14:paraId="6D950A88">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5EDC899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3"/>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75B8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22" w:hRule="atLeast"/>
          <w:tblHeader/>
          <w:jc w:val="center"/>
        </w:trPr>
        <w:tc>
          <w:tcPr>
            <w:tcW w:w="1077" w:type="dxa"/>
            <w:shd w:val="clear" w:color="auto" w:fill="auto"/>
            <w:tcMar>
              <w:top w:w="12" w:type="dxa"/>
              <w:left w:w="12" w:type="dxa"/>
              <w:right w:w="12" w:type="dxa"/>
            </w:tcMar>
            <w:vAlign w:val="center"/>
          </w:tcPr>
          <w:p w14:paraId="1B7490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shd w:val="clear" w:color="auto" w:fill="auto"/>
            <w:tcMar>
              <w:top w:w="12" w:type="dxa"/>
              <w:left w:w="12" w:type="dxa"/>
              <w:right w:w="12" w:type="dxa"/>
            </w:tcMar>
            <w:vAlign w:val="center"/>
          </w:tcPr>
          <w:p w14:paraId="30B01C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shd w:val="clear" w:color="auto" w:fill="auto"/>
            <w:tcMar>
              <w:top w:w="12" w:type="dxa"/>
              <w:left w:w="12" w:type="dxa"/>
              <w:right w:w="12" w:type="dxa"/>
            </w:tcMar>
            <w:vAlign w:val="center"/>
          </w:tcPr>
          <w:p w14:paraId="5DFDD5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shd w:val="clear" w:color="auto" w:fill="auto"/>
            <w:tcMar>
              <w:top w:w="12" w:type="dxa"/>
              <w:left w:w="12" w:type="dxa"/>
              <w:right w:w="12" w:type="dxa"/>
            </w:tcMar>
            <w:vAlign w:val="center"/>
          </w:tcPr>
          <w:p w14:paraId="5CA12F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shd w:val="clear" w:color="auto" w:fill="auto"/>
            <w:tcMar>
              <w:top w:w="12" w:type="dxa"/>
              <w:left w:w="12" w:type="dxa"/>
              <w:right w:w="12" w:type="dxa"/>
            </w:tcMar>
            <w:vAlign w:val="center"/>
          </w:tcPr>
          <w:p w14:paraId="5AA9DD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shd w:val="clear" w:color="auto" w:fill="auto"/>
            <w:tcMar>
              <w:top w:w="12" w:type="dxa"/>
              <w:left w:w="12" w:type="dxa"/>
              <w:right w:w="12" w:type="dxa"/>
            </w:tcMar>
            <w:vAlign w:val="center"/>
          </w:tcPr>
          <w:p w14:paraId="294918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shd w:val="clear" w:color="auto" w:fill="auto"/>
            <w:tcMar>
              <w:top w:w="12" w:type="dxa"/>
              <w:left w:w="12" w:type="dxa"/>
              <w:right w:w="12" w:type="dxa"/>
            </w:tcMar>
            <w:vAlign w:val="center"/>
          </w:tcPr>
          <w:p w14:paraId="09D6FA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0DB8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restart"/>
            <w:shd w:val="clear" w:color="auto" w:fill="auto"/>
            <w:tcMar>
              <w:top w:w="12" w:type="dxa"/>
              <w:left w:w="12" w:type="dxa"/>
              <w:right w:w="12" w:type="dxa"/>
            </w:tcMar>
            <w:vAlign w:val="center"/>
          </w:tcPr>
          <w:p w14:paraId="0E78AF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shd w:val="clear" w:color="auto" w:fill="auto"/>
            <w:tcMar>
              <w:top w:w="12" w:type="dxa"/>
              <w:left w:w="12" w:type="dxa"/>
              <w:right w:w="12" w:type="dxa"/>
            </w:tcMar>
            <w:vAlign w:val="center"/>
          </w:tcPr>
          <w:p w14:paraId="615068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shd w:val="clear" w:color="auto" w:fill="auto"/>
            <w:tcMar>
              <w:top w:w="12" w:type="dxa"/>
              <w:left w:w="12" w:type="dxa"/>
              <w:right w:w="12" w:type="dxa"/>
            </w:tcMar>
            <w:vAlign w:val="center"/>
          </w:tcPr>
          <w:p w14:paraId="048C59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shd w:val="clear" w:color="auto" w:fill="auto"/>
            <w:tcMar>
              <w:top w:w="12" w:type="dxa"/>
              <w:left w:w="12" w:type="dxa"/>
              <w:right w:w="12" w:type="dxa"/>
            </w:tcMar>
            <w:vAlign w:val="center"/>
          </w:tcPr>
          <w:p w14:paraId="5A6F3C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shd w:val="clear" w:color="auto" w:fill="auto"/>
            <w:tcMar>
              <w:top w:w="12" w:type="dxa"/>
              <w:left w:w="12" w:type="dxa"/>
              <w:right w:w="12" w:type="dxa"/>
            </w:tcMar>
            <w:vAlign w:val="center"/>
          </w:tcPr>
          <w:p w14:paraId="6D4505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shd w:val="clear" w:color="auto" w:fill="auto"/>
            <w:tcMar>
              <w:top w:w="12" w:type="dxa"/>
              <w:left w:w="12" w:type="dxa"/>
              <w:right w:w="12" w:type="dxa"/>
            </w:tcMar>
            <w:vAlign w:val="center"/>
          </w:tcPr>
          <w:p w14:paraId="4A3C41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shd w:val="clear" w:color="auto" w:fill="auto"/>
            <w:tcMar>
              <w:top w:w="12" w:type="dxa"/>
              <w:left w:w="12" w:type="dxa"/>
              <w:right w:w="12" w:type="dxa"/>
            </w:tcMar>
            <w:vAlign w:val="center"/>
          </w:tcPr>
          <w:p w14:paraId="63D340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52BC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59680A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shd w:val="clear" w:color="auto" w:fill="auto"/>
            <w:tcMar>
              <w:top w:w="12" w:type="dxa"/>
              <w:left w:w="12" w:type="dxa"/>
              <w:right w:w="12" w:type="dxa"/>
            </w:tcMar>
            <w:vAlign w:val="center"/>
          </w:tcPr>
          <w:p w14:paraId="20D076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shd w:val="clear" w:color="auto" w:fill="auto"/>
            <w:tcMar>
              <w:top w:w="12" w:type="dxa"/>
              <w:left w:w="12" w:type="dxa"/>
              <w:right w:w="12" w:type="dxa"/>
            </w:tcMar>
            <w:vAlign w:val="center"/>
          </w:tcPr>
          <w:p w14:paraId="12FB91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shd w:val="clear" w:color="auto" w:fill="auto"/>
            <w:tcMar>
              <w:top w:w="12" w:type="dxa"/>
              <w:left w:w="12" w:type="dxa"/>
              <w:right w:w="12" w:type="dxa"/>
            </w:tcMar>
            <w:vAlign w:val="center"/>
          </w:tcPr>
          <w:p w14:paraId="118DCF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shd w:val="clear" w:color="auto" w:fill="auto"/>
            <w:tcMar>
              <w:top w:w="12" w:type="dxa"/>
              <w:left w:w="12" w:type="dxa"/>
              <w:right w:w="12" w:type="dxa"/>
            </w:tcMar>
            <w:vAlign w:val="center"/>
          </w:tcPr>
          <w:p w14:paraId="33CF3A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shd w:val="clear" w:color="auto" w:fill="auto"/>
            <w:tcMar>
              <w:top w:w="12" w:type="dxa"/>
              <w:left w:w="12" w:type="dxa"/>
              <w:right w:w="12" w:type="dxa"/>
            </w:tcMar>
            <w:vAlign w:val="center"/>
          </w:tcPr>
          <w:p w14:paraId="1AE023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shd w:val="clear" w:color="auto" w:fill="auto"/>
            <w:tcMar>
              <w:top w:w="12" w:type="dxa"/>
              <w:left w:w="12" w:type="dxa"/>
              <w:right w:w="12" w:type="dxa"/>
            </w:tcMar>
            <w:vAlign w:val="center"/>
          </w:tcPr>
          <w:p w14:paraId="258340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4A40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097C6C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shd w:val="clear" w:color="auto" w:fill="auto"/>
            <w:tcMar>
              <w:top w:w="12" w:type="dxa"/>
              <w:left w:w="12" w:type="dxa"/>
              <w:right w:w="12" w:type="dxa"/>
            </w:tcMar>
            <w:vAlign w:val="center"/>
          </w:tcPr>
          <w:p w14:paraId="356810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shd w:val="clear" w:color="auto" w:fill="auto"/>
            <w:tcMar>
              <w:top w:w="12" w:type="dxa"/>
              <w:left w:w="12" w:type="dxa"/>
              <w:right w:w="12" w:type="dxa"/>
            </w:tcMar>
            <w:vAlign w:val="center"/>
          </w:tcPr>
          <w:p w14:paraId="547D57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shd w:val="clear" w:color="auto" w:fill="auto"/>
            <w:tcMar>
              <w:top w:w="12" w:type="dxa"/>
              <w:left w:w="12" w:type="dxa"/>
              <w:right w:w="12" w:type="dxa"/>
            </w:tcMar>
            <w:vAlign w:val="center"/>
          </w:tcPr>
          <w:p w14:paraId="1BEFC9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shd w:val="clear" w:color="auto" w:fill="auto"/>
            <w:tcMar>
              <w:top w:w="12" w:type="dxa"/>
              <w:left w:w="12" w:type="dxa"/>
              <w:right w:w="12" w:type="dxa"/>
            </w:tcMar>
            <w:vAlign w:val="center"/>
          </w:tcPr>
          <w:p w14:paraId="63F8B4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shd w:val="clear" w:color="auto" w:fill="auto"/>
            <w:tcMar>
              <w:top w:w="12" w:type="dxa"/>
              <w:left w:w="12" w:type="dxa"/>
              <w:right w:w="12" w:type="dxa"/>
            </w:tcMar>
            <w:vAlign w:val="center"/>
          </w:tcPr>
          <w:p w14:paraId="32551B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shd w:val="clear" w:color="auto" w:fill="auto"/>
            <w:tcMar>
              <w:top w:w="12" w:type="dxa"/>
              <w:left w:w="12" w:type="dxa"/>
              <w:right w:w="12" w:type="dxa"/>
            </w:tcMar>
            <w:vAlign w:val="center"/>
          </w:tcPr>
          <w:p w14:paraId="63BBE7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AAD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6552FE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shd w:val="clear" w:color="auto" w:fill="auto"/>
            <w:tcMar>
              <w:top w:w="12" w:type="dxa"/>
              <w:left w:w="12" w:type="dxa"/>
              <w:right w:w="12" w:type="dxa"/>
            </w:tcMar>
            <w:vAlign w:val="center"/>
          </w:tcPr>
          <w:p w14:paraId="0B5612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shd w:val="clear" w:color="auto" w:fill="auto"/>
            <w:tcMar>
              <w:top w:w="12" w:type="dxa"/>
              <w:left w:w="12" w:type="dxa"/>
              <w:right w:w="12" w:type="dxa"/>
            </w:tcMar>
            <w:vAlign w:val="center"/>
          </w:tcPr>
          <w:p w14:paraId="3DFCFE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shd w:val="clear" w:color="auto" w:fill="auto"/>
            <w:tcMar>
              <w:top w:w="12" w:type="dxa"/>
              <w:left w:w="12" w:type="dxa"/>
              <w:right w:w="12" w:type="dxa"/>
            </w:tcMar>
            <w:vAlign w:val="center"/>
          </w:tcPr>
          <w:p w14:paraId="6B8327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shd w:val="clear" w:color="auto" w:fill="auto"/>
            <w:tcMar>
              <w:top w:w="12" w:type="dxa"/>
              <w:left w:w="12" w:type="dxa"/>
              <w:right w:w="12" w:type="dxa"/>
            </w:tcMar>
            <w:vAlign w:val="center"/>
          </w:tcPr>
          <w:p w14:paraId="119072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shd w:val="clear" w:color="auto" w:fill="auto"/>
            <w:tcMar>
              <w:top w:w="12" w:type="dxa"/>
              <w:left w:w="12" w:type="dxa"/>
              <w:right w:w="12" w:type="dxa"/>
            </w:tcMar>
            <w:vAlign w:val="center"/>
          </w:tcPr>
          <w:p w14:paraId="30832B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shd w:val="clear" w:color="auto" w:fill="auto"/>
            <w:tcMar>
              <w:top w:w="12" w:type="dxa"/>
              <w:left w:w="12" w:type="dxa"/>
              <w:right w:w="12" w:type="dxa"/>
            </w:tcMar>
            <w:vAlign w:val="center"/>
          </w:tcPr>
          <w:p w14:paraId="4453EC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2B01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590115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shd w:val="clear" w:color="auto" w:fill="auto"/>
            <w:tcMar>
              <w:top w:w="12" w:type="dxa"/>
              <w:left w:w="12" w:type="dxa"/>
              <w:right w:w="12" w:type="dxa"/>
            </w:tcMar>
            <w:vAlign w:val="center"/>
          </w:tcPr>
          <w:p w14:paraId="1BC59A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shd w:val="clear" w:color="auto" w:fill="auto"/>
            <w:tcMar>
              <w:top w:w="12" w:type="dxa"/>
              <w:left w:w="12" w:type="dxa"/>
              <w:right w:w="12" w:type="dxa"/>
            </w:tcMar>
            <w:vAlign w:val="center"/>
          </w:tcPr>
          <w:p w14:paraId="496636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shd w:val="clear" w:color="auto" w:fill="auto"/>
            <w:tcMar>
              <w:top w:w="12" w:type="dxa"/>
              <w:left w:w="12" w:type="dxa"/>
              <w:right w:w="12" w:type="dxa"/>
            </w:tcMar>
            <w:vAlign w:val="center"/>
          </w:tcPr>
          <w:p w14:paraId="39DBEC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shd w:val="clear" w:color="auto" w:fill="auto"/>
            <w:tcMar>
              <w:top w:w="12" w:type="dxa"/>
              <w:left w:w="12" w:type="dxa"/>
              <w:right w:w="12" w:type="dxa"/>
            </w:tcMar>
            <w:vAlign w:val="center"/>
          </w:tcPr>
          <w:p w14:paraId="01F7C8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shd w:val="clear" w:color="auto" w:fill="auto"/>
            <w:tcMar>
              <w:top w:w="12" w:type="dxa"/>
              <w:left w:w="12" w:type="dxa"/>
              <w:right w:w="12" w:type="dxa"/>
            </w:tcMar>
            <w:vAlign w:val="center"/>
          </w:tcPr>
          <w:p w14:paraId="70E994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shd w:val="clear" w:color="auto" w:fill="auto"/>
            <w:tcMar>
              <w:top w:w="12" w:type="dxa"/>
              <w:left w:w="12" w:type="dxa"/>
              <w:right w:w="12" w:type="dxa"/>
            </w:tcMar>
            <w:vAlign w:val="center"/>
          </w:tcPr>
          <w:p w14:paraId="5E90B6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E6A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63F9F7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shd w:val="clear" w:color="auto" w:fill="auto"/>
            <w:tcMar>
              <w:top w:w="12" w:type="dxa"/>
              <w:left w:w="12" w:type="dxa"/>
              <w:right w:w="12" w:type="dxa"/>
            </w:tcMar>
            <w:vAlign w:val="center"/>
          </w:tcPr>
          <w:p w14:paraId="102D16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shd w:val="clear" w:color="auto" w:fill="auto"/>
            <w:tcMar>
              <w:top w:w="12" w:type="dxa"/>
              <w:left w:w="12" w:type="dxa"/>
              <w:right w:w="12" w:type="dxa"/>
            </w:tcMar>
            <w:vAlign w:val="center"/>
          </w:tcPr>
          <w:p w14:paraId="4FBD92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shd w:val="clear" w:color="auto" w:fill="auto"/>
            <w:tcMar>
              <w:top w:w="12" w:type="dxa"/>
              <w:left w:w="12" w:type="dxa"/>
              <w:right w:w="12" w:type="dxa"/>
            </w:tcMar>
            <w:vAlign w:val="center"/>
          </w:tcPr>
          <w:p w14:paraId="10B7A0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shd w:val="clear" w:color="auto" w:fill="auto"/>
            <w:tcMar>
              <w:top w:w="12" w:type="dxa"/>
              <w:left w:w="12" w:type="dxa"/>
              <w:right w:w="12" w:type="dxa"/>
            </w:tcMar>
            <w:vAlign w:val="center"/>
          </w:tcPr>
          <w:p w14:paraId="468159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shd w:val="clear" w:color="auto" w:fill="auto"/>
            <w:tcMar>
              <w:top w:w="12" w:type="dxa"/>
              <w:left w:w="12" w:type="dxa"/>
              <w:right w:w="12" w:type="dxa"/>
            </w:tcMar>
            <w:vAlign w:val="center"/>
          </w:tcPr>
          <w:p w14:paraId="443FFF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shd w:val="clear" w:color="auto" w:fill="auto"/>
            <w:tcMar>
              <w:top w:w="12" w:type="dxa"/>
              <w:left w:w="12" w:type="dxa"/>
              <w:right w:w="12" w:type="dxa"/>
            </w:tcMar>
            <w:vAlign w:val="center"/>
          </w:tcPr>
          <w:p w14:paraId="622E34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6F33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Header/>
          <w:jc w:val="center"/>
        </w:trPr>
        <w:tc>
          <w:tcPr>
            <w:tcW w:w="3285" w:type="dxa"/>
            <w:gridSpan w:val="3"/>
            <w:shd w:val="clear" w:color="auto" w:fill="auto"/>
            <w:tcMar>
              <w:top w:w="12" w:type="dxa"/>
              <w:left w:w="12" w:type="dxa"/>
              <w:right w:w="12" w:type="dxa"/>
            </w:tcMar>
            <w:vAlign w:val="center"/>
          </w:tcPr>
          <w:p w14:paraId="74EB80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shd w:val="clear" w:color="auto" w:fill="auto"/>
            <w:tcMar>
              <w:top w:w="12" w:type="dxa"/>
              <w:left w:w="12" w:type="dxa"/>
              <w:right w:w="12" w:type="dxa"/>
            </w:tcMar>
            <w:vAlign w:val="center"/>
          </w:tcPr>
          <w:p w14:paraId="31303C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shd w:val="clear" w:color="auto" w:fill="auto"/>
            <w:tcMar>
              <w:top w:w="12" w:type="dxa"/>
              <w:left w:w="12" w:type="dxa"/>
              <w:right w:w="12" w:type="dxa"/>
            </w:tcMar>
            <w:vAlign w:val="center"/>
          </w:tcPr>
          <w:p w14:paraId="246A00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shd w:val="clear" w:color="auto" w:fill="auto"/>
            <w:tcMar>
              <w:top w:w="12" w:type="dxa"/>
              <w:left w:w="12" w:type="dxa"/>
              <w:right w:w="12" w:type="dxa"/>
            </w:tcMar>
            <w:vAlign w:val="center"/>
          </w:tcPr>
          <w:p w14:paraId="2D3BEF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shd w:val="clear" w:color="auto" w:fill="auto"/>
            <w:tcMar>
              <w:top w:w="12" w:type="dxa"/>
              <w:left w:w="12" w:type="dxa"/>
              <w:right w:w="12" w:type="dxa"/>
            </w:tcMar>
            <w:vAlign w:val="center"/>
          </w:tcPr>
          <w:p w14:paraId="234654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7B000B25">
      <w:pPr>
        <w:bidi w:val="0"/>
        <w:outlineLvl w:val="2"/>
        <w:rPr>
          <w:rFonts w:hint="default"/>
          <w:b/>
          <w:bCs/>
          <w:color w:val="auto"/>
          <w:highlight w:val="none"/>
          <w:lang w:val="en-US" w:eastAsia="zh-CN"/>
        </w:rPr>
      </w:pPr>
      <w:bookmarkStart w:id="58" w:name="_Toc13522"/>
      <w:r>
        <w:rPr>
          <w:rFonts w:hint="eastAsia"/>
          <w:b/>
          <w:bCs/>
          <w:color w:val="auto"/>
          <w:highlight w:val="none"/>
          <w:lang w:val="en-US" w:eastAsia="zh-CN"/>
        </w:rPr>
        <w:t>1.立项依据充分性</w:t>
      </w:r>
      <w:bookmarkEnd w:id="58"/>
    </w:p>
    <w:p w14:paraId="69D528BC">
      <w:pPr>
        <w:bidi w:val="0"/>
        <w:rPr>
          <w:rFonts w:hint="eastAsia"/>
          <w:color w:val="auto"/>
          <w:highlight w:val="none"/>
          <w:lang w:eastAsia="zh-CN"/>
        </w:rPr>
      </w:pPr>
      <w:r>
        <w:rPr>
          <w:rFonts w:hint="eastAsia"/>
          <w:color w:val="auto"/>
          <w:highlight w:val="none"/>
          <w:lang w:eastAsia="zh-CN"/>
        </w:rPr>
        <w:t>①项目立项符合</w:t>
      </w:r>
      <w:r>
        <w:rPr>
          <w:rFonts w:hint="eastAsia"/>
          <w:color w:val="auto"/>
          <w:highlight w:val="none"/>
          <w:lang w:val="en-US" w:eastAsia="zh-CN"/>
        </w:rPr>
        <w:t>,《关于印发国民健康政策纲要（2019-2030年）的通知</w:t>
      </w:r>
      <w:r>
        <w:rPr>
          <w:rFonts w:hint="eastAsia"/>
          <w:color w:val="auto"/>
          <w:highlight w:val="none"/>
          <w:lang w:eastAsia="zh-CN"/>
        </w:rPr>
        <w:t>》；</w:t>
      </w:r>
    </w:p>
    <w:p w14:paraId="3B2FE837">
      <w:pPr>
        <w:bidi w:val="0"/>
        <w:rPr>
          <w:rFonts w:hint="eastAsia"/>
          <w:color w:val="auto"/>
          <w:highlight w:val="none"/>
          <w:lang w:eastAsia="zh-CN"/>
        </w:rPr>
      </w:pPr>
      <w:r>
        <w:rPr>
          <w:rFonts w:hint="eastAsia"/>
          <w:color w:val="auto"/>
          <w:highlight w:val="none"/>
          <w:lang w:eastAsia="zh-CN"/>
        </w:rPr>
        <w:t>②项目立项符合</w:t>
      </w:r>
      <w:r>
        <w:rPr>
          <w:rFonts w:hint="eastAsia"/>
          <w:color w:val="auto"/>
          <w:highlight w:val="none"/>
          <w:lang w:val="en-US" w:eastAsia="zh-CN"/>
        </w:rPr>
        <w:t>各级卫生健康行政部门要在健康体检工作中加强健康管理服务能力建设，提高健康管理服务</w:t>
      </w:r>
      <w:r>
        <w:rPr>
          <w:rFonts w:hint="eastAsia"/>
          <w:color w:val="auto"/>
          <w:highlight w:val="none"/>
          <w:lang w:eastAsia="zh-CN"/>
        </w:rPr>
        <w:t>；</w:t>
      </w:r>
    </w:p>
    <w:p w14:paraId="7A294185">
      <w:pPr>
        <w:bidi w:val="0"/>
        <w:rPr>
          <w:rFonts w:hint="eastAsia"/>
          <w:color w:val="auto"/>
          <w:highlight w:val="none"/>
          <w:lang w:eastAsia="zh-CN"/>
        </w:rPr>
      </w:pPr>
      <w:r>
        <w:rPr>
          <w:rFonts w:hint="eastAsia"/>
          <w:color w:val="auto"/>
          <w:highlight w:val="none"/>
          <w:lang w:eastAsia="zh-CN"/>
        </w:rPr>
        <w:t>③项目立项与</w:t>
      </w:r>
      <w:r>
        <w:rPr>
          <w:rFonts w:hint="eastAsia"/>
          <w:color w:val="auto"/>
          <w:highlight w:val="none"/>
          <w:lang w:val="en-US" w:eastAsia="zh-CN"/>
        </w:rPr>
        <w:t>切实保障辖区内居民全民健康体检、提升居民健康意识的部</w:t>
      </w:r>
      <w:r>
        <w:rPr>
          <w:rFonts w:hint="eastAsia"/>
          <w:color w:val="auto"/>
          <w:highlight w:val="none"/>
          <w:lang w:eastAsia="zh-CN"/>
        </w:rPr>
        <w:t>门职责范围相符，属于部门履职所需；</w:t>
      </w:r>
    </w:p>
    <w:p w14:paraId="672DF870">
      <w:pPr>
        <w:bidi w:val="0"/>
        <w:rPr>
          <w:rFonts w:hint="eastAsia"/>
          <w:color w:val="auto"/>
          <w:highlight w:val="none"/>
          <w:lang w:eastAsia="zh-CN"/>
        </w:rPr>
      </w:pPr>
      <w:r>
        <w:rPr>
          <w:rFonts w:hint="eastAsia"/>
          <w:color w:val="auto"/>
          <w:highlight w:val="none"/>
          <w:lang w:eastAsia="zh-CN"/>
        </w:rPr>
        <w:t>④项目属于公共财政支持范围，符合中央、地方事权支出责任划分原则；</w:t>
      </w:r>
    </w:p>
    <w:p w14:paraId="01729D7E">
      <w:pPr>
        <w:bidi w:val="0"/>
        <w:rPr>
          <w:rFonts w:hint="eastAsia"/>
          <w:color w:val="auto"/>
          <w:highlight w:val="none"/>
          <w:lang w:eastAsia="zh-CN"/>
        </w:rPr>
      </w:pPr>
      <w:r>
        <w:rPr>
          <w:rFonts w:hint="eastAsia"/>
          <w:color w:val="auto"/>
          <w:highlight w:val="none"/>
          <w:lang w:eastAsia="zh-CN"/>
        </w:rPr>
        <w:t>⑤项目与相关部门同类项目或部门内部相关项目</w:t>
      </w:r>
      <w:r>
        <w:rPr>
          <w:rFonts w:hint="eastAsia"/>
          <w:color w:val="auto"/>
          <w:highlight w:val="none"/>
          <w:lang w:val="en-US" w:eastAsia="zh-CN"/>
        </w:rPr>
        <w:t>不</w:t>
      </w:r>
      <w:r>
        <w:rPr>
          <w:rFonts w:hint="eastAsia"/>
          <w:color w:val="auto"/>
          <w:highlight w:val="none"/>
          <w:lang w:eastAsia="zh-CN"/>
        </w:rPr>
        <w:t>重复。</w:t>
      </w:r>
    </w:p>
    <w:p w14:paraId="2E3F9E4C">
      <w:pPr>
        <w:bidi w:val="0"/>
        <w:rPr>
          <w:rFonts w:hint="default"/>
          <w:color w:val="auto"/>
          <w:highlight w:val="none"/>
          <w:lang w:val="en-US" w:eastAsia="zh-CN"/>
        </w:rPr>
      </w:pPr>
      <w:r>
        <w:rPr>
          <w:rFonts w:hint="eastAsia"/>
          <w:b/>
          <w:bCs/>
          <w:color w:val="auto"/>
          <w:highlight w:val="none"/>
          <w:lang w:val="en-US" w:eastAsia="zh-CN"/>
        </w:rPr>
        <w:t>综上，该项指标满分2分，得分2分。</w:t>
      </w:r>
    </w:p>
    <w:p w14:paraId="0EC25BF3">
      <w:pPr>
        <w:bidi w:val="0"/>
        <w:outlineLvl w:val="2"/>
        <w:rPr>
          <w:rFonts w:hint="default"/>
          <w:b/>
          <w:bCs/>
          <w:color w:val="auto"/>
          <w:highlight w:val="none"/>
          <w:lang w:val="en-US" w:eastAsia="zh-CN"/>
        </w:rPr>
      </w:pPr>
      <w:bookmarkStart w:id="59" w:name="_Toc21976"/>
      <w:r>
        <w:rPr>
          <w:rFonts w:hint="eastAsia"/>
          <w:b/>
          <w:bCs/>
          <w:color w:val="auto"/>
          <w:highlight w:val="none"/>
          <w:lang w:val="en-US" w:eastAsia="zh-CN"/>
        </w:rPr>
        <w:t>2.立项程序规范性</w:t>
      </w:r>
      <w:bookmarkEnd w:id="59"/>
    </w:p>
    <w:p w14:paraId="7026107E">
      <w:pPr>
        <w:bidi w:val="0"/>
        <w:rPr>
          <w:rFonts w:hint="eastAsia"/>
          <w:color w:val="auto"/>
          <w:highlight w:val="none"/>
          <w:lang w:eastAsia="zh-CN"/>
        </w:rPr>
      </w:pPr>
      <w:r>
        <w:rPr>
          <w:rFonts w:hint="eastAsia"/>
          <w:color w:val="auto"/>
          <w:highlight w:val="none"/>
          <w:lang w:eastAsia="zh-CN"/>
        </w:rPr>
        <w:t>①项目按照规定的程序申请设立；</w:t>
      </w:r>
    </w:p>
    <w:p w14:paraId="46A67063">
      <w:pPr>
        <w:bidi w:val="0"/>
        <w:rPr>
          <w:rFonts w:hint="eastAsia"/>
          <w:color w:val="auto"/>
          <w:highlight w:val="none"/>
          <w:lang w:eastAsia="zh-CN"/>
        </w:rPr>
      </w:pPr>
      <w:r>
        <w:rPr>
          <w:rFonts w:hint="eastAsia"/>
          <w:color w:val="auto"/>
          <w:highlight w:val="none"/>
          <w:lang w:eastAsia="zh-CN"/>
        </w:rPr>
        <w:t>②审批文件、材料符合相关要求；</w:t>
      </w:r>
    </w:p>
    <w:p w14:paraId="1F8E97E7">
      <w:pPr>
        <w:bidi w:val="0"/>
        <w:rPr>
          <w:rFonts w:hint="eastAsia"/>
          <w:color w:val="auto"/>
          <w:highlight w:val="none"/>
          <w:lang w:eastAsia="zh-CN"/>
        </w:rPr>
      </w:pPr>
      <w:r>
        <w:rPr>
          <w:rFonts w:hint="eastAsia"/>
          <w:color w:val="auto"/>
          <w:highlight w:val="none"/>
          <w:lang w:eastAsia="zh-CN"/>
        </w:rPr>
        <w:t>③事前未经过必要的可行性研究、专家论证、风险评估、绩效评估、集体决策，</w:t>
      </w:r>
      <w:r>
        <w:rPr>
          <w:rFonts w:hint="eastAsia"/>
          <w:color w:val="auto"/>
          <w:highlight w:val="none"/>
          <w:lang w:val="en-US" w:eastAsia="zh-CN"/>
        </w:rPr>
        <w:t>扣1分</w:t>
      </w:r>
      <w:r>
        <w:rPr>
          <w:rFonts w:hint="eastAsia"/>
          <w:color w:val="auto"/>
          <w:highlight w:val="none"/>
          <w:lang w:eastAsia="zh-CN"/>
        </w:rPr>
        <w:t>。</w:t>
      </w:r>
    </w:p>
    <w:p w14:paraId="27BB2000">
      <w:pPr>
        <w:bidi w:val="0"/>
        <w:rPr>
          <w:rFonts w:hint="eastAsia"/>
          <w:color w:val="auto"/>
          <w:highlight w:val="none"/>
          <w:lang w:eastAsia="zh-CN"/>
        </w:rPr>
      </w:pPr>
      <w:r>
        <w:rPr>
          <w:rFonts w:hint="eastAsia"/>
          <w:b/>
          <w:bCs/>
          <w:color w:val="auto"/>
          <w:highlight w:val="none"/>
          <w:lang w:val="en-US" w:eastAsia="zh-CN"/>
        </w:rPr>
        <w:t>综上，该项指标满分3分，得分2分。</w:t>
      </w:r>
    </w:p>
    <w:p w14:paraId="0154846B">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14:paraId="0ED6F034">
      <w:pPr>
        <w:bidi w:val="0"/>
        <w:rPr>
          <w:rFonts w:hint="eastAsia"/>
          <w:color w:val="auto"/>
          <w:highlight w:val="none"/>
          <w:lang w:eastAsia="zh-CN"/>
        </w:rPr>
      </w:pPr>
      <w:r>
        <w:rPr>
          <w:rFonts w:hint="eastAsia"/>
          <w:color w:val="auto"/>
          <w:highlight w:val="none"/>
          <w:lang w:eastAsia="zh-CN"/>
        </w:rPr>
        <w:t>①项目有绩效目标；</w:t>
      </w:r>
    </w:p>
    <w:p w14:paraId="59EBB52C">
      <w:pPr>
        <w:bidi w:val="0"/>
        <w:rPr>
          <w:rFonts w:hint="eastAsia"/>
          <w:color w:val="auto"/>
          <w:highlight w:val="none"/>
          <w:lang w:eastAsia="zh-CN"/>
        </w:rPr>
      </w:pPr>
      <w:r>
        <w:rPr>
          <w:rFonts w:hint="eastAsia"/>
          <w:color w:val="auto"/>
          <w:highlight w:val="none"/>
          <w:lang w:eastAsia="zh-CN"/>
        </w:rPr>
        <w:t>②项目绩效目标与实际工作内容具有相关性；</w:t>
      </w:r>
    </w:p>
    <w:p w14:paraId="0BDB40A0">
      <w:pPr>
        <w:bidi w:val="0"/>
        <w:rPr>
          <w:rFonts w:hint="eastAsia"/>
          <w:color w:val="auto"/>
          <w:highlight w:val="none"/>
          <w:lang w:eastAsia="zh-CN"/>
        </w:rPr>
      </w:pPr>
      <w:r>
        <w:rPr>
          <w:rFonts w:hint="eastAsia"/>
          <w:color w:val="auto"/>
          <w:highlight w:val="none"/>
          <w:lang w:eastAsia="zh-CN"/>
        </w:rPr>
        <w:t>③项目预期产出效益和效果符合正常的业绩水平；</w:t>
      </w:r>
    </w:p>
    <w:p w14:paraId="3C39C2B3">
      <w:pPr>
        <w:bidi w:val="0"/>
        <w:rPr>
          <w:rFonts w:hint="eastAsia"/>
          <w:color w:val="auto"/>
          <w:highlight w:val="none"/>
          <w:lang w:eastAsia="zh-CN"/>
        </w:rPr>
      </w:pPr>
      <w:r>
        <w:rPr>
          <w:rFonts w:hint="eastAsia"/>
          <w:color w:val="auto"/>
          <w:highlight w:val="none"/>
          <w:lang w:eastAsia="zh-CN"/>
        </w:rPr>
        <w:t>④与预算确定的项目投资额或资金量相匹配。</w:t>
      </w:r>
    </w:p>
    <w:p w14:paraId="027867C1">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5C2ABA78">
      <w:pPr>
        <w:bidi w:val="0"/>
        <w:outlineLvl w:val="2"/>
        <w:rPr>
          <w:rFonts w:hint="default"/>
          <w:b/>
          <w:bCs/>
          <w:color w:val="auto"/>
          <w:highlight w:val="none"/>
          <w:lang w:val="en-US" w:eastAsia="zh-CN"/>
        </w:rPr>
      </w:pPr>
      <w:bookmarkStart w:id="61" w:name="_Toc10650"/>
      <w:r>
        <w:rPr>
          <w:rFonts w:hint="eastAsia"/>
          <w:b/>
          <w:bCs/>
          <w:color w:val="auto"/>
          <w:highlight w:val="none"/>
          <w:lang w:val="en-US" w:eastAsia="zh-CN"/>
        </w:rPr>
        <w:t>4.绩效指标明确性</w:t>
      </w:r>
      <w:bookmarkEnd w:id="61"/>
    </w:p>
    <w:p w14:paraId="2BD9DDCA">
      <w:pPr>
        <w:bidi w:val="0"/>
        <w:rPr>
          <w:rFonts w:hint="eastAsia"/>
          <w:color w:val="auto"/>
          <w:highlight w:val="none"/>
          <w:lang w:eastAsia="zh-CN"/>
        </w:rPr>
      </w:pPr>
      <w:r>
        <w:rPr>
          <w:rFonts w:hint="eastAsia"/>
          <w:color w:val="auto"/>
          <w:highlight w:val="none"/>
          <w:lang w:eastAsia="zh-CN"/>
        </w:rPr>
        <w:t>①将项目绩效目标细化分解为</w:t>
      </w:r>
      <w:r>
        <w:rPr>
          <w:rFonts w:hint="eastAsia" w:ascii="宋体" w:hAnsi="宋体" w:eastAsia="宋体" w:cs="宋体"/>
          <w:color w:val="auto"/>
          <w:highlight w:val="none"/>
          <w:shd w:val="clear" w:color="auto" w:fill="auto"/>
          <w:lang w:val="en-US" w:eastAsia="zh-CN"/>
        </w:rPr>
        <w:t>3个二级指标和6个三级指标</w:t>
      </w:r>
      <w:r>
        <w:rPr>
          <w:rFonts w:hint="eastAsia"/>
          <w:color w:val="auto"/>
          <w:highlight w:val="none"/>
          <w:lang w:eastAsia="zh-CN"/>
        </w:rPr>
        <w:t>；</w:t>
      </w:r>
    </w:p>
    <w:p w14:paraId="3E765A56">
      <w:pPr>
        <w:bidi w:val="0"/>
        <w:rPr>
          <w:rFonts w:hint="eastAsia"/>
          <w:color w:val="auto"/>
          <w:highlight w:val="none"/>
          <w:lang w:eastAsia="zh-CN"/>
        </w:rPr>
      </w:pPr>
      <w:r>
        <w:rPr>
          <w:rFonts w:hint="eastAsia"/>
          <w:color w:val="auto"/>
          <w:highlight w:val="none"/>
          <w:lang w:eastAsia="zh-CN"/>
        </w:rPr>
        <w:t>②通过清晰、可衡量的指标值予以体现，量化率达到</w:t>
      </w:r>
      <w:r>
        <w:rPr>
          <w:rFonts w:hint="eastAsia"/>
          <w:color w:val="auto"/>
          <w:highlight w:val="none"/>
          <w:lang w:val="en-US" w:eastAsia="zh-CN"/>
        </w:rPr>
        <w:t>75%</w:t>
      </w:r>
      <w:r>
        <w:rPr>
          <w:rFonts w:hint="eastAsia"/>
          <w:color w:val="auto"/>
          <w:highlight w:val="none"/>
          <w:lang w:eastAsia="zh-CN"/>
        </w:rPr>
        <w:t>；</w:t>
      </w:r>
    </w:p>
    <w:p w14:paraId="4479F59E">
      <w:pPr>
        <w:bidi w:val="0"/>
        <w:rPr>
          <w:rFonts w:hint="eastAsia"/>
          <w:color w:val="auto"/>
          <w:highlight w:val="none"/>
          <w:lang w:eastAsia="zh-CN"/>
        </w:rPr>
      </w:pPr>
      <w:r>
        <w:rPr>
          <w:rFonts w:hint="eastAsia"/>
          <w:color w:val="auto"/>
          <w:highlight w:val="none"/>
          <w:lang w:eastAsia="zh-CN"/>
        </w:rPr>
        <w:t>③与项目目标任务数或计划数相对应。</w:t>
      </w:r>
    </w:p>
    <w:p w14:paraId="131E8EFB">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6C50798B">
      <w:pPr>
        <w:bidi w:val="0"/>
        <w:outlineLvl w:val="2"/>
        <w:rPr>
          <w:rFonts w:hint="default"/>
          <w:b/>
          <w:bCs/>
          <w:color w:val="auto"/>
          <w:highlight w:val="none"/>
          <w:lang w:val="en-US" w:eastAsia="zh-CN"/>
        </w:rPr>
      </w:pPr>
      <w:bookmarkStart w:id="62" w:name="_Toc19401"/>
      <w:r>
        <w:rPr>
          <w:rFonts w:hint="eastAsia"/>
          <w:b/>
          <w:bCs/>
          <w:color w:val="auto"/>
          <w:highlight w:val="none"/>
          <w:lang w:val="en-US" w:eastAsia="zh-CN"/>
        </w:rPr>
        <w:t>5.预算编制科学性</w:t>
      </w:r>
      <w:bookmarkEnd w:id="62"/>
    </w:p>
    <w:p w14:paraId="3D15C6E8">
      <w:pPr>
        <w:bidi w:val="0"/>
        <w:rPr>
          <w:rFonts w:hint="eastAsia"/>
          <w:color w:val="auto"/>
          <w:highlight w:val="none"/>
          <w:lang w:eastAsia="zh-CN"/>
        </w:rPr>
      </w:pPr>
      <w:r>
        <w:rPr>
          <w:rFonts w:hint="eastAsia"/>
          <w:color w:val="auto"/>
          <w:highlight w:val="none"/>
          <w:lang w:eastAsia="zh-CN"/>
        </w:rPr>
        <w:t>①预算编制经过科学论证；</w:t>
      </w:r>
    </w:p>
    <w:p w14:paraId="7AD9AD4F">
      <w:pPr>
        <w:bidi w:val="0"/>
        <w:rPr>
          <w:rFonts w:hint="eastAsia"/>
          <w:color w:val="auto"/>
          <w:highlight w:val="none"/>
          <w:lang w:eastAsia="zh-CN"/>
        </w:rPr>
      </w:pPr>
      <w:r>
        <w:rPr>
          <w:rFonts w:hint="eastAsia"/>
          <w:color w:val="auto"/>
          <w:highlight w:val="none"/>
          <w:lang w:eastAsia="zh-CN"/>
        </w:rPr>
        <w:t>②预算内容与项目内容匹配；</w:t>
      </w:r>
    </w:p>
    <w:p w14:paraId="53364DB4">
      <w:pPr>
        <w:bidi w:val="0"/>
        <w:rPr>
          <w:rFonts w:hint="eastAsia"/>
          <w:color w:val="auto"/>
          <w:highlight w:val="none"/>
          <w:lang w:eastAsia="zh-CN"/>
        </w:rPr>
      </w:pPr>
      <w:r>
        <w:rPr>
          <w:rFonts w:hint="eastAsia"/>
          <w:color w:val="auto"/>
          <w:highlight w:val="none"/>
          <w:lang w:eastAsia="zh-CN"/>
        </w:rPr>
        <w:t>③预算额度测算依据充分，按照标准编制；</w:t>
      </w:r>
    </w:p>
    <w:p w14:paraId="0D9ACA69">
      <w:pPr>
        <w:bidi w:val="0"/>
        <w:rPr>
          <w:rFonts w:hint="eastAsia"/>
          <w:color w:val="auto"/>
          <w:highlight w:val="none"/>
          <w:lang w:eastAsia="zh-CN"/>
        </w:rPr>
      </w:pPr>
      <w:r>
        <w:rPr>
          <w:rFonts w:hint="eastAsia"/>
          <w:color w:val="auto"/>
          <w:highlight w:val="none"/>
          <w:lang w:eastAsia="zh-CN"/>
        </w:rPr>
        <w:t>④预算确定的项目投资额或资金量与工作任务相匹配。</w:t>
      </w:r>
    </w:p>
    <w:p w14:paraId="7BA921A5">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5C293B49">
      <w:pPr>
        <w:bidi w:val="0"/>
        <w:outlineLvl w:val="2"/>
        <w:rPr>
          <w:rFonts w:hint="default"/>
          <w:b/>
          <w:bCs/>
          <w:color w:val="auto"/>
          <w:highlight w:val="none"/>
          <w:lang w:val="en-US" w:eastAsia="zh-CN"/>
        </w:rPr>
      </w:pPr>
      <w:bookmarkStart w:id="63" w:name="_Toc697"/>
      <w:r>
        <w:rPr>
          <w:rFonts w:hint="eastAsia"/>
          <w:b/>
          <w:bCs/>
          <w:color w:val="auto"/>
          <w:highlight w:val="none"/>
          <w:lang w:val="en-US" w:eastAsia="zh-CN"/>
        </w:rPr>
        <w:t>6.资金分配合理性</w:t>
      </w:r>
      <w:bookmarkEnd w:id="63"/>
    </w:p>
    <w:p w14:paraId="65A3E753">
      <w:pPr>
        <w:bidi w:val="0"/>
        <w:rPr>
          <w:rFonts w:hint="eastAsia"/>
          <w:color w:val="auto"/>
          <w:highlight w:val="none"/>
          <w:lang w:eastAsia="zh-CN"/>
        </w:rPr>
      </w:pPr>
      <w:r>
        <w:rPr>
          <w:rFonts w:hint="eastAsia"/>
          <w:color w:val="auto"/>
          <w:highlight w:val="none"/>
          <w:lang w:eastAsia="zh-CN"/>
        </w:rPr>
        <w:t>①预算资金分配依据充分；</w:t>
      </w:r>
    </w:p>
    <w:p w14:paraId="16057726">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14:paraId="2B9C3D9C">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68A1A476">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64" w:name="_Toc11361"/>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bookmarkEnd w:id="64"/>
    </w:p>
    <w:p w14:paraId="3F25C835">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4461D76D">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3"/>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0FFC0D19">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E14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171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647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380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3AE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39F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ED3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13859C47">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CDB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D35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F8E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70B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259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BC5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2EF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783129C">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1CC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25D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F23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9F4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0A8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7D7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E3A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35DAF612">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E39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FCE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901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149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C4F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419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41B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4E157DAE">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464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634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180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C1B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FD3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9B5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D72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04EF6FD">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5688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EC5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089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C3D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C15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52C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161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09BF9DE">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550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6D0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7F0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9B7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3F3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07EB7A3E">
      <w:pPr>
        <w:bidi w:val="0"/>
        <w:outlineLvl w:val="2"/>
        <w:rPr>
          <w:rFonts w:hint="default"/>
          <w:b/>
          <w:bCs/>
          <w:color w:val="auto"/>
          <w:highlight w:val="none"/>
          <w:lang w:val="en-US" w:eastAsia="zh-CN"/>
        </w:rPr>
      </w:pPr>
      <w:bookmarkStart w:id="65" w:name="_Toc3886"/>
      <w:r>
        <w:rPr>
          <w:rFonts w:hint="eastAsia"/>
          <w:b/>
          <w:bCs/>
          <w:color w:val="auto"/>
          <w:highlight w:val="none"/>
          <w:lang w:val="en-US" w:eastAsia="zh-CN"/>
        </w:rPr>
        <w:t>1.资金到位率</w:t>
      </w:r>
      <w:bookmarkEnd w:id="65"/>
    </w:p>
    <w:p w14:paraId="76FC938A">
      <w:pPr>
        <w:bidi w:val="0"/>
        <w:rPr>
          <w:rFonts w:hint="default"/>
          <w:b/>
          <w:bCs/>
          <w:color w:val="auto"/>
          <w:highlight w:val="none"/>
          <w:lang w:val="en-US" w:eastAsia="zh-CN"/>
        </w:rPr>
      </w:pPr>
      <w:r>
        <w:rPr>
          <w:rFonts w:hint="eastAsia"/>
          <w:color w:val="auto"/>
          <w:highlight w:val="none"/>
          <w:lang w:eastAsia="zh-CN"/>
        </w:rPr>
        <w:t>资金到位率=（</w:t>
      </w:r>
      <w:r>
        <w:rPr>
          <w:rFonts w:hint="eastAsia"/>
          <w:color w:val="auto"/>
          <w:highlight w:val="none"/>
          <w:lang w:val="en-US" w:eastAsia="zh-CN"/>
        </w:rPr>
        <w:t>27.75万元</w:t>
      </w:r>
      <w:r>
        <w:rPr>
          <w:rFonts w:hint="eastAsia"/>
          <w:color w:val="auto"/>
          <w:highlight w:val="none"/>
          <w:lang w:eastAsia="zh-CN"/>
        </w:rPr>
        <w:t>/</w:t>
      </w:r>
      <w:r>
        <w:rPr>
          <w:rFonts w:hint="eastAsia"/>
          <w:color w:val="auto"/>
          <w:highlight w:val="none"/>
          <w:lang w:val="en-US" w:eastAsia="zh-CN"/>
        </w:rPr>
        <w:t>27.75万元</w:t>
      </w:r>
      <w:r>
        <w:rPr>
          <w:rFonts w:hint="eastAsia"/>
          <w:color w:val="auto"/>
          <w:highlight w:val="none"/>
          <w:lang w:eastAsia="zh-CN"/>
        </w:rPr>
        <w:t>）×100%</w:t>
      </w:r>
      <w:r>
        <w:rPr>
          <w:rFonts w:hint="eastAsia"/>
          <w:b/>
          <w:bCs/>
          <w:color w:val="auto"/>
          <w:highlight w:val="none"/>
          <w:lang w:val="en-US" w:eastAsia="zh-CN"/>
        </w:rPr>
        <w:t>=100%</w:t>
      </w:r>
    </w:p>
    <w:p w14:paraId="63FB5311">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C068413">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497C4614">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27.75万元</w:t>
      </w:r>
      <w:r>
        <w:rPr>
          <w:rFonts w:hint="eastAsia"/>
          <w:color w:val="auto"/>
          <w:highlight w:val="none"/>
          <w:lang w:eastAsia="zh-CN"/>
        </w:rPr>
        <w:t>/</w:t>
      </w:r>
      <w:r>
        <w:rPr>
          <w:rFonts w:hint="eastAsia"/>
          <w:color w:val="auto"/>
          <w:highlight w:val="none"/>
          <w:lang w:val="en-US" w:eastAsia="zh-CN"/>
        </w:rPr>
        <w:t>27.75万元</w:t>
      </w:r>
      <w:r>
        <w:rPr>
          <w:rFonts w:hint="eastAsia"/>
          <w:color w:val="auto"/>
          <w:highlight w:val="none"/>
          <w:lang w:eastAsia="zh-CN"/>
        </w:rPr>
        <w:t>）×100%</w:t>
      </w:r>
      <w:r>
        <w:rPr>
          <w:rFonts w:hint="eastAsia"/>
          <w:b/>
          <w:bCs/>
          <w:color w:val="auto"/>
          <w:highlight w:val="none"/>
          <w:lang w:val="en-US" w:eastAsia="zh-CN"/>
        </w:rPr>
        <w:t>=100%</w:t>
      </w:r>
    </w:p>
    <w:p w14:paraId="32819620">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4970389A">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14:paraId="1DCA77E2">
      <w:pPr>
        <w:bidi w:val="0"/>
        <w:rPr>
          <w:rFonts w:hint="eastAsia"/>
          <w:color w:val="auto"/>
          <w:highlight w:val="none"/>
          <w:lang w:eastAsia="zh-CN"/>
        </w:rPr>
      </w:pPr>
      <w:r>
        <w:rPr>
          <w:rFonts w:hint="eastAsia"/>
          <w:color w:val="auto"/>
          <w:highlight w:val="none"/>
          <w:lang w:eastAsia="zh-CN"/>
        </w:rPr>
        <w:t>①符合国家《</w:t>
      </w:r>
      <w:r>
        <w:rPr>
          <w:rFonts w:hint="eastAsia"/>
          <w:color w:val="auto"/>
          <w:highlight w:val="none"/>
          <w:lang w:val="en-US" w:eastAsia="zh-CN"/>
        </w:rPr>
        <w:t>政府会计准则</w:t>
      </w:r>
      <w:r>
        <w:rPr>
          <w:rFonts w:hint="eastAsia"/>
          <w:color w:val="auto"/>
          <w:highlight w:val="none"/>
          <w:lang w:eastAsia="zh-CN"/>
        </w:rPr>
        <w:t>》、《</w:t>
      </w:r>
      <w:r>
        <w:rPr>
          <w:rFonts w:hint="eastAsia"/>
          <w:color w:val="auto"/>
          <w:highlight w:val="none"/>
          <w:lang w:val="en-US" w:eastAsia="zh-CN"/>
        </w:rPr>
        <w:t>全民健康体检资金使用办法</w:t>
      </w:r>
      <w:r>
        <w:rPr>
          <w:rFonts w:hint="eastAsia"/>
          <w:color w:val="auto"/>
          <w:highlight w:val="none"/>
          <w:lang w:eastAsia="zh-CN"/>
        </w:rPr>
        <w:t>》以及有关专项资金管理办法的规定；</w:t>
      </w:r>
    </w:p>
    <w:p w14:paraId="541CAE7F">
      <w:pPr>
        <w:bidi w:val="0"/>
        <w:rPr>
          <w:rFonts w:hint="eastAsia"/>
          <w:color w:val="auto"/>
          <w:highlight w:val="none"/>
          <w:lang w:eastAsia="zh-CN"/>
        </w:rPr>
      </w:pPr>
      <w:r>
        <w:rPr>
          <w:rFonts w:hint="eastAsia"/>
          <w:color w:val="auto"/>
          <w:highlight w:val="none"/>
          <w:lang w:eastAsia="zh-CN"/>
        </w:rPr>
        <w:t>②资金的拨付有完整的审批程序和手续；</w:t>
      </w:r>
    </w:p>
    <w:p w14:paraId="339A8064">
      <w:pPr>
        <w:bidi w:val="0"/>
        <w:rPr>
          <w:rFonts w:hint="eastAsia"/>
          <w:color w:val="auto"/>
          <w:highlight w:val="none"/>
          <w:lang w:eastAsia="zh-CN"/>
        </w:rPr>
      </w:pPr>
      <w:r>
        <w:rPr>
          <w:rFonts w:hint="eastAsia"/>
          <w:color w:val="auto"/>
          <w:highlight w:val="none"/>
          <w:lang w:eastAsia="zh-CN"/>
        </w:rPr>
        <w:t>③符合项目预算批复或合同规定的用途；</w:t>
      </w:r>
    </w:p>
    <w:p w14:paraId="05749A3D">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14:paraId="6B9B9C6A">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48962ACC">
      <w:pPr>
        <w:bidi w:val="0"/>
        <w:rPr>
          <w:rFonts w:hint="default"/>
          <w:b/>
          <w:bCs/>
          <w:color w:val="auto"/>
          <w:highlight w:val="none"/>
          <w:lang w:val="en-US" w:eastAsia="zh-CN"/>
        </w:rPr>
      </w:pPr>
      <w:r>
        <w:rPr>
          <w:rFonts w:hint="eastAsia"/>
          <w:b/>
          <w:bCs/>
          <w:color w:val="auto"/>
          <w:highlight w:val="none"/>
          <w:lang w:val="en-US" w:eastAsia="zh-CN"/>
        </w:rPr>
        <w:t>4.管理制度健全性</w:t>
      </w:r>
    </w:p>
    <w:p w14:paraId="357C6CD8">
      <w:pPr>
        <w:bidi w:val="0"/>
        <w:rPr>
          <w:rFonts w:hint="eastAsia"/>
          <w:color w:val="auto"/>
          <w:highlight w:val="none"/>
          <w:lang w:eastAsia="zh-CN"/>
        </w:rPr>
      </w:pPr>
      <w:r>
        <w:rPr>
          <w:rFonts w:hint="eastAsia"/>
          <w:color w:val="auto"/>
          <w:highlight w:val="none"/>
          <w:lang w:eastAsia="zh-CN"/>
        </w:rPr>
        <w:t>①已制定或具有相应的《阜康市上户沟哈萨克族乡卫生院财务管理制度》；</w:t>
      </w:r>
    </w:p>
    <w:p w14:paraId="25D7EC3D">
      <w:pPr>
        <w:bidi w:val="0"/>
        <w:rPr>
          <w:rFonts w:hint="eastAsia"/>
          <w:color w:val="auto"/>
          <w:highlight w:val="none"/>
          <w:lang w:eastAsia="zh-CN"/>
        </w:rPr>
      </w:pPr>
      <w:r>
        <w:rPr>
          <w:rFonts w:hint="eastAsia"/>
          <w:color w:val="auto"/>
          <w:highlight w:val="none"/>
          <w:lang w:eastAsia="zh-CN"/>
        </w:rPr>
        <w:t>②财务和业务管理制度合法、合规、完整。</w:t>
      </w:r>
    </w:p>
    <w:p w14:paraId="5352F856">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65152D80">
      <w:pPr>
        <w:bidi w:val="0"/>
        <w:ind w:left="1403" w:leftChars="200" w:hanging="843" w:hangingChars="300"/>
        <w:outlineLvl w:val="2"/>
        <w:rPr>
          <w:rFonts w:hint="default"/>
          <w:b/>
          <w:bCs/>
          <w:color w:val="auto"/>
          <w:highlight w:val="none"/>
          <w:lang w:val="en-US" w:eastAsia="zh-CN"/>
        </w:rPr>
      </w:pPr>
      <w:bookmarkStart w:id="68" w:name="_Toc31684"/>
      <w:r>
        <w:rPr>
          <w:rFonts w:hint="eastAsia"/>
          <w:b/>
          <w:bCs/>
          <w:color w:val="auto"/>
          <w:highlight w:val="none"/>
          <w:lang w:val="en-US" w:eastAsia="zh-CN"/>
        </w:rPr>
        <w:t>5.制度执行有效性</w:t>
      </w:r>
      <w:bookmarkEnd w:id="68"/>
    </w:p>
    <w:p w14:paraId="2EBB7ABB">
      <w:pPr>
        <w:bidi w:val="0"/>
        <w:rPr>
          <w:rFonts w:hint="eastAsia"/>
          <w:color w:val="auto"/>
          <w:highlight w:val="none"/>
          <w:lang w:eastAsia="zh-CN"/>
        </w:rPr>
      </w:pPr>
      <w:r>
        <w:rPr>
          <w:rFonts w:hint="eastAsia"/>
          <w:color w:val="auto"/>
          <w:highlight w:val="none"/>
          <w:lang w:eastAsia="zh-CN"/>
        </w:rPr>
        <w:t>①遵守相关法律法规和相关管理规定；</w:t>
      </w:r>
    </w:p>
    <w:p w14:paraId="3EA3F7F4">
      <w:pPr>
        <w:bidi w:val="0"/>
        <w:rPr>
          <w:rFonts w:hint="eastAsia"/>
          <w:color w:val="auto"/>
          <w:highlight w:val="none"/>
          <w:lang w:eastAsia="zh-CN"/>
        </w:rPr>
      </w:pPr>
      <w:r>
        <w:rPr>
          <w:rFonts w:hint="eastAsia"/>
          <w:color w:val="auto"/>
          <w:highlight w:val="none"/>
          <w:lang w:eastAsia="zh-CN"/>
        </w:rPr>
        <w:t>②项目未调整；</w:t>
      </w:r>
    </w:p>
    <w:p w14:paraId="3E6EC71F">
      <w:pPr>
        <w:bidi w:val="0"/>
        <w:rPr>
          <w:rFonts w:hint="eastAsia"/>
          <w:color w:val="auto"/>
          <w:highlight w:val="none"/>
          <w:lang w:eastAsia="zh-CN"/>
        </w:rPr>
      </w:pPr>
      <w:r>
        <w:rPr>
          <w:rFonts w:hint="eastAsia"/>
          <w:color w:val="auto"/>
          <w:highlight w:val="none"/>
          <w:lang w:eastAsia="zh-CN"/>
        </w:rPr>
        <w:t>③《</w:t>
      </w:r>
      <w:r>
        <w:rPr>
          <w:rFonts w:hint="eastAsia"/>
          <w:color w:val="auto"/>
          <w:highlight w:val="none"/>
          <w:lang w:val="en-US" w:eastAsia="zh-CN"/>
        </w:rPr>
        <w:t>全民健康体检工作</w:t>
      </w:r>
      <w:r>
        <w:rPr>
          <w:rFonts w:hint="eastAsia"/>
          <w:color w:val="auto"/>
          <w:highlight w:val="none"/>
          <w:lang w:eastAsia="zh-CN"/>
        </w:rPr>
        <w:t>方案》，各级培训资料，督导资料，质控档案资料，</w:t>
      </w:r>
      <w:r>
        <w:rPr>
          <w:rFonts w:hint="eastAsia"/>
          <w:color w:val="auto"/>
          <w:highlight w:val="none"/>
          <w:lang w:val="en-US" w:eastAsia="zh-CN"/>
        </w:rPr>
        <w:t>体检</w:t>
      </w:r>
      <w:r>
        <w:rPr>
          <w:rFonts w:hint="eastAsia"/>
          <w:color w:val="auto"/>
          <w:highlight w:val="none"/>
          <w:lang w:eastAsia="zh-CN"/>
        </w:rPr>
        <w:t>人员资质，</w:t>
      </w:r>
      <w:r>
        <w:rPr>
          <w:rFonts w:hint="eastAsia"/>
          <w:color w:val="auto"/>
          <w:highlight w:val="none"/>
          <w:lang w:val="en-US" w:eastAsia="zh-CN"/>
        </w:rPr>
        <w:t>被体检</w:t>
      </w:r>
      <w:r>
        <w:rPr>
          <w:rFonts w:hint="eastAsia"/>
          <w:color w:val="auto"/>
          <w:highlight w:val="none"/>
          <w:lang w:eastAsia="zh-CN"/>
        </w:rPr>
        <w:t>人员健康档案等资料齐全并及时归档；</w:t>
      </w:r>
    </w:p>
    <w:p w14:paraId="3F364551">
      <w:pPr>
        <w:bidi w:val="0"/>
        <w:rPr>
          <w:rFonts w:hint="eastAsia"/>
          <w:color w:val="auto"/>
          <w:highlight w:val="none"/>
          <w:lang w:eastAsia="zh-CN"/>
        </w:rPr>
      </w:pPr>
      <w:r>
        <w:rPr>
          <w:rFonts w:hint="eastAsia"/>
          <w:color w:val="auto"/>
          <w:highlight w:val="none"/>
          <w:lang w:eastAsia="zh-CN"/>
        </w:rPr>
        <w:t>④项目实施</w:t>
      </w:r>
      <w:r>
        <w:rPr>
          <w:rFonts w:hint="eastAsia"/>
          <w:color w:val="auto"/>
          <w:highlight w:val="none"/>
          <w:lang w:val="en-US" w:eastAsia="zh-CN"/>
        </w:rPr>
        <w:t>中所需的专项领导小组、工作小组以及个人分工、体检所需分析仪、测量仪器、以及专设的体检科室</w:t>
      </w:r>
      <w:r>
        <w:rPr>
          <w:rFonts w:hint="eastAsia"/>
          <w:color w:val="auto"/>
          <w:highlight w:val="none"/>
          <w:lang w:eastAsia="zh-CN"/>
        </w:rPr>
        <w:t>、</w:t>
      </w:r>
      <w:r>
        <w:rPr>
          <w:rFonts w:hint="eastAsia"/>
          <w:color w:val="auto"/>
          <w:highlight w:val="none"/>
          <w:lang w:val="en-US" w:eastAsia="zh-CN"/>
        </w:rPr>
        <w:t>全面健康体检的信息化系统</w:t>
      </w:r>
      <w:r>
        <w:rPr>
          <w:rFonts w:hint="eastAsia"/>
          <w:color w:val="auto"/>
          <w:highlight w:val="none"/>
          <w:lang w:eastAsia="zh-CN"/>
        </w:rPr>
        <w:t>等落实到位。</w:t>
      </w:r>
    </w:p>
    <w:p w14:paraId="0743B71D">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516707BF">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1F3320FA">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25.6</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5C7DA337">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3"/>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04DF7599">
        <w:tblPrEx>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E0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90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CEE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03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CDC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EC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9E8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35AD7DB4">
        <w:tblPrEx>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F81C8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A20E0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F3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享受全民健康体检人数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0B9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6625</w:t>
            </w:r>
            <w:r>
              <w:rPr>
                <w:rFonts w:hint="eastAsia" w:ascii="宋体" w:hAnsi="宋体" w:eastAsia="宋体" w:cs="宋体"/>
                <w:color w:val="auto"/>
                <w:kern w:val="0"/>
                <w:sz w:val="20"/>
                <w:szCs w:val="20"/>
                <w:highlight w:val="none"/>
                <w:shd w:val="clear" w:color="auto" w:fill="auto"/>
                <w:lang w:val="en-US" w:eastAsia="zh-CN"/>
              </w:rPr>
              <w:t>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64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24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3711人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B98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2.8</w:t>
            </w:r>
          </w:p>
        </w:tc>
      </w:tr>
      <w:tr w14:paraId="79F76008">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F6617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5AB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26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系统录入人次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F5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6625</w:t>
            </w:r>
            <w:r>
              <w:rPr>
                <w:rFonts w:hint="eastAsia" w:ascii="宋体" w:hAnsi="宋体" w:eastAsia="宋体" w:cs="宋体"/>
                <w:color w:val="auto"/>
                <w:kern w:val="0"/>
                <w:sz w:val="20"/>
                <w:szCs w:val="20"/>
                <w:highlight w:val="none"/>
                <w:shd w:val="clear" w:color="auto" w:fill="auto"/>
                <w:lang w:val="en-US" w:eastAsia="zh-CN"/>
              </w:rPr>
              <w:t>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1F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E6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3711人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49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2.8</w:t>
            </w:r>
          </w:p>
        </w:tc>
      </w:tr>
      <w:tr w14:paraId="1C195544">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0351D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FE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45F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录入合格率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FE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06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3A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8B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66F9C3B1">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81F4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ED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51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完成时限</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7E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2023-12-31</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10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80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7B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22027143">
        <w:tblPrEx>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7F6C6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7FB36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9E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体检费用补贴费用区间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CFF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≤100元/人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6E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AF7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100元/人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E5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471F6F46">
        <w:tblPrEx>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1F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9E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AB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全民体检投入经费</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95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≤27.75万元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53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97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27.75万元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A1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510C84C7">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1D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5A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72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9E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25.6</w:t>
            </w:r>
          </w:p>
        </w:tc>
      </w:tr>
    </w:tbl>
    <w:p w14:paraId="4DF4D6A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p>
    <w:p w14:paraId="67AD8A29">
      <w:pPr>
        <w:bidi w:val="0"/>
        <w:outlineLvl w:val="2"/>
        <w:rPr>
          <w:rFonts w:hint="eastAsia"/>
          <w:b/>
          <w:bCs/>
          <w:color w:val="auto"/>
          <w:highlight w:val="none"/>
          <w:lang w:val="en-US" w:eastAsia="zh-CN"/>
        </w:rPr>
      </w:pPr>
      <w:bookmarkStart w:id="70" w:name="_Toc11067"/>
      <w:r>
        <w:rPr>
          <w:rFonts w:hint="eastAsia"/>
          <w:b/>
          <w:bCs/>
          <w:color w:val="auto"/>
          <w:highlight w:val="none"/>
          <w:lang w:val="en-US" w:eastAsia="zh-CN"/>
        </w:rPr>
        <w:t>1.项目完成数量</w:t>
      </w:r>
      <w:bookmarkEnd w:id="70"/>
    </w:p>
    <w:p w14:paraId="1F3F4179">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享受全民健康体检人数</w:t>
      </w:r>
      <w:r>
        <w:rPr>
          <w:rFonts w:hint="eastAsia"/>
          <w:color w:val="auto"/>
          <w:highlight w:val="none"/>
          <w:lang w:eastAsia="zh-CN"/>
        </w:rPr>
        <w:t>”</w:t>
      </w:r>
      <w:r>
        <w:rPr>
          <w:rFonts w:hint="eastAsia"/>
          <w:color w:val="auto"/>
          <w:highlight w:val="none"/>
          <w:lang w:val="en-US" w:eastAsia="zh-CN"/>
        </w:rPr>
        <w:t>指标，预期目标值为≥6625人，实际完成为6625人。实际完成率=（3711人/6625人）×100%=56%。</w:t>
      </w:r>
    </w:p>
    <w:p w14:paraId="488FCED3">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系统录入人次</w:t>
      </w:r>
      <w:r>
        <w:rPr>
          <w:rFonts w:hint="eastAsia"/>
          <w:color w:val="auto"/>
          <w:highlight w:val="none"/>
          <w:lang w:eastAsia="zh-CN"/>
        </w:rPr>
        <w:t>”</w:t>
      </w:r>
      <w:r>
        <w:rPr>
          <w:rFonts w:hint="eastAsia"/>
          <w:color w:val="auto"/>
          <w:highlight w:val="none"/>
          <w:lang w:val="en-US" w:eastAsia="zh-CN"/>
        </w:rPr>
        <w:t>指标，预期目标值为≥6625人，实际完成为6625人。实际完成率=（3711人/6625人）×100%=56%。</w:t>
      </w:r>
    </w:p>
    <w:p w14:paraId="1421BED5">
      <w:pPr>
        <w:bidi w:val="0"/>
        <w:rPr>
          <w:rFonts w:hint="eastAsia"/>
          <w:color w:val="auto"/>
          <w:highlight w:val="none"/>
          <w:lang w:val="en-US" w:eastAsia="zh-CN"/>
        </w:rPr>
      </w:pPr>
      <w:r>
        <w:rPr>
          <w:rFonts w:hint="eastAsia"/>
          <w:color w:val="auto"/>
          <w:highlight w:val="none"/>
          <w:lang w:val="en-US" w:eastAsia="zh-CN"/>
        </w:rPr>
        <w:t>未完成原因： 1.居民人户分离情况普遍存在，约有20%人员不参加体检。 2.约有10%大学生在学校，未及时参加全民体检。3.一部分人员在厂矿、企业单位工作，不愿意在本辖区参加体检。</w:t>
      </w:r>
    </w:p>
    <w:p w14:paraId="230E57D2">
      <w:pPr>
        <w:bidi w:val="0"/>
        <w:rPr>
          <w:rFonts w:hint="eastAsia"/>
          <w:color w:val="auto"/>
          <w:highlight w:val="none"/>
          <w:lang w:eastAsia="zh-CN"/>
        </w:rPr>
      </w:pPr>
      <w:r>
        <w:rPr>
          <w:rFonts w:hint="eastAsia"/>
          <w:b/>
          <w:bCs/>
          <w:color w:val="auto"/>
          <w:highlight w:val="none"/>
          <w:lang w:val="en-US" w:eastAsia="zh-CN"/>
        </w:rPr>
        <w:t>综上，该项指标满分10分，得分5.6分。</w:t>
      </w:r>
    </w:p>
    <w:p w14:paraId="14C7E9E5">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53D98079">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录入合格率</w:t>
      </w:r>
      <w:r>
        <w:rPr>
          <w:rFonts w:hint="eastAsia"/>
          <w:color w:val="auto"/>
          <w:highlight w:val="none"/>
          <w:lang w:eastAsia="zh-CN"/>
        </w:rPr>
        <w:t>”</w:t>
      </w:r>
      <w:r>
        <w:rPr>
          <w:rFonts w:hint="eastAsia"/>
          <w:color w:val="auto"/>
          <w:highlight w:val="none"/>
          <w:lang w:val="en-US" w:eastAsia="zh-CN"/>
        </w:rPr>
        <w:t>指标，预期目标值为100%，实际完成为100%。</w:t>
      </w:r>
    </w:p>
    <w:p w14:paraId="55A2F117">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53029476">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7AF02F9F">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完成时限</w:t>
      </w:r>
      <w:r>
        <w:rPr>
          <w:rFonts w:hint="eastAsia"/>
          <w:color w:val="auto"/>
          <w:highlight w:val="none"/>
          <w:lang w:eastAsia="zh-CN"/>
        </w:rPr>
        <w:t>”</w:t>
      </w:r>
      <w:r>
        <w:rPr>
          <w:rFonts w:hint="eastAsia"/>
          <w:color w:val="auto"/>
          <w:highlight w:val="none"/>
          <w:lang w:val="en-US" w:eastAsia="zh-CN"/>
        </w:rPr>
        <w:t>指标，预期目标值为2023-12-31，实际完成为100%。</w:t>
      </w:r>
    </w:p>
    <w:p w14:paraId="5ABA72C5">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09B92735">
      <w:pPr>
        <w:bidi w:val="0"/>
        <w:outlineLvl w:val="2"/>
        <w:rPr>
          <w:rFonts w:hint="default"/>
          <w:b/>
          <w:bCs/>
          <w:color w:val="auto"/>
          <w:highlight w:val="none"/>
          <w:lang w:val="en-US" w:eastAsia="zh-CN"/>
        </w:rPr>
      </w:pPr>
      <w:bookmarkStart w:id="73" w:name="_Toc32765"/>
      <w:r>
        <w:rPr>
          <w:rFonts w:hint="eastAsia"/>
          <w:b/>
          <w:bCs/>
          <w:color w:val="auto"/>
          <w:highlight w:val="none"/>
          <w:lang w:val="en-US" w:eastAsia="zh-CN"/>
        </w:rPr>
        <w:t>4.项目完成成本</w:t>
      </w:r>
      <w:bookmarkEnd w:id="73"/>
    </w:p>
    <w:p w14:paraId="2C22BAD5">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体检费用补贴费用区间</w:t>
      </w:r>
      <w:r>
        <w:rPr>
          <w:rFonts w:hint="eastAsia"/>
          <w:color w:val="auto"/>
          <w:highlight w:val="none"/>
          <w:lang w:eastAsia="zh-CN"/>
        </w:rPr>
        <w:t>”</w:t>
      </w:r>
      <w:r>
        <w:rPr>
          <w:rFonts w:hint="eastAsia"/>
          <w:color w:val="auto"/>
          <w:highlight w:val="none"/>
          <w:lang w:val="en-US" w:eastAsia="zh-CN"/>
        </w:rPr>
        <w:t>指标，预期目标值为≤100元/人，实际完成为100元/人。实际完成率=（100元/人/100元/人）×100%=100%。</w:t>
      </w:r>
    </w:p>
    <w:p w14:paraId="25287202">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172D1445">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118AD064">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60DB744C">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3"/>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70A5A7B1">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52B6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bookmarkStart w:id="75" w:name="_Toc8010"/>
            <w:r>
              <w:rPr>
                <w:rFonts w:hint="eastAsia" w:ascii="宋体" w:hAnsi="宋体" w:eastAsia="宋体" w:cs="宋体"/>
                <w:b/>
                <w:bCs/>
                <w:color w:val="auto"/>
                <w:kern w:val="0"/>
                <w:sz w:val="20"/>
                <w:szCs w:val="20"/>
                <w:highlight w:val="none"/>
                <w:shd w:val="clear" w:color="auto" w:fill="auto"/>
                <w:lang w:val="en-US" w:eastAsia="zh-CN"/>
              </w:rPr>
              <w:t>一级</w:t>
            </w:r>
          </w:p>
          <w:p w14:paraId="614622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CC1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2D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2B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2D0D09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37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01574C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9D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79A3C5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92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4AFE79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3DAD5D45">
        <w:tblPrEx>
          <w:shd w:val="clear" w:color="auto" w:fill="auto"/>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551BF1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4F1E5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CCB55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提高全民健康意识及自我健康管理水平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82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逐步提升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EA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7E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E3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14:paraId="2412D3E8">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4789B2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A65A0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03E68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C7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4C9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6E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6A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788226A7">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CB3FB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94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FF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C05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E6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56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54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14:paraId="45AE1309">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993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1D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900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C0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7624A5B1">
      <w:pPr>
        <w:bidi w:val="0"/>
        <w:outlineLvl w:val="2"/>
        <w:rPr>
          <w:rFonts w:hint="default"/>
          <w:b/>
          <w:bCs/>
          <w:color w:val="auto"/>
          <w:highlight w:val="none"/>
          <w:lang w:val="en-US" w:eastAsia="zh-CN"/>
        </w:rPr>
      </w:pPr>
      <w:r>
        <w:rPr>
          <w:rFonts w:hint="eastAsia"/>
          <w:b/>
          <w:bCs/>
          <w:color w:val="auto"/>
          <w:highlight w:val="none"/>
          <w:lang w:val="en-US" w:eastAsia="zh-CN"/>
        </w:rPr>
        <w:t>1.经济效益指标</w:t>
      </w:r>
      <w:bookmarkEnd w:id="75"/>
    </w:p>
    <w:p w14:paraId="74C60D24">
      <w:pPr>
        <w:bidi w:val="0"/>
        <w:rPr>
          <w:rFonts w:hint="eastAsia"/>
          <w:b/>
          <w:bCs/>
          <w:color w:val="auto"/>
          <w:highlight w:val="none"/>
          <w:lang w:val="en-US" w:eastAsia="zh-CN"/>
        </w:rPr>
      </w:pPr>
      <w:r>
        <w:rPr>
          <w:rFonts w:hint="eastAsia"/>
          <w:color w:val="auto"/>
          <w:highlight w:val="none"/>
          <w:lang w:eastAsia="zh-CN"/>
        </w:rPr>
        <w:t>本项目不涉及经济效益指标</w:t>
      </w:r>
      <w:r>
        <w:rPr>
          <w:rFonts w:hint="eastAsia"/>
          <w:color w:val="auto"/>
          <w:highlight w:val="none"/>
          <w:lang w:val="en-US" w:eastAsia="zh-CN"/>
        </w:rPr>
        <w:t>。</w:t>
      </w:r>
    </w:p>
    <w:p w14:paraId="2E6EBB08">
      <w:pPr>
        <w:bidi w:val="0"/>
        <w:outlineLvl w:val="2"/>
        <w:rPr>
          <w:rFonts w:hint="eastAsia"/>
          <w:b/>
          <w:bCs/>
          <w:color w:val="auto"/>
          <w:highlight w:val="none"/>
          <w:lang w:val="en-US" w:eastAsia="zh-CN"/>
        </w:rPr>
      </w:pPr>
      <w:bookmarkStart w:id="76" w:name="_Toc27006"/>
      <w:r>
        <w:rPr>
          <w:rFonts w:hint="eastAsia"/>
          <w:b/>
          <w:bCs/>
          <w:color w:val="auto"/>
          <w:highlight w:val="none"/>
          <w:lang w:val="en-US" w:eastAsia="zh-CN"/>
        </w:rPr>
        <w:t>2.社会效益指标</w:t>
      </w:r>
      <w:bookmarkEnd w:id="76"/>
    </w:p>
    <w:p w14:paraId="2DC71B17">
      <w:pPr>
        <w:bidi w:val="0"/>
        <w:rPr>
          <w:rFonts w:hint="eastAsia"/>
          <w:b w:val="0"/>
          <w:bCs w:val="0"/>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提高全民健康意识及自我健康管理水平</w:t>
      </w:r>
      <w:r>
        <w:rPr>
          <w:rFonts w:hint="eastAsia"/>
          <w:color w:val="auto"/>
          <w:highlight w:val="none"/>
          <w:lang w:val="en-US" w:eastAsia="zh-CN"/>
        </w:rPr>
        <w:t>”指标，预期目标值为逐步提升，实际完成为100%。</w:t>
      </w:r>
    </w:p>
    <w:p w14:paraId="63120A9C">
      <w:pPr>
        <w:bidi w:val="0"/>
        <w:rPr>
          <w:rFonts w:hint="default"/>
          <w:b w:val="0"/>
          <w:bCs w:val="0"/>
          <w:color w:val="auto"/>
          <w:highlight w:val="none"/>
          <w:lang w:val="en-US" w:eastAsia="zh-CN"/>
        </w:rPr>
      </w:pPr>
      <w:r>
        <w:rPr>
          <w:rFonts w:hint="eastAsia"/>
          <w:b w:val="0"/>
          <w:bCs w:val="0"/>
          <w:color w:val="auto"/>
          <w:highlight w:val="none"/>
          <w:lang w:val="en-US" w:eastAsia="zh-CN"/>
        </w:rPr>
        <w:t>通过项目的实施，上户沟乡人民</w:t>
      </w:r>
      <w:r>
        <w:rPr>
          <w:rFonts w:hint="eastAsia" w:ascii="宋体" w:hAnsi="宋体" w:eastAsia="宋体" w:cs="宋体"/>
          <w:b w:val="0"/>
          <w:bCs w:val="0"/>
          <w:color w:val="auto"/>
          <w:kern w:val="0"/>
          <w:sz w:val="28"/>
          <w:szCs w:val="32"/>
          <w:highlight w:val="none"/>
          <w:shd w:val="clear" w:color="auto" w:fill="auto"/>
          <w:lang w:val="en-US" w:eastAsia="zh-CN" w:bidi="ar-SA"/>
        </w:rPr>
        <w:t>及时掌握</w:t>
      </w:r>
      <w:r>
        <w:rPr>
          <w:rFonts w:hint="eastAsia" w:cs="宋体"/>
          <w:b w:val="0"/>
          <w:bCs w:val="0"/>
          <w:color w:val="auto"/>
          <w:kern w:val="0"/>
          <w:sz w:val="28"/>
          <w:szCs w:val="32"/>
          <w:highlight w:val="none"/>
          <w:shd w:val="clear" w:color="auto" w:fill="auto"/>
          <w:lang w:val="en-US" w:eastAsia="zh-CN" w:bidi="ar-SA"/>
        </w:rPr>
        <w:t>自身</w:t>
      </w:r>
      <w:r>
        <w:rPr>
          <w:rFonts w:hint="eastAsia" w:ascii="宋体" w:hAnsi="宋体" w:eastAsia="宋体" w:cs="宋体"/>
          <w:b w:val="0"/>
          <w:bCs w:val="0"/>
          <w:color w:val="auto"/>
          <w:kern w:val="0"/>
          <w:sz w:val="28"/>
          <w:szCs w:val="32"/>
          <w:highlight w:val="none"/>
          <w:shd w:val="clear" w:color="auto" w:fill="auto"/>
          <w:lang w:val="en-US" w:eastAsia="zh-CN" w:bidi="ar-SA"/>
        </w:rPr>
        <w:t>的身体健康状况，预防和治疗一些潜在的疾病</w:t>
      </w:r>
      <w:r>
        <w:rPr>
          <w:rFonts w:hint="eastAsia" w:cs="宋体"/>
          <w:b w:val="0"/>
          <w:bCs w:val="0"/>
          <w:color w:val="auto"/>
          <w:kern w:val="0"/>
          <w:sz w:val="28"/>
          <w:szCs w:val="32"/>
          <w:highlight w:val="none"/>
          <w:shd w:val="clear" w:color="auto" w:fill="auto"/>
          <w:lang w:val="en-US" w:eastAsia="zh-CN" w:bidi="ar-SA"/>
        </w:rPr>
        <w:t>，</w:t>
      </w:r>
      <w:r>
        <w:rPr>
          <w:rFonts w:hint="eastAsia" w:ascii="宋体" w:hAnsi="宋体" w:eastAsia="宋体" w:cs="宋体"/>
          <w:b w:val="0"/>
          <w:bCs w:val="0"/>
          <w:color w:val="auto"/>
          <w:kern w:val="0"/>
          <w:sz w:val="28"/>
          <w:szCs w:val="32"/>
          <w:highlight w:val="none"/>
          <w:shd w:val="clear" w:color="auto" w:fill="auto"/>
          <w:lang w:val="en-US" w:eastAsia="zh-CN" w:bidi="ar-SA"/>
        </w:rPr>
        <w:t>及时了解自己的健康状况，提高健康意识，从而彻底预防健康问题的出现</w:t>
      </w:r>
      <w:r>
        <w:rPr>
          <w:rFonts w:hint="eastAsia"/>
          <w:b w:val="0"/>
          <w:bCs w:val="0"/>
          <w:color w:val="auto"/>
          <w:highlight w:val="none"/>
          <w:lang w:val="en-US" w:eastAsia="zh-CN"/>
        </w:rPr>
        <w:t>健康水平日益提高，人民生活质量越来越好。</w:t>
      </w:r>
    </w:p>
    <w:p w14:paraId="55122CC7">
      <w:pPr>
        <w:bidi w:val="0"/>
        <w:rPr>
          <w:rFonts w:hint="eastAsia"/>
          <w:color w:val="auto"/>
          <w:highlight w:val="none"/>
          <w:lang w:val="en-US" w:eastAsia="zh-CN"/>
        </w:rPr>
      </w:pPr>
      <w:r>
        <w:rPr>
          <w:rFonts w:hint="eastAsia"/>
          <w:b/>
          <w:bCs/>
          <w:color w:val="auto"/>
          <w:highlight w:val="none"/>
          <w:lang w:val="en-US" w:eastAsia="zh-CN"/>
        </w:rPr>
        <w:t>综上，该项指标满分15分，得分15分。</w:t>
      </w:r>
    </w:p>
    <w:p w14:paraId="30E541DD">
      <w:pPr>
        <w:bidi w:val="0"/>
        <w:outlineLvl w:val="2"/>
        <w:rPr>
          <w:rFonts w:hint="eastAsia"/>
          <w:color w:val="auto"/>
          <w:highlight w:val="none"/>
          <w:lang w:val="en-US" w:eastAsia="zh-CN"/>
        </w:rPr>
      </w:pPr>
      <w:bookmarkStart w:id="77" w:name="_Toc23106"/>
      <w:r>
        <w:rPr>
          <w:rFonts w:hint="eastAsia"/>
          <w:b/>
          <w:bCs/>
          <w:color w:val="auto"/>
          <w:highlight w:val="none"/>
          <w:lang w:val="en-US" w:eastAsia="zh-CN"/>
        </w:rPr>
        <w:t>3.生态效益指标</w:t>
      </w:r>
      <w:bookmarkEnd w:id="77"/>
    </w:p>
    <w:p w14:paraId="6BF60F05">
      <w:pPr>
        <w:bidi w:val="0"/>
        <w:rPr>
          <w:rFonts w:hint="eastAsia"/>
          <w:color w:val="auto"/>
          <w:highlight w:val="none"/>
          <w:lang w:val="en-US" w:eastAsia="zh-CN"/>
        </w:rPr>
      </w:pPr>
      <w:r>
        <w:rPr>
          <w:rFonts w:hint="eastAsia"/>
          <w:color w:val="auto"/>
          <w:highlight w:val="none"/>
          <w:lang w:eastAsia="zh-CN"/>
        </w:rPr>
        <w:t>本项目不涉及经济效益指标</w:t>
      </w:r>
      <w:r>
        <w:rPr>
          <w:rFonts w:hint="eastAsia"/>
          <w:b/>
          <w:bCs/>
          <w:color w:val="auto"/>
          <w:highlight w:val="none"/>
          <w:lang w:val="en-US" w:eastAsia="zh-CN"/>
        </w:rPr>
        <w:t>。</w:t>
      </w:r>
    </w:p>
    <w:p w14:paraId="25D41E6F">
      <w:pPr>
        <w:bidi w:val="0"/>
        <w:outlineLvl w:val="2"/>
        <w:rPr>
          <w:rFonts w:hint="eastAsia"/>
          <w:b/>
          <w:bCs/>
          <w:color w:val="auto"/>
          <w:highlight w:val="none"/>
          <w:lang w:val="en-US" w:eastAsia="zh-CN"/>
        </w:rPr>
      </w:pPr>
      <w:bookmarkStart w:id="78" w:name="_Toc3271"/>
      <w:r>
        <w:rPr>
          <w:rFonts w:hint="eastAsia"/>
          <w:b/>
          <w:bCs/>
          <w:color w:val="auto"/>
          <w:highlight w:val="none"/>
          <w:lang w:val="en-US" w:eastAsia="zh-CN"/>
        </w:rPr>
        <w:t>4.满意度指标</w:t>
      </w:r>
      <w:bookmarkEnd w:id="78"/>
    </w:p>
    <w:p w14:paraId="2113CA48">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体检居民满意度”指标，预期目标值为≧90%，实际完成为100%。</w:t>
      </w:r>
    </w:p>
    <w:p w14:paraId="00BEB573">
      <w:pPr>
        <w:bidi w:val="0"/>
        <w:rPr>
          <w:rFonts w:hint="eastAsia"/>
          <w:b/>
          <w:bCs/>
          <w:color w:val="auto"/>
          <w:highlight w:val="none"/>
          <w:lang w:val="en-US" w:eastAsia="zh-CN"/>
        </w:rPr>
      </w:pPr>
      <w:r>
        <w:rPr>
          <w:rFonts w:hint="eastAsia"/>
          <w:b/>
          <w:bCs/>
          <w:color w:val="auto"/>
          <w:highlight w:val="none"/>
          <w:lang w:val="en-US" w:eastAsia="zh-CN"/>
        </w:rPr>
        <w:t>综上，该项指标满分15分，得分15分。</w:t>
      </w:r>
    </w:p>
    <w:p w14:paraId="0AB97994">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9" w:name="_Toc19962"/>
      <w:r>
        <w:rPr>
          <w:rFonts w:hint="eastAsia" w:ascii="宋体" w:hAnsi="宋体" w:eastAsia="宋体" w:cs="宋体"/>
          <w:b/>
          <w:bCs/>
          <w:color w:val="auto"/>
          <w:highlight w:val="none"/>
          <w:shd w:val="clear" w:color="auto" w:fill="auto"/>
          <w:lang w:val="en-US" w:eastAsia="zh-CN"/>
        </w:rPr>
        <w:t>五、预算执行进度与指标偏差</w:t>
      </w:r>
      <w:bookmarkEnd w:id="79"/>
    </w:p>
    <w:p w14:paraId="72425AE6">
      <w:pPr>
        <w:pStyle w:val="8"/>
        <w:numPr>
          <w:ilvl w:val="0"/>
          <w:numId w:val="0"/>
        </w:numPr>
        <w:ind w:firstLine="560" w:firstLineChars="200"/>
        <w:rPr>
          <w:rFonts w:hint="eastAsia" w:cs="仿宋_GB2312"/>
          <w:color w:val="auto"/>
          <w:kern w:val="2"/>
          <w:sz w:val="28"/>
          <w:szCs w:val="28"/>
          <w:highlight w:val="none"/>
          <w:lang w:val="en-US" w:eastAsia="zh-CN" w:bidi="ar-SA"/>
        </w:rPr>
      </w:pPr>
      <w:r>
        <w:rPr>
          <w:rFonts w:hint="eastAsia" w:cs="仿宋_GB2312"/>
          <w:b w:val="0"/>
          <w:bCs w:val="0"/>
          <w:color w:val="auto"/>
          <w:sz w:val="28"/>
          <w:szCs w:val="28"/>
          <w:highlight w:val="none"/>
          <w:lang w:val="en-US" w:eastAsia="zh-CN"/>
        </w:rPr>
        <w:t>该</w:t>
      </w:r>
      <w:r>
        <w:rPr>
          <w:rFonts w:hint="eastAsia" w:cs="仿宋_GB2312"/>
          <w:b w:val="0"/>
          <w:bCs w:val="0"/>
          <w:color w:val="auto"/>
          <w:sz w:val="28"/>
          <w:szCs w:val="28"/>
          <w:highlight w:val="none"/>
          <w:lang w:eastAsia="zh-CN"/>
        </w:rPr>
        <w:t>项目预算资金总额为</w:t>
      </w:r>
      <w:r>
        <w:rPr>
          <w:rFonts w:hint="eastAsia"/>
          <w:b w:val="0"/>
          <w:bCs w:val="0"/>
          <w:color w:val="auto"/>
          <w:highlight w:val="none"/>
          <w:lang w:val="en-US" w:eastAsia="zh-CN"/>
        </w:rPr>
        <w:t>27.75</w:t>
      </w:r>
      <w:r>
        <w:rPr>
          <w:rFonts w:hint="eastAsia" w:cs="仿宋_GB2312"/>
          <w:b w:val="0"/>
          <w:bCs w:val="0"/>
          <w:color w:val="auto"/>
          <w:sz w:val="28"/>
          <w:szCs w:val="28"/>
          <w:highlight w:val="none"/>
          <w:lang w:val="en-US" w:eastAsia="zh-CN"/>
        </w:rPr>
        <w:t>万元，全年执行数为</w:t>
      </w:r>
      <w:r>
        <w:rPr>
          <w:rFonts w:hint="eastAsia"/>
          <w:b w:val="0"/>
          <w:bCs w:val="0"/>
          <w:color w:val="auto"/>
          <w:highlight w:val="none"/>
          <w:lang w:val="en-US" w:eastAsia="zh-CN"/>
        </w:rPr>
        <w:t>27.75</w:t>
      </w:r>
      <w:r>
        <w:rPr>
          <w:rFonts w:hint="eastAsia" w:cs="仿宋_GB2312"/>
          <w:b w:val="0"/>
          <w:bCs w:val="0"/>
          <w:color w:val="auto"/>
          <w:sz w:val="28"/>
          <w:szCs w:val="28"/>
          <w:highlight w:val="none"/>
          <w:lang w:val="en-US" w:eastAsia="zh-CN"/>
        </w:rPr>
        <w:t>万元，预算执行率为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en-US" w:eastAsia="zh-CN"/>
        </w:rPr>
        <w:t>%，</w:t>
      </w:r>
      <w:r>
        <w:rPr>
          <w:rFonts w:hint="eastAsia" w:cs="仿宋_GB2312"/>
          <w:b w:val="0"/>
          <w:bCs w:val="0"/>
          <w:color w:val="auto"/>
          <w:sz w:val="28"/>
          <w:szCs w:val="28"/>
          <w:highlight w:val="none"/>
          <w:lang w:eastAsia="zh-CN"/>
        </w:rPr>
        <w:t>总体完成率为</w:t>
      </w:r>
      <w:r>
        <w:rPr>
          <w:rFonts w:hint="eastAsia"/>
          <w:b w:val="0"/>
          <w:bCs w:val="0"/>
          <w:color w:val="auto"/>
          <w:highlight w:val="none"/>
          <w:lang w:val="en-US" w:eastAsia="zh-CN"/>
        </w:rPr>
        <w:t>89</w:t>
      </w:r>
      <w:r>
        <w:rPr>
          <w:rFonts w:hint="eastAsia" w:cs="仿宋_GB2312"/>
          <w:b w:val="0"/>
          <w:bCs w:val="0"/>
          <w:color w:val="auto"/>
          <w:sz w:val="28"/>
          <w:szCs w:val="28"/>
          <w:highlight w:val="none"/>
          <w:lang w:val="zh-TW" w:eastAsia="zh-TW"/>
        </w:rPr>
        <w:t>%。</w:t>
      </w:r>
      <w:r>
        <w:rPr>
          <w:rFonts w:hint="eastAsia" w:cs="仿宋_GB2312"/>
          <w:b w:val="0"/>
          <w:bCs w:val="0"/>
          <w:color w:val="auto"/>
          <w:sz w:val="28"/>
          <w:szCs w:val="28"/>
          <w:highlight w:val="none"/>
          <w:lang w:val="en-US" w:eastAsia="zh-CN"/>
        </w:rPr>
        <w:t>预算执行率与总体完成率之间的偏差为</w:t>
      </w:r>
      <w:r>
        <w:rPr>
          <w:rFonts w:hint="eastAsia"/>
          <w:b w:val="0"/>
          <w:bCs w:val="0"/>
          <w:color w:val="auto"/>
          <w:highlight w:val="none"/>
          <w:lang w:val="en-US" w:eastAsia="zh-CN"/>
        </w:rPr>
        <w:t>11</w:t>
      </w:r>
      <w:r>
        <w:rPr>
          <w:rFonts w:hint="eastAsia" w:cs="仿宋_GB2312"/>
          <w:b w:val="0"/>
          <w:bCs w:val="0"/>
          <w:color w:val="auto"/>
          <w:sz w:val="28"/>
          <w:szCs w:val="28"/>
          <w:highlight w:val="none"/>
          <w:lang w:val="en-US" w:eastAsia="zh-CN"/>
        </w:rPr>
        <w:t>%</w:t>
      </w:r>
      <w:r>
        <w:rPr>
          <w:rFonts w:hint="eastAsia" w:ascii="宋体" w:hAnsi="宋体" w:eastAsia="宋体" w:cs="仿宋_GB2312"/>
          <w:color w:val="auto"/>
          <w:kern w:val="2"/>
          <w:sz w:val="28"/>
          <w:szCs w:val="28"/>
          <w:highlight w:val="none"/>
          <w:lang w:val="en-US" w:eastAsia="zh-CN" w:bidi="ar-SA"/>
        </w:rPr>
        <w:t>，总体完成率低</w:t>
      </w:r>
      <w:r>
        <w:rPr>
          <w:rFonts w:hint="eastAsia" w:cs="仿宋_GB2312"/>
          <w:color w:val="auto"/>
          <w:kern w:val="2"/>
          <w:sz w:val="28"/>
          <w:szCs w:val="28"/>
          <w:highlight w:val="none"/>
          <w:lang w:val="en-US" w:eastAsia="zh-CN" w:bidi="ar-SA"/>
        </w:rPr>
        <w:t>。</w:t>
      </w:r>
    </w:p>
    <w:p w14:paraId="1CA4AF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highlight w:val="none"/>
          <w:lang w:val="en-US" w:eastAsia="zh-CN"/>
        </w:rPr>
      </w:pPr>
      <w:r>
        <w:rPr>
          <w:rFonts w:hint="eastAsia" w:cs="仿宋_GB2312"/>
          <w:color w:val="auto"/>
          <w:sz w:val="28"/>
          <w:szCs w:val="28"/>
          <w:highlight w:val="none"/>
          <w:lang w:val="en-US" w:eastAsia="zh-CN"/>
        </w:rPr>
        <w:t>存在偏差情况的原因是：</w:t>
      </w:r>
      <w:r>
        <w:rPr>
          <w:rFonts w:hint="eastAsia" w:ascii="宋体" w:hAnsi="宋体" w:eastAsia="宋体" w:cs="仿宋_GB2312"/>
          <w:color w:val="auto"/>
          <w:kern w:val="2"/>
          <w:sz w:val="28"/>
          <w:szCs w:val="28"/>
          <w:highlight w:val="none"/>
          <w:lang w:val="en-US" w:eastAsia="zh-CN" w:bidi="ar-SA"/>
        </w:rPr>
        <w:t xml:space="preserve"> 1.居民人户分离情况普遍存在，约有20%人员不参加体检。 2.约有10%大学生在学校，未及时参加全民体检。3.一部分人员在厂矿、企业单位工作，不愿意在本辖区参加体检</w:t>
      </w:r>
      <w:r>
        <w:rPr>
          <w:rFonts w:hint="eastAsia" w:cs="仿宋_GB2312"/>
          <w:color w:val="auto"/>
          <w:kern w:val="2"/>
          <w:sz w:val="28"/>
          <w:szCs w:val="28"/>
          <w:highlight w:val="none"/>
          <w:lang w:val="en-US" w:eastAsia="zh-CN" w:bidi="ar-SA"/>
        </w:rPr>
        <w:t>。</w:t>
      </w:r>
    </w:p>
    <w:p w14:paraId="22E66381">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0" w:name="_Toc29934"/>
      <w:r>
        <w:rPr>
          <w:rFonts w:hint="eastAsia" w:ascii="宋体" w:hAnsi="宋体" w:eastAsia="宋体" w:cs="宋体"/>
          <w:b/>
          <w:bCs/>
          <w:color w:val="auto"/>
          <w:highlight w:val="none"/>
          <w:shd w:val="clear" w:color="auto" w:fill="auto"/>
          <w:lang w:val="en-US" w:eastAsia="zh-CN"/>
        </w:rPr>
        <w:t>六、主要经验及做法、存在的问题及原因分析</w:t>
      </w:r>
      <w:bookmarkEnd w:id="80"/>
    </w:p>
    <w:p w14:paraId="45F130C9">
      <w:pPr>
        <w:numPr>
          <w:ilvl w:val="0"/>
          <w:numId w:val="0"/>
        </w:numPr>
        <w:bidi w:val="0"/>
        <w:ind w:left="560" w:leftChars="0"/>
        <w:outlineLvl w:val="1"/>
        <w:rPr>
          <w:rFonts w:hint="eastAsia"/>
          <w:b/>
          <w:bCs/>
          <w:color w:val="auto"/>
          <w:highlight w:val="none"/>
          <w:lang w:eastAsia="zh-CN"/>
        </w:rPr>
      </w:pPr>
      <w:bookmarkStart w:id="81" w:name="_Toc13160"/>
      <w:bookmarkStart w:id="82" w:name="_Toc1921"/>
      <w:bookmarkStart w:id="83" w:name="_Toc28290"/>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bookmarkEnd w:id="81"/>
    </w:p>
    <w:p w14:paraId="2D3AE7DC">
      <w:pPr>
        <w:bidi w:val="0"/>
        <w:rPr>
          <w:rFonts w:hint="eastAsia"/>
          <w:color w:val="auto"/>
          <w:highlight w:val="none"/>
          <w:lang w:eastAsia="zh-CN"/>
        </w:rPr>
      </w:pPr>
      <w:r>
        <w:rPr>
          <w:rFonts w:hint="eastAsia"/>
          <w:color w:val="auto"/>
          <w:highlight w:val="none"/>
          <w:lang w:val="en-US" w:eastAsia="zh-CN"/>
        </w:rPr>
        <w:t>全民健康体检项目</w:t>
      </w:r>
      <w:r>
        <w:rPr>
          <w:rFonts w:hint="eastAsia"/>
          <w:color w:val="auto"/>
          <w:highlight w:val="none"/>
          <w:lang w:eastAsia="zh-CN"/>
        </w:rPr>
        <w:t>20</w:t>
      </w:r>
      <w:r>
        <w:rPr>
          <w:rFonts w:hint="eastAsia"/>
          <w:color w:val="auto"/>
          <w:highlight w:val="none"/>
          <w:lang w:val="en-US" w:eastAsia="zh-CN"/>
        </w:rPr>
        <w:t>23</w:t>
      </w:r>
      <w:r>
        <w:rPr>
          <w:rFonts w:hint="eastAsia"/>
          <w:color w:val="auto"/>
          <w:highlight w:val="none"/>
          <w:lang w:eastAsia="zh-CN"/>
        </w:rPr>
        <w:t>年预算</w:t>
      </w:r>
      <w:r>
        <w:rPr>
          <w:rFonts w:hint="eastAsia"/>
          <w:color w:val="auto"/>
          <w:highlight w:val="none"/>
          <w:lang w:val="en-US" w:eastAsia="zh-CN"/>
        </w:rPr>
        <w:t>数</w:t>
      </w:r>
      <w:r>
        <w:rPr>
          <w:rFonts w:hint="eastAsia"/>
          <w:color w:val="auto"/>
          <w:highlight w:val="none"/>
          <w:lang w:eastAsia="zh-CN"/>
        </w:rPr>
        <w:t>为</w:t>
      </w:r>
      <w:r>
        <w:rPr>
          <w:rFonts w:hint="eastAsia"/>
          <w:color w:val="auto"/>
          <w:highlight w:val="none"/>
          <w:lang w:val="en-US" w:eastAsia="zh-CN"/>
        </w:rPr>
        <w:t>27.75</w:t>
      </w:r>
      <w:r>
        <w:rPr>
          <w:rFonts w:hint="eastAsia"/>
          <w:color w:val="auto"/>
          <w:highlight w:val="none"/>
          <w:lang w:eastAsia="zh-CN"/>
        </w:rPr>
        <w:t>万元，</w:t>
      </w:r>
      <w:r>
        <w:rPr>
          <w:rFonts w:hint="eastAsia"/>
          <w:color w:val="auto"/>
          <w:highlight w:val="none"/>
          <w:lang w:val="en-US" w:eastAsia="zh-CN"/>
        </w:rPr>
        <w:t>截至2023年12月31日共</w:t>
      </w:r>
      <w:r>
        <w:rPr>
          <w:rFonts w:hint="eastAsia"/>
          <w:color w:val="auto"/>
          <w:highlight w:val="none"/>
          <w:lang w:eastAsia="zh-CN"/>
        </w:rPr>
        <w:t>支出</w:t>
      </w:r>
      <w:r>
        <w:rPr>
          <w:rFonts w:hint="eastAsia"/>
          <w:color w:val="auto"/>
          <w:highlight w:val="none"/>
          <w:lang w:val="en-US" w:eastAsia="zh-CN"/>
        </w:rPr>
        <w:t>27.75</w:t>
      </w:r>
      <w:r>
        <w:rPr>
          <w:rFonts w:hint="eastAsia"/>
          <w:color w:val="auto"/>
          <w:highlight w:val="none"/>
          <w:lang w:eastAsia="zh-CN"/>
        </w:rPr>
        <w:t>万元，预算</w:t>
      </w:r>
      <w:r>
        <w:rPr>
          <w:rFonts w:hint="eastAsia"/>
          <w:color w:val="auto"/>
          <w:highlight w:val="none"/>
          <w:lang w:val="en-US" w:eastAsia="zh-CN"/>
        </w:rPr>
        <w:t>执行</w:t>
      </w:r>
      <w:r>
        <w:rPr>
          <w:rFonts w:hint="eastAsia"/>
          <w:color w:val="auto"/>
          <w:highlight w:val="none"/>
          <w:lang w:eastAsia="zh-CN"/>
        </w:rPr>
        <w:t>率为</w:t>
      </w:r>
      <w:r>
        <w:rPr>
          <w:rFonts w:hint="eastAsia"/>
          <w:color w:val="auto"/>
          <w:highlight w:val="none"/>
          <w:lang w:val="en-US" w:eastAsia="zh-CN"/>
        </w:rPr>
        <w:t>100</w:t>
      </w:r>
      <w:r>
        <w:rPr>
          <w:rFonts w:hint="eastAsia"/>
          <w:color w:val="auto"/>
          <w:highlight w:val="none"/>
          <w:lang w:eastAsia="zh-CN"/>
        </w:rPr>
        <w:t>%。</w:t>
      </w:r>
    </w:p>
    <w:p w14:paraId="168A26FF">
      <w:pPr>
        <w:bidi w:val="0"/>
        <w:rPr>
          <w:rFonts w:hint="eastAsia"/>
          <w:color w:val="auto"/>
          <w:highlight w:val="none"/>
          <w:lang w:eastAsia="zh-CN"/>
        </w:rPr>
      </w:pPr>
      <w:r>
        <w:rPr>
          <w:rFonts w:hint="eastAsia"/>
          <w:color w:val="auto"/>
          <w:highlight w:val="none"/>
          <w:lang w:val="en-US" w:eastAsia="zh-CN"/>
        </w:rPr>
        <w:t>阜康市上户沟哈萨克族乡卫生院</w:t>
      </w:r>
      <w:r>
        <w:rPr>
          <w:rFonts w:hint="eastAsia"/>
          <w:color w:val="auto"/>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阜康市上户沟哈萨克族乡卫生院</w:t>
      </w:r>
      <w:r>
        <w:rPr>
          <w:rFonts w:hint="eastAsia"/>
          <w:color w:val="auto"/>
          <w:highlight w:val="none"/>
          <w:lang w:eastAsia="zh-CN"/>
        </w:rPr>
        <w:t>事业发展中关系民生与稳定的项目，切实优化资源配置，提高了资金使用的效率和效果。</w:t>
      </w:r>
    </w:p>
    <w:bookmarkEnd w:id="82"/>
    <w:bookmarkEnd w:id="83"/>
    <w:p w14:paraId="39C47522">
      <w:pPr>
        <w:bidi w:val="0"/>
        <w:outlineLvl w:val="1"/>
        <w:rPr>
          <w:rFonts w:hint="eastAsia"/>
          <w:b/>
          <w:bCs/>
          <w:color w:val="auto"/>
          <w:highlight w:val="none"/>
          <w:lang w:eastAsia="zh-CN"/>
        </w:rPr>
      </w:pPr>
      <w:bookmarkStart w:id="84" w:name="_Toc9582"/>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bookmarkEnd w:id="84"/>
    </w:p>
    <w:p w14:paraId="532CBC29">
      <w:pPr>
        <w:bidi w:val="0"/>
        <w:rPr>
          <w:rFonts w:hint="eastAsia"/>
          <w:b w:val="0"/>
          <w:bCs w:val="0"/>
          <w:color w:val="auto"/>
          <w:highlight w:val="none"/>
          <w:shd w:val="clear" w:color="auto" w:fill="auto"/>
          <w:lang w:val="en-US" w:eastAsia="zh-CN"/>
        </w:rPr>
      </w:pPr>
      <w:r>
        <w:rPr>
          <w:rFonts w:hint="eastAsia"/>
          <w:b w:val="0"/>
          <w:bCs w:val="0"/>
          <w:color w:val="auto"/>
          <w:highlight w:val="none"/>
          <w:shd w:val="clear" w:color="auto" w:fill="auto"/>
          <w:lang w:val="en-US" w:eastAsia="zh-CN"/>
        </w:rPr>
        <w:t>1、部分群众对实施全民健康体检的重要意义认识不足，主动参与意识不强，自我健康管理意识淡薄，一部分群众没有参与全民健康体检，影响疾病早发现、早干预、早治疗。</w:t>
      </w:r>
    </w:p>
    <w:p w14:paraId="0A139C7A">
      <w:pPr>
        <w:bidi w:val="0"/>
        <w:rPr>
          <w:rFonts w:hint="default"/>
          <w:color w:val="auto"/>
          <w:highlight w:val="none"/>
          <w:lang w:val="en-US" w:eastAsia="zh-CN"/>
        </w:rPr>
      </w:pPr>
      <w:r>
        <w:rPr>
          <w:rFonts w:hint="eastAsia"/>
          <w:b w:val="0"/>
          <w:bCs w:val="0"/>
          <w:color w:val="auto"/>
          <w:highlight w:val="none"/>
          <w:shd w:val="clear" w:color="auto" w:fill="auto"/>
          <w:lang w:val="en-US" w:eastAsia="zh-CN"/>
        </w:rPr>
        <w:t>2、全民健康体检宣传、组织、发动工作力度有待进一步加强。各乡镇（街道）、各相关部门对全民健康体检的宣传工作动员方式单一。</w:t>
      </w:r>
    </w:p>
    <w:p w14:paraId="74AEDC44">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5" w:name="_Toc5230"/>
      <w:r>
        <w:rPr>
          <w:rFonts w:hint="eastAsia" w:ascii="宋体" w:hAnsi="宋体" w:eastAsia="宋体" w:cs="宋体"/>
          <w:b/>
          <w:bCs/>
          <w:color w:val="auto"/>
          <w:highlight w:val="none"/>
          <w:shd w:val="clear" w:color="auto" w:fill="auto"/>
          <w:lang w:val="en-US" w:eastAsia="zh-CN"/>
        </w:rPr>
        <w:t>七、有关建议</w:t>
      </w:r>
      <w:bookmarkEnd w:id="85"/>
    </w:p>
    <w:p w14:paraId="1D1A4666">
      <w:pPr>
        <w:bidi w:val="0"/>
        <w:outlineLvl w:val="1"/>
        <w:rPr>
          <w:rFonts w:hint="eastAsia"/>
          <w:b w:val="0"/>
          <w:bCs w:val="0"/>
          <w:color w:val="auto"/>
          <w:highlight w:val="none"/>
          <w:shd w:val="clear" w:color="auto" w:fill="auto"/>
          <w:lang w:val="en-US" w:eastAsia="zh-CN"/>
        </w:rPr>
      </w:pPr>
      <w:bookmarkStart w:id="86" w:name="_Toc20454"/>
      <w:r>
        <w:rPr>
          <w:rFonts w:hint="eastAsia" w:cs="宋体"/>
          <w:color w:val="auto"/>
          <w:kern w:val="2"/>
          <w:sz w:val="28"/>
          <w:szCs w:val="28"/>
          <w:highlight w:val="none"/>
          <w:lang w:val="en-US" w:eastAsia="zh-CN" w:bidi="ar-SA"/>
        </w:rPr>
        <w:t>（一）</w:t>
      </w:r>
      <w:r>
        <w:rPr>
          <w:rFonts w:hint="eastAsia" w:ascii="宋体" w:hAnsi="宋体" w:eastAsia="宋体" w:cs="宋体"/>
          <w:color w:val="auto"/>
          <w:kern w:val="2"/>
          <w:sz w:val="28"/>
          <w:szCs w:val="28"/>
          <w:highlight w:val="none"/>
          <w:lang w:val="en-US" w:eastAsia="zh-CN" w:bidi="ar-SA"/>
        </w:rPr>
        <w:t>加强绩效业务学习及培训，</w:t>
      </w:r>
      <w:r>
        <w:rPr>
          <w:rFonts w:hint="eastAsia"/>
          <w:b w:val="0"/>
          <w:bCs w:val="0"/>
          <w:color w:val="auto"/>
          <w:highlight w:val="none"/>
          <w:shd w:val="clear" w:color="auto" w:fill="auto"/>
          <w:lang w:val="en-US" w:eastAsia="zh-CN"/>
        </w:rPr>
        <w:t>健全各部门协调配合机制，层层压实责任，提高群众对全民健康体检的参与度和知晓率，提高居民健康水平。</w:t>
      </w:r>
    </w:p>
    <w:p w14:paraId="2CF3E015">
      <w:pPr>
        <w:bidi w:val="0"/>
        <w:rPr>
          <w:rFonts w:hint="eastAsia" w:ascii="宋体" w:hAnsi="宋体" w:eastAsia="宋体" w:cs="宋体"/>
          <w:b w:val="0"/>
          <w:bCs w:val="0"/>
          <w:color w:val="auto"/>
          <w:kern w:val="2"/>
          <w:sz w:val="28"/>
          <w:szCs w:val="28"/>
          <w:highlight w:val="none"/>
          <w:lang w:val="en-US" w:eastAsia="zh-CN" w:bidi="ar-SA"/>
        </w:rPr>
      </w:pPr>
      <w:r>
        <w:rPr>
          <w:rFonts w:hint="eastAsia"/>
          <w:b w:val="0"/>
          <w:bCs w:val="0"/>
          <w:color w:val="auto"/>
          <w:highlight w:val="none"/>
          <w:shd w:val="clear" w:color="auto" w:fill="auto"/>
          <w:lang w:val="en-US" w:eastAsia="zh-CN"/>
        </w:rPr>
        <w:t>（二）充分发挥乡镇（街道）全民健康体检主体责任，利用广播、电视、微信、网络等媒介对健康体检工作进行广泛宣传，积极采取多种方式持续开展健康体检惠民政策的引导，提升各族群众自我保健意识，提高群众知晓率及参与度</w:t>
      </w:r>
      <w:r>
        <w:rPr>
          <w:rFonts w:hint="eastAsia" w:ascii="宋体" w:hAnsi="宋体" w:eastAsia="宋体" w:cs="宋体"/>
          <w:b w:val="0"/>
          <w:bCs w:val="0"/>
          <w:color w:val="auto"/>
          <w:kern w:val="2"/>
          <w:sz w:val="28"/>
          <w:szCs w:val="28"/>
          <w:highlight w:val="none"/>
          <w:lang w:val="en-US" w:eastAsia="zh-CN" w:bidi="ar-SA"/>
        </w:rPr>
        <w:t>。</w:t>
      </w:r>
    </w:p>
    <w:bookmarkEnd w:id="86"/>
    <w:p w14:paraId="4F59A3DB">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7" w:name="_Toc15618"/>
      <w:r>
        <w:rPr>
          <w:rFonts w:hint="eastAsia" w:ascii="宋体" w:hAnsi="宋体" w:eastAsia="宋体" w:cs="宋体"/>
          <w:b/>
          <w:bCs/>
          <w:color w:val="auto"/>
          <w:highlight w:val="none"/>
          <w:shd w:val="clear" w:color="auto" w:fill="auto"/>
          <w:lang w:val="en-US" w:eastAsia="zh-CN"/>
        </w:rPr>
        <w:t>八、其他需要说明的问题</w:t>
      </w:r>
      <w:bookmarkEnd w:id="87"/>
    </w:p>
    <w:p w14:paraId="12282A6A">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14:paraId="61459CF9">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14:paraId="40B96ED1">
      <w:pPr>
        <w:rPr>
          <w:rFonts w:hint="eastAsia" w:ascii="宋体" w:hAnsi="宋体" w:eastAsia="宋体" w:cs="宋体"/>
          <w:b/>
          <w:bCs/>
          <w:color w:val="auto"/>
          <w:kern w:val="2"/>
          <w:sz w:val="36"/>
          <w:szCs w:val="28"/>
          <w:highlight w:val="none"/>
          <w:lang w:val="en-US" w:eastAsia="zh-CN" w:bidi="ar-SA"/>
        </w:rPr>
        <w:sectPr>
          <w:footerReference r:id="rId5"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b/>
          <w:bCs/>
          <w:color w:val="auto"/>
          <w:kern w:val="2"/>
          <w:sz w:val="36"/>
          <w:szCs w:val="28"/>
          <w:highlight w:val="none"/>
          <w:lang w:val="en-US" w:eastAsia="zh-CN" w:bidi="ar-SA"/>
        </w:rPr>
        <w:br w:type="page"/>
      </w:r>
    </w:p>
    <w:p w14:paraId="2D08A889">
      <w:pPr>
        <w:pStyle w:val="3"/>
        <w:pageBreakBefore w:val="0"/>
        <w:numPr>
          <w:ilvl w:val="0"/>
          <w:numId w:val="0"/>
        </w:numPr>
        <w:kinsoku/>
        <w:wordWrap/>
        <w:overflowPunct/>
        <w:topLinePunct w:val="0"/>
        <w:autoSpaceDE/>
        <w:autoSpaceDN/>
        <w:bidi w:val="0"/>
        <w:adjustRightInd/>
        <w:spacing w:beforeLines="0" w:afterLines="0" w:line="360" w:lineRule="auto"/>
        <w:textAlignment w:val="auto"/>
        <w:rPr>
          <w:color w:val="auto"/>
          <w:highlight w:val="none"/>
        </w:rPr>
      </w:pPr>
      <w:bookmarkStart w:id="88" w:name="_Toc11349"/>
      <w:r>
        <w:rPr>
          <w:rFonts w:hint="eastAsia" w:ascii="宋体" w:hAnsi="宋体" w:eastAsia="宋体" w:cs="宋体"/>
          <w:b/>
          <w:bCs/>
          <w:color w:val="auto"/>
          <w:highlight w:val="none"/>
          <w:shd w:val="clear" w:color="auto" w:fill="auto"/>
          <w:lang w:val="en-US" w:eastAsia="zh-CN"/>
        </w:rPr>
        <w:t>附件一、项目支出绩效自评表</w:t>
      </w:r>
      <w:bookmarkEnd w:id="88"/>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1"/>
        <w:gridCol w:w="919"/>
        <w:gridCol w:w="872"/>
        <w:gridCol w:w="1021"/>
        <w:gridCol w:w="1127"/>
        <w:gridCol w:w="883"/>
        <w:gridCol w:w="749"/>
        <w:gridCol w:w="959"/>
        <w:gridCol w:w="959"/>
        <w:gridCol w:w="868"/>
        <w:gridCol w:w="1023"/>
        <w:gridCol w:w="884"/>
        <w:gridCol w:w="772"/>
        <w:gridCol w:w="2467"/>
      </w:tblGrid>
      <w:tr w14:paraId="663E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64017CEE">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2E1E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14:paraId="74D20E75">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12F8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0" w:type="dxa"/>
            <w:gridSpan w:val="2"/>
            <w:tcBorders>
              <w:top w:val="single" w:color="auto" w:sz="4" w:space="0"/>
            </w:tcBorders>
            <w:shd w:val="clear" w:color="auto" w:fill="auto"/>
            <w:vAlign w:val="center"/>
          </w:tcPr>
          <w:p w14:paraId="726696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584" w:type="dxa"/>
            <w:gridSpan w:val="12"/>
            <w:tcBorders>
              <w:top w:val="single" w:color="auto" w:sz="4" w:space="0"/>
            </w:tcBorders>
            <w:shd w:val="clear" w:color="auto" w:fill="auto"/>
            <w:vAlign w:val="center"/>
          </w:tcPr>
          <w:p w14:paraId="20D9FA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自治区公共卫生服务【地方公共卫生】补助资金全民健康体检</w:t>
            </w:r>
          </w:p>
        </w:tc>
      </w:tr>
      <w:tr w14:paraId="2A12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590" w:type="dxa"/>
            <w:gridSpan w:val="2"/>
            <w:shd w:val="clear" w:color="auto" w:fill="auto"/>
            <w:vAlign w:val="center"/>
          </w:tcPr>
          <w:p w14:paraId="463D396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652" w:type="dxa"/>
            <w:gridSpan w:val="5"/>
            <w:shd w:val="clear" w:color="auto" w:fill="auto"/>
            <w:vAlign w:val="center"/>
          </w:tcPr>
          <w:p w14:paraId="1B45FC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918" w:type="dxa"/>
            <w:gridSpan w:val="2"/>
            <w:shd w:val="clear" w:color="auto" w:fill="auto"/>
            <w:vAlign w:val="center"/>
          </w:tcPr>
          <w:p w14:paraId="3E98757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014" w:type="dxa"/>
            <w:gridSpan w:val="5"/>
            <w:shd w:val="clear" w:color="auto" w:fill="auto"/>
            <w:vAlign w:val="center"/>
          </w:tcPr>
          <w:p w14:paraId="351DB40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阜康市上户沟哈萨克族乡卫生院</w:t>
            </w:r>
          </w:p>
        </w:tc>
      </w:tr>
      <w:tr w14:paraId="4BFD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0" w:type="dxa"/>
            <w:gridSpan w:val="2"/>
            <w:vMerge w:val="restart"/>
            <w:shd w:val="clear" w:color="auto" w:fill="auto"/>
            <w:vAlign w:val="center"/>
          </w:tcPr>
          <w:p w14:paraId="64A5192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93" w:type="dxa"/>
            <w:gridSpan w:val="2"/>
            <w:shd w:val="clear" w:color="auto" w:fill="auto"/>
            <w:vAlign w:val="center"/>
          </w:tcPr>
          <w:p w14:paraId="13B433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27" w:type="dxa"/>
            <w:shd w:val="clear" w:color="auto" w:fill="auto"/>
            <w:vAlign w:val="center"/>
          </w:tcPr>
          <w:p w14:paraId="78EAEF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632" w:type="dxa"/>
            <w:gridSpan w:val="2"/>
            <w:shd w:val="clear" w:color="auto" w:fill="auto"/>
            <w:vAlign w:val="center"/>
          </w:tcPr>
          <w:p w14:paraId="41F0DFA3">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全年预算数</w:t>
            </w:r>
          </w:p>
        </w:tc>
        <w:tc>
          <w:tcPr>
            <w:tcW w:w="1918" w:type="dxa"/>
            <w:gridSpan w:val="2"/>
            <w:shd w:val="clear" w:color="auto" w:fill="auto"/>
            <w:vAlign w:val="center"/>
          </w:tcPr>
          <w:p w14:paraId="29CFE0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891" w:type="dxa"/>
            <w:gridSpan w:val="2"/>
            <w:shd w:val="clear" w:color="auto" w:fill="auto"/>
            <w:vAlign w:val="center"/>
          </w:tcPr>
          <w:p w14:paraId="303DB97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656" w:type="dxa"/>
            <w:gridSpan w:val="2"/>
            <w:shd w:val="clear" w:color="auto" w:fill="auto"/>
            <w:vAlign w:val="center"/>
          </w:tcPr>
          <w:p w14:paraId="17A126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2467" w:type="dxa"/>
            <w:shd w:val="clear" w:color="auto" w:fill="auto"/>
            <w:vAlign w:val="center"/>
          </w:tcPr>
          <w:p w14:paraId="1CC663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6A1B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0" w:type="dxa"/>
            <w:gridSpan w:val="2"/>
            <w:vMerge w:val="continue"/>
            <w:shd w:val="clear" w:color="auto" w:fill="auto"/>
            <w:vAlign w:val="center"/>
          </w:tcPr>
          <w:p w14:paraId="4CB140AE">
            <w:pPr>
              <w:jc w:val="center"/>
              <w:rPr>
                <w:rFonts w:hint="eastAsia" w:ascii="宋体" w:hAnsi="宋体" w:eastAsia="宋体" w:cs="宋体"/>
                <w:i w:val="0"/>
                <w:iCs w:val="0"/>
                <w:color w:val="000000"/>
                <w:sz w:val="20"/>
                <w:szCs w:val="20"/>
                <w:u w:val="none"/>
              </w:rPr>
            </w:pPr>
          </w:p>
        </w:tc>
        <w:tc>
          <w:tcPr>
            <w:tcW w:w="1893" w:type="dxa"/>
            <w:gridSpan w:val="2"/>
            <w:shd w:val="clear" w:color="auto" w:fill="auto"/>
            <w:vAlign w:val="center"/>
          </w:tcPr>
          <w:p w14:paraId="732B00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27" w:type="dxa"/>
            <w:shd w:val="clear" w:color="auto" w:fill="auto"/>
            <w:vAlign w:val="center"/>
          </w:tcPr>
          <w:p w14:paraId="3034D3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27.75 </w:t>
            </w:r>
          </w:p>
        </w:tc>
        <w:tc>
          <w:tcPr>
            <w:tcW w:w="1632" w:type="dxa"/>
            <w:gridSpan w:val="2"/>
            <w:shd w:val="clear" w:color="auto" w:fill="auto"/>
            <w:vAlign w:val="center"/>
          </w:tcPr>
          <w:p w14:paraId="52D3F59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27.75 </w:t>
            </w:r>
          </w:p>
        </w:tc>
        <w:tc>
          <w:tcPr>
            <w:tcW w:w="1918" w:type="dxa"/>
            <w:gridSpan w:val="2"/>
            <w:shd w:val="clear" w:color="auto" w:fill="auto"/>
            <w:vAlign w:val="center"/>
          </w:tcPr>
          <w:p w14:paraId="15E00E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27.75 </w:t>
            </w:r>
          </w:p>
        </w:tc>
        <w:tc>
          <w:tcPr>
            <w:tcW w:w="1891" w:type="dxa"/>
            <w:gridSpan w:val="2"/>
            <w:shd w:val="clear" w:color="auto" w:fill="auto"/>
            <w:vAlign w:val="center"/>
          </w:tcPr>
          <w:p w14:paraId="22D15E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6" w:type="dxa"/>
            <w:gridSpan w:val="2"/>
            <w:shd w:val="clear" w:color="auto" w:fill="auto"/>
            <w:vAlign w:val="center"/>
          </w:tcPr>
          <w:p w14:paraId="38AFEB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467" w:type="dxa"/>
            <w:shd w:val="clear" w:color="auto" w:fill="auto"/>
            <w:vAlign w:val="center"/>
          </w:tcPr>
          <w:p w14:paraId="2415389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0" w:type="dxa"/>
            <w:gridSpan w:val="2"/>
            <w:vMerge w:val="continue"/>
            <w:shd w:val="clear" w:color="auto" w:fill="auto"/>
            <w:vAlign w:val="center"/>
          </w:tcPr>
          <w:p w14:paraId="70F0FA0F">
            <w:pPr>
              <w:jc w:val="center"/>
              <w:rPr>
                <w:rFonts w:hint="eastAsia" w:ascii="宋体" w:hAnsi="宋体" w:eastAsia="宋体" w:cs="宋体"/>
                <w:i w:val="0"/>
                <w:iCs w:val="0"/>
                <w:color w:val="000000"/>
                <w:sz w:val="20"/>
                <w:szCs w:val="20"/>
                <w:u w:val="none"/>
              </w:rPr>
            </w:pPr>
          </w:p>
        </w:tc>
        <w:tc>
          <w:tcPr>
            <w:tcW w:w="1893" w:type="dxa"/>
            <w:gridSpan w:val="2"/>
            <w:shd w:val="clear" w:color="auto" w:fill="auto"/>
            <w:vAlign w:val="center"/>
          </w:tcPr>
          <w:p w14:paraId="79D0C5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27" w:type="dxa"/>
            <w:shd w:val="clear" w:color="auto" w:fill="auto"/>
            <w:vAlign w:val="center"/>
          </w:tcPr>
          <w:p w14:paraId="15F2B66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27.75 </w:t>
            </w:r>
          </w:p>
        </w:tc>
        <w:tc>
          <w:tcPr>
            <w:tcW w:w="1632" w:type="dxa"/>
            <w:gridSpan w:val="2"/>
            <w:shd w:val="clear" w:color="auto" w:fill="auto"/>
            <w:vAlign w:val="center"/>
          </w:tcPr>
          <w:p w14:paraId="6AAD61D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27.75 </w:t>
            </w:r>
          </w:p>
        </w:tc>
        <w:tc>
          <w:tcPr>
            <w:tcW w:w="1918" w:type="dxa"/>
            <w:gridSpan w:val="2"/>
            <w:shd w:val="clear" w:color="auto" w:fill="auto"/>
            <w:vAlign w:val="center"/>
          </w:tcPr>
          <w:p w14:paraId="027922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27.75 </w:t>
            </w:r>
          </w:p>
        </w:tc>
        <w:tc>
          <w:tcPr>
            <w:tcW w:w="1891" w:type="dxa"/>
            <w:gridSpan w:val="2"/>
            <w:shd w:val="clear" w:color="auto" w:fill="auto"/>
            <w:vAlign w:val="center"/>
          </w:tcPr>
          <w:p w14:paraId="1224BA9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6" w:type="dxa"/>
            <w:gridSpan w:val="2"/>
            <w:shd w:val="clear" w:color="auto" w:fill="auto"/>
            <w:vAlign w:val="center"/>
          </w:tcPr>
          <w:p w14:paraId="30F8D4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7" w:type="dxa"/>
            <w:shd w:val="clear" w:color="auto" w:fill="auto"/>
            <w:vAlign w:val="center"/>
          </w:tcPr>
          <w:p w14:paraId="475EDA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E43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0" w:type="dxa"/>
            <w:gridSpan w:val="2"/>
            <w:vMerge w:val="continue"/>
            <w:shd w:val="clear" w:color="auto" w:fill="auto"/>
            <w:vAlign w:val="center"/>
          </w:tcPr>
          <w:p w14:paraId="3F440C6E">
            <w:pPr>
              <w:jc w:val="center"/>
              <w:rPr>
                <w:rFonts w:hint="eastAsia" w:ascii="宋体" w:hAnsi="宋体" w:eastAsia="宋体" w:cs="宋体"/>
                <w:i w:val="0"/>
                <w:iCs w:val="0"/>
                <w:color w:val="000000"/>
                <w:sz w:val="20"/>
                <w:szCs w:val="20"/>
                <w:u w:val="none"/>
              </w:rPr>
            </w:pPr>
          </w:p>
        </w:tc>
        <w:tc>
          <w:tcPr>
            <w:tcW w:w="1893" w:type="dxa"/>
            <w:gridSpan w:val="2"/>
            <w:shd w:val="clear" w:color="auto" w:fill="auto"/>
            <w:vAlign w:val="center"/>
          </w:tcPr>
          <w:p w14:paraId="0CF2CD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27" w:type="dxa"/>
            <w:shd w:val="clear" w:color="auto" w:fill="auto"/>
            <w:vAlign w:val="center"/>
          </w:tcPr>
          <w:p w14:paraId="365A63F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632" w:type="dxa"/>
            <w:gridSpan w:val="2"/>
            <w:shd w:val="clear" w:color="auto" w:fill="auto"/>
            <w:vAlign w:val="center"/>
          </w:tcPr>
          <w:p w14:paraId="1FA3AC9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c>
          <w:tcPr>
            <w:tcW w:w="1918" w:type="dxa"/>
            <w:gridSpan w:val="2"/>
            <w:shd w:val="clear" w:color="auto" w:fill="auto"/>
            <w:vAlign w:val="center"/>
          </w:tcPr>
          <w:p w14:paraId="59A9938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91" w:type="dxa"/>
            <w:gridSpan w:val="2"/>
            <w:shd w:val="clear" w:color="auto" w:fill="auto"/>
            <w:vAlign w:val="center"/>
          </w:tcPr>
          <w:p w14:paraId="4CF54D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6" w:type="dxa"/>
            <w:gridSpan w:val="2"/>
            <w:shd w:val="clear" w:color="auto" w:fill="auto"/>
            <w:vAlign w:val="center"/>
          </w:tcPr>
          <w:p w14:paraId="4F941F6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7" w:type="dxa"/>
            <w:shd w:val="clear" w:color="auto" w:fill="auto"/>
            <w:vAlign w:val="center"/>
          </w:tcPr>
          <w:p w14:paraId="66DCFB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EDB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1" w:type="dxa"/>
            <w:vMerge w:val="restart"/>
            <w:shd w:val="clear" w:color="auto" w:fill="auto"/>
            <w:vAlign w:val="center"/>
          </w:tcPr>
          <w:p w14:paraId="0D11B78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489" w:type="dxa"/>
            <w:gridSpan w:val="8"/>
            <w:shd w:val="clear" w:color="auto" w:fill="auto"/>
            <w:vAlign w:val="center"/>
          </w:tcPr>
          <w:p w14:paraId="18BF079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6014" w:type="dxa"/>
            <w:gridSpan w:val="5"/>
            <w:shd w:val="clear" w:color="auto" w:fill="auto"/>
            <w:vAlign w:val="center"/>
          </w:tcPr>
          <w:p w14:paraId="40034B4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7634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71" w:type="dxa"/>
            <w:vMerge w:val="continue"/>
            <w:shd w:val="clear" w:color="auto" w:fill="auto"/>
            <w:vAlign w:val="center"/>
          </w:tcPr>
          <w:p w14:paraId="6B873966">
            <w:pPr>
              <w:jc w:val="center"/>
              <w:rPr>
                <w:rFonts w:hint="eastAsia" w:ascii="宋体" w:hAnsi="宋体" w:eastAsia="宋体" w:cs="宋体"/>
                <w:i w:val="0"/>
                <w:iCs w:val="0"/>
                <w:color w:val="000000"/>
                <w:sz w:val="20"/>
                <w:szCs w:val="20"/>
                <w:u w:val="none"/>
              </w:rPr>
            </w:pPr>
          </w:p>
        </w:tc>
        <w:tc>
          <w:tcPr>
            <w:tcW w:w="7489" w:type="dxa"/>
            <w:gridSpan w:val="8"/>
            <w:shd w:val="clear" w:color="auto" w:fill="auto"/>
            <w:vAlign w:val="center"/>
          </w:tcPr>
          <w:p w14:paraId="7458D5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此项目阜康市上户沟哈萨克族乡卫生院负责开展全民健康体检及拨付补贴，落实全民健康体检工作，阜康市上户沟哈萨克族乡卫生院预计完成6625人的体检，系统录入人次数达到6625人次，系统录入合格率达到100%，预2023年12月底前完成，居民健康保健意识和知晓率逐步提高，居民健康水平提高。</w:t>
            </w:r>
          </w:p>
        </w:tc>
        <w:tc>
          <w:tcPr>
            <w:tcW w:w="6014" w:type="dxa"/>
            <w:gridSpan w:val="5"/>
            <w:shd w:val="clear" w:color="auto" w:fill="auto"/>
            <w:vAlign w:val="center"/>
          </w:tcPr>
          <w:p w14:paraId="05DFB4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2023年12月31日，我院共计完成全民体3656人次，录入系统人次3656人次，录入合格率达到99.96%，完成全民体检投入27.75万元，居民健康保健意识和知晓率逐步提高，居民健康水平提高，，体检居民满意度达到90%以上。</w:t>
            </w:r>
          </w:p>
        </w:tc>
      </w:tr>
      <w:tr w14:paraId="4C6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1" w:type="dxa"/>
            <w:shd w:val="clear" w:color="auto" w:fill="auto"/>
            <w:vAlign w:val="center"/>
          </w:tcPr>
          <w:p w14:paraId="26CE0FB5">
            <w:pPr>
              <w:jc w:val="center"/>
              <w:rPr>
                <w:rFonts w:hint="eastAsia" w:ascii="宋体" w:hAnsi="宋体" w:eastAsia="宋体" w:cs="宋体"/>
                <w:i w:val="0"/>
                <w:iCs w:val="0"/>
                <w:color w:val="000000"/>
                <w:sz w:val="20"/>
                <w:szCs w:val="20"/>
                <w:u w:val="none"/>
              </w:rPr>
            </w:pPr>
          </w:p>
        </w:tc>
        <w:tc>
          <w:tcPr>
            <w:tcW w:w="919" w:type="dxa"/>
            <w:shd w:val="clear" w:color="auto" w:fill="auto"/>
            <w:vAlign w:val="center"/>
          </w:tcPr>
          <w:p w14:paraId="6C420C8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72" w:type="dxa"/>
            <w:shd w:val="clear" w:color="auto" w:fill="auto"/>
            <w:vAlign w:val="center"/>
          </w:tcPr>
          <w:p w14:paraId="074D21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21" w:type="dxa"/>
            <w:shd w:val="clear" w:color="auto" w:fill="auto"/>
            <w:vAlign w:val="center"/>
          </w:tcPr>
          <w:p w14:paraId="753B3FA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27" w:type="dxa"/>
            <w:shd w:val="clear" w:color="auto" w:fill="auto"/>
            <w:vAlign w:val="center"/>
          </w:tcPr>
          <w:p w14:paraId="608E8BE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83" w:type="dxa"/>
            <w:shd w:val="clear" w:color="auto" w:fill="auto"/>
            <w:vAlign w:val="center"/>
          </w:tcPr>
          <w:p w14:paraId="044B90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749" w:type="dxa"/>
            <w:shd w:val="clear" w:color="auto" w:fill="auto"/>
            <w:vAlign w:val="center"/>
          </w:tcPr>
          <w:p w14:paraId="504C25C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59" w:type="dxa"/>
            <w:shd w:val="clear" w:color="auto" w:fill="auto"/>
            <w:vAlign w:val="center"/>
          </w:tcPr>
          <w:p w14:paraId="3836E9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59" w:type="dxa"/>
            <w:shd w:val="clear" w:color="auto" w:fill="auto"/>
            <w:vAlign w:val="center"/>
          </w:tcPr>
          <w:p w14:paraId="55EE62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868" w:type="dxa"/>
            <w:shd w:val="clear" w:color="auto" w:fill="auto"/>
            <w:vAlign w:val="center"/>
          </w:tcPr>
          <w:p w14:paraId="4989FD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23" w:type="dxa"/>
            <w:shd w:val="clear" w:color="auto" w:fill="auto"/>
            <w:vAlign w:val="center"/>
          </w:tcPr>
          <w:p w14:paraId="137C2B0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884" w:type="dxa"/>
            <w:shd w:val="clear" w:color="auto" w:fill="auto"/>
            <w:vAlign w:val="center"/>
          </w:tcPr>
          <w:p w14:paraId="234B666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772" w:type="dxa"/>
            <w:shd w:val="clear" w:color="auto" w:fill="auto"/>
            <w:vAlign w:val="center"/>
          </w:tcPr>
          <w:p w14:paraId="029613F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2467" w:type="dxa"/>
            <w:shd w:val="clear" w:color="auto" w:fill="auto"/>
            <w:vAlign w:val="center"/>
          </w:tcPr>
          <w:p w14:paraId="681EEF96">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C9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0" w:hRule="atLeast"/>
        </w:trPr>
        <w:tc>
          <w:tcPr>
            <w:tcW w:w="671" w:type="dxa"/>
            <w:vMerge w:val="restart"/>
            <w:shd w:val="clear" w:color="auto" w:fill="auto"/>
            <w:vAlign w:val="center"/>
          </w:tcPr>
          <w:p w14:paraId="5091360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19" w:type="dxa"/>
            <w:vMerge w:val="restart"/>
            <w:shd w:val="clear" w:color="auto" w:fill="auto"/>
            <w:vAlign w:val="center"/>
          </w:tcPr>
          <w:p w14:paraId="724695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72" w:type="dxa"/>
            <w:shd w:val="clear" w:color="auto" w:fill="auto"/>
            <w:vAlign w:val="center"/>
          </w:tcPr>
          <w:p w14:paraId="25BA8E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021" w:type="dxa"/>
            <w:shd w:val="clear" w:color="auto" w:fill="auto"/>
            <w:vAlign w:val="center"/>
          </w:tcPr>
          <w:p w14:paraId="5F83E6F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享受全民健康体检人数</w:t>
            </w:r>
          </w:p>
        </w:tc>
        <w:tc>
          <w:tcPr>
            <w:tcW w:w="1127" w:type="dxa"/>
            <w:shd w:val="clear" w:color="auto" w:fill="auto"/>
            <w:vAlign w:val="center"/>
          </w:tcPr>
          <w:p w14:paraId="4701EF7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≥6625人</w:t>
            </w:r>
          </w:p>
        </w:tc>
        <w:tc>
          <w:tcPr>
            <w:tcW w:w="883" w:type="dxa"/>
            <w:shd w:val="clear" w:color="auto" w:fill="auto"/>
            <w:vAlign w:val="center"/>
          </w:tcPr>
          <w:p w14:paraId="7E1A85B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49" w:type="dxa"/>
            <w:shd w:val="clear" w:color="auto" w:fill="auto"/>
            <w:vAlign w:val="center"/>
          </w:tcPr>
          <w:p w14:paraId="4F21727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66283E1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shd w:val="clear" w:color="auto" w:fill="auto"/>
            <w:vAlign w:val="center"/>
          </w:tcPr>
          <w:p w14:paraId="7D6F7E3C">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868" w:type="dxa"/>
            <w:shd w:val="clear" w:color="auto" w:fill="auto"/>
            <w:vAlign w:val="center"/>
          </w:tcPr>
          <w:p w14:paraId="7079D05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工作资料</w:t>
            </w:r>
          </w:p>
        </w:tc>
        <w:tc>
          <w:tcPr>
            <w:tcW w:w="1023" w:type="dxa"/>
            <w:shd w:val="clear" w:color="auto" w:fill="auto"/>
            <w:vAlign w:val="center"/>
          </w:tcPr>
          <w:p w14:paraId="357C28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3711人</w:t>
            </w:r>
          </w:p>
        </w:tc>
        <w:tc>
          <w:tcPr>
            <w:tcW w:w="884" w:type="dxa"/>
            <w:shd w:val="clear" w:color="auto" w:fill="auto"/>
            <w:vAlign w:val="center"/>
          </w:tcPr>
          <w:p w14:paraId="024C9F2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56.02%</w:t>
            </w:r>
          </w:p>
        </w:tc>
        <w:tc>
          <w:tcPr>
            <w:tcW w:w="772" w:type="dxa"/>
            <w:shd w:val="clear" w:color="auto" w:fill="auto"/>
            <w:vAlign w:val="center"/>
          </w:tcPr>
          <w:p w14:paraId="53BFDF1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0</w:t>
            </w:r>
          </w:p>
        </w:tc>
        <w:tc>
          <w:tcPr>
            <w:tcW w:w="2467" w:type="dxa"/>
            <w:shd w:val="clear" w:color="auto" w:fill="auto"/>
            <w:vAlign w:val="center"/>
          </w:tcPr>
          <w:p w14:paraId="1FD6EEA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 1.居民人户分离情况普遍存在，约有20%人员不参加体检。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2.约有10%大学生在学校，未及时参加全民体检。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3.一部分人员在厂矿、企业单位工作，不愿意在本辖区参加体检。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整改措施：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谟划全民健康体检“指挥棒”、盘活上下联动“一盘棋”。成立乡、村两级全民健康体检工作领导小组，明确职责分工，细化工作措施，确定完成时限，形成政府党委抓总，各部门、站所负责包片区，层层签订目标责任书，村、社区干部摸清体检人群底数，制定计划，全力推进全民免费健康体检闭环管理工作，确保应检群众一个不少、体检项目一个不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2.卫生院严格按照《自治区全民健康体检规范操作手册》的要求，建立健全制度、职责，进一步完善质控体系，确保全民健康体检顺利开展。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指定一名联络员，专职做好每天体检人群的统计并及时上报完成情况，同时将完成情况及时推送辖区政府部门，切实保障健康体检质量与成效。</w:t>
            </w:r>
          </w:p>
        </w:tc>
      </w:tr>
      <w:tr w14:paraId="4A85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671" w:type="dxa"/>
            <w:vMerge w:val="continue"/>
            <w:shd w:val="clear" w:color="auto" w:fill="auto"/>
            <w:vAlign w:val="center"/>
          </w:tcPr>
          <w:p w14:paraId="79B0E525">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77DCFA0E">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2323CA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021" w:type="dxa"/>
            <w:shd w:val="clear" w:color="auto" w:fill="auto"/>
            <w:vAlign w:val="center"/>
          </w:tcPr>
          <w:p w14:paraId="41BC4FE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系统录入人次</w:t>
            </w:r>
          </w:p>
        </w:tc>
        <w:tc>
          <w:tcPr>
            <w:tcW w:w="1127" w:type="dxa"/>
            <w:shd w:val="clear" w:color="auto" w:fill="auto"/>
            <w:vAlign w:val="center"/>
          </w:tcPr>
          <w:p w14:paraId="769D229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≥6625人</w:t>
            </w:r>
          </w:p>
        </w:tc>
        <w:tc>
          <w:tcPr>
            <w:tcW w:w="883" w:type="dxa"/>
            <w:shd w:val="clear" w:color="auto" w:fill="auto"/>
            <w:vAlign w:val="center"/>
          </w:tcPr>
          <w:p w14:paraId="07D50EB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49" w:type="dxa"/>
            <w:shd w:val="clear" w:color="auto" w:fill="auto"/>
            <w:vAlign w:val="center"/>
          </w:tcPr>
          <w:p w14:paraId="5261693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3A44913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shd w:val="clear" w:color="auto" w:fill="auto"/>
            <w:vAlign w:val="center"/>
          </w:tcPr>
          <w:p w14:paraId="12ABA91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868" w:type="dxa"/>
            <w:shd w:val="clear" w:color="auto" w:fill="auto"/>
            <w:vAlign w:val="center"/>
          </w:tcPr>
          <w:p w14:paraId="73BFE165">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工作资料</w:t>
            </w:r>
          </w:p>
        </w:tc>
        <w:tc>
          <w:tcPr>
            <w:tcW w:w="1023" w:type="dxa"/>
            <w:shd w:val="clear" w:color="auto" w:fill="auto"/>
            <w:vAlign w:val="center"/>
          </w:tcPr>
          <w:p w14:paraId="5CF599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3711人</w:t>
            </w:r>
          </w:p>
        </w:tc>
        <w:tc>
          <w:tcPr>
            <w:tcW w:w="884" w:type="dxa"/>
            <w:shd w:val="clear" w:color="auto" w:fill="auto"/>
            <w:vAlign w:val="center"/>
          </w:tcPr>
          <w:p w14:paraId="109AAE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56.02%</w:t>
            </w:r>
          </w:p>
        </w:tc>
        <w:tc>
          <w:tcPr>
            <w:tcW w:w="772" w:type="dxa"/>
            <w:shd w:val="clear" w:color="auto" w:fill="auto"/>
            <w:vAlign w:val="center"/>
          </w:tcPr>
          <w:p w14:paraId="750EE84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0</w:t>
            </w:r>
          </w:p>
        </w:tc>
        <w:tc>
          <w:tcPr>
            <w:tcW w:w="2467" w:type="dxa"/>
            <w:shd w:val="clear" w:color="auto" w:fill="auto"/>
            <w:vAlign w:val="center"/>
          </w:tcPr>
          <w:p w14:paraId="253A1B11">
            <w:pPr>
              <w:jc w:val="center"/>
            </w:pPr>
          </w:p>
        </w:tc>
      </w:tr>
      <w:tr w14:paraId="7320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1" w:type="dxa"/>
            <w:vMerge w:val="continue"/>
            <w:shd w:val="clear" w:color="auto" w:fill="auto"/>
            <w:vAlign w:val="center"/>
          </w:tcPr>
          <w:p w14:paraId="5442C5EC">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759CEBC4">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2B0C4DC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021" w:type="dxa"/>
            <w:shd w:val="clear" w:color="auto" w:fill="auto"/>
            <w:vAlign w:val="center"/>
          </w:tcPr>
          <w:p w14:paraId="371A078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录入合格率</w:t>
            </w:r>
          </w:p>
        </w:tc>
        <w:tc>
          <w:tcPr>
            <w:tcW w:w="1127" w:type="dxa"/>
            <w:shd w:val="clear" w:color="auto" w:fill="auto"/>
            <w:vAlign w:val="center"/>
          </w:tcPr>
          <w:p w14:paraId="39F7D6D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3" w:type="dxa"/>
            <w:shd w:val="clear" w:color="auto" w:fill="auto"/>
            <w:vAlign w:val="center"/>
          </w:tcPr>
          <w:p w14:paraId="3DEC8FF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49" w:type="dxa"/>
            <w:shd w:val="clear" w:color="auto" w:fill="auto"/>
            <w:vAlign w:val="center"/>
          </w:tcPr>
          <w:p w14:paraId="14CFC49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66D81CD8">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shd w:val="clear" w:color="auto" w:fill="auto"/>
            <w:vAlign w:val="center"/>
          </w:tcPr>
          <w:p w14:paraId="1D0B775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868" w:type="dxa"/>
            <w:shd w:val="clear" w:color="auto" w:fill="auto"/>
            <w:vAlign w:val="center"/>
          </w:tcPr>
          <w:p w14:paraId="21384EB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工作资料</w:t>
            </w:r>
          </w:p>
        </w:tc>
        <w:tc>
          <w:tcPr>
            <w:tcW w:w="1023" w:type="dxa"/>
            <w:shd w:val="clear" w:color="auto" w:fill="auto"/>
            <w:vAlign w:val="center"/>
          </w:tcPr>
          <w:p w14:paraId="0CACEE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84" w:type="dxa"/>
            <w:shd w:val="clear" w:color="auto" w:fill="auto"/>
            <w:vAlign w:val="center"/>
          </w:tcPr>
          <w:p w14:paraId="70892B1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w:t>
            </w:r>
          </w:p>
        </w:tc>
        <w:tc>
          <w:tcPr>
            <w:tcW w:w="772" w:type="dxa"/>
            <w:shd w:val="clear" w:color="auto" w:fill="auto"/>
            <w:vAlign w:val="center"/>
          </w:tcPr>
          <w:p w14:paraId="5BFE1655">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2467" w:type="dxa"/>
            <w:shd w:val="clear" w:color="auto" w:fill="auto"/>
            <w:vAlign w:val="center"/>
          </w:tcPr>
          <w:p w14:paraId="69F2A338">
            <w:pPr>
              <w:jc w:val="center"/>
            </w:pPr>
          </w:p>
        </w:tc>
      </w:tr>
      <w:tr w14:paraId="7DCA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71" w:type="dxa"/>
            <w:vMerge w:val="continue"/>
            <w:shd w:val="clear" w:color="auto" w:fill="auto"/>
            <w:vAlign w:val="center"/>
          </w:tcPr>
          <w:p w14:paraId="10ADB9D3">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55876738">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001BD78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021" w:type="dxa"/>
            <w:shd w:val="clear" w:color="auto" w:fill="auto"/>
            <w:vAlign w:val="center"/>
          </w:tcPr>
          <w:p w14:paraId="078223E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1127" w:type="dxa"/>
            <w:shd w:val="clear" w:color="auto" w:fill="auto"/>
            <w:vAlign w:val="center"/>
          </w:tcPr>
          <w:p w14:paraId="35CB042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2023/12/31</w:t>
            </w:r>
          </w:p>
        </w:tc>
        <w:tc>
          <w:tcPr>
            <w:tcW w:w="883" w:type="dxa"/>
            <w:shd w:val="clear" w:color="auto" w:fill="auto"/>
            <w:vAlign w:val="center"/>
          </w:tcPr>
          <w:p w14:paraId="438EB5D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49" w:type="dxa"/>
            <w:shd w:val="clear" w:color="auto" w:fill="auto"/>
            <w:vAlign w:val="center"/>
          </w:tcPr>
          <w:p w14:paraId="59392D3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3342FAF3">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shd w:val="clear" w:color="auto" w:fill="auto"/>
            <w:vAlign w:val="center"/>
          </w:tcPr>
          <w:p w14:paraId="1741247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868" w:type="dxa"/>
            <w:shd w:val="clear" w:color="auto" w:fill="auto"/>
            <w:vAlign w:val="center"/>
          </w:tcPr>
          <w:p w14:paraId="5545D15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工作资料</w:t>
            </w:r>
          </w:p>
        </w:tc>
        <w:tc>
          <w:tcPr>
            <w:tcW w:w="1023" w:type="dxa"/>
            <w:shd w:val="clear" w:color="auto" w:fill="auto"/>
            <w:vAlign w:val="center"/>
          </w:tcPr>
          <w:p w14:paraId="6E4078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84" w:type="dxa"/>
            <w:shd w:val="clear" w:color="auto" w:fill="auto"/>
            <w:vAlign w:val="center"/>
          </w:tcPr>
          <w:p w14:paraId="1A0E25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w:t>
            </w:r>
          </w:p>
        </w:tc>
        <w:tc>
          <w:tcPr>
            <w:tcW w:w="772" w:type="dxa"/>
            <w:shd w:val="clear" w:color="auto" w:fill="auto"/>
            <w:vAlign w:val="center"/>
          </w:tcPr>
          <w:p w14:paraId="147ADFD0">
            <w:pPr>
              <w:keepNext w:val="0"/>
              <w:keepLines w:val="0"/>
              <w:widowControl/>
              <w:suppressLineNumbers w:val="0"/>
              <w:ind w:firstLine="360"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2467" w:type="dxa"/>
            <w:shd w:val="clear" w:color="auto" w:fill="auto"/>
            <w:vAlign w:val="center"/>
          </w:tcPr>
          <w:p w14:paraId="6156754C">
            <w:pPr>
              <w:jc w:val="center"/>
            </w:pPr>
          </w:p>
        </w:tc>
      </w:tr>
      <w:tr w14:paraId="03D7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1" w:type="dxa"/>
            <w:vMerge w:val="continue"/>
            <w:shd w:val="clear" w:color="auto" w:fill="auto"/>
            <w:vAlign w:val="center"/>
          </w:tcPr>
          <w:p w14:paraId="0A7537A7">
            <w:pPr>
              <w:jc w:val="center"/>
              <w:rPr>
                <w:rFonts w:hint="eastAsia" w:ascii="宋体" w:hAnsi="宋体" w:eastAsia="宋体" w:cs="宋体"/>
                <w:i w:val="0"/>
                <w:iCs w:val="0"/>
                <w:color w:val="000000"/>
                <w:sz w:val="20"/>
                <w:szCs w:val="20"/>
                <w:u w:val="none"/>
              </w:rPr>
            </w:pPr>
          </w:p>
        </w:tc>
        <w:tc>
          <w:tcPr>
            <w:tcW w:w="919" w:type="dxa"/>
            <w:vMerge w:val="restart"/>
            <w:shd w:val="clear" w:color="auto" w:fill="auto"/>
            <w:vAlign w:val="center"/>
          </w:tcPr>
          <w:p w14:paraId="301BAE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72" w:type="dxa"/>
            <w:shd w:val="clear" w:color="auto" w:fill="auto"/>
            <w:vAlign w:val="center"/>
          </w:tcPr>
          <w:p w14:paraId="165BD5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21" w:type="dxa"/>
            <w:shd w:val="clear" w:color="auto" w:fill="auto"/>
            <w:vAlign w:val="center"/>
          </w:tcPr>
          <w:p w14:paraId="3989E85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体检费用补贴费用区间</w:t>
            </w:r>
          </w:p>
        </w:tc>
        <w:tc>
          <w:tcPr>
            <w:tcW w:w="1127" w:type="dxa"/>
            <w:shd w:val="clear" w:color="auto" w:fill="auto"/>
            <w:vAlign w:val="center"/>
          </w:tcPr>
          <w:p w14:paraId="74F3644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w:t>
            </w:r>
          </w:p>
        </w:tc>
        <w:tc>
          <w:tcPr>
            <w:tcW w:w="883" w:type="dxa"/>
            <w:shd w:val="clear" w:color="auto" w:fill="auto"/>
            <w:vAlign w:val="center"/>
          </w:tcPr>
          <w:p w14:paraId="6BEE079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预算支出标准</w:t>
            </w:r>
          </w:p>
        </w:tc>
        <w:tc>
          <w:tcPr>
            <w:tcW w:w="749" w:type="dxa"/>
            <w:shd w:val="clear" w:color="auto" w:fill="auto"/>
            <w:vAlign w:val="center"/>
          </w:tcPr>
          <w:p w14:paraId="0EE6361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3E55AF6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shd w:val="clear" w:color="auto" w:fill="auto"/>
            <w:vAlign w:val="center"/>
          </w:tcPr>
          <w:p w14:paraId="2A987D7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868" w:type="dxa"/>
            <w:shd w:val="clear" w:color="auto" w:fill="auto"/>
            <w:vAlign w:val="center"/>
          </w:tcPr>
          <w:p w14:paraId="43474D8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023" w:type="dxa"/>
            <w:shd w:val="clear" w:color="auto" w:fill="auto"/>
            <w:vAlign w:val="center"/>
          </w:tcPr>
          <w:p w14:paraId="497A341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100元/人</w:t>
            </w:r>
          </w:p>
        </w:tc>
        <w:tc>
          <w:tcPr>
            <w:tcW w:w="884" w:type="dxa"/>
            <w:shd w:val="clear" w:color="auto" w:fill="auto"/>
            <w:vAlign w:val="center"/>
          </w:tcPr>
          <w:p w14:paraId="735C2BA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w:t>
            </w:r>
          </w:p>
        </w:tc>
        <w:tc>
          <w:tcPr>
            <w:tcW w:w="772" w:type="dxa"/>
            <w:shd w:val="clear" w:color="auto" w:fill="auto"/>
            <w:vAlign w:val="center"/>
          </w:tcPr>
          <w:p w14:paraId="374A308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2467" w:type="dxa"/>
            <w:shd w:val="clear" w:color="auto" w:fill="auto"/>
            <w:vAlign w:val="center"/>
          </w:tcPr>
          <w:p w14:paraId="304CA4E0">
            <w:pPr>
              <w:jc w:val="center"/>
            </w:pPr>
          </w:p>
        </w:tc>
      </w:tr>
      <w:tr w14:paraId="4300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1" w:type="dxa"/>
            <w:vMerge w:val="continue"/>
            <w:shd w:val="clear" w:color="auto" w:fill="auto"/>
            <w:vAlign w:val="center"/>
          </w:tcPr>
          <w:p w14:paraId="13FECF56">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090547F5">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6DE8E3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21" w:type="dxa"/>
            <w:shd w:val="clear" w:color="auto" w:fill="auto"/>
            <w:vAlign w:val="center"/>
          </w:tcPr>
          <w:p w14:paraId="2BDDC1E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全民体检投入经费</w:t>
            </w:r>
          </w:p>
        </w:tc>
        <w:tc>
          <w:tcPr>
            <w:tcW w:w="1127" w:type="dxa"/>
            <w:shd w:val="clear" w:color="auto" w:fill="auto"/>
            <w:vAlign w:val="center"/>
          </w:tcPr>
          <w:p w14:paraId="73443BD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≤27.75万元</w:t>
            </w:r>
          </w:p>
        </w:tc>
        <w:tc>
          <w:tcPr>
            <w:tcW w:w="883" w:type="dxa"/>
            <w:shd w:val="clear" w:color="auto" w:fill="auto"/>
            <w:vAlign w:val="center"/>
          </w:tcPr>
          <w:p w14:paraId="0D3C4B8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预算支出标准</w:t>
            </w:r>
          </w:p>
        </w:tc>
        <w:tc>
          <w:tcPr>
            <w:tcW w:w="749" w:type="dxa"/>
            <w:shd w:val="clear" w:color="auto" w:fill="auto"/>
            <w:vAlign w:val="center"/>
          </w:tcPr>
          <w:p w14:paraId="7E388D0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753CD20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shd w:val="clear" w:color="auto" w:fill="auto"/>
            <w:vAlign w:val="center"/>
          </w:tcPr>
          <w:p w14:paraId="131FC31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868" w:type="dxa"/>
            <w:shd w:val="clear" w:color="auto" w:fill="auto"/>
            <w:vAlign w:val="center"/>
          </w:tcPr>
          <w:p w14:paraId="16955D9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工作资料</w:t>
            </w:r>
          </w:p>
        </w:tc>
        <w:tc>
          <w:tcPr>
            <w:tcW w:w="1023" w:type="dxa"/>
            <w:shd w:val="clear" w:color="auto" w:fill="auto"/>
            <w:vAlign w:val="center"/>
          </w:tcPr>
          <w:p w14:paraId="759A150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27.75</w:t>
            </w:r>
          </w:p>
        </w:tc>
        <w:tc>
          <w:tcPr>
            <w:tcW w:w="884" w:type="dxa"/>
            <w:shd w:val="clear" w:color="auto" w:fill="auto"/>
            <w:vAlign w:val="center"/>
          </w:tcPr>
          <w:p w14:paraId="26E006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w:t>
            </w:r>
          </w:p>
        </w:tc>
        <w:tc>
          <w:tcPr>
            <w:tcW w:w="772" w:type="dxa"/>
            <w:shd w:val="clear" w:color="auto" w:fill="auto"/>
            <w:vAlign w:val="center"/>
          </w:tcPr>
          <w:p w14:paraId="2A1940C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2467" w:type="dxa"/>
            <w:shd w:val="clear" w:color="auto" w:fill="auto"/>
            <w:vAlign w:val="center"/>
          </w:tcPr>
          <w:p w14:paraId="65AA6905">
            <w:pPr>
              <w:jc w:val="center"/>
            </w:pPr>
          </w:p>
        </w:tc>
      </w:tr>
      <w:tr w14:paraId="15BF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1" w:type="dxa"/>
            <w:vMerge w:val="continue"/>
            <w:shd w:val="clear" w:color="auto" w:fill="auto"/>
            <w:vAlign w:val="center"/>
          </w:tcPr>
          <w:p w14:paraId="589595E1">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783B31CC">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476F11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021" w:type="dxa"/>
            <w:shd w:val="clear" w:color="auto" w:fill="auto"/>
            <w:vAlign w:val="center"/>
          </w:tcPr>
          <w:p w14:paraId="3958E3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7" w:type="dxa"/>
            <w:shd w:val="clear" w:color="auto" w:fill="auto"/>
            <w:vAlign w:val="center"/>
          </w:tcPr>
          <w:p w14:paraId="2618B19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3" w:type="dxa"/>
            <w:shd w:val="clear" w:color="auto" w:fill="auto"/>
            <w:vAlign w:val="center"/>
          </w:tcPr>
          <w:p w14:paraId="7A8672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shd w:val="clear" w:color="auto" w:fill="auto"/>
            <w:vAlign w:val="center"/>
          </w:tcPr>
          <w:p w14:paraId="18CC7D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7B4EE7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3D7619A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8" w:type="dxa"/>
            <w:shd w:val="clear" w:color="auto" w:fill="auto"/>
            <w:vAlign w:val="center"/>
          </w:tcPr>
          <w:p w14:paraId="5C95628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3" w:type="dxa"/>
            <w:shd w:val="clear" w:color="auto" w:fill="auto"/>
            <w:vAlign w:val="center"/>
          </w:tcPr>
          <w:p w14:paraId="7920CA3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4" w:type="dxa"/>
            <w:shd w:val="clear" w:color="auto" w:fill="auto"/>
            <w:vAlign w:val="center"/>
          </w:tcPr>
          <w:p w14:paraId="67C4EF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2" w:type="dxa"/>
            <w:shd w:val="clear" w:color="auto" w:fill="auto"/>
            <w:vAlign w:val="center"/>
          </w:tcPr>
          <w:p w14:paraId="788807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7" w:type="dxa"/>
            <w:shd w:val="clear" w:color="auto" w:fill="auto"/>
            <w:vAlign w:val="center"/>
          </w:tcPr>
          <w:p w14:paraId="081822C1">
            <w:pPr>
              <w:jc w:val="center"/>
            </w:pPr>
          </w:p>
        </w:tc>
      </w:tr>
      <w:tr w14:paraId="1230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1" w:type="dxa"/>
            <w:vMerge w:val="continue"/>
            <w:shd w:val="clear" w:color="auto" w:fill="auto"/>
            <w:vAlign w:val="center"/>
          </w:tcPr>
          <w:p w14:paraId="10C50C67">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3D39D935">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702732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021" w:type="dxa"/>
            <w:shd w:val="clear" w:color="auto" w:fill="auto"/>
            <w:vAlign w:val="center"/>
          </w:tcPr>
          <w:p w14:paraId="069E80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7" w:type="dxa"/>
            <w:shd w:val="clear" w:color="auto" w:fill="auto"/>
            <w:vAlign w:val="center"/>
          </w:tcPr>
          <w:p w14:paraId="264CB77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3" w:type="dxa"/>
            <w:shd w:val="clear" w:color="auto" w:fill="auto"/>
            <w:vAlign w:val="center"/>
          </w:tcPr>
          <w:p w14:paraId="72C355A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shd w:val="clear" w:color="auto" w:fill="auto"/>
            <w:vAlign w:val="center"/>
          </w:tcPr>
          <w:p w14:paraId="3A9C81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2D8C62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505DE93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8" w:type="dxa"/>
            <w:shd w:val="clear" w:color="auto" w:fill="auto"/>
            <w:vAlign w:val="center"/>
          </w:tcPr>
          <w:p w14:paraId="46FF46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3" w:type="dxa"/>
            <w:shd w:val="clear" w:color="auto" w:fill="auto"/>
            <w:vAlign w:val="center"/>
          </w:tcPr>
          <w:p w14:paraId="217827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4" w:type="dxa"/>
            <w:shd w:val="clear" w:color="auto" w:fill="auto"/>
            <w:vAlign w:val="center"/>
          </w:tcPr>
          <w:p w14:paraId="6893DA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2" w:type="dxa"/>
            <w:shd w:val="clear" w:color="auto" w:fill="auto"/>
            <w:vAlign w:val="center"/>
          </w:tcPr>
          <w:p w14:paraId="3331BF0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7" w:type="dxa"/>
            <w:shd w:val="clear" w:color="auto" w:fill="auto"/>
            <w:vAlign w:val="center"/>
          </w:tcPr>
          <w:p w14:paraId="2E705B80">
            <w:pPr>
              <w:jc w:val="center"/>
            </w:pPr>
          </w:p>
        </w:tc>
      </w:tr>
      <w:tr w14:paraId="4EF2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71" w:type="dxa"/>
            <w:vMerge w:val="continue"/>
            <w:shd w:val="clear" w:color="auto" w:fill="auto"/>
            <w:vAlign w:val="center"/>
          </w:tcPr>
          <w:p w14:paraId="0FDF251A">
            <w:pPr>
              <w:jc w:val="center"/>
              <w:rPr>
                <w:rFonts w:hint="eastAsia" w:ascii="宋体" w:hAnsi="宋体" w:eastAsia="宋体" w:cs="宋体"/>
                <w:i w:val="0"/>
                <w:iCs w:val="0"/>
                <w:color w:val="000000"/>
                <w:sz w:val="20"/>
                <w:szCs w:val="20"/>
                <w:u w:val="none"/>
              </w:rPr>
            </w:pPr>
          </w:p>
        </w:tc>
        <w:tc>
          <w:tcPr>
            <w:tcW w:w="919" w:type="dxa"/>
            <w:vMerge w:val="restart"/>
            <w:shd w:val="clear" w:color="auto" w:fill="auto"/>
            <w:vAlign w:val="center"/>
          </w:tcPr>
          <w:p w14:paraId="0B6BA81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72" w:type="dxa"/>
            <w:shd w:val="clear" w:color="auto" w:fill="auto"/>
            <w:vAlign w:val="center"/>
          </w:tcPr>
          <w:p w14:paraId="4DE56D9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21" w:type="dxa"/>
            <w:shd w:val="clear" w:color="auto" w:fill="auto"/>
            <w:vAlign w:val="center"/>
          </w:tcPr>
          <w:p w14:paraId="5776E96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7" w:type="dxa"/>
            <w:shd w:val="clear" w:color="auto" w:fill="auto"/>
            <w:vAlign w:val="center"/>
          </w:tcPr>
          <w:p w14:paraId="20CBD6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3" w:type="dxa"/>
            <w:shd w:val="clear" w:color="auto" w:fill="auto"/>
            <w:vAlign w:val="center"/>
          </w:tcPr>
          <w:p w14:paraId="06C053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shd w:val="clear" w:color="auto" w:fill="auto"/>
            <w:vAlign w:val="center"/>
          </w:tcPr>
          <w:p w14:paraId="498813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177A49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0511B4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8" w:type="dxa"/>
            <w:shd w:val="clear" w:color="auto" w:fill="auto"/>
            <w:vAlign w:val="center"/>
          </w:tcPr>
          <w:p w14:paraId="083B21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3" w:type="dxa"/>
            <w:shd w:val="clear" w:color="auto" w:fill="auto"/>
            <w:vAlign w:val="center"/>
          </w:tcPr>
          <w:p w14:paraId="5267C1C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4" w:type="dxa"/>
            <w:shd w:val="clear" w:color="auto" w:fill="auto"/>
            <w:vAlign w:val="center"/>
          </w:tcPr>
          <w:p w14:paraId="02EBAC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2" w:type="dxa"/>
            <w:shd w:val="clear" w:color="auto" w:fill="auto"/>
            <w:vAlign w:val="center"/>
          </w:tcPr>
          <w:p w14:paraId="3EFDB6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7" w:type="dxa"/>
            <w:shd w:val="clear" w:color="auto" w:fill="auto"/>
            <w:vAlign w:val="center"/>
          </w:tcPr>
          <w:p w14:paraId="13B73840">
            <w:pPr>
              <w:jc w:val="center"/>
            </w:pPr>
          </w:p>
        </w:tc>
      </w:tr>
      <w:tr w14:paraId="32D6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671" w:type="dxa"/>
            <w:vMerge w:val="continue"/>
            <w:shd w:val="clear" w:color="auto" w:fill="auto"/>
            <w:vAlign w:val="center"/>
          </w:tcPr>
          <w:p w14:paraId="3BCD057B">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633AC52A">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0CCF315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21" w:type="dxa"/>
            <w:shd w:val="clear" w:color="auto" w:fill="auto"/>
            <w:vAlign w:val="center"/>
          </w:tcPr>
          <w:p w14:paraId="3F30B47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提高全民健康意识及自我健康管理水平</w:t>
            </w:r>
          </w:p>
        </w:tc>
        <w:tc>
          <w:tcPr>
            <w:tcW w:w="1127" w:type="dxa"/>
            <w:shd w:val="clear" w:color="auto" w:fill="auto"/>
            <w:vAlign w:val="center"/>
          </w:tcPr>
          <w:p w14:paraId="109896A5">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逐步提升</w:t>
            </w:r>
          </w:p>
        </w:tc>
        <w:tc>
          <w:tcPr>
            <w:tcW w:w="883" w:type="dxa"/>
            <w:shd w:val="clear" w:color="auto" w:fill="auto"/>
            <w:vAlign w:val="center"/>
          </w:tcPr>
          <w:p w14:paraId="2740600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749" w:type="dxa"/>
            <w:shd w:val="clear" w:color="auto" w:fill="auto"/>
            <w:vAlign w:val="center"/>
          </w:tcPr>
          <w:p w14:paraId="2EF0FC0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7665760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9" w:type="dxa"/>
            <w:shd w:val="clear" w:color="auto" w:fill="auto"/>
            <w:vAlign w:val="center"/>
          </w:tcPr>
          <w:p w14:paraId="6201EF4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按照评判等级赋分</w:t>
            </w:r>
          </w:p>
        </w:tc>
        <w:tc>
          <w:tcPr>
            <w:tcW w:w="868" w:type="dxa"/>
            <w:shd w:val="clear" w:color="auto" w:fill="auto"/>
            <w:vAlign w:val="center"/>
          </w:tcPr>
          <w:p w14:paraId="004C731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说明资料</w:t>
            </w:r>
          </w:p>
        </w:tc>
        <w:tc>
          <w:tcPr>
            <w:tcW w:w="1023" w:type="dxa"/>
            <w:shd w:val="clear" w:color="auto" w:fill="auto"/>
            <w:vAlign w:val="center"/>
          </w:tcPr>
          <w:p w14:paraId="778368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84" w:type="dxa"/>
            <w:shd w:val="clear" w:color="auto" w:fill="auto"/>
            <w:vAlign w:val="center"/>
          </w:tcPr>
          <w:p w14:paraId="27BDE1F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w:t>
            </w:r>
          </w:p>
        </w:tc>
        <w:tc>
          <w:tcPr>
            <w:tcW w:w="772" w:type="dxa"/>
            <w:shd w:val="clear" w:color="auto" w:fill="auto"/>
            <w:vAlign w:val="center"/>
          </w:tcPr>
          <w:p w14:paraId="4E7A721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w:t>
            </w:r>
          </w:p>
        </w:tc>
        <w:tc>
          <w:tcPr>
            <w:tcW w:w="2467" w:type="dxa"/>
            <w:shd w:val="clear" w:color="auto" w:fill="auto"/>
            <w:vAlign w:val="center"/>
          </w:tcPr>
          <w:p w14:paraId="507E7E77">
            <w:pPr>
              <w:jc w:val="center"/>
            </w:pPr>
          </w:p>
        </w:tc>
      </w:tr>
      <w:tr w14:paraId="7642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671" w:type="dxa"/>
            <w:vMerge w:val="continue"/>
            <w:shd w:val="clear" w:color="auto" w:fill="auto"/>
            <w:vAlign w:val="center"/>
          </w:tcPr>
          <w:p w14:paraId="04E30C0A">
            <w:pPr>
              <w:jc w:val="center"/>
              <w:rPr>
                <w:rFonts w:hint="eastAsia" w:ascii="宋体" w:hAnsi="宋体" w:eastAsia="宋体" w:cs="宋体"/>
                <w:i w:val="0"/>
                <w:iCs w:val="0"/>
                <w:color w:val="000000"/>
                <w:sz w:val="20"/>
                <w:szCs w:val="20"/>
                <w:u w:val="none"/>
              </w:rPr>
            </w:pPr>
          </w:p>
        </w:tc>
        <w:tc>
          <w:tcPr>
            <w:tcW w:w="919" w:type="dxa"/>
            <w:vMerge w:val="continue"/>
            <w:shd w:val="clear" w:color="auto" w:fill="auto"/>
            <w:vAlign w:val="center"/>
          </w:tcPr>
          <w:p w14:paraId="5ED17EF1">
            <w:pPr>
              <w:jc w:val="center"/>
              <w:rPr>
                <w:rFonts w:hint="eastAsia" w:ascii="宋体" w:hAnsi="宋体" w:eastAsia="宋体" w:cs="宋体"/>
                <w:i w:val="0"/>
                <w:iCs w:val="0"/>
                <w:color w:val="000000"/>
                <w:sz w:val="20"/>
                <w:szCs w:val="20"/>
                <w:u w:val="none"/>
              </w:rPr>
            </w:pPr>
          </w:p>
        </w:tc>
        <w:tc>
          <w:tcPr>
            <w:tcW w:w="872" w:type="dxa"/>
            <w:shd w:val="clear" w:color="auto" w:fill="auto"/>
            <w:vAlign w:val="center"/>
          </w:tcPr>
          <w:p w14:paraId="78F949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21" w:type="dxa"/>
            <w:shd w:val="clear" w:color="auto" w:fill="auto"/>
            <w:vAlign w:val="center"/>
          </w:tcPr>
          <w:p w14:paraId="51E542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7" w:type="dxa"/>
            <w:shd w:val="clear" w:color="auto" w:fill="auto"/>
            <w:vAlign w:val="center"/>
          </w:tcPr>
          <w:p w14:paraId="0BD854F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3" w:type="dxa"/>
            <w:shd w:val="clear" w:color="auto" w:fill="auto"/>
            <w:vAlign w:val="center"/>
          </w:tcPr>
          <w:p w14:paraId="37FBCB0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shd w:val="clear" w:color="auto" w:fill="auto"/>
            <w:vAlign w:val="center"/>
          </w:tcPr>
          <w:p w14:paraId="6702E9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6F7E323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153A50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8" w:type="dxa"/>
            <w:shd w:val="clear" w:color="auto" w:fill="auto"/>
            <w:vAlign w:val="center"/>
          </w:tcPr>
          <w:p w14:paraId="50EDF57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3" w:type="dxa"/>
            <w:shd w:val="clear" w:color="auto" w:fill="auto"/>
            <w:vAlign w:val="center"/>
          </w:tcPr>
          <w:p w14:paraId="0E1622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4" w:type="dxa"/>
            <w:shd w:val="clear" w:color="auto" w:fill="auto"/>
            <w:vAlign w:val="center"/>
          </w:tcPr>
          <w:p w14:paraId="7D6ED0B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2" w:type="dxa"/>
            <w:shd w:val="clear" w:color="auto" w:fill="auto"/>
            <w:vAlign w:val="center"/>
          </w:tcPr>
          <w:p w14:paraId="078DEE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67" w:type="dxa"/>
            <w:shd w:val="clear" w:color="auto" w:fill="auto"/>
            <w:vAlign w:val="center"/>
          </w:tcPr>
          <w:p w14:paraId="2B32E58D">
            <w:pPr>
              <w:jc w:val="center"/>
            </w:pPr>
          </w:p>
        </w:tc>
      </w:tr>
      <w:tr w14:paraId="5B1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71" w:type="dxa"/>
            <w:vMerge w:val="continue"/>
            <w:shd w:val="clear" w:color="auto" w:fill="auto"/>
            <w:vAlign w:val="center"/>
          </w:tcPr>
          <w:p w14:paraId="7040F91D">
            <w:pPr>
              <w:jc w:val="center"/>
              <w:rPr>
                <w:rFonts w:hint="eastAsia" w:ascii="宋体" w:hAnsi="宋体" w:eastAsia="宋体" w:cs="宋体"/>
                <w:i w:val="0"/>
                <w:iCs w:val="0"/>
                <w:color w:val="000000"/>
                <w:sz w:val="20"/>
                <w:szCs w:val="20"/>
                <w:u w:val="none"/>
              </w:rPr>
            </w:pPr>
          </w:p>
        </w:tc>
        <w:tc>
          <w:tcPr>
            <w:tcW w:w="919" w:type="dxa"/>
            <w:shd w:val="clear" w:color="auto" w:fill="auto"/>
            <w:vAlign w:val="center"/>
          </w:tcPr>
          <w:p w14:paraId="36F5C3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72" w:type="dxa"/>
            <w:shd w:val="clear" w:color="auto" w:fill="auto"/>
            <w:vAlign w:val="center"/>
          </w:tcPr>
          <w:p w14:paraId="0F2D56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21" w:type="dxa"/>
            <w:shd w:val="clear" w:color="auto" w:fill="auto"/>
            <w:vAlign w:val="center"/>
          </w:tcPr>
          <w:p w14:paraId="18A7D263">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体检居民满意度</w:t>
            </w:r>
          </w:p>
        </w:tc>
        <w:tc>
          <w:tcPr>
            <w:tcW w:w="1127" w:type="dxa"/>
            <w:shd w:val="clear" w:color="auto" w:fill="auto"/>
            <w:vAlign w:val="center"/>
          </w:tcPr>
          <w:p w14:paraId="63A62C8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3" w:type="dxa"/>
            <w:shd w:val="clear" w:color="auto" w:fill="auto"/>
            <w:vAlign w:val="center"/>
          </w:tcPr>
          <w:p w14:paraId="747A276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计划指标</w:t>
            </w:r>
          </w:p>
        </w:tc>
        <w:tc>
          <w:tcPr>
            <w:tcW w:w="749" w:type="dxa"/>
            <w:shd w:val="clear" w:color="auto" w:fill="auto"/>
            <w:vAlign w:val="center"/>
          </w:tcPr>
          <w:p w14:paraId="4F8878F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59" w:type="dxa"/>
            <w:shd w:val="clear" w:color="auto" w:fill="auto"/>
            <w:vAlign w:val="center"/>
          </w:tcPr>
          <w:p w14:paraId="73B4D24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shd w:val="clear" w:color="auto" w:fill="auto"/>
            <w:vAlign w:val="center"/>
          </w:tcPr>
          <w:p w14:paraId="6E47A61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868" w:type="dxa"/>
            <w:shd w:val="clear" w:color="auto" w:fill="auto"/>
            <w:vAlign w:val="center"/>
          </w:tcPr>
          <w:p w14:paraId="19AF798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工作资料</w:t>
            </w:r>
          </w:p>
        </w:tc>
        <w:tc>
          <w:tcPr>
            <w:tcW w:w="1023" w:type="dxa"/>
            <w:shd w:val="clear" w:color="auto" w:fill="auto"/>
            <w:vAlign w:val="center"/>
          </w:tcPr>
          <w:p w14:paraId="3EEFCA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84" w:type="dxa"/>
            <w:shd w:val="clear" w:color="auto" w:fill="auto"/>
            <w:vAlign w:val="center"/>
          </w:tcPr>
          <w:p w14:paraId="39E827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100.00%</w:t>
            </w:r>
          </w:p>
        </w:tc>
        <w:tc>
          <w:tcPr>
            <w:tcW w:w="772" w:type="dxa"/>
            <w:shd w:val="clear" w:color="auto" w:fill="auto"/>
            <w:vAlign w:val="center"/>
          </w:tcPr>
          <w:p w14:paraId="5778DBF8">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2467" w:type="dxa"/>
            <w:shd w:val="clear" w:color="auto" w:fill="auto"/>
            <w:vAlign w:val="center"/>
          </w:tcPr>
          <w:p w14:paraId="793C3765">
            <w:pPr>
              <w:jc w:val="center"/>
            </w:pPr>
          </w:p>
        </w:tc>
      </w:tr>
      <w:tr w14:paraId="1996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83" w:type="dxa"/>
            <w:gridSpan w:val="4"/>
            <w:shd w:val="clear" w:color="auto" w:fill="auto"/>
            <w:vAlign w:val="center"/>
          </w:tcPr>
          <w:p w14:paraId="4F6694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27" w:type="dxa"/>
            <w:shd w:val="clear" w:color="auto" w:fill="auto"/>
            <w:vAlign w:val="center"/>
          </w:tcPr>
          <w:p w14:paraId="7D29E075">
            <w:pPr>
              <w:jc w:val="center"/>
              <w:rPr>
                <w:rFonts w:hint="eastAsia" w:ascii="宋体" w:hAnsi="宋体" w:eastAsia="宋体" w:cs="宋体"/>
                <w:b/>
                <w:bCs/>
                <w:i w:val="0"/>
                <w:iCs w:val="0"/>
                <w:color w:val="000000"/>
                <w:sz w:val="20"/>
                <w:szCs w:val="20"/>
                <w:u w:val="none"/>
              </w:rPr>
            </w:pPr>
          </w:p>
        </w:tc>
        <w:tc>
          <w:tcPr>
            <w:tcW w:w="883" w:type="dxa"/>
            <w:shd w:val="clear" w:color="auto" w:fill="auto"/>
            <w:vAlign w:val="center"/>
          </w:tcPr>
          <w:p w14:paraId="3E0DE93D">
            <w:pPr>
              <w:jc w:val="center"/>
              <w:rPr>
                <w:rFonts w:hint="eastAsia" w:ascii="宋体" w:hAnsi="宋体" w:eastAsia="宋体" w:cs="宋体"/>
                <w:i w:val="0"/>
                <w:iCs w:val="0"/>
                <w:color w:val="000000"/>
                <w:sz w:val="20"/>
                <w:szCs w:val="20"/>
                <w:u w:val="none"/>
              </w:rPr>
            </w:pPr>
          </w:p>
        </w:tc>
        <w:tc>
          <w:tcPr>
            <w:tcW w:w="749" w:type="dxa"/>
            <w:shd w:val="clear" w:color="auto" w:fill="auto"/>
            <w:vAlign w:val="center"/>
          </w:tcPr>
          <w:p w14:paraId="729F0008">
            <w:pPr>
              <w:jc w:val="center"/>
              <w:rPr>
                <w:rFonts w:hint="eastAsia" w:ascii="宋体" w:hAnsi="宋体" w:eastAsia="宋体" w:cs="宋体"/>
                <w:i w:val="0"/>
                <w:iCs w:val="0"/>
                <w:color w:val="000000"/>
                <w:sz w:val="20"/>
                <w:szCs w:val="20"/>
                <w:u w:val="none"/>
              </w:rPr>
            </w:pPr>
          </w:p>
        </w:tc>
        <w:tc>
          <w:tcPr>
            <w:tcW w:w="959" w:type="dxa"/>
            <w:shd w:val="clear" w:color="auto" w:fill="auto"/>
            <w:vAlign w:val="center"/>
          </w:tcPr>
          <w:p w14:paraId="1FFC5D9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59" w:type="dxa"/>
            <w:shd w:val="clear" w:color="auto" w:fill="auto"/>
            <w:vAlign w:val="center"/>
          </w:tcPr>
          <w:p w14:paraId="3042DC89">
            <w:pPr>
              <w:jc w:val="center"/>
              <w:rPr>
                <w:rFonts w:hint="eastAsia" w:ascii="宋体" w:hAnsi="宋体" w:eastAsia="宋体" w:cs="宋体"/>
                <w:i w:val="0"/>
                <w:iCs w:val="0"/>
                <w:color w:val="000000"/>
                <w:sz w:val="20"/>
                <w:szCs w:val="20"/>
                <w:u w:val="none"/>
              </w:rPr>
            </w:pPr>
          </w:p>
        </w:tc>
        <w:tc>
          <w:tcPr>
            <w:tcW w:w="868" w:type="dxa"/>
            <w:shd w:val="clear" w:color="auto" w:fill="auto"/>
            <w:vAlign w:val="center"/>
          </w:tcPr>
          <w:p w14:paraId="11504FAF">
            <w:pPr>
              <w:jc w:val="center"/>
              <w:rPr>
                <w:rFonts w:hint="eastAsia" w:ascii="宋体" w:hAnsi="宋体" w:eastAsia="宋体" w:cs="宋体"/>
                <w:i w:val="0"/>
                <w:iCs w:val="0"/>
                <w:color w:val="000000"/>
                <w:sz w:val="20"/>
                <w:szCs w:val="20"/>
                <w:u w:val="none"/>
              </w:rPr>
            </w:pPr>
          </w:p>
        </w:tc>
        <w:tc>
          <w:tcPr>
            <w:tcW w:w="1023" w:type="dxa"/>
            <w:shd w:val="clear" w:color="auto" w:fill="auto"/>
            <w:vAlign w:val="center"/>
          </w:tcPr>
          <w:p w14:paraId="0842DCB1">
            <w:pPr>
              <w:jc w:val="center"/>
              <w:rPr>
                <w:rFonts w:hint="eastAsia" w:ascii="宋体" w:hAnsi="宋体" w:eastAsia="宋体" w:cs="宋体"/>
                <w:i w:val="0"/>
                <w:iCs w:val="0"/>
                <w:color w:val="000000"/>
                <w:sz w:val="20"/>
                <w:szCs w:val="20"/>
                <w:u w:val="none"/>
              </w:rPr>
            </w:pPr>
          </w:p>
        </w:tc>
        <w:tc>
          <w:tcPr>
            <w:tcW w:w="884" w:type="dxa"/>
            <w:shd w:val="clear" w:color="auto" w:fill="auto"/>
            <w:vAlign w:val="center"/>
          </w:tcPr>
          <w:p w14:paraId="4E2B5971">
            <w:pPr>
              <w:jc w:val="center"/>
              <w:rPr>
                <w:rFonts w:hint="eastAsia" w:ascii="宋体" w:hAnsi="宋体" w:eastAsia="宋体" w:cs="宋体"/>
                <w:i w:val="0"/>
                <w:iCs w:val="0"/>
                <w:color w:val="000000"/>
                <w:sz w:val="20"/>
                <w:szCs w:val="20"/>
                <w:u w:val="none"/>
              </w:rPr>
            </w:pPr>
          </w:p>
        </w:tc>
        <w:tc>
          <w:tcPr>
            <w:tcW w:w="772" w:type="dxa"/>
            <w:shd w:val="clear" w:color="auto" w:fill="auto"/>
            <w:vAlign w:val="center"/>
          </w:tcPr>
          <w:p w14:paraId="2F399C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67" w:type="dxa"/>
            <w:shd w:val="clear" w:color="auto" w:fill="auto"/>
            <w:vAlign w:val="center"/>
          </w:tcPr>
          <w:p w14:paraId="58DD17F6"/>
        </w:tc>
      </w:tr>
    </w:tbl>
    <w:p w14:paraId="4E5A16B4">
      <w:pPr>
        <w:rPr>
          <w:rFonts w:hint="default"/>
          <w:color w:val="auto"/>
          <w:highlight w:val="none"/>
          <w:lang w:val="en-US" w:eastAsia="zh-CN"/>
        </w:rPr>
        <w:sectPr>
          <w:pgSz w:w="16838" w:h="11906" w:orient="landscape"/>
          <w:pgMar w:top="1800" w:right="1440" w:bottom="1800" w:left="1440" w:header="737" w:footer="851" w:gutter="0"/>
          <w:pgNumType w:fmt="decimal" w:start="1"/>
          <w:cols w:space="720" w:num="1"/>
          <w:docGrid w:type="lines" w:linePitch="408" w:charSpace="0"/>
        </w:sectPr>
      </w:pPr>
    </w:p>
    <w:p w14:paraId="28BCAC49">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9"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9"/>
    </w:p>
    <w:tbl>
      <w:tblPr>
        <w:tblStyle w:val="13"/>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43C93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5B5120DC">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auto"/>
            <w:vAlign w:val="center"/>
          </w:tcPr>
          <w:p w14:paraId="280FE075">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20" w:type="dxa"/>
            <w:shd w:val="clear" w:color="auto" w:fill="auto"/>
            <w:vAlign w:val="center"/>
          </w:tcPr>
          <w:p w14:paraId="32705457">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shd w:val="clear" w:color="auto" w:fill="auto"/>
            <w:vAlign w:val="center"/>
          </w:tcPr>
          <w:p w14:paraId="6F412B4C">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shd w:val="clear" w:color="auto" w:fill="auto"/>
            <w:vAlign w:val="center"/>
          </w:tcPr>
          <w:p w14:paraId="4B04E8A7">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auto"/>
            <w:vAlign w:val="center"/>
          </w:tcPr>
          <w:p w14:paraId="75D787D7">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auto"/>
            <w:vAlign w:val="center"/>
          </w:tcPr>
          <w:p w14:paraId="60708085">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14:paraId="4E2D9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2489430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14:paraId="7F45495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2EC38833">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auto"/>
            <w:vAlign w:val="center"/>
          </w:tcPr>
          <w:p w14:paraId="59BBAAF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20" w:type="dxa"/>
            <w:shd w:val="clear" w:color="auto" w:fill="auto"/>
            <w:vAlign w:val="center"/>
          </w:tcPr>
          <w:p w14:paraId="2BBEB06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14:paraId="62363ED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shd w:val="clear" w:color="auto" w:fill="auto"/>
            <w:vAlign w:val="center"/>
          </w:tcPr>
          <w:p w14:paraId="37AD4E8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shd w:val="clear" w:color="auto" w:fill="auto"/>
            <w:vAlign w:val="center"/>
          </w:tcPr>
          <w:p w14:paraId="1BC73FD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99531E4">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14:paraId="6AA250A4">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14:paraId="43FD6CB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14:paraId="3945BB6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14:paraId="64EDFB25">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auto"/>
            <w:vAlign w:val="center"/>
          </w:tcPr>
          <w:p w14:paraId="21E19B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3EAE716F">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0694A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543A7663">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02817173">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5551217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14:paraId="0D1A6E8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shd w:val="clear" w:color="auto" w:fill="auto"/>
            <w:vAlign w:val="center"/>
          </w:tcPr>
          <w:p w14:paraId="4344F64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shd w:val="clear" w:color="auto" w:fill="auto"/>
            <w:vAlign w:val="center"/>
          </w:tcPr>
          <w:p w14:paraId="33ABEEF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3A61B0D2">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14:paraId="365BFACF">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14:paraId="319E6BD2">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auto"/>
            <w:vAlign w:val="center"/>
          </w:tcPr>
          <w:p w14:paraId="3B9259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20DE13C9">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6462B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31648F41">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290E9A7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20" w:type="dxa"/>
            <w:shd w:val="clear" w:color="auto" w:fill="auto"/>
            <w:vAlign w:val="center"/>
          </w:tcPr>
          <w:p w14:paraId="6CD6D09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14:paraId="5D8DC00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5574A41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shd w:val="clear" w:color="auto" w:fill="auto"/>
            <w:vAlign w:val="center"/>
          </w:tcPr>
          <w:p w14:paraId="0EE69A6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B49A26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14:paraId="01F57244">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14:paraId="2878965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14:paraId="3E733570">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14:paraId="485B2863">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auto" w:fill="auto"/>
            <w:vAlign w:val="center"/>
          </w:tcPr>
          <w:p w14:paraId="3C1441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32B2ED8E">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1B92D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5E638B2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auto"/>
            <w:vAlign w:val="center"/>
          </w:tcPr>
          <w:p w14:paraId="3C65815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20" w:type="dxa"/>
            <w:shd w:val="clear" w:color="auto" w:fill="auto"/>
            <w:vAlign w:val="center"/>
          </w:tcPr>
          <w:p w14:paraId="3EDE8FC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14:paraId="7143D8B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shd w:val="clear" w:color="auto" w:fill="auto"/>
            <w:vAlign w:val="center"/>
          </w:tcPr>
          <w:p w14:paraId="02CAE58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shd w:val="clear" w:color="auto" w:fill="auto"/>
            <w:vAlign w:val="center"/>
          </w:tcPr>
          <w:p w14:paraId="58123D6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38DDFE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14:paraId="7DAC0D5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14:paraId="36FF893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14:paraId="20751F1D">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shd w:val="clear" w:color="auto" w:fill="auto"/>
            <w:vAlign w:val="center"/>
          </w:tcPr>
          <w:p w14:paraId="036384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315798EE">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09B48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45B665FE">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089259B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14:paraId="0457EDD9">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3E90AF1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14:paraId="19C5C5D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shd w:val="clear" w:color="auto" w:fill="auto"/>
            <w:vAlign w:val="center"/>
          </w:tcPr>
          <w:p w14:paraId="3E73D29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3CD02F6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F2E419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14:paraId="2AB1BF0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14:paraId="615CE52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14:paraId="1912CFA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auto"/>
            <w:vAlign w:val="center"/>
          </w:tcPr>
          <w:p w14:paraId="6A53F7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706F36D0">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01408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3DA5DF08">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00A58F04">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7A90EC52">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14:paraId="09D4224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00EB5B2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19942BA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5DA2686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14:paraId="501D88C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auto"/>
            <w:vAlign w:val="center"/>
          </w:tcPr>
          <w:p w14:paraId="5AD35A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009518DD">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4F9B9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2CCE8A69">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auto"/>
            <w:vAlign w:val="center"/>
          </w:tcPr>
          <w:p w14:paraId="41ED2C5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1EA0F4C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shd w:val="clear" w:color="auto" w:fill="auto"/>
            <w:vAlign w:val="center"/>
          </w:tcPr>
          <w:p w14:paraId="5BF0581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shd w:val="clear" w:color="auto" w:fill="auto"/>
            <w:vAlign w:val="center"/>
          </w:tcPr>
          <w:p w14:paraId="06CF4069">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14:paraId="1B9F1C58">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14:paraId="3DC68D6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auto" w:fill="auto"/>
            <w:vAlign w:val="center"/>
          </w:tcPr>
          <w:p w14:paraId="069A73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526093F1">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4BB7B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6238CCDF">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1F5E28C3">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31B4097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shd w:val="clear" w:color="auto" w:fill="auto"/>
            <w:vAlign w:val="center"/>
          </w:tcPr>
          <w:p w14:paraId="2907B75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shd w:val="clear" w:color="auto" w:fill="auto"/>
            <w:vAlign w:val="center"/>
          </w:tcPr>
          <w:p w14:paraId="151115E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14:paraId="7B592C1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auto"/>
            <w:vAlign w:val="center"/>
          </w:tcPr>
          <w:p w14:paraId="0DF62B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20E1628E">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70F00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7881463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6AED26BF">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auto"/>
            <w:vAlign w:val="center"/>
          </w:tcPr>
          <w:p w14:paraId="3E3284C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74E5C57B">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14:paraId="6C3EA17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shd w:val="clear" w:color="auto" w:fill="auto"/>
            <w:vAlign w:val="center"/>
          </w:tcPr>
          <w:p w14:paraId="36171BB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shd w:val="clear" w:color="auto" w:fill="auto"/>
            <w:vAlign w:val="center"/>
          </w:tcPr>
          <w:p w14:paraId="6A40A63C">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E8A03D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14:paraId="6565A73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14:paraId="2026849C">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14:paraId="4BAFD1E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auto" w:fill="auto"/>
            <w:vAlign w:val="center"/>
          </w:tcPr>
          <w:p w14:paraId="538140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1B2CE146">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565B4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0B8844AE">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1F3F432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14:paraId="7FC550AC">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3E97C788">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14:paraId="5F8ACDF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shd w:val="clear" w:color="auto" w:fill="auto"/>
            <w:vAlign w:val="center"/>
          </w:tcPr>
          <w:p w14:paraId="4C0F146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shd w:val="clear" w:color="auto" w:fill="auto"/>
            <w:vAlign w:val="center"/>
          </w:tcPr>
          <w:p w14:paraId="36ACF36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21475D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14:paraId="45E0FEE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auto" w:fill="auto"/>
            <w:vAlign w:val="center"/>
          </w:tcPr>
          <w:p w14:paraId="1FAFAE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605E60F7">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1AD2A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76F9695B">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7EE9D65B">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208F9E36">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14:paraId="758667F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shd w:val="clear" w:color="auto" w:fill="auto"/>
            <w:vAlign w:val="center"/>
          </w:tcPr>
          <w:p w14:paraId="2F7C094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shd w:val="clear" w:color="auto" w:fill="auto"/>
            <w:vAlign w:val="center"/>
          </w:tcPr>
          <w:p w14:paraId="5AB063E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FECD81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14:paraId="26E07765">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14:paraId="0B0ED11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14:paraId="709C5EE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auto" w:fill="auto"/>
            <w:vAlign w:val="center"/>
          </w:tcPr>
          <w:p w14:paraId="3C5DC3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0D045D0E">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72DA7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41" w:hRule="atLeast"/>
          <w:jc w:val="center"/>
        </w:trPr>
        <w:tc>
          <w:tcPr>
            <w:tcW w:w="861" w:type="dxa"/>
            <w:vMerge w:val="restart"/>
            <w:shd w:val="clear" w:color="auto" w:fill="auto"/>
            <w:vAlign w:val="center"/>
          </w:tcPr>
          <w:p w14:paraId="63CFD0A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vMerge w:val="restart"/>
            <w:shd w:val="clear" w:color="auto" w:fill="auto"/>
            <w:vAlign w:val="center"/>
          </w:tcPr>
          <w:p w14:paraId="6D6207B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数量指标</w:t>
            </w:r>
          </w:p>
        </w:tc>
        <w:tc>
          <w:tcPr>
            <w:tcW w:w="820" w:type="dxa"/>
            <w:shd w:val="clear" w:color="auto" w:fill="auto"/>
            <w:vAlign w:val="center"/>
          </w:tcPr>
          <w:p w14:paraId="5BE1251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全民健康体检人数</w:t>
            </w:r>
          </w:p>
        </w:tc>
        <w:tc>
          <w:tcPr>
            <w:tcW w:w="2141" w:type="dxa"/>
            <w:shd w:val="clear" w:color="auto" w:fill="auto"/>
            <w:vAlign w:val="center"/>
          </w:tcPr>
          <w:p w14:paraId="59CA395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551D845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06CD321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0A90CBA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10107F4F">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27E83112">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2.8</w:t>
            </w:r>
          </w:p>
        </w:tc>
      </w:tr>
      <w:tr w14:paraId="0093D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3B49F296">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3E5F2FC0">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60FD7B3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系统录入人次</w:t>
            </w:r>
          </w:p>
        </w:tc>
        <w:tc>
          <w:tcPr>
            <w:tcW w:w="2141" w:type="dxa"/>
            <w:shd w:val="clear" w:color="auto" w:fill="auto"/>
            <w:vAlign w:val="center"/>
          </w:tcPr>
          <w:p w14:paraId="06579D3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5313A58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3D4BC01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560F261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5655CBFC">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71AFD2DB">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2.8</w:t>
            </w:r>
          </w:p>
        </w:tc>
      </w:tr>
      <w:tr w14:paraId="595C2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2B486C57">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298CC24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auto"/>
                <w:kern w:val="0"/>
                <w:sz w:val="22"/>
                <w:szCs w:val="22"/>
                <w:highlight w:val="none"/>
                <w:lang w:eastAsia="zh-CN"/>
              </w:rPr>
              <w:t>质量时效</w:t>
            </w:r>
          </w:p>
        </w:tc>
        <w:tc>
          <w:tcPr>
            <w:tcW w:w="820" w:type="dxa"/>
            <w:shd w:val="clear" w:color="auto" w:fill="auto"/>
            <w:vAlign w:val="center"/>
          </w:tcPr>
          <w:p w14:paraId="647D96E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录入合格率100%</w:t>
            </w:r>
          </w:p>
        </w:tc>
        <w:tc>
          <w:tcPr>
            <w:tcW w:w="2141" w:type="dxa"/>
            <w:shd w:val="clear" w:color="auto" w:fill="auto"/>
            <w:vAlign w:val="center"/>
          </w:tcPr>
          <w:p w14:paraId="233E42C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4EFF4606">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2BCAC52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408636B8">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2EBBA8A8">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r>
      <w:tr w14:paraId="6CF2F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restart"/>
            <w:shd w:val="clear" w:color="auto" w:fill="auto"/>
            <w:vAlign w:val="center"/>
          </w:tcPr>
          <w:p w14:paraId="4C450CB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vAlign w:val="center"/>
          </w:tcPr>
          <w:p w14:paraId="797D89A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时效指标</w:t>
            </w:r>
          </w:p>
        </w:tc>
        <w:tc>
          <w:tcPr>
            <w:tcW w:w="820" w:type="dxa"/>
            <w:shd w:val="clear" w:color="auto" w:fill="auto"/>
            <w:vAlign w:val="center"/>
          </w:tcPr>
          <w:p w14:paraId="0792B48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完成</w:t>
            </w:r>
            <w:r>
              <w:rPr>
                <w:rFonts w:hint="eastAsia" w:cs="宋体"/>
                <w:color w:val="000000"/>
                <w:kern w:val="0"/>
                <w:sz w:val="22"/>
                <w:szCs w:val="22"/>
                <w:highlight w:val="none"/>
                <w:lang w:val="en-US" w:eastAsia="zh-CN"/>
              </w:rPr>
              <w:t>时限</w:t>
            </w:r>
          </w:p>
        </w:tc>
        <w:tc>
          <w:tcPr>
            <w:tcW w:w="2141" w:type="dxa"/>
            <w:shd w:val="clear" w:color="auto" w:fill="auto"/>
            <w:vAlign w:val="center"/>
          </w:tcPr>
          <w:p w14:paraId="5531F2B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12C159B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2B3942C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vAlign w:val="center"/>
          </w:tcPr>
          <w:p w14:paraId="0342646E">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52A32E7B">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r>
      <w:tr w14:paraId="49F4B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shd w:val="clear" w:color="auto" w:fill="auto"/>
            <w:vAlign w:val="center"/>
          </w:tcPr>
          <w:p w14:paraId="63CA737E">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4C9287B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000000"/>
                <w:kern w:val="0"/>
                <w:sz w:val="22"/>
                <w:szCs w:val="22"/>
                <w:highlight w:val="none"/>
                <w:lang w:val="en-US" w:eastAsia="zh-CN"/>
              </w:rPr>
              <w:t>经济成本</w:t>
            </w:r>
            <w:r>
              <w:rPr>
                <w:rFonts w:hint="eastAsia" w:ascii="宋体" w:hAnsi="宋体" w:eastAsia="宋体" w:cs="宋体"/>
                <w:color w:val="000000"/>
                <w:kern w:val="0"/>
                <w:sz w:val="22"/>
                <w:szCs w:val="22"/>
                <w:highlight w:val="none"/>
              </w:rPr>
              <w:t>指标</w:t>
            </w:r>
          </w:p>
        </w:tc>
        <w:tc>
          <w:tcPr>
            <w:tcW w:w="820" w:type="dxa"/>
            <w:shd w:val="clear" w:color="auto" w:fill="auto"/>
            <w:vAlign w:val="center"/>
          </w:tcPr>
          <w:p w14:paraId="7DA2185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体检费用补贴费用区间</w:t>
            </w:r>
          </w:p>
        </w:tc>
        <w:tc>
          <w:tcPr>
            <w:tcW w:w="2141" w:type="dxa"/>
            <w:shd w:val="clear" w:color="auto" w:fill="auto"/>
            <w:vAlign w:val="center"/>
          </w:tcPr>
          <w:p w14:paraId="3530B72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6FB0FCA7">
            <w:pPr>
              <w:widowControl/>
              <w:spacing w:line="0" w:lineRule="atLeast"/>
              <w:ind w:firstLine="0" w:firstLineChars="0"/>
              <w:rPr>
                <w:rFonts w:hint="eastAsia" w:ascii="宋体" w:hAnsi="宋体" w:eastAsia="宋体" w:cs="宋体"/>
                <w:color w:val="000000"/>
                <w:kern w:val="0"/>
                <w:sz w:val="22"/>
                <w:szCs w:val="22"/>
                <w:lang w:eastAsia="zh-CN"/>
              </w:rPr>
            </w:pPr>
          </w:p>
          <w:p w14:paraId="0B96AD8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12F436C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0ADFB43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03A9F82E">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4C93C97D">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r>
      <w:tr w14:paraId="0A63C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auto"/>
            <w:vAlign w:val="center"/>
          </w:tcPr>
          <w:p w14:paraId="22BD9377">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6868245C">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6E8CC0F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全民体检投入经费</w:t>
            </w:r>
          </w:p>
        </w:tc>
        <w:tc>
          <w:tcPr>
            <w:tcW w:w="2141" w:type="dxa"/>
            <w:shd w:val="clear" w:color="auto" w:fill="auto"/>
            <w:vAlign w:val="center"/>
          </w:tcPr>
          <w:p w14:paraId="07BCA2E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04923363">
            <w:pPr>
              <w:widowControl/>
              <w:spacing w:line="0" w:lineRule="atLeast"/>
              <w:ind w:firstLine="0" w:firstLineChars="0"/>
              <w:rPr>
                <w:rFonts w:hint="eastAsia" w:ascii="宋体" w:hAnsi="宋体" w:eastAsia="宋体" w:cs="宋体"/>
                <w:color w:val="000000"/>
                <w:kern w:val="0"/>
                <w:sz w:val="22"/>
                <w:szCs w:val="22"/>
                <w:lang w:eastAsia="zh-CN"/>
              </w:rPr>
            </w:pPr>
          </w:p>
          <w:p w14:paraId="4786160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5268E52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6264C60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6CDAA8CF">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73112E92">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000000"/>
                <w:kern w:val="0"/>
                <w:sz w:val="22"/>
                <w:szCs w:val="22"/>
                <w:lang w:val="en-US" w:eastAsia="zh-CN"/>
              </w:rPr>
              <w:t>5</w:t>
            </w:r>
          </w:p>
        </w:tc>
      </w:tr>
      <w:tr w14:paraId="365C8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3" w:hRule="atLeast"/>
          <w:jc w:val="center"/>
        </w:trPr>
        <w:tc>
          <w:tcPr>
            <w:tcW w:w="861" w:type="dxa"/>
            <w:shd w:val="clear" w:color="auto" w:fill="auto"/>
            <w:vAlign w:val="center"/>
          </w:tcPr>
          <w:p w14:paraId="21D98E5E">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633490A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000000"/>
                <w:kern w:val="0"/>
                <w:sz w:val="22"/>
                <w:szCs w:val="22"/>
                <w:highlight w:val="none"/>
                <w:lang w:val="en-US" w:eastAsia="zh-CN"/>
              </w:rPr>
              <w:t>效益指标</w:t>
            </w:r>
          </w:p>
        </w:tc>
        <w:tc>
          <w:tcPr>
            <w:tcW w:w="820" w:type="dxa"/>
            <w:shd w:val="clear" w:color="auto" w:fill="auto"/>
            <w:vAlign w:val="center"/>
          </w:tcPr>
          <w:p w14:paraId="7E59C8AA">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提高全民健康意识和水平</w:t>
            </w:r>
          </w:p>
        </w:tc>
        <w:tc>
          <w:tcPr>
            <w:tcW w:w="2141" w:type="dxa"/>
            <w:shd w:val="clear" w:color="auto" w:fill="auto"/>
            <w:vAlign w:val="center"/>
          </w:tcPr>
          <w:p w14:paraId="5110F591">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项目实施所产生的效益。</w:t>
            </w:r>
          </w:p>
        </w:tc>
        <w:tc>
          <w:tcPr>
            <w:tcW w:w="7821" w:type="dxa"/>
            <w:shd w:val="clear" w:color="auto" w:fill="auto"/>
            <w:vAlign w:val="center"/>
          </w:tcPr>
          <w:p w14:paraId="287740F7">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4C2E6306">
            <w:pPr>
              <w:widowControl/>
              <w:spacing w:line="0" w:lineRule="atLeast"/>
              <w:ind w:firstLine="0" w:firstLineChars="0"/>
              <w:rPr>
                <w:rFonts w:hint="eastAsia" w:cs="宋体"/>
                <w:color w:val="000000"/>
                <w:kern w:val="0"/>
                <w:sz w:val="22"/>
                <w:szCs w:val="22"/>
                <w:highlight w:val="none"/>
                <w:lang w:val="en-US" w:eastAsia="zh-CN"/>
              </w:rPr>
            </w:pPr>
            <w:r>
              <w:rPr>
                <w:rFonts w:hint="eastAsia" w:cs="宋体"/>
                <w:color w:val="000000"/>
                <w:kern w:val="0"/>
                <w:sz w:val="22"/>
                <w:szCs w:val="22"/>
                <w:lang w:val="en-US" w:eastAsia="zh-CN"/>
              </w:rPr>
              <w:t>15</w:t>
            </w:r>
          </w:p>
        </w:tc>
        <w:tc>
          <w:tcPr>
            <w:tcW w:w="769" w:type="dxa"/>
            <w:shd w:val="clear" w:color="auto" w:fill="auto"/>
            <w:vAlign w:val="center"/>
          </w:tcPr>
          <w:p w14:paraId="22344264">
            <w:pPr>
              <w:widowControl/>
              <w:spacing w:line="0" w:lineRule="atLeast"/>
              <w:ind w:firstLine="0" w:firstLineChars="0"/>
              <w:rPr>
                <w:rFonts w:hint="eastAsia" w:cs="宋体"/>
                <w:color w:val="000000"/>
                <w:kern w:val="0"/>
                <w:sz w:val="22"/>
                <w:szCs w:val="22"/>
                <w:highlight w:val="none"/>
                <w:lang w:val="en-US" w:eastAsia="zh-CN"/>
              </w:rPr>
            </w:pPr>
            <w:r>
              <w:rPr>
                <w:rFonts w:hint="eastAsia" w:cs="宋体"/>
                <w:color w:val="000000"/>
                <w:kern w:val="0"/>
                <w:sz w:val="22"/>
                <w:szCs w:val="22"/>
                <w:lang w:val="en-US" w:eastAsia="zh-CN"/>
              </w:rPr>
              <w:t>15</w:t>
            </w:r>
          </w:p>
        </w:tc>
      </w:tr>
      <w:tr w14:paraId="6AB7C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1" w:hRule="atLeast"/>
          <w:jc w:val="center"/>
        </w:trPr>
        <w:tc>
          <w:tcPr>
            <w:tcW w:w="861" w:type="dxa"/>
            <w:shd w:val="clear" w:color="auto" w:fill="auto"/>
            <w:vAlign w:val="center"/>
          </w:tcPr>
          <w:p w14:paraId="5C58BC5F">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31CCB0C8">
            <w:pPr>
              <w:keepNext w:val="0"/>
              <w:keepLines w:val="0"/>
              <w:widowControl/>
              <w:suppressLineNumbers w:val="0"/>
              <w:ind w:left="0" w:leftChars="0" w:firstLine="0" w:firstLineChars="0"/>
              <w:jc w:val="both"/>
              <w:textAlignment w:val="center"/>
              <w:rPr>
                <w:rFonts w:ascii="宋体" w:hAnsi="宋体" w:eastAsia="宋体" w:cs="宋体"/>
                <w:color w:val="auto"/>
                <w:kern w:val="0"/>
                <w:sz w:val="22"/>
                <w:szCs w:val="22"/>
                <w:highlight w:val="none"/>
              </w:rPr>
            </w:pPr>
            <w:r>
              <w:rPr>
                <w:rFonts w:hint="eastAsia" w:cs="宋体"/>
                <w:color w:val="000000"/>
                <w:kern w:val="0"/>
                <w:sz w:val="22"/>
                <w:szCs w:val="22"/>
                <w:highlight w:val="none"/>
                <w:lang w:val="en-US" w:eastAsia="zh-CN"/>
              </w:rPr>
              <w:t>满意度指标</w:t>
            </w:r>
          </w:p>
        </w:tc>
        <w:tc>
          <w:tcPr>
            <w:tcW w:w="820" w:type="dxa"/>
            <w:shd w:val="clear" w:color="auto" w:fill="auto"/>
            <w:vAlign w:val="center"/>
          </w:tcPr>
          <w:p w14:paraId="3833FB98">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cs="宋体"/>
                <w:color w:val="000000"/>
                <w:kern w:val="0"/>
                <w:sz w:val="22"/>
                <w:szCs w:val="22"/>
                <w:highlight w:val="none"/>
                <w:lang w:val="en-US" w:eastAsia="zh-CN"/>
              </w:rPr>
              <w:t>体检居民</w:t>
            </w:r>
            <w:r>
              <w:rPr>
                <w:rFonts w:hint="eastAsia" w:ascii="宋体" w:hAnsi="宋体" w:eastAsia="宋体" w:cs="宋体"/>
                <w:color w:val="000000"/>
                <w:kern w:val="0"/>
                <w:sz w:val="22"/>
                <w:szCs w:val="22"/>
                <w:highlight w:val="none"/>
              </w:rPr>
              <w:t>满意度</w:t>
            </w:r>
          </w:p>
        </w:tc>
        <w:tc>
          <w:tcPr>
            <w:tcW w:w="2141" w:type="dxa"/>
            <w:shd w:val="clear" w:color="auto" w:fill="auto"/>
            <w:vAlign w:val="center"/>
          </w:tcPr>
          <w:p w14:paraId="554A2C80">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社会公众或服务对象对项目实施效果的满意程度。</w:t>
            </w:r>
          </w:p>
        </w:tc>
        <w:tc>
          <w:tcPr>
            <w:tcW w:w="7821" w:type="dxa"/>
            <w:shd w:val="clear" w:color="auto" w:fill="auto"/>
            <w:vAlign w:val="center"/>
          </w:tcPr>
          <w:p w14:paraId="7D6EA289">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vAlign w:val="center"/>
          </w:tcPr>
          <w:p w14:paraId="6E07EF21">
            <w:pPr>
              <w:widowControl/>
              <w:spacing w:line="0" w:lineRule="atLeast"/>
              <w:ind w:firstLine="0" w:firstLineChars="0"/>
              <w:rPr>
                <w:rFonts w:hint="eastAsia" w:cs="宋体"/>
                <w:color w:val="000000"/>
                <w:kern w:val="0"/>
                <w:sz w:val="22"/>
                <w:szCs w:val="22"/>
                <w:highlight w:val="none"/>
                <w:lang w:val="en-US" w:eastAsia="zh-CN"/>
              </w:rPr>
            </w:pPr>
            <w:r>
              <w:rPr>
                <w:rFonts w:hint="eastAsia" w:cs="宋体"/>
                <w:color w:val="000000"/>
                <w:kern w:val="0"/>
                <w:sz w:val="22"/>
                <w:szCs w:val="22"/>
                <w:lang w:val="en-US" w:eastAsia="zh-CN"/>
              </w:rPr>
              <w:t>15</w:t>
            </w:r>
          </w:p>
        </w:tc>
        <w:tc>
          <w:tcPr>
            <w:tcW w:w="769" w:type="dxa"/>
            <w:shd w:val="clear" w:color="auto" w:fill="auto"/>
            <w:vAlign w:val="center"/>
          </w:tcPr>
          <w:p w14:paraId="7BB3E461">
            <w:pPr>
              <w:widowControl/>
              <w:spacing w:line="0" w:lineRule="atLeast"/>
              <w:ind w:firstLine="0" w:firstLineChars="0"/>
              <w:rPr>
                <w:rFonts w:hint="eastAsia" w:cs="宋体"/>
                <w:color w:val="000000"/>
                <w:kern w:val="0"/>
                <w:sz w:val="22"/>
                <w:szCs w:val="22"/>
                <w:highlight w:val="none"/>
                <w:lang w:val="en-US" w:eastAsia="zh-CN"/>
              </w:rPr>
            </w:pPr>
            <w:r>
              <w:rPr>
                <w:rFonts w:hint="eastAsia" w:cs="宋体"/>
                <w:color w:val="000000"/>
                <w:kern w:val="0"/>
                <w:sz w:val="22"/>
                <w:szCs w:val="22"/>
                <w:lang w:val="en-US" w:eastAsia="zh-CN"/>
              </w:rPr>
              <w:t>15</w:t>
            </w:r>
          </w:p>
        </w:tc>
      </w:tr>
      <w:tr w14:paraId="4988D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38C96531">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821" w:type="dxa"/>
            <w:shd w:val="clear" w:color="auto" w:fill="auto"/>
            <w:vAlign w:val="center"/>
          </w:tcPr>
          <w:p w14:paraId="1BA45D47">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vAlign w:val="center"/>
          </w:tcPr>
          <w:p w14:paraId="6D09D08F">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shd w:val="clear" w:color="auto" w:fill="auto"/>
            <w:vAlign w:val="center"/>
          </w:tcPr>
          <w:p w14:paraId="289FBC57">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94.6</w:t>
            </w:r>
          </w:p>
        </w:tc>
      </w:tr>
    </w:tbl>
    <w:p w14:paraId="0E76BC3A">
      <w:pPr>
        <w:spacing w:line="240" w:lineRule="auto"/>
        <w:ind w:firstLine="0" w:firstLineChars="0"/>
        <w:rPr>
          <w:rFonts w:hint="default" w:ascii="Times New Roman" w:hAnsi="Times New Roman" w:eastAsia="仿宋_GB2312" w:cs="Times New Roman"/>
          <w:color w:val="auto"/>
          <w:sz w:val="30"/>
          <w:szCs w:val="24"/>
          <w:highlight w:val="none"/>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2CD4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6A629">
                          <w:pPr>
                            <w:pStyle w:val="11"/>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D6A629">
                    <w:pPr>
                      <w:pStyle w:val="11"/>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01054B"/>
    <w:rsid w:val="007D6A04"/>
    <w:rsid w:val="00E23C81"/>
    <w:rsid w:val="01253350"/>
    <w:rsid w:val="01282E62"/>
    <w:rsid w:val="014029CF"/>
    <w:rsid w:val="01470C4C"/>
    <w:rsid w:val="02200440"/>
    <w:rsid w:val="02284B43"/>
    <w:rsid w:val="02B015E2"/>
    <w:rsid w:val="02DC08FA"/>
    <w:rsid w:val="03325DA0"/>
    <w:rsid w:val="033B569D"/>
    <w:rsid w:val="039C3BA0"/>
    <w:rsid w:val="03A845BB"/>
    <w:rsid w:val="03B45AD1"/>
    <w:rsid w:val="04D12EE4"/>
    <w:rsid w:val="04D63993"/>
    <w:rsid w:val="066426DE"/>
    <w:rsid w:val="07890F4F"/>
    <w:rsid w:val="08892439"/>
    <w:rsid w:val="08EB30F3"/>
    <w:rsid w:val="09237408"/>
    <w:rsid w:val="09485A5B"/>
    <w:rsid w:val="09781BD6"/>
    <w:rsid w:val="09F359DF"/>
    <w:rsid w:val="0A575E65"/>
    <w:rsid w:val="0ACA0AB6"/>
    <w:rsid w:val="0AEC727C"/>
    <w:rsid w:val="0B8D3582"/>
    <w:rsid w:val="0C032502"/>
    <w:rsid w:val="0C27698C"/>
    <w:rsid w:val="0D4452F3"/>
    <w:rsid w:val="0F5E5042"/>
    <w:rsid w:val="0FE95707"/>
    <w:rsid w:val="10510571"/>
    <w:rsid w:val="10787A20"/>
    <w:rsid w:val="108672DE"/>
    <w:rsid w:val="10EC685A"/>
    <w:rsid w:val="11FA6155"/>
    <w:rsid w:val="12CF0947"/>
    <w:rsid w:val="12F1313F"/>
    <w:rsid w:val="136C678E"/>
    <w:rsid w:val="13A65784"/>
    <w:rsid w:val="13EB2FF5"/>
    <w:rsid w:val="14D32AEC"/>
    <w:rsid w:val="15A46B04"/>
    <w:rsid w:val="15A77B14"/>
    <w:rsid w:val="165825BC"/>
    <w:rsid w:val="16BC5D73"/>
    <w:rsid w:val="176F36D7"/>
    <w:rsid w:val="1795226D"/>
    <w:rsid w:val="18456B1E"/>
    <w:rsid w:val="185467A4"/>
    <w:rsid w:val="1864558B"/>
    <w:rsid w:val="1BF84071"/>
    <w:rsid w:val="1C1171C5"/>
    <w:rsid w:val="1D095C83"/>
    <w:rsid w:val="1D265138"/>
    <w:rsid w:val="1D7B6BCA"/>
    <w:rsid w:val="1DA41A79"/>
    <w:rsid w:val="1DF53469"/>
    <w:rsid w:val="1E2F24F2"/>
    <w:rsid w:val="1E58492F"/>
    <w:rsid w:val="1E5B6757"/>
    <w:rsid w:val="1ED10AC6"/>
    <w:rsid w:val="1F89225F"/>
    <w:rsid w:val="1F900A1F"/>
    <w:rsid w:val="1FB37FF3"/>
    <w:rsid w:val="1FC0575D"/>
    <w:rsid w:val="1FF14BF6"/>
    <w:rsid w:val="206132C7"/>
    <w:rsid w:val="21B00C1D"/>
    <w:rsid w:val="220B4104"/>
    <w:rsid w:val="222D1C2F"/>
    <w:rsid w:val="23031BEB"/>
    <w:rsid w:val="23917691"/>
    <w:rsid w:val="244D65B8"/>
    <w:rsid w:val="245E1E24"/>
    <w:rsid w:val="25AD5E5D"/>
    <w:rsid w:val="26704220"/>
    <w:rsid w:val="270C409F"/>
    <w:rsid w:val="2732478D"/>
    <w:rsid w:val="27661469"/>
    <w:rsid w:val="27900EAD"/>
    <w:rsid w:val="279B538A"/>
    <w:rsid w:val="27DD4A67"/>
    <w:rsid w:val="286F545C"/>
    <w:rsid w:val="29314FBC"/>
    <w:rsid w:val="2C024B86"/>
    <w:rsid w:val="2C927671"/>
    <w:rsid w:val="2D7C5CD6"/>
    <w:rsid w:val="2E483E7E"/>
    <w:rsid w:val="2E690493"/>
    <w:rsid w:val="2E9854BD"/>
    <w:rsid w:val="2EB2312B"/>
    <w:rsid w:val="2F0D407F"/>
    <w:rsid w:val="2F454B19"/>
    <w:rsid w:val="30067578"/>
    <w:rsid w:val="310224D9"/>
    <w:rsid w:val="31B4621C"/>
    <w:rsid w:val="31E3230A"/>
    <w:rsid w:val="33044C2E"/>
    <w:rsid w:val="330957E0"/>
    <w:rsid w:val="33122334"/>
    <w:rsid w:val="33356F64"/>
    <w:rsid w:val="33944516"/>
    <w:rsid w:val="34B62907"/>
    <w:rsid w:val="35571045"/>
    <w:rsid w:val="355A03C2"/>
    <w:rsid w:val="36BD137C"/>
    <w:rsid w:val="378804ED"/>
    <w:rsid w:val="385D37E7"/>
    <w:rsid w:val="38782EDD"/>
    <w:rsid w:val="3B42664A"/>
    <w:rsid w:val="3C4669FE"/>
    <w:rsid w:val="3D836A4E"/>
    <w:rsid w:val="3EA37E97"/>
    <w:rsid w:val="3FBE0BC5"/>
    <w:rsid w:val="4048103A"/>
    <w:rsid w:val="40736643"/>
    <w:rsid w:val="40D24A7A"/>
    <w:rsid w:val="42621029"/>
    <w:rsid w:val="435241E2"/>
    <w:rsid w:val="43975C51"/>
    <w:rsid w:val="439E3FA7"/>
    <w:rsid w:val="44B32266"/>
    <w:rsid w:val="44FC64F4"/>
    <w:rsid w:val="45981372"/>
    <w:rsid w:val="45D85565"/>
    <w:rsid w:val="467F4585"/>
    <w:rsid w:val="470628CB"/>
    <w:rsid w:val="47555BD4"/>
    <w:rsid w:val="4790098D"/>
    <w:rsid w:val="47E96399"/>
    <w:rsid w:val="482478D5"/>
    <w:rsid w:val="48E12B50"/>
    <w:rsid w:val="499441BE"/>
    <w:rsid w:val="499A6C1C"/>
    <w:rsid w:val="49BC6207"/>
    <w:rsid w:val="4A2138F0"/>
    <w:rsid w:val="4A583887"/>
    <w:rsid w:val="4B9F6E02"/>
    <w:rsid w:val="4C89637B"/>
    <w:rsid w:val="4DC518D1"/>
    <w:rsid w:val="4E6E48A8"/>
    <w:rsid w:val="4EEC036B"/>
    <w:rsid w:val="501D2673"/>
    <w:rsid w:val="50751D3F"/>
    <w:rsid w:val="50C80BF1"/>
    <w:rsid w:val="51506CA8"/>
    <w:rsid w:val="51852833"/>
    <w:rsid w:val="52C95BC5"/>
    <w:rsid w:val="52F11AC8"/>
    <w:rsid w:val="534F49D9"/>
    <w:rsid w:val="53555F0F"/>
    <w:rsid w:val="535D23D5"/>
    <w:rsid w:val="55985870"/>
    <w:rsid w:val="56F4341A"/>
    <w:rsid w:val="575A7321"/>
    <w:rsid w:val="580C3AB9"/>
    <w:rsid w:val="583C7AE0"/>
    <w:rsid w:val="586C1E9A"/>
    <w:rsid w:val="586E0800"/>
    <w:rsid w:val="58F315AF"/>
    <w:rsid w:val="59216F96"/>
    <w:rsid w:val="598C4145"/>
    <w:rsid w:val="59957D1B"/>
    <w:rsid w:val="59D4294E"/>
    <w:rsid w:val="5B634312"/>
    <w:rsid w:val="5B9D2CCD"/>
    <w:rsid w:val="5B9E71EA"/>
    <w:rsid w:val="5E226FBC"/>
    <w:rsid w:val="5E754D87"/>
    <w:rsid w:val="5FE72BD2"/>
    <w:rsid w:val="60120613"/>
    <w:rsid w:val="603861EC"/>
    <w:rsid w:val="618D5292"/>
    <w:rsid w:val="622E78FA"/>
    <w:rsid w:val="63343F70"/>
    <w:rsid w:val="64296E1C"/>
    <w:rsid w:val="649E64A2"/>
    <w:rsid w:val="65E5270A"/>
    <w:rsid w:val="663D3C54"/>
    <w:rsid w:val="66862C89"/>
    <w:rsid w:val="66BB486D"/>
    <w:rsid w:val="66F71181"/>
    <w:rsid w:val="67394C7D"/>
    <w:rsid w:val="68126B38"/>
    <w:rsid w:val="681F3771"/>
    <w:rsid w:val="68291A1A"/>
    <w:rsid w:val="68352BB8"/>
    <w:rsid w:val="691B1594"/>
    <w:rsid w:val="693A016B"/>
    <w:rsid w:val="69B63885"/>
    <w:rsid w:val="6A17429C"/>
    <w:rsid w:val="6A567EA3"/>
    <w:rsid w:val="6B3E5A2B"/>
    <w:rsid w:val="6B4B4368"/>
    <w:rsid w:val="6B79100E"/>
    <w:rsid w:val="6C844C00"/>
    <w:rsid w:val="6D696F8E"/>
    <w:rsid w:val="6E10212C"/>
    <w:rsid w:val="6E293E75"/>
    <w:rsid w:val="6E43561A"/>
    <w:rsid w:val="6E557973"/>
    <w:rsid w:val="6E9568DB"/>
    <w:rsid w:val="6EC6456A"/>
    <w:rsid w:val="6F0D6C22"/>
    <w:rsid w:val="6F476066"/>
    <w:rsid w:val="6F47657F"/>
    <w:rsid w:val="6FAF23D9"/>
    <w:rsid w:val="70635CF6"/>
    <w:rsid w:val="70670707"/>
    <w:rsid w:val="720E3691"/>
    <w:rsid w:val="72203313"/>
    <w:rsid w:val="724E244C"/>
    <w:rsid w:val="72DA6946"/>
    <w:rsid w:val="732764B3"/>
    <w:rsid w:val="73326672"/>
    <w:rsid w:val="737B28EC"/>
    <w:rsid w:val="74026044"/>
    <w:rsid w:val="74746410"/>
    <w:rsid w:val="74947D28"/>
    <w:rsid w:val="75E5007C"/>
    <w:rsid w:val="77813724"/>
    <w:rsid w:val="77861774"/>
    <w:rsid w:val="78F31435"/>
    <w:rsid w:val="79300B45"/>
    <w:rsid w:val="794D3E18"/>
    <w:rsid w:val="79F3729A"/>
    <w:rsid w:val="7A880722"/>
    <w:rsid w:val="7ACB0498"/>
    <w:rsid w:val="7AED0B4D"/>
    <w:rsid w:val="7C1E4487"/>
    <w:rsid w:val="7C215E02"/>
    <w:rsid w:val="7CF23764"/>
    <w:rsid w:val="7E797F74"/>
    <w:rsid w:val="7F924011"/>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6"/>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7">
    <w:name w:val="table of authorities"/>
    <w:basedOn w:val="1"/>
    <w:next w:val="1"/>
    <w:autoRedefine/>
    <w:qFormat/>
    <w:uiPriority w:val="0"/>
    <w:pPr>
      <w:ind w:firstLine="640"/>
    </w:p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before="240" w:after="240" w:line="360" w:lineRule="auto"/>
      <w:jc w:val="center"/>
    </w:pPr>
    <w:rPr>
      <w:b/>
      <w:sz w:val="44"/>
    </w:rPr>
  </w:style>
  <w:style w:type="paragraph" w:styleId="10">
    <w:name w:val="Body Text 2"/>
    <w:basedOn w:val="1"/>
    <w:qFormat/>
    <w:uiPriority w:val="0"/>
    <w:pPr>
      <w:spacing w:after="120" w:line="480" w:lineRule="auto"/>
    </w:pPr>
    <w:rPr>
      <w:rFonts w:ascii="Times New Roman" w:hAnsi="Times New Roman" w:eastAsia="宋体"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6">
    <w:name w:val="标题 2 Char"/>
    <w:link w:val="4"/>
    <w:qFormat/>
    <w:uiPriority w:val="0"/>
    <w:rPr>
      <w:rFonts w:ascii="Arial" w:hAnsi="Arial" w:eastAsia="楷体"/>
      <w:b/>
      <w:sz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paragraph" w:customStyle="1" w:styleId="20">
    <w:name w:val="_Style 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9335</Words>
  <Characters>9821</Characters>
  <Lines>0</Lines>
  <Paragraphs>0</Paragraphs>
  <TotalTime>1</TotalTime>
  <ScaleCrop>false</ScaleCrop>
  <LinksUpToDate>false</LinksUpToDate>
  <CharactersWithSpaces>9882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