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1A8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4B84F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lang w:val="en-US" w:eastAsia="zh-CN"/>
        </w:rPr>
      </w:pPr>
      <w:bookmarkStart w:id="0" w:name="_Toc15679"/>
      <w:r>
        <w:rPr>
          <w:rFonts w:hint="eastAsia" w:cs="宋体"/>
          <w:b/>
          <w:bCs/>
          <w:color w:val="auto"/>
          <w:sz w:val="40"/>
          <w:szCs w:val="40"/>
          <w:highlight w:val="none"/>
          <w:shd w:val="clear" w:color="auto" w:fill="auto"/>
          <w:lang w:val="en-US" w:eastAsia="zh-CN"/>
        </w:rPr>
        <w:t>原人民医院内科楼改造</w:t>
      </w:r>
      <w:r>
        <w:rPr>
          <w:rFonts w:hint="eastAsia" w:ascii="宋体" w:hAnsi="宋体" w:eastAsia="宋体" w:cs="宋体"/>
          <w:b/>
          <w:bCs/>
          <w:color w:val="auto"/>
          <w:sz w:val="40"/>
          <w:szCs w:val="40"/>
          <w:highlight w:val="none"/>
          <w:shd w:val="clear" w:color="auto" w:fill="auto"/>
          <w:lang w:val="en-US" w:eastAsia="zh-CN"/>
        </w:rPr>
        <w:t>项目</w:t>
      </w:r>
    </w:p>
    <w:p w14:paraId="41ACE1C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rPr>
        <w:t>支出绩效评价报告</w:t>
      </w:r>
      <w:bookmarkEnd w:id="0"/>
    </w:p>
    <w:p w14:paraId="6C9C9214">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56B10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C2C5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703A1F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B0725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5D09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BB6532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4BD48D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w:t>
      </w:r>
      <w:r>
        <w:rPr>
          <w:rFonts w:hint="eastAsia" w:cs="宋体"/>
          <w:b/>
          <w:color w:val="auto"/>
          <w:kern w:val="2"/>
          <w:sz w:val="28"/>
          <w:szCs w:val="28"/>
          <w:highlight w:val="none"/>
          <w:shd w:val="clear" w:color="auto" w:fill="auto"/>
          <w:lang w:val="en-US" w:eastAsia="zh-CN"/>
        </w:rPr>
        <w:t>原人民医院内科楼改造项目</w:t>
      </w:r>
    </w:p>
    <w:p w14:paraId="0CB83A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阜康市妇幼保健计划生育服务中心</w:t>
      </w:r>
    </w:p>
    <w:p w14:paraId="480678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阜康市卫生健康委员会</w:t>
      </w:r>
    </w:p>
    <w:p w14:paraId="4E71208D">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55630D81">
      <w:pPr>
        <w:rPr>
          <w:rFonts w:hint="eastAsia"/>
          <w:color w:val="auto"/>
          <w:highlight w:val="none"/>
          <w:lang w:val="en-US" w:eastAsia="zh-CN"/>
        </w:rPr>
      </w:pPr>
      <w:r>
        <w:rPr>
          <w:rFonts w:hint="eastAsia"/>
          <w:color w:val="auto"/>
          <w:highlight w:val="none"/>
          <w:lang w:val="en-US" w:eastAsia="zh-CN"/>
        </w:rPr>
        <w:br w:type="page"/>
      </w:r>
    </w:p>
    <w:p w14:paraId="3F875148">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sdtPr>
      <w:sdtEndPr>
        <w:rPr>
          <w:rFonts w:hint="eastAsia" w:ascii="宋体" w:hAnsi="宋体" w:eastAsia="宋体" w:cs="宋体"/>
          <w:b/>
          <w:bCs/>
          <w:color w:val="auto"/>
          <w:kern w:val="2"/>
          <w:sz w:val="28"/>
          <w:szCs w:val="28"/>
          <w:highlight w:val="none"/>
          <w:lang w:val="en-US" w:eastAsia="zh-CN" w:bidi="ar-SA"/>
        </w:rPr>
      </w:sdtEndPr>
      <w:sdtContent>
        <w:p w14:paraId="7063C76A">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w:t>
          </w:r>
          <w:r>
            <w:rPr>
              <w:rFonts w:hint="eastAsia"/>
              <w:b/>
              <w:bCs/>
              <w:color w:val="auto"/>
              <w:sz w:val="40"/>
              <w:szCs w:val="40"/>
              <w:highlight w:val="none"/>
              <w:lang w:val="en-US" w:eastAsia="zh-CN"/>
            </w:rPr>
            <w:t xml:space="preserve">  </w:t>
          </w:r>
          <w:r>
            <w:rPr>
              <w:rFonts w:ascii="宋体" w:hAnsi="宋体" w:eastAsia="宋体"/>
              <w:b/>
              <w:bCs/>
              <w:color w:val="auto"/>
              <w:sz w:val="40"/>
              <w:szCs w:val="40"/>
              <w:highlight w:val="none"/>
            </w:rPr>
            <w:t>录</w:t>
          </w:r>
        </w:p>
        <w:p w14:paraId="0647421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14:paraId="0D7D3B8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3E70732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14:paraId="6468BDC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14:paraId="2AAF3315">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3744153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lang w:val="en-US" w:eastAsia="zh-CN"/>
            </w:rPr>
            <w:fldChar w:fldCharType="end"/>
          </w:r>
        </w:p>
        <w:p w14:paraId="631CBFC5">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lang w:val="en-US" w:eastAsia="zh-CN"/>
            </w:rPr>
            <w:fldChar w:fldCharType="end"/>
          </w:r>
        </w:p>
        <w:p w14:paraId="0F860EAE">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int="eastAsia"/>
              <w:color w:val="auto"/>
              <w:sz w:val="28"/>
              <w:szCs w:val="28"/>
              <w:highlight w:val="none"/>
              <w:lang w:val="en-US" w:eastAsia="zh-CN"/>
            </w:rPr>
            <w:fldChar w:fldCharType="end"/>
          </w:r>
        </w:p>
        <w:p w14:paraId="315635FE">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13</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0BC3F0F">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13</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554A77E9">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color w:val="auto"/>
              <w:sz w:val="28"/>
              <w:szCs w:val="28"/>
              <w:highlight w:val="none"/>
              <w:lang w:val="en-US" w:eastAsia="zh-CN"/>
            </w:rPr>
            <w:fldChar w:fldCharType="end"/>
          </w:r>
        </w:p>
        <w:p w14:paraId="716409D1">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color w:val="auto"/>
              <w:sz w:val="28"/>
              <w:szCs w:val="28"/>
              <w:highlight w:val="none"/>
              <w:lang w:val="en-US" w:eastAsia="zh-CN"/>
            </w:rPr>
            <w:fldChar w:fldCharType="end"/>
          </w:r>
        </w:p>
        <w:p w14:paraId="5864C89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color w:val="auto"/>
              <w:sz w:val="28"/>
              <w:szCs w:val="28"/>
              <w:highlight w:val="none"/>
              <w:lang w:val="en-US" w:eastAsia="zh-CN"/>
            </w:rPr>
            <w:fldChar w:fldCharType="end"/>
          </w:r>
        </w:p>
        <w:p w14:paraId="5F82D5F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color w:val="auto"/>
              <w:sz w:val="28"/>
              <w:szCs w:val="28"/>
              <w:highlight w:val="none"/>
              <w:lang w:val="en-US" w:eastAsia="zh-CN"/>
            </w:rPr>
            <w:fldChar w:fldCharType="end"/>
          </w:r>
        </w:p>
        <w:p w14:paraId="7003A54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B0E13F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766D331E">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color w:val="auto"/>
              <w:sz w:val="28"/>
              <w:szCs w:val="28"/>
              <w:highlight w:val="none"/>
              <w:lang w:val="en-US" w:eastAsia="zh-CN"/>
            </w:rPr>
            <w:fldChar w:fldCharType="end"/>
          </w:r>
        </w:p>
        <w:p w14:paraId="57D849C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color w:val="auto"/>
              <w:sz w:val="28"/>
              <w:szCs w:val="28"/>
              <w:highlight w:val="none"/>
              <w:lang w:val="en-US" w:eastAsia="zh-CN"/>
            </w:rPr>
            <w:fldChar w:fldCharType="end"/>
          </w:r>
        </w:p>
        <w:p w14:paraId="20DFD56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440278B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14:paraId="2523EF36">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14:paraId="0CF40150">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cols w:space="720" w:num="1"/>
              <w:docGrid w:type="lines" w:linePitch="408" w:charSpace="0"/>
            </w:sectPr>
          </w:pPr>
          <w:r>
            <w:rPr>
              <w:rFonts w:hint="eastAsia"/>
              <w:color w:val="auto"/>
              <w:sz w:val="28"/>
              <w:szCs w:val="28"/>
              <w:highlight w:val="none"/>
              <w:lang w:val="en-US" w:eastAsia="zh-CN"/>
            </w:rPr>
            <w:fldChar w:fldCharType="end"/>
          </w:r>
        </w:p>
      </w:sdtContent>
    </w:sdt>
    <w:p w14:paraId="46D629F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宋体"/>
          <w:b/>
          <w:bCs/>
          <w:color w:val="auto"/>
          <w:sz w:val="36"/>
          <w:szCs w:val="36"/>
          <w:highlight w:val="none"/>
          <w:shd w:val="clear" w:color="auto" w:fill="auto"/>
          <w:lang w:val="en-US" w:eastAsia="zh-CN"/>
        </w:rPr>
      </w:pPr>
      <w:bookmarkStart w:id="1" w:name="_Toc1194"/>
      <w:r>
        <w:rPr>
          <w:rFonts w:hint="eastAsia" w:cs="宋体"/>
          <w:b/>
          <w:bCs/>
          <w:color w:val="auto"/>
          <w:sz w:val="36"/>
          <w:szCs w:val="36"/>
          <w:highlight w:val="none"/>
          <w:shd w:val="clear" w:color="auto" w:fill="auto"/>
          <w:lang w:val="en-US" w:eastAsia="zh-CN"/>
        </w:rPr>
        <w:t>原人民医院内科楼改造项目项目</w:t>
      </w:r>
    </w:p>
    <w:p w14:paraId="0427DA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bookmarkEnd w:id="1"/>
    </w:p>
    <w:p w14:paraId="1F978E6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2" w:name="_Toc17540"/>
    </w:p>
    <w:p w14:paraId="4FD7E2E5">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bookmarkEnd w:id="2"/>
    </w:p>
    <w:p w14:paraId="6EB92116">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3" w:name="_Toc18966"/>
      <w:r>
        <w:rPr>
          <w:rFonts w:hint="eastAsia" w:ascii="宋体" w:hAnsi="宋体" w:eastAsia="宋体" w:cs="宋体"/>
          <w:color w:val="auto"/>
          <w:highlight w:val="none"/>
          <w:shd w:val="clear" w:color="auto" w:fill="auto"/>
        </w:rPr>
        <w:t>（一）项目概况</w:t>
      </w:r>
      <w:bookmarkEnd w:id="3"/>
    </w:p>
    <w:p w14:paraId="6C3D4D95">
      <w:pPr>
        <w:rPr>
          <w:rFonts w:hint="eastAsia" w:ascii="宋体" w:hAnsi="宋体" w:eastAsia="宋体" w:cs="宋体"/>
          <w:color w:val="auto"/>
          <w:highlight w:val="none"/>
          <w:shd w:val="clear" w:color="auto" w:fill="auto"/>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p>
    <w:bookmarkEnd w:id="4"/>
    <w:p w14:paraId="30F9C58A">
      <w:pPr>
        <w:spacing w:line="520" w:lineRule="exact"/>
        <w:ind w:firstLine="560" w:firstLineChars="200"/>
        <w:rPr>
          <w:color w:val="auto"/>
          <w:sz w:val="28"/>
          <w:szCs w:val="28"/>
          <w:highlight w:val="none"/>
        </w:rPr>
      </w:pPr>
      <w:r>
        <w:rPr>
          <w:rFonts w:hAnsi="宋体"/>
          <w:color w:val="auto"/>
          <w:sz w:val="28"/>
          <w:szCs w:val="28"/>
          <w:highlight w:val="none"/>
        </w:rPr>
        <w:t>妇幼保健机构是公共卫生服务体系的重要组成部分。建设</w:t>
      </w:r>
      <w:r>
        <w:rPr>
          <w:rFonts w:hint="eastAsia" w:hAnsi="宋体"/>
          <w:color w:val="auto"/>
          <w:sz w:val="28"/>
          <w:szCs w:val="28"/>
          <w:highlight w:val="none"/>
        </w:rPr>
        <w:t>阜康市妇幼保健计划生育服务中心</w:t>
      </w:r>
      <w:r>
        <w:rPr>
          <w:rFonts w:hAnsi="宋体"/>
          <w:color w:val="auto"/>
          <w:sz w:val="28"/>
          <w:szCs w:val="28"/>
          <w:highlight w:val="none"/>
        </w:rPr>
        <w:t>的目的是通过优生优育，妇幼保健服务，降低妇女儿童的患疾率及死亡率，提高妇女、儿童的身心健康水平；保证我国</w:t>
      </w:r>
      <w:r>
        <w:rPr>
          <w:color w:val="auto"/>
          <w:sz w:val="28"/>
          <w:szCs w:val="28"/>
          <w:highlight w:val="none"/>
        </w:rPr>
        <w:t>“</w:t>
      </w:r>
      <w:r>
        <w:rPr>
          <w:rFonts w:hAnsi="宋体"/>
          <w:color w:val="auto"/>
          <w:sz w:val="28"/>
          <w:szCs w:val="28"/>
          <w:highlight w:val="none"/>
        </w:rPr>
        <w:t>控制人口数量、提高人口素质</w:t>
      </w:r>
      <w:r>
        <w:rPr>
          <w:color w:val="auto"/>
          <w:sz w:val="28"/>
          <w:szCs w:val="28"/>
          <w:highlight w:val="none"/>
        </w:rPr>
        <w:t>”</w:t>
      </w:r>
      <w:r>
        <w:rPr>
          <w:rFonts w:hAnsi="宋体"/>
          <w:color w:val="auto"/>
          <w:sz w:val="28"/>
          <w:szCs w:val="28"/>
          <w:highlight w:val="none"/>
        </w:rPr>
        <w:t>基本国策的实现；保证妇幼保健工作的顺利实施，并以此促进民族的兴旺，社会的发展。党和国家要求各相关部门认真贯彻执行《中华人民共和国母婴保健法》和妇幼保健工作有关政策法规，认真作好各项妇幼保健工作。</w:t>
      </w:r>
    </w:p>
    <w:p w14:paraId="75D54F6C">
      <w:pPr>
        <w:spacing w:line="520" w:lineRule="exact"/>
        <w:ind w:firstLine="560" w:firstLineChars="200"/>
        <w:rPr>
          <w:color w:val="auto"/>
          <w:sz w:val="28"/>
          <w:szCs w:val="28"/>
          <w:highlight w:val="none"/>
        </w:rPr>
      </w:pPr>
      <w:r>
        <w:rPr>
          <w:rFonts w:hAnsi="宋体"/>
          <w:color w:val="auto"/>
          <w:sz w:val="28"/>
          <w:szCs w:val="28"/>
          <w:highlight w:val="none"/>
          <w:lang w:val="zh-CN"/>
        </w:rPr>
        <w:t>国家</w:t>
      </w:r>
      <w:r>
        <w:rPr>
          <w:color w:val="auto"/>
          <w:sz w:val="28"/>
          <w:szCs w:val="28"/>
          <w:highlight w:val="none"/>
          <w:lang w:val="zh-CN"/>
        </w:rPr>
        <w:t>“</w:t>
      </w:r>
      <w:r>
        <w:rPr>
          <w:rFonts w:hAnsi="宋体"/>
          <w:color w:val="auto"/>
          <w:sz w:val="28"/>
          <w:szCs w:val="28"/>
          <w:highlight w:val="none"/>
          <w:lang w:val="zh-CN"/>
        </w:rPr>
        <w:t>十二五</w:t>
      </w:r>
      <w:r>
        <w:rPr>
          <w:color w:val="auto"/>
          <w:sz w:val="28"/>
          <w:szCs w:val="28"/>
          <w:highlight w:val="none"/>
          <w:lang w:val="zh-CN"/>
        </w:rPr>
        <w:t>”</w:t>
      </w:r>
      <w:r>
        <w:rPr>
          <w:rFonts w:hAnsi="宋体"/>
          <w:color w:val="auto"/>
          <w:sz w:val="28"/>
          <w:szCs w:val="28"/>
          <w:highlight w:val="none"/>
          <w:lang w:val="zh-CN"/>
        </w:rPr>
        <w:t>规划将妇女儿童主要健康指标列入规划，对全面加强妇幼卫生工作提出了明确要求。国务院正式印发了《</w:t>
      </w:r>
      <w:r>
        <w:rPr>
          <w:color w:val="auto"/>
          <w:sz w:val="28"/>
          <w:szCs w:val="28"/>
          <w:highlight w:val="none"/>
          <w:lang w:val="zh-CN"/>
        </w:rPr>
        <w:t>2011</w:t>
      </w:r>
      <w:r>
        <w:rPr>
          <w:rFonts w:hAnsi="宋体"/>
          <w:color w:val="auto"/>
          <w:sz w:val="28"/>
          <w:szCs w:val="28"/>
          <w:highlight w:val="none"/>
          <w:lang w:val="zh-CN"/>
        </w:rPr>
        <w:t>～</w:t>
      </w:r>
      <w:r>
        <w:rPr>
          <w:color w:val="auto"/>
          <w:sz w:val="28"/>
          <w:szCs w:val="28"/>
          <w:highlight w:val="none"/>
          <w:lang w:val="zh-CN"/>
        </w:rPr>
        <w:t>2020</w:t>
      </w:r>
      <w:r>
        <w:rPr>
          <w:rFonts w:hAnsi="宋体"/>
          <w:color w:val="auto"/>
          <w:sz w:val="28"/>
          <w:szCs w:val="28"/>
          <w:highlight w:val="none"/>
          <w:lang w:val="zh-CN"/>
        </w:rPr>
        <w:t>年中国妇女儿童发展纲要》，为未来</w:t>
      </w:r>
      <w:r>
        <w:rPr>
          <w:color w:val="auto"/>
          <w:sz w:val="28"/>
          <w:szCs w:val="28"/>
          <w:highlight w:val="none"/>
          <w:lang w:val="zh-CN"/>
        </w:rPr>
        <w:t>10</w:t>
      </w:r>
      <w:r>
        <w:rPr>
          <w:rFonts w:hAnsi="宋体"/>
          <w:color w:val="auto"/>
          <w:sz w:val="28"/>
          <w:szCs w:val="28"/>
          <w:highlight w:val="none"/>
          <w:lang w:val="zh-CN"/>
        </w:rPr>
        <w:t>年妇女儿童健康发展描绘了蓝图，也为妇幼卫生事业发展提供了强有力的政策保障。同时，外部环境的变化也为妇幼保健工作的进一步开展提出了诸多挑战。加强妇幼卫生工作，对于提高全民族的健康素质，促进经济发展和社会和谐具有重要意义。</w:t>
      </w:r>
    </w:p>
    <w:p w14:paraId="1ADFB1FA">
      <w:pPr>
        <w:widowControl/>
        <w:snapToGrid w:val="0"/>
        <w:spacing w:line="520" w:lineRule="exact"/>
        <w:ind w:firstLine="641"/>
        <w:rPr>
          <w:color w:val="auto"/>
          <w:sz w:val="28"/>
          <w:szCs w:val="28"/>
          <w:highlight w:val="none"/>
        </w:rPr>
      </w:pPr>
      <w:r>
        <w:rPr>
          <w:rFonts w:hAnsi="宋体"/>
          <w:color w:val="auto"/>
          <w:sz w:val="28"/>
          <w:szCs w:val="28"/>
          <w:highlight w:val="none"/>
        </w:rPr>
        <w:t>《新疆维吾尔自治区卫生事业</w:t>
      </w:r>
      <w:r>
        <w:rPr>
          <w:color w:val="auto"/>
          <w:sz w:val="28"/>
          <w:szCs w:val="28"/>
          <w:highlight w:val="none"/>
        </w:rPr>
        <w:t>“</w:t>
      </w:r>
      <w:r>
        <w:rPr>
          <w:rFonts w:hAnsi="宋体"/>
          <w:color w:val="auto"/>
          <w:sz w:val="28"/>
          <w:szCs w:val="28"/>
          <w:highlight w:val="none"/>
        </w:rPr>
        <w:t>十二五</w:t>
      </w:r>
      <w:r>
        <w:rPr>
          <w:color w:val="auto"/>
          <w:sz w:val="28"/>
          <w:szCs w:val="28"/>
          <w:highlight w:val="none"/>
        </w:rPr>
        <w:t>”</w:t>
      </w:r>
      <w:r>
        <w:rPr>
          <w:rFonts w:hAnsi="宋体"/>
          <w:color w:val="auto"/>
          <w:sz w:val="28"/>
          <w:szCs w:val="28"/>
          <w:highlight w:val="none"/>
        </w:rPr>
        <w:t>发展规划》提出：认真落实《中华人民共和国母婴保健法》，加强妇幼保健体系建设，健全妇幼卫生服务网络，提高妇幼卫生服务能力和水平，保证服务质量和效率，减少可避免的孕产妇和儿童死亡，加强新生儿疾病和妇女病的防治，全面提高妇女儿童健康水平。</w:t>
      </w:r>
    </w:p>
    <w:p w14:paraId="0AEA100C">
      <w:pPr>
        <w:rPr>
          <w:rFonts w:hint="eastAsia"/>
          <w:color w:val="auto"/>
          <w:highlight w:val="none"/>
          <w:lang w:val="en-US" w:eastAsia="zh-CN"/>
        </w:rPr>
      </w:pPr>
      <w:r>
        <w:rPr>
          <w:rFonts w:hint="eastAsia" w:hAnsi="宋体"/>
          <w:color w:val="auto"/>
          <w:sz w:val="28"/>
          <w:szCs w:val="28"/>
          <w:highlight w:val="none"/>
        </w:rPr>
        <w:t>阜康市妇幼保健计划生育服务中心</w:t>
      </w:r>
      <w:r>
        <w:rPr>
          <w:rFonts w:hAnsi="宋体"/>
          <w:color w:val="auto"/>
          <w:sz w:val="28"/>
          <w:szCs w:val="28"/>
          <w:highlight w:val="none"/>
        </w:rPr>
        <w:t>现有业务用房建于</w:t>
      </w:r>
      <w:r>
        <w:rPr>
          <w:color w:val="auto"/>
          <w:sz w:val="28"/>
          <w:szCs w:val="28"/>
          <w:highlight w:val="none"/>
        </w:rPr>
        <w:t>1996</w:t>
      </w:r>
      <w:r>
        <w:rPr>
          <w:rFonts w:hAnsi="宋体"/>
          <w:color w:val="auto"/>
          <w:sz w:val="28"/>
          <w:szCs w:val="28"/>
          <w:highlight w:val="none"/>
        </w:rPr>
        <w:t>年，建筑面积</w:t>
      </w:r>
      <w:r>
        <w:rPr>
          <w:color w:val="auto"/>
          <w:sz w:val="28"/>
          <w:szCs w:val="28"/>
          <w:highlight w:val="none"/>
        </w:rPr>
        <w:t>887.7m</w:t>
      </w:r>
      <w:r>
        <w:rPr>
          <w:color w:val="auto"/>
          <w:sz w:val="28"/>
          <w:szCs w:val="28"/>
          <w:highlight w:val="none"/>
          <w:vertAlign w:val="superscript"/>
        </w:rPr>
        <w:t>2</w:t>
      </w:r>
      <w:r>
        <w:rPr>
          <w:rFonts w:hAnsi="宋体"/>
          <w:color w:val="auto"/>
          <w:sz w:val="28"/>
          <w:szCs w:val="28"/>
          <w:highlight w:val="none"/>
        </w:rPr>
        <w:t>，</w:t>
      </w:r>
      <w:r>
        <w:rPr>
          <w:rFonts w:hint="eastAsia" w:hAnsi="宋体"/>
          <w:color w:val="auto"/>
          <w:sz w:val="28"/>
          <w:szCs w:val="28"/>
          <w:highlight w:val="none"/>
        </w:rPr>
        <w:t>阜康市妇幼保健计划生育服务中心</w:t>
      </w:r>
      <w:r>
        <w:rPr>
          <w:rFonts w:hAnsi="宋体"/>
          <w:color w:val="auto"/>
          <w:sz w:val="28"/>
          <w:szCs w:val="28"/>
          <w:highlight w:val="none"/>
        </w:rPr>
        <w:t>业务用房面积小、条件差，使</w:t>
      </w:r>
      <w:r>
        <w:rPr>
          <w:rFonts w:hint="eastAsia" w:hAnsi="宋体"/>
          <w:color w:val="auto"/>
          <w:sz w:val="28"/>
          <w:szCs w:val="28"/>
          <w:highlight w:val="none"/>
        </w:rPr>
        <w:t>阜康市妇幼保健计划生育服务中心</w:t>
      </w:r>
      <w:r>
        <w:rPr>
          <w:rFonts w:hAnsi="宋体"/>
          <w:color w:val="auto"/>
          <w:sz w:val="28"/>
          <w:szCs w:val="28"/>
          <w:highlight w:val="none"/>
        </w:rPr>
        <w:t>的发展受到了很大的限制，不能满足辖区妇幼保健的需求。</w:t>
      </w:r>
      <w:r>
        <w:rPr>
          <w:rFonts w:hint="eastAsia" w:hAnsi="宋体"/>
          <w:color w:val="auto"/>
          <w:sz w:val="28"/>
          <w:szCs w:val="28"/>
          <w:highlight w:val="none"/>
        </w:rPr>
        <w:t>阜康市妇幼保健计划生育服务中心</w:t>
      </w:r>
      <w:r>
        <w:rPr>
          <w:rFonts w:hAnsi="宋体"/>
          <w:color w:val="auto"/>
          <w:sz w:val="28"/>
          <w:szCs w:val="28"/>
          <w:highlight w:val="none"/>
        </w:rPr>
        <w:t>核定人员</w:t>
      </w:r>
      <w:r>
        <w:rPr>
          <w:color w:val="auto"/>
          <w:sz w:val="28"/>
          <w:szCs w:val="28"/>
          <w:highlight w:val="none"/>
        </w:rPr>
        <w:t>40</w:t>
      </w:r>
      <w:r>
        <w:rPr>
          <w:rFonts w:hAnsi="宋体"/>
          <w:color w:val="auto"/>
          <w:sz w:val="28"/>
          <w:szCs w:val="28"/>
          <w:highlight w:val="none"/>
        </w:rPr>
        <w:t>人，病床为</w:t>
      </w:r>
      <w:r>
        <w:rPr>
          <w:rFonts w:hint="eastAsia"/>
          <w:color w:val="auto"/>
          <w:sz w:val="28"/>
          <w:szCs w:val="28"/>
          <w:highlight w:val="none"/>
        </w:rPr>
        <w:t>40</w:t>
      </w:r>
      <w:r>
        <w:rPr>
          <w:rFonts w:hAnsi="宋体"/>
          <w:color w:val="auto"/>
          <w:sz w:val="28"/>
          <w:szCs w:val="28"/>
          <w:highlight w:val="none"/>
        </w:rPr>
        <w:t>张，</w:t>
      </w:r>
      <w:r>
        <w:rPr>
          <w:rFonts w:hAnsi="宋体"/>
          <w:color w:val="auto"/>
          <w:kern w:val="0"/>
          <w:sz w:val="28"/>
          <w:szCs w:val="28"/>
          <w:highlight w:val="none"/>
        </w:rPr>
        <w:t>根据《关于抓紧编报</w:t>
      </w:r>
      <w:r>
        <w:rPr>
          <w:color w:val="auto"/>
          <w:kern w:val="0"/>
          <w:sz w:val="28"/>
          <w:szCs w:val="28"/>
          <w:highlight w:val="none"/>
        </w:rPr>
        <w:t>“</w:t>
      </w:r>
      <w:r>
        <w:rPr>
          <w:rFonts w:hAnsi="宋体"/>
          <w:color w:val="auto"/>
          <w:kern w:val="0"/>
          <w:sz w:val="28"/>
          <w:szCs w:val="28"/>
          <w:highlight w:val="none"/>
        </w:rPr>
        <w:t>十三五</w:t>
      </w:r>
      <w:r>
        <w:rPr>
          <w:color w:val="auto"/>
          <w:kern w:val="0"/>
          <w:sz w:val="28"/>
          <w:szCs w:val="28"/>
          <w:highlight w:val="none"/>
        </w:rPr>
        <w:t>”</w:t>
      </w:r>
      <w:r>
        <w:rPr>
          <w:rFonts w:hAnsi="宋体"/>
          <w:color w:val="auto"/>
          <w:kern w:val="0"/>
          <w:sz w:val="28"/>
          <w:szCs w:val="28"/>
          <w:highlight w:val="none"/>
        </w:rPr>
        <w:t>医疗卫生领域建设项目储备库（第一批）的通知》要求，县级妇幼健康服务机构公共卫生业务用房按</w:t>
      </w:r>
      <w:r>
        <w:rPr>
          <w:color w:val="auto"/>
          <w:kern w:val="0"/>
          <w:sz w:val="28"/>
          <w:szCs w:val="28"/>
          <w:highlight w:val="none"/>
        </w:rPr>
        <w:t>70m2/</w:t>
      </w:r>
      <w:r>
        <w:rPr>
          <w:rFonts w:hAnsi="宋体"/>
          <w:color w:val="auto"/>
          <w:kern w:val="0"/>
          <w:sz w:val="28"/>
          <w:szCs w:val="28"/>
          <w:highlight w:val="none"/>
        </w:rPr>
        <w:t>人计算，设置床位的，医疗业务用房面积按照</w:t>
      </w:r>
      <w:r>
        <w:rPr>
          <w:color w:val="auto"/>
          <w:kern w:val="0"/>
          <w:sz w:val="28"/>
          <w:szCs w:val="28"/>
          <w:highlight w:val="none"/>
        </w:rPr>
        <w:t>200</w:t>
      </w:r>
      <w:r>
        <w:rPr>
          <w:rFonts w:hAnsi="宋体"/>
          <w:color w:val="auto"/>
          <w:kern w:val="0"/>
          <w:sz w:val="28"/>
          <w:szCs w:val="28"/>
          <w:highlight w:val="none"/>
        </w:rPr>
        <w:t>床及以下，每张床按</w:t>
      </w:r>
      <w:r>
        <w:rPr>
          <w:color w:val="auto"/>
          <w:kern w:val="0"/>
          <w:sz w:val="28"/>
          <w:szCs w:val="28"/>
          <w:highlight w:val="none"/>
        </w:rPr>
        <w:t>88m</w:t>
      </w:r>
      <w:r>
        <w:rPr>
          <w:color w:val="auto"/>
          <w:kern w:val="0"/>
          <w:sz w:val="28"/>
          <w:szCs w:val="28"/>
          <w:highlight w:val="none"/>
          <w:vertAlign w:val="superscript"/>
        </w:rPr>
        <w:t>2</w:t>
      </w:r>
      <w:r>
        <w:rPr>
          <w:rFonts w:hAnsi="宋体"/>
          <w:color w:val="auto"/>
          <w:kern w:val="0"/>
          <w:sz w:val="28"/>
          <w:szCs w:val="28"/>
          <w:highlight w:val="none"/>
        </w:rPr>
        <w:t>的标准另行增加建筑面积。阜康市妇幼保健站</w:t>
      </w:r>
      <w:r>
        <w:rPr>
          <w:rFonts w:hint="eastAsia" w:hAnsi="宋体"/>
          <w:color w:val="auto"/>
          <w:kern w:val="0"/>
          <w:sz w:val="28"/>
          <w:szCs w:val="28"/>
          <w:highlight w:val="none"/>
        </w:rPr>
        <w:t>现有</w:t>
      </w:r>
      <w:r>
        <w:rPr>
          <w:rFonts w:hAnsi="宋体"/>
          <w:color w:val="auto"/>
          <w:kern w:val="0"/>
          <w:sz w:val="28"/>
          <w:szCs w:val="28"/>
          <w:highlight w:val="none"/>
        </w:rPr>
        <w:t>业务用房面积远远达不到要求，</w:t>
      </w:r>
      <w:r>
        <w:rPr>
          <w:rFonts w:hAnsi="宋体"/>
          <w:color w:val="auto"/>
          <w:sz w:val="28"/>
          <w:szCs w:val="28"/>
          <w:highlight w:val="none"/>
        </w:rPr>
        <w:t>不能满足全市妇幼保健工作的需求；现有医疗用房面积狭小，布局不符合行业管理规范，存在很大的不安全隐患，影响了阜康市妇幼保健站各项业务工作的开展。根据</w:t>
      </w:r>
      <w:r>
        <w:rPr>
          <w:color w:val="auto"/>
          <w:sz w:val="28"/>
          <w:szCs w:val="28"/>
          <w:highlight w:val="none"/>
        </w:rPr>
        <w:t>“</w:t>
      </w:r>
      <w:r>
        <w:rPr>
          <w:rFonts w:hAnsi="宋体"/>
          <w:color w:val="auto"/>
          <w:sz w:val="28"/>
          <w:szCs w:val="28"/>
          <w:highlight w:val="none"/>
        </w:rPr>
        <w:t>两纲</w:t>
      </w:r>
      <w:r>
        <w:rPr>
          <w:color w:val="auto"/>
          <w:sz w:val="28"/>
          <w:szCs w:val="28"/>
          <w:highlight w:val="none"/>
        </w:rPr>
        <w:t>”</w:t>
      </w:r>
      <w:r>
        <w:rPr>
          <w:rFonts w:hAnsi="宋体"/>
          <w:color w:val="auto"/>
          <w:sz w:val="28"/>
          <w:szCs w:val="28"/>
          <w:highlight w:val="none"/>
        </w:rPr>
        <w:t>和卫生部《妇幼保健管理办法》的相关要求及阜康市妇女儿童的预防医疗保健服务的需求，阜康市妇幼保健站提出本项目建设申请。</w:t>
      </w:r>
    </w:p>
    <w:p w14:paraId="32522181">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5" w:name="_Toc2734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14:paraId="49264F28">
      <w:pPr>
        <w:spacing w:line="520" w:lineRule="exact"/>
        <w:ind w:firstLine="422" w:firstLineChars="150"/>
        <w:rPr>
          <w:rFonts w:hint="eastAsia" w:ascii="宋体" w:hAnsi="宋体" w:eastAsia="宋体" w:cs="宋体"/>
          <w:b w:val="0"/>
          <w:bCs w:val="0"/>
          <w:color w:val="auto"/>
          <w:kern w:val="2"/>
          <w:sz w:val="28"/>
          <w:szCs w:val="28"/>
          <w:highlight w:val="none"/>
          <w:shd w:val="clear" w:color="auto" w:fill="auto"/>
          <w:lang w:val="en-US" w:eastAsia="zh-CN" w:bidi="ar-SA"/>
        </w:rPr>
      </w:pPr>
      <w:bookmarkStart w:id="6" w:name="_Toc16592"/>
      <w:r>
        <w:rPr>
          <w:rFonts w:hint="eastAsia" w:hAnsi="宋体"/>
          <w:b/>
          <w:bCs/>
          <w:color w:val="auto"/>
          <w:sz w:val="28"/>
          <w:szCs w:val="28"/>
          <w:highlight w:val="none"/>
          <w:lang w:val="en-US" w:eastAsia="zh-CN"/>
        </w:rPr>
        <w:t>主要内容：</w:t>
      </w:r>
      <w:bookmarkEnd w:id="6"/>
      <w:r>
        <w:rPr>
          <w:rFonts w:hint="eastAsia" w:hAnsi="宋体"/>
          <w:color w:val="auto"/>
          <w:sz w:val="28"/>
          <w:szCs w:val="28"/>
          <w:highlight w:val="none"/>
        </w:rPr>
        <w:t>新建阜康市妇幼保健计划生育服务中心业务用房，</w:t>
      </w:r>
      <w:r>
        <w:rPr>
          <w:rFonts w:hAnsi="宋体"/>
          <w:color w:val="auto"/>
          <w:sz w:val="28"/>
          <w:szCs w:val="28"/>
          <w:highlight w:val="none"/>
        </w:rPr>
        <w:t>建筑面积</w:t>
      </w:r>
      <w:r>
        <w:rPr>
          <w:rFonts w:hint="eastAsia" w:hAnsi="宋体"/>
          <w:color w:val="auto"/>
          <w:sz w:val="28"/>
          <w:szCs w:val="28"/>
          <w:highlight w:val="none"/>
        </w:rPr>
        <w:t>6000</w:t>
      </w:r>
      <w:r>
        <w:rPr>
          <w:rFonts w:hAnsi="宋体"/>
          <w:color w:val="auto"/>
          <w:sz w:val="28"/>
          <w:szCs w:val="28"/>
          <w:highlight w:val="none"/>
        </w:rPr>
        <w:t>平方米</w:t>
      </w:r>
      <w:r>
        <w:rPr>
          <w:rFonts w:hint="eastAsia" w:hAnsi="宋体"/>
          <w:color w:val="auto"/>
          <w:sz w:val="28"/>
          <w:szCs w:val="28"/>
          <w:highlight w:val="none"/>
        </w:rPr>
        <w:t>，框架结构，地下一层，地上六层。主要建设保健用房、医技用房、辅助用房和行政用房，并完善相关配套设施。</w:t>
      </w:r>
    </w:p>
    <w:p w14:paraId="6E425A32">
      <w:pPr>
        <w:spacing w:line="480" w:lineRule="exact"/>
        <w:ind w:firstLine="562" w:firstLineChars="200"/>
        <w:rPr>
          <w:rFonts w:hint="eastAsia"/>
          <w:color w:val="auto"/>
          <w:sz w:val="28"/>
          <w:szCs w:val="28"/>
          <w:highlight w:val="none"/>
        </w:rPr>
      </w:pPr>
      <w:r>
        <w:rPr>
          <w:rFonts w:hint="eastAsia" w:cs="宋体"/>
          <w:b/>
          <w:bCs/>
          <w:color w:val="auto"/>
          <w:highlight w:val="none"/>
          <w:shd w:val="clear" w:color="auto" w:fill="auto"/>
          <w:lang w:val="en-US" w:eastAsia="zh-CN"/>
        </w:rPr>
        <w:t>组织实施</w:t>
      </w:r>
      <w:r>
        <w:rPr>
          <w:rFonts w:hint="eastAsia" w:ascii="宋体" w:hAnsi="宋体" w:eastAsia="宋体" w:cs="宋体"/>
          <w:b/>
          <w:bCs/>
          <w:color w:val="auto"/>
          <w:highlight w:val="none"/>
          <w:shd w:val="clear" w:color="auto" w:fill="auto"/>
          <w:lang w:val="en-US" w:eastAsia="zh-CN"/>
        </w:rPr>
        <w:t>：</w:t>
      </w:r>
      <w:r>
        <w:rPr>
          <w:rFonts w:hint="eastAsia"/>
          <w:color w:val="auto"/>
          <w:sz w:val="28"/>
          <w:szCs w:val="28"/>
          <w:highlight w:val="none"/>
        </w:rPr>
        <w:t>本项目</w:t>
      </w:r>
      <w:r>
        <w:rPr>
          <w:rFonts w:hint="eastAsia"/>
          <w:color w:val="auto"/>
          <w:sz w:val="28"/>
          <w:szCs w:val="28"/>
          <w:highlight w:val="none"/>
          <w:lang w:eastAsia="zh-CN"/>
        </w:rPr>
        <w:t>自</w:t>
      </w:r>
      <w:r>
        <w:rPr>
          <w:rFonts w:hint="eastAsia"/>
          <w:color w:val="auto"/>
          <w:sz w:val="28"/>
          <w:szCs w:val="28"/>
          <w:highlight w:val="none"/>
          <w:lang w:val="en-US" w:eastAsia="zh-CN"/>
        </w:rPr>
        <w:t>2018年3月15日经发改委文件批复，</w:t>
      </w:r>
      <w:r>
        <w:rPr>
          <w:rFonts w:hint="eastAsia"/>
          <w:color w:val="auto"/>
          <w:sz w:val="28"/>
          <w:szCs w:val="28"/>
          <w:highlight w:val="none"/>
        </w:rPr>
        <w:t>建设期为二年，整个工程分以下三个阶段来实施。</w:t>
      </w:r>
    </w:p>
    <w:p w14:paraId="540D6442">
      <w:pPr>
        <w:spacing w:line="480" w:lineRule="exact"/>
        <w:ind w:firstLine="560" w:firstLineChars="200"/>
        <w:rPr>
          <w:rFonts w:hint="eastAsia"/>
          <w:color w:val="auto"/>
          <w:sz w:val="28"/>
          <w:szCs w:val="28"/>
          <w:highlight w:val="none"/>
        </w:rPr>
      </w:pPr>
      <w:r>
        <w:rPr>
          <w:rFonts w:hint="eastAsia"/>
          <w:color w:val="auto"/>
          <w:sz w:val="28"/>
          <w:szCs w:val="28"/>
          <w:highlight w:val="none"/>
        </w:rPr>
        <w:t>第一阶段：项目前期工作，主要完成以下工作任务：</w:t>
      </w:r>
    </w:p>
    <w:p w14:paraId="314BC8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olor w:val="auto"/>
          <w:sz w:val="28"/>
          <w:szCs w:val="28"/>
          <w:highlight w:val="none"/>
        </w:rPr>
        <w:t>1、成立“阜康市妇幼保健计划生育服务中心项目建设领导小组”，对项目的全过程进行领导。</w:t>
      </w:r>
      <w:r>
        <w:rPr>
          <w:rFonts w:hint="eastAsia" w:ascii="宋体" w:hAnsi="宋体" w:eastAsia="宋体" w:cs="宋体"/>
          <w:color w:val="auto"/>
          <w:highlight w:val="none"/>
          <w:shd w:val="clear" w:color="auto" w:fill="auto"/>
          <w:lang w:val="en-US" w:eastAsia="zh-CN"/>
        </w:rPr>
        <w:t>组长为</w:t>
      </w:r>
      <w:r>
        <w:rPr>
          <w:rFonts w:hint="eastAsia" w:cs="宋体"/>
          <w:color w:val="auto"/>
          <w:highlight w:val="none"/>
          <w:shd w:val="clear" w:color="auto" w:fill="auto"/>
          <w:lang w:val="en-US" w:eastAsia="zh-CN"/>
        </w:rPr>
        <w:t>卢红梅</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严新萍</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项目负责人为雒晓萌,</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杨蕊、温静、那孜拉、吴幸玲</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温静</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那孜拉</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杨蕊负责物资采购，吴幸玲</w:t>
      </w:r>
      <w:r>
        <w:rPr>
          <w:rFonts w:hint="eastAsia" w:ascii="宋体" w:hAnsi="宋体" w:eastAsia="宋体" w:cs="宋体"/>
          <w:color w:val="auto"/>
          <w:highlight w:val="none"/>
          <w:shd w:val="clear" w:color="auto" w:fill="auto"/>
          <w:lang w:val="en-US" w:eastAsia="zh-CN"/>
        </w:rPr>
        <w:t>负责资金拨付工作。</w:t>
      </w:r>
    </w:p>
    <w:p w14:paraId="7EF0A602">
      <w:pPr>
        <w:spacing w:line="480" w:lineRule="exact"/>
        <w:ind w:firstLine="560" w:firstLineChars="200"/>
        <w:rPr>
          <w:rFonts w:hint="eastAsia"/>
          <w:color w:val="auto"/>
          <w:sz w:val="28"/>
          <w:szCs w:val="28"/>
          <w:highlight w:val="none"/>
        </w:rPr>
      </w:pPr>
      <w:r>
        <w:rPr>
          <w:rFonts w:hint="eastAsia"/>
          <w:color w:val="auto"/>
          <w:sz w:val="28"/>
          <w:szCs w:val="28"/>
          <w:highlight w:val="none"/>
        </w:rPr>
        <w:t>2、编写、报批项目可行性研究报告与施工图设计。</w:t>
      </w:r>
    </w:p>
    <w:p w14:paraId="11EDD92E">
      <w:pPr>
        <w:spacing w:line="480" w:lineRule="exact"/>
        <w:ind w:firstLine="560" w:firstLineChars="200"/>
        <w:rPr>
          <w:rFonts w:hint="eastAsia"/>
          <w:color w:val="auto"/>
          <w:sz w:val="28"/>
          <w:szCs w:val="28"/>
          <w:highlight w:val="none"/>
        </w:rPr>
      </w:pPr>
      <w:r>
        <w:rPr>
          <w:rFonts w:hint="eastAsia"/>
          <w:color w:val="auto"/>
          <w:sz w:val="28"/>
          <w:szCs w:val="28"/>
          <w:highlight w:val="none"/>
        </w:rPr>
        <w:t>3、筹措、落实资金和相-关施工文件，做好项目建设招投标，落实施工队伍等一切前期准备工作。</w:t>
      </w:r>
    </w:p>
    <w:p w14:paraId="3496F5C3">
      <w:pPr>
        <w:spacing w:line="480" w:lineRule="exact"/>
        <w:ind w:firstLine="560" w:firstLineChars="200"/>
        <w:rPr>
          <w:rFonts w:hint="eastAsia"/>
          <w:color w:val="auto"/>
          <w:sz w:val="28"/>
          <w:szCs w:val="28"/>
          <w:highlight w:val="none"/>
        </w:rPr>
      </w:pPr>
      <w:r>
        <w:rPr>
          <w:rFonts w:hint="eastAsia"/>
          <w:color w:val="auto"/>
          <w:sz w:val="28"/>
          <w:szCs w:val="28"/>
          <w:highlight w:val="none"/>
        </w:rPr>
        <w:t>第二阶段：项目工程建设期。在本阶段将完成项目的土建施工、建筑内外装修和室外附属工程。</w:t>
      </w:r>
    </w:p>
    <w:p w14:paraId="14A68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olor w:val="auto"/>
          <w:sz w:val="28"/>
          <w:szCs w:val="28"/>
          <w:highlight w:val="none"/>
        </w:rPr>
        <w:t>第三阶段：项目验收期。</w:t>
      </w:r>
      <w:r>
        <w:rPr>
          <w:rFonts w:hint="eastAsia" w:cs="宋体"/>
          <w:b w:val="0"/>
          <w:bCs w:val="0"/>
          <w:color w:val="auto"/>
          <w:kern w:val="2"/>
          <w:sz w:val="28"/>
          <w:szCs w:val="28"/>
          <w:highlight w:val="none"/>
          <w:shd w:val="clear" w:color="auto" w:fill="auto"/>
          <w:lang w:val="en-US" w:eastAsia="zh-CN" w:bidi="ar-SA"/>
        </w:rPr>
        <w:t>我单位根据各级要求</w:t>
      </w:r>
      <w:r>
        <w:rPr>
          <w:rFonts w:hint="eastAsia" w:ascii="宋体" w:hAnsi="宋体" w:eastAsia="宋体" w:cs="宋体"/>
          <w:color w:val="auto"/>
          <w:highlight w:val="none"/>
          <w:shd w:val="clear" w:color="auto" w:fill="auto"/>
          <w:lang w:val="en-US" w:eastAsia="zh-CN"/>
        </w:rPr>
        <w:t>确定项目领导小组，明确责任分工：组长为</w:t>
      </w:r>
      <w:r>
        <w:rPr>
          <w:rFonts w:hint="eastAsia" w:cs="宋体"/>
          <w:color w:val="auto"/>
          <w:highlight w:val="none"/>
          <w:shd w:val="clear" w:color="auto" w:fill="auto"/>
          <w:lang w:val="en-US" w:eastAsia="zh-CN"/>
        </w:rPr>
        <w:t>卢红梅</w:t>
      </w:r>
      <w:r>
        <w:rPr>
          <w:rFonts w:hint="eastAsia" w:ascii="宋体" w:hAnsi="宋体" w:eastAsia="宋体" w:cs="宋体"/>
          <w:color w:val="auto"/>
          <w:highlight w:val="none"/>
          <w:shd w:val="clear" w:color="auto" w:fill="auto"/>
          <w:lang w:val="en-US" w:eastAsia="zh-CN"/>
        </w:rPr>
        <w:t>，副组长为</w:t>
      </w:r>
      <w:r>
        <w:rPr>
          <w:rFonts w:hint="eastAsia" w:cs="宋体"/>
          <w:color w:val="auto"/>
          <w:highlight w:val="none"/>
          <w:shd w:val="clear" w:color="auto" w:fill="auto"/>
          <w:lang w:val="en-US" w:eastAsia="zh-CN"/>
        </w:rPr>
        <w:t>严新萍</w:t>
      </w:r>
      <w:r>
        <w:rPr>
          <w:rFonts w:hint="eastAsia" w:ascii="宋体" w:hAnsi="宋体" w:eastAsia="宋体" w:cs="宋体"/>
          <w:color w:val="auto"/>
          <w:highlight w:val="none"/>
          <w:shd w:val="clear" w:color="auto" w:fill="auto"/>
          <w:lang w:val="en-US" w:eastAsia="zh-CN"/>
        </w:rPr>
        <w:t>，</w:t>
      </w:r>
      <w:r>
        <w:rPr>
          <w:rFonts w:hint="eastAsia" w:cs="宋体"/>
          <w:color w:val="auto"/>
          <w:highlight w:val="none"/>
          <w:shd w:val="clear" w:color="auto" w:fill="auto"/>
          <w:lang w:val="en-US" w:eastAsia="zh-CN"/>
        </w:rPr>
        <w:t>项目负责人为雒晓萌,</w:t>
      </w:r>
      <w:r>
        <w:rPr>
          <w:rFonts w:hint="eastAsia" w:ascii="宋体" w:hAnsi="宋体" w:eastAsia="宋体" w:cs="宋体"/>
          <w:color w:val="auto"/>
          <w:highlight w:val="none"/>
          <w:shd w:val="clear" w:color="auto" w:fill="auto"/>
          <w:lang w:val="en-US" w:eastAsia="zh-CN"/>
        </w:rPr>
        <w:t>组员为</w:t>
      </w:r>
      <w:r>
        <w:rPr>
          <w:rFonts w:hint="eastAsia" w:cs="宋体"/>
          <w:color w:val="auto"/>
          <w:highlight w:val="none"/>
          <w:shd w:val="clear" w:color="auto" w:fill="auto"/>
          <w:lang w:val="en-US" w:eastAsia="zh-CN"/>
        </w:rPr>
        <w:t>杨蕊、温静、那孜拉、吴幸玲</w:t>
      </w:r>
      <w:r>
        <w:rPr>
          <w:rFonts w:hint="eastAsia" w:ascii="宋体" w:hAnsi="宋体" w:eastAsia="宋体" w:cs="宋体"/>
          <w:color w:val="auto"/>
          <w:highlight w:val="none"/>
          <w:shd w:val="clear" w:color="auto" w:fill="auto"/>
          <w:lang w:val="en-US" w:eastAsia="zh-CN"/>
        </w:rPr>
        <w:t>，其中：</w:t>
      </w:r>
      <w:r>
        <w:rPr>
          <w:rFonts w:hint="eastAsia" w:cs="宋体"/>
          <w:color w:val="auto"/>
          <w:highlight w:val="none"/>
          <w:shd w:val="clear" w:color="auto" w:fill="auto"/>
          <w:lang w:val="en-US" w:eastAsia="zh-CN"/>
        </w:rPr>
        <w:t>温静</w:t>
      </w:r>
      <w:r>
        <w:rPr>
          <w:rFonts w:hint="eastAsia" w:ascii="宋体" w:hAnsi="宋体" w:eastAsia="宋体" w:cs="宋体"/>
          <w:color w:val="auto"/>
          <w:highlight w:val="none"/>
          <w:shd w:val="clear" w:color="auto" w:fill="auto"/>
          <w:lang w:val="en-US" w:eastAsia="zh-CN"/>
        </w:rPr>
        <w:t>负责监管工作，</w:t>
      </w:r>
      <w:r>
        <w:rPr>
          <w:rFonts w:hint="eastAsia" w:cs="宋体"/>
          <w:color w:val="auto"/>
          <w:highlight w:val="none"/>
          <w:shd w:val="clear" w:color="auto" w:fill="auto"/>
          <w:lang w:val="en-US" w:eastAsia="zh-CN"/>
        </w:rPr>
        <w:t>那孜拉</w:t>
      </w:r>
      <w:r>
        <w:rPr>
          <w:rFonts w:hint="eastAsia" w:ascii="宋体" w:hAnsi="宋体" w:eastAsia="宋体" w:cs="宋体"/>
          <w:color w:val="auto"/>
          <w:highlight w:val="none"/>
          <w:shd w:val="clear" w:color="auto" w:fill="auto"/>
          <w:lang w:val="en-US" w:eastAsia="zh-CN"/>
        </w:rPr>
        <w:t>负责项目档案资料，</w:t>
      </w:r>
      <w:r>
        <w:rPr>
          <w:rFonts w:hint="eastAsia" w:cs="宋体"/>
          <w:color w:val="auto"/>
          <w:highlight w:val="none"/>
          <w:shd w:val="clear" w:color="auto" w:fill="auto"/>
          <w:lang w:val="en-US" w:eastAsia="zh-CN"/>
        </w:rPr>
        <w:t>杨蕊负责物资采购，吴幸玲</w:t>
      </w:r>
      <w:r>
        <w:rPr>
          <w:rFonts w:hint="eastAsia" w:ascii="宋体" w:hAnsi="宋体" w:eastAsia="宋体" w:cs="宋体"/>
          <w:color w:val="auto"/>
          <w:highlight w:val="none"/>
          <w:shd w:val="clear" w:color="auto" w:fill="auto"/>
          <w:lang w:val="en-US" w:eastAsia="zh-CN"/>
        </w:rPr>
        <w:t>负责资金拨付工作。</w:t>
      </w:r>
    </w:p>
    <w:p w14:paraId="176B2CE9">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7" w:name="_Toc1858"/>
      <w:r>
        <w:rPr>
          <w:rFonts w:hint="eastAsia" w:ascii="宋体" w:hAnsi="宋体" w:eastAsia="宋体" w:cs="宋体"/>
          <w:color w:val="auto"/>
          <w:highlight w:val="none"/>
          <w:shd w:val="clear" w:color="auto" w:fill="auto"/>
          <w:lang w:val="en-US" w:eastAsia="zh-CN"/>
        </w:rPr>
        <w:t>3.资金投入和使用情况</w:t>
      </w:r>
      <w:bookmarkEnd w:id="7"/>
    </w:p>
    <w:p w14:paraId="43ED9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项目资金安排落实、总投入等情况分析</w:t>
      </w:r>
    </w:p>
    <w:p w14:paraId="06E37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项目预算安排总额为</w:t>
      </w:r>
      <w:r>
        <w:rPr>
          <w:rFonts w:hint="eastAsia" w:cs="宋体"/>
          <w:color w:val="auto"/>
          <w:highlight w:val="none"/>
          <w:shd w:val="clear" w:color="auto" w:fill="auto"/>
          <w:lang w:val="en-US" w:eastAsia="zh-CN"/>
        </w:rPr>
        <w:t>131.38</w:t>
      </w:r>
      <w:r>
        <w:rPr>
          <w:rFonts w:hint="eastAsia" w:ascii="宋体" w:hAnsi="宋体" w:eastAsia="宋体" w:cs="宋体"/>
          <w:color w:val="auto"/>
          <w:highlight w:val="none"/>
          <w:shd w:val="clear" w:color="auto" w:fill="auto"/>
          <w:lang w:val="en-US" w:eastAsia="zh-CN"/>
        </w:rPr>
        <w:t>万元，其中财政资</w:t>
      </w:r>
      <w:r>
        <w:rPr>
          <w:rFonts w:hint="eastAsia" w:cs="宋体"/>
          <w:color w:val="auto"/>
          <w:highlight w:val="none"/>
          <w:shd w:val="clear" w:color="auto" w:fill="auto"/>
          <w:lang w:val="en-US" w:eastAsia="zh-CN"/>
        </w:rPr>
        <w:t>金131.38</w:t>
      </w:r>
      <w:r>
        <w:rPr>
          <w:rFonts w:hint="eastAsia" w:ascii="宋体" w:hAnsi="宋体" w:eastAsia="宋体" w:cs="宋体"/>
          <w:color w:val="auto"/>
          <w:highlight w:val="none"/>
          <w:shd w:val="clear" w:color="auto" w:fill="auto"/>
          <w:lang w:val="en-US" w:eastAsia="zh-CN"/>
        </w:rPr>
        <w:t>万元，其他资金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年实际收到预算资金</w:t>
      </w:r>
      <w:r>
        <w:rPr>
          <w:rFonts w:hint="eastAsia" w:cs="宋体"/>
          <w:color w:val="auto"/>
          <w:highlight w:val="none"/>
          <w:shd w:val="clear" w:color="auto" w:fill="auto"/>
          <w:lang w:val="en-US" w:eastAsia="zh-CN"/>
        </w:rPr>
        <w:t>131.38</w:t>
      </w:r>
      <w:r>
        <w:rPr>
          <w:rFonts w:hint="eastAsia" w:ascii="宋体" w:hAnsi="宋体" w:eastAsia="宋体" w:cs="宋体"/>
          <w:color w:val="auto"/>
          <w:highlight w:val="none"/>
          <w:shd w:val="clear" w:color="auto" w:fill="auto"/>
          <w:lang w:val="en-US" w:eastAsia="zh-CN"/>
        </w:rPr>
        <w:t>万元，预算资金到位率为</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en-US" w:eastAsia="zh-CN"/>
        </w:rPr>
        <w:t>%。</w:t>
      </w:r>
    </w:p>
    <w:p w14:paraId="23D1D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bCs/>
          <w:color w:val="auto"/>
          <w:spacing w:val="-4"/>
          <w:highlight w:val="none"/>
          <w:shd w:val="clear" w:color="auto" w:fill="auto"/>
        </w:rPr>
      </w:pP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lang w:val="en-US" w:eastAsia="zh-CN"/>
        </w:rPr>
        <w:t>2</w:t>
      </w:r>
      <w:r>
        <w:rPr>
          <w:rFonts w:hint="eastAsia" w:ascii="宋体" w:hAnsi="宋体" w:eastAsia="宋体" w:cs="宋体"/>
          <w:bCs/>
          <w:color w:val="auto"/>
          <w:spacing w:val="-4"/>
          <w:highlight w:val="none"/>
          <w:shd w:val="clear" w:color="auto" w:fill="auto"/>
          <w:lang w:eastAsia="zh-CN"/>
        </w:rPr>
        <w:t>）</w:t>
      </w:r>
      <w:r>
        <w:rPr>
          <w:rFonts w:hint="eastAsia" w:ascii="宋体" w:hAnsi="宋体" w:eastAsia="宋体" w:cs="宋体"/>
          <w:bCs/>
          <w:color w:val="auto"/>
          <w:spacing w:val="-4"/>
          <w:highlight w:val="none"/>
          <w:shd w:val="clear" w:color="auto" w:fill="auto"/>
        </w:rPr>
        <w:t>项目资金实际使用情况分析</w:t>
      </w:r>
    </w:p>
    <w:p w14:paraId="35471F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截至2023年12月31日，原人民医院内科楼改造项目</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rPr>
        <w:t>实际支付资金</w:t>
      </w:r>
      <w:r>
        <w:rPr>
          <w:rFonts w:hint="eastAsia" w:cs="宋体"/>
          <w:color w:val="auto"/>
          <w:highlight w:val="none"/>
          <w:shd w:val="clear" w:color="auto" w:fill="auto"/>
          <w:lang w:val="en-US" w:eastAsia="zh-CN"/>
        </w:rPr>
        <w:t>131.38</w:t>
      </w:r>
      <w:r>
        <w:rPr>
          <w:rFonts w:hint="eastAsia" w:ascii="宋体" w:hAnsi="宋体" w:eastAsia="宋体" w:cs="宋体"/>
          <w:color w:val="auto"/>
          <w:highlight w:val="none"/>
          <w:shd w:val="clear" w:color="auto" w:fill="auto"/>
        </w:rPr>
        <w:t>万元，预算执行率</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结</w:t>
      </w:r>
      <w:r>
        <w:rPr>
          <w:rFonts w:hint="eastAsia" w:cs="宋体"/>
          <w:color w:val="auto"/>
          <w:highlight w:val="none"/>
          <w:shd w:val="clear" w:color="auto" w:fill="auto"/>
          <w:lang w:val="en-US" w:eastAsia="zh-CN"/>
        </w:rPr>
        <w:t>转</w:t>
      </w:r>
      <w:r>
        <w:rPr>
          <w:rFonts w:hint="eastAsia" w:ascii="宋体" w:hAnsi="宋体" w:eastAsia="宋体" w:cs="宋体"/>
          <w:color w:val="auto"/>
          <w:highlight w:val="none"/>
          <w:shd w:val="clear" w:color="auto" w:fill="auto"/>
          <w:lang w:eastAsia="zh-CN"/>
        </w:rPr>
        <w:t>结余资金</w:t>
      </w:r>
      <w:r>
        <w:rPr>
          <w:rFonts w:hint="eastAsia" w:cs="宋体"/>
          <w:color w:val="auto"/>
          <w:highlight w:val="none"/>
          <w:shd w:val="clear" w:color="auto" w:fill="auto"/>
          <w:lang w:val="en-US" w:eastAsia="zh-CN"/>
        </w:rPr>
        <w:t>0</w:t>
      </w:r>
      <w:r>
        <w:rPr>
          <w:rFonts w:hint="eastAsia" w:ascii="宋体" w:hAnsi="宋体" w:eastAsia="宋体" w:cs="宋体"/>
          <w:color w:val="auto"/>
          <w:highlight w:val="none"/>
          <w:shd w:val="clear" w:color="auto" w:fill="auto"/>
          <w:lang w:val="en-US" w:eastAsia="zh-CN"/>
        </w:rPr>
        <w:t>万元，已上缴国库。</w:t>
      </w:r>
      <w:r>
        <w:rPr>
          <w:rFonts w:hint="eastAsia" w:ascii="宋体" w:hAnsi="宋体" w:eastAsia="宋体" w:cs="宋体"/>
          <w:color w:val="auto"/>
          <w:highlight w:val="none"/>
          <w:shd w:val="clear" w:color="auto" w:fill="auto"/>
        </w:rPr>
        <w:t>项目资金主要用于</w:t>
      </w:r>
      <w:r>
        <w:rPr>
          <w:rFonts w:hint="eastAsia" w:cs="宋体"/>
          <w:color w:val="auto"/>
          <w:highlight w:val="none"/>
          <w:shd w:val="clear" w:color="auto" w:fill="auto"/>
          <w:lang w:val="en-US" w:eastAsia="zh-CN"/>
        </w:rPr>
        <w:t>项目工程款等方面，达到了促进妇幼保健服务业务的发展，提高了妇女儿童健康水平的效益。</w:t>
      </w:r>
    </w:p>
    <w:p w14:paraId="05D484E4">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highlight w:val="none"/>
          <w:shd w:val="clear" w:color="auto" w:fill="auto"/>
        </w:rPr>
      </w:pPr>
      <w:bookmarkStart w:id="8" w:name="_Toc2879"/>
      <w:r>
        <w:rPr>
          <w:rFonts w:hint="eastAsia" w:ascii="宋体" w:hAnsi="宋体" w:eastAsia="宋体" w:cs="宋体"/>
          <w:color w:val="auto"/>
          <w:highlight w:val="none"/>
          <w:shd w:val="clear" w:color="auto" w:fill="auto"/>
        </w:rPr>
        <w:t>项目绩效目标</w:t>
      </w:r>
      <w:bookmarkEnd w:id="8"/>
    </w:p>
    <w:p w14:paraId="21C10F62">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9" w:name="_Toc10047"/>
      <w:r>
        <w:rPr>
          <w:rFonts w:hint="eastAsia" w:ascii="宋体" w:hAnsi="宋体" w:eastAsia="宋体" w:cs="宋体"/>
          <w:color w:val="auto"/>
          <w:highlight w:val="none"/>
          <w:shd w:val="clear" w:color="auto" w:fill="auto"/>
          <w:lang w:val="en-US" w:eastAsia="zh-CN"/>
        </w:rPr>
        <w:t>1.总体目标</w:t>
      </w:r>
      <w:bookmarkEnd w:id="9"/>
    </w:p>
    <w:p w14:paraId="64931B4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w:t>
      </w:r>
      <w:r>
        <w:rPr>
          <w:rFonts w:hint="eastAsia" w:cs="宋体"/>
          <w:color w:val="auto"/>
          <w:highlight w:val="none"/>
          <w:shd w:val="clear" w:color="auto" w:fill="auto"/>
          <w:lang w:val="en-US" w:eastAsia="zh-CN"/>
        </w:rPr>
        <w:t>绩效总体目标为：2023年完成原市医院内科楼9025.25平方米室内装饰装修、地面、电气、排水、消防等改造工程，工程质量合格率100%，为保证阜康市妇幼保健服务中心顺利搬迁，有效促进妇幼保健服务业务的发展，提高妇女儿童健康水平。</w:t>
      </w:r>
    </w:p>
    <w:p w14:paraId="27175687">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0" w:name="_Toc4487"/>
      <w:r>
        <w:rPr>
          <w:rFonts w:hint="eastAsia" w:ascii="宋体" w:hAnsi="宋体" w:eastAsia="宋体" w:cs="宋体"/>
          <w:color w:val="auto"/>
          <w:highlight w:val="none"/>
          <w:shd w:val="clear" w:color="auto" w:fill="auto"/>
          <w:lang w:val="en-US" w:eastAsia="zh-CN"/>
        </w:rPr>
        <w:t>2.阶段性目标</w:t>
      </w:r>
      <w:bookmarkEnd w:id="10"/>
    </w:p>
    <w:p w14:paraId="4FF191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14:paraId="71B2C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14:paraId="6901DC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14:paraId="74FDC6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改造面积</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为=9025.25平方米；</w:t>
      </w:r>
    </w:p>
    <w:p w14:paraId="2F41A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改造层数</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为'=6层；</w:t>
      </w:r>
    </w:p>
    <w:p w14:paraId="5680F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14:paraId="4460B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工程质量合格率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 ；</w:t>
      </w:r>
    </w:p>
    <w:p w14:paraId="21C6CA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w:t>
      </w:r>
      <w:r>
        <w:rPr>
          <w:rFonts w:hint="eastAsia" w:ascii="宋体" w:hAnsi="宋体" w:eastAsia="宋体" w:cs="宋体"/>
          <w:color w:val="auto"/>
          <w:highlight w:val="none"/>
          <w:shd w:val="clear" w:color="auto" w:fill="auto"/>
          <w:lang w:val="en-US" w:eastAsia="zh-CN"/>
        </w:rPr>
        <w:t>指标</w:t>
      </w:r>
    </w:p>
    <w:p w14:paraId="11D7F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开工时间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2019年5月</w:t>
      </w:r>
      <w:r>
        <w:rPr>
          <w:rFonts w:hint="eastAsia" w:ascii="宋体" w:hAnsi="宋体" w:eastAsia="宋体" w:cs="宋体"/>
          <w:color w:val="auto"/>
          <w:highlight w:val="none"/>
          <w:shd w:val="clear" w:color="auto" w:fill="auto"/>
          <w:lang w:val="en-US" w:eastAsia="zh-CN"/>
        </w:rPr>
        <w:t>；</w:t>
      </w:r>
    </w:p>
    <w:p w14:paraId="424896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完工时间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为20</w:t>
      </w:r>
      <w:r>
        <w:rPr>
          <w:rFonts w:hint="eastAsia" w:cs="宋体"/>
          <w:color w:val="auto"/>
          <w:highlight w:val="none"/>
          <w:shd w:val="clear" w:color="auto" w:fill="auto"/>
          <w:lang w:val="en-US" w:eastAsia="zh-CN"/>
        </w:rPr>
        <w:t>19年10月</w:t>
      </w:r>
      <w:r>
        <w:rPr>
          <w:rFonts w:hint="eastAsia" w:ascii="宋体" w:hAnsi="宋体" w:eastAsia="宋体" w:cs="宋体"/>
          <w:color w:val="auto"/>
          <w:highlight w:val="none"/>
          <w:shd w:val="clear" w:color="auto" w:fill="auto"/>
          <w:lang w:val="en-US" w:eastAsia="zh-CN"/>
        </w:rPr>
        <w:t>；</w:t>
      </w:r>
    </w:p>
    <w:p w14:paraId="045B9C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（2）项目</w:t>
      </w:r>
      <w:r>
        <w:rPr>
          <w:rFonts w:hint="eastAsia" w:ascii="宋体" w:hAnsi="宋体" w:eastAsia="宋体" w:cs="宋体"/>
          <w:color w:val="auto"/>
          <w:highlight w:val="none"/>
          <w:shd w:val="clear" w:color="auto" w:fill="auto"/>
          <w:lang w:val="en-US" w:eastAsia="zh-CN"/>
        </w:rPr>
        <w:t>成本指标</w:t>
      </w:r>
    </w:p>
    <w:p w14:paraId="406408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①经济成本指标</w:t>
      </w:r>
    </w:p>
    <w:p w14:paraId="62090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项目总成本（万元）</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≤131.38</w:t>
      </w:r>
      <w:r>
        <w:rPr>
          <w:rFonts w:hint="eastAsia" w:ascii="宋体" w:hAnsi="宋体" w:eastAsia="宋体" w:cs="宋体"/>
          <w:color w:val="auto"/>
          <w:highlight w:val="none"/>
          <w:shd w:val="clear" w:color="auto" w:fill="auto"/>
          <w:lang w:val="en-US" w:eastAsia="zh-CN"/>
        </w:rPr>
        <w:t>万元；</w:t>
      </w:r>
    </w:p>
    <w:p w14:paraId="11391DFE">
      <w:pPr>
        <w:pStyle w:val="2"/>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②社会成本指标</w:t>
      </w:r>
    </w:p>
    <w:p w14:paraId="4F21F506">
      <w:pPr>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s="宋体"/>
          <w:color w:val="auto"/>
          <w:highlight w:val="none"/>
          <w:shd w:val="clear" w:color="auto" w:fill="auto"/>
          <w:lang w:val="en-US" w:eastAsia="zh-CN"/>
        </w:rPr>
        <w:t>（本项目不涉及社会成本指标）</w:t>
      </w:r>
      <w:r>
        <w:rPr>
          <w:rFonts w:hint="eastAsia" w:ascii="宋体" w:hAnsi="宋体" w:eastAsia="宋体" w:cs="宋体"/>
          <w:color w:val="auto"/>
          <w:highlight w:val="none"/>
          <w:shd w:val="clear" w:color="auto" w:fill="auto"/>
          <w:lang w:val="en-US" w:eastAsia="zh-CN"/>
        </w:rPr>
        <w:t>；</w:t>
      </w:r>
    </w:p>
    <w:p w14:paraId="3921271D">
      <w:pPr>
        <w:pStyle w:val="2"/>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③生态环境成本指标</w:t>
      </w:r>
    </w:p>
    <w:p w14:paraId="56DF35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b w:val="0"/>
          <w:bCs w:val="0"/>
          <w:color w:val="auto"/>
          <w:kern w:val="2"/>
          <w:sz w:val="28"/>
          <w:szCs w:val="28"/>
          <w:highlight w:val="none"/>
          <w:shd w:val="clear" w:color="auto" w:fill="auto"/>
          <w:lang w:val="en-US" w:eastAsia="zh-CN" w:bidi="ar-SA"/>
        </w:rPr>
        <w:t>生态环境成本指标</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7BD5809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14:paraId="4F2A2A6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14:paraId="50A1AED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（本项目不涉及经济效益）</w:t>
      </w:r>
      <w:r>
        <w:rPr>
          <w:rFonts w:hint="eastAsia" w:ascii="宋体" w:hAnsi="宋体" w:eastAsia="宋体" w:cs="宋体"/>
          <w:color w:val="auto"/>
          <w:highlight w:val="none"/>
          <w:shd w:val="clear" w:color="auto" w:fill="auto"/>
          <w:lang w:val="en-US" w:eastAsia="zh-CN"/>
        </w:rPr>
        <w:t>；</w:t>
      </w:r>
    </w:p>
    <w:p w14:paraId="2C47229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14:paraId="5AD2F1C9">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color w:val="auto"/>
          <w:highlight w:val="none"/>
          <w:lang w:val="en-US" w:eastAsia="zh-CN"/>
        </w:rPr>
        <w:t>促进妇幼保健服务业务的发展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促进</w:t>
      </w:r>
      <w:r>
        <w:rPr>
          <w:rFonts w:hint="eastAsia" w:ascii="宋体" w:hAnsi="宋体" w:eastAsia="宋体" w:cs="宋体"/>
          <w:color w:val="auto"/>
          <w:highlight w:val="none"/>
          <w:shd w:val="clear" w:color="auto" w:fill="auto"/>
          <w:lang w:val="en-US" w:eastAsia="zh-CN"/>
        </w:rPr>
        <w:t>；</w:t>
      </w:r>
    </w:p>
    <w:p w14:paraId="46AD6D29">
      <w:pPr>
        <w:rPr>
          <w:rFonts w:hint="eastAsia"/>
          <w:color w:val="auto"/>
          <w:highlight w:val="none"/>
          <w:lang w:val="en-US" w:eastAsia="zh-CN"/>
        </w:rPr>
      </w:pPr>
      <w:r>
        <w:rPr>
          <w:rFonts w:hint="eastAsia" w:ascii="宋体" w:hAnsi="宋体" w:eastAsia="宋体" w:cs="宋体"/>
          <w:color w:val="auto"/>
          <w:highlight w:val="none"/>
          <w:shd w:val="clear" w:color="auto" w:fill="auto"/>
          <w:lang w:eastAsia="zh-CN"/>
        </w:rPr>
        <w:t>“</w:t>
      </w:r>
      <w:r>
        <w:rPr>
          <w:rFonts w:hint="eastAsia"/>
          <w:color w:val="auto"/>
          <w:highlight w:val="none"/>
          <w:lang w:val="en-US" w:eastAsia="zh-CN"/>
        </w:rPr>
        <w:t>提高妇女儿童健康水平</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提高</w:t>
      </w:r>
      <w:r>
        <w:rPr>
          <w:rFonts w:hint="eastAsia" w:ascii="宋体" w:hAnsi="宋体" w:eastAsia="宋体" w:cs="宋体"/>
          <w:color w:val="auto"/>
          <w:highlight w:val="none"/>
          <w:shd w:val="clear" w:color="auto" w:fill="auto"/>
          <w:lang w:val="en-US" w:eastAsia="zh-CN"/>
        </w:rPr>
        <w:t>；</w:t>
      </w:r>
    </w:p>
    <w:p w14:paraId="2A2721C0">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14:paraId="2DC5B1C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（本项目不涉及生态效益）</w:t>
      </w:r>
      <w:r>
        <w:rPr>
          <w:rFonts w:hint="eastAsia" w:ascii="宋体" w:hAnsi="宋体" w:eastAsia="宋体" w:cs="宋体"/>
          <w:color w:val="auto"/>
          <w:highlight w:val="none"/>
          <w:shd w:val="clear" w:color="auto" w:fill="auto"/>
          <w:lang w:val="en-US" w:eastAsia="zh-CN"/>
        </w:rPr>
        <w:t>；</w:t>
      </w:r>
    </w:p>
    <w:p w14:paraId="3585410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14:paraId="2BFBB70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（本项目不涉及</w:t>
      </w:r>
      <w:r>
        <w:rPr>
          <w:rFonts w:hint="eastAsia" w:ascii="宋体" w:hAnsi="宋体" w:eastAsia="宋体" w:cs="宋体"/>
          <w:color w:val="auto"/>
          <w:highlight w:val="none"/>
          <w:shd w:val="clear" w:color="auto" w:fill="auto"/>
          <w:lang w:val="en-US" w:eastAsia="zh-CN"/>
        </w:rPr>
        <w:t>可持续影响</w:t>
      </w:r>
      <w:r>
        <w:rPr>
          <w:rFonts w:hint="eastAsia" w:cs="宋体"/>
          <w:color w:val="auto"/>
          <w:highlight w:val="none"/>
          <w:shd w:val="clear" w:color="auto" w:fill="auto"/>
          <w:lang w:val="en-US" w:eastAsia="zh-CN"/>
        </w:rPr>
        <w:t>）</w:t>
      </w:r>
      <w:r>
        <w:rPr>
          <w:rFonts w:hint="eastAsia" w:ascii="宋体" w:hAnsi="宋体" w:eastAsia="宋体" w:cs="宋体"/>
          <w:color w:val="auto"/>
          <w:highlight w:val="none"/>
          <w:shd w:val="clear" w:color="auto" w:fill="auto"/>
          <w:lang w:val="en-US" w:eastAsia="zh-CN"/>
        </w:rPr>
        <w:t>；</w:t>
      </w:r>
    </w:p>
    <w:p w14:paraId="7766D0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14:paraId="48DEEE6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11" w:name="_Toc2549"/>
      <w:r>
        <w:rPr>
          <w:rFonts w:hint="eastAsia" w:cs="宋体"/>
          <w:color w:val="auto"/>
          <w:highlight w:val="none"/>
          <w:shd w:val="clear" w:color="auto" w:fill="auto"/>
          <w:lang w:val="en-US" w:eastAsia="zh-CN"/>
        </w:rPr>
        <w:t>（本项目不涉及满意度指标）</w:t>
      </w:r>
      <w:r>
        <w:rPr>
          <w:rFonts w:hint="eastAsia" w:ascii="宋体" w:hAnsi="宋体" w:eastAsia="宋体" w:cs="宋体"/>
          <w:color w:val="auto"/>
          <w:highlight w:val="none"/>
          <w:shd w:val="clear" w:color="auto" w:fill="auto"/>
          <w:lang w:val="en-US" w:eastAsia="zh-CN"/>
        </w:rPr>
        <w:t>；</w:t>
      </w:r>
    </w:p>
    <w:p w14:paraId="270D61B5">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rPr>
        <w:t>二、绩效评价工作开展情况</w:t>
      </w:r>
      <w:bookmarkEnd w:id="11"/>
    </w:p>
    <w:p w14:paraId="65AEBDE1">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12" w:name="_Toc22922"/>
      <w:bookmarkStart w:id="13" w:name="_Toc12868"/>
      <w:bookmarkStart w:id="14" w:name="_Toc5258"/>
      <w:bookmarkStart w:id="15" w:name="_Toc22169_WPSOffice_Level2"/>
      <w:bookmarkStart w:id="16" w:name="_Toc480473081"/>
      <w:bookmarkStart w:id="17" w:name="_Toc26632"/>
      <w:bookmarkStart w:id="18" w:name="_Toc5462343"/>
      <w:bookmarkStart w:id="19" w:name="_Toc21664"/>
      <w:bookmarkStart w:id="20" w:name="_Toc21778"/>
      <w:r>
        <w:rPr>
          <w:rFonts w:hint="eastAsia" w:ascii="宋体" w:hAnsi="宋体" w:eastAsia="宋体" w:cs="宋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32"/>
          <w:szCs w:val="32"/>
          <w:highlight w:val="none"/>
          <w:shd w:val="clear" w:color="auto" w:fill="auto"/>
          <w:lang w:eastAsia="zh-CN"/>
        </w:rPr>
        <w:t>、对象和范围</w:t>
      </w:r>
      <w:bookmarkEnd w:id="20"/>
    </w:p>
    <w:p w14:paraId="1955D1B9">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bookmarkStart w:id="21" w:name="_Toc15732"/>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sz w:val="32"/>
          <w:szCs w:val="32"/>
          <w:highlight w:val="none"/>
          <w:shd w:val="clear" w:color="auto" w:fill="auto"/>
          <w:lang w:eastAsia="zh-CN"/>
        </w:rPr>
        <w:t>绩效评价的目的</w:t>
      </w:r>
      <w:bookmarkEnd w:id="21"/>
    </w:p>
    <w:p w14:paraId="2BBFD20C">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14:paraId="454EF59B">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14:paraId="2ACAA3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w:t>
      </w: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项目开展部门绩效评价。</w:t>
      </w:r>
    </w:p>
    <w:p w14:paraId="5C3E47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0B956BA0">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val="en-US" w:eastAsia="zh-CN"/>
        </w:rPr>
      </w:pPr>
      <w:bookmarkStart w:id="23" w:name="_Toc15902"/>
      <w:r>
        <w:rPr>
          <w:rFonts w:hint="eastAsia" w:ascii="宋体" w:hAnsi="宋体" w:eastAsia="宋体" w:cs="宋体"/>
          <w:color w:val="auto"/>
          <w:sz w:val="32"/>
          <w:szCs w:val="32"/>
          <w:highlight w:val="none"/>
          <w:shd w:val="clear" w:color="auto" w:fill="auto"/>
          <w:lang w:val="en-US" w:eastAsia="zh-CN"/>
        </w:rPr>
        <w:t>绩效评价原则、评价指标体系（附表说明）、评价方法、评价标准</w:t>
      </w:r>
      <w:bookmarkEnd w:id="23"/>
    </w:p>
    <w:p w14:paraId="7214ADBF">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14:paraId="4F1D72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14:paraId="1D849D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14:paraId="2459C5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14:paraId="5A9768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14:paraId="3FB797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14:paraId="7C964B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14:paraId="17F209A4">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26131"/>
      <w:bookmarkStart w:id="26" w:name="_Toc419984722"/>
      <w:bookmarkStart w:id="27" w:name="_Toc1913"/>
      <w:bookmarkStart w:id="28" w:name="_Toc428278230"/>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14:paraId="00BD97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14:paraId="20219E22">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2AF8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3E74DD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278052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4E3F7F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16E91A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17BAFA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4210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7350C2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46DFB2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7DEC65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70209A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0B4EF53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659ED0D9">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B7C04A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03EC3DB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279ED66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6E40E6C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048E731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020D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1BFBC2CC">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D03F3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CF1A7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11A412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23C4ABA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312842F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A3B6C4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11383A4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4ED1526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1DA8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0EDFF2A9">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185E65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0FA44F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368DBA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21E2022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23EC1AE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50F98A2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2760361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390AE3F2">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4FB49C1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235A76E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50F0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32BCC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3968C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7965F2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7A6B36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2F3B11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0E64472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E6519B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0F332FC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55C7CF3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48F4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78F4398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765F93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50956D3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006DD2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7090FBC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01AD61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16ADF2B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0A42F7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097E041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7D51362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0D72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35D811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A672A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3B5FB4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48C4AC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15D7627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0DBE307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05B83F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404A8FF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7031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2CEBEF7E">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17C653E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2830A8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481AC3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3933932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59EB2A7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3BA2DF2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1A6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7399596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C96E667">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7D1A10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0AD57F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03848C2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66F43ED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36E0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44A4A9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692DA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E9C6A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226BB9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297A102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7C33F79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EF6E28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46E299B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403ECD1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5B30CD1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73E1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535B7E8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4268A6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66824E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4BF26E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6D8BA18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1AA4705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0AA3788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5762AAF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2AAE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39A747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5B5B18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27A32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24D324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5C7FC31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18897DA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3D3583B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6FE422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063244A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3C6AE74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5999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575100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4FE346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4B0CA2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4EC3BB7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3DFCE7F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7C40F58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4CF24E9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30EB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579E80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0A46E0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27D83D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4FDDAF7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24272E7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00A61E5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1126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099D484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2570FF42">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3F4B79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795129A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3A7E19C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79A2093B">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541B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4596A1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654BEF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7AA56D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4344324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60DE522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4ED0A46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55D88DF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5938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0179AF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2DE03A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5F44EF9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23EE984D">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32895C5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6624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48E2B2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CD9B3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4872B45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19A812F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5F877FF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0BEE5495">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14:paraId="424B8D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项目进行评价。</w:t>
      </w:r>
    </w:p>
    <w:p w14:paraId="6C9A33A1">
      <w:pPr>
        <w:pStyle w:val="5"/>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14:paraId="1879E9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14:paraId="6A5AA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14:paraId="3A24F1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14:paraId="3AFE63E2">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14:paraId="269D70A6">
      <w:pPr>
        <w:pStyle w:val="5"/>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14:paraId="0B36874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14:paraId="0CDCD7A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14:paraId="49F87EE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5D31BC02">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14:paraId="423CE996">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w:t>
      </w:r>
      <w:r>
        <w:rPr>
          <w:rFonts w:hint="eastAsia" w:ascii="宋体" w:hAnsi="宋体" w:cs="宋体"/>
          <w:b w:val="0"/>
          <w:bCs w:val="0"/>
          <w:color w:val="auto"/>
          <w:sz w:val="28"/>
          <w:szCs w:val="28"/>
          <w:highlight w:val="none"/>
          <w:shd w:val="clear" w:color="auto" w:fill="auto"/>
          <w:lang w:val="en-US" w:eastAsia="zh-CN"/>
        </w:rPr>
        <w:t>原人民医院内科楼改造项目</w:t>
      </w:r>
      <w:r>
        <w:rPr>
          <w:rFonts w:hint="eastAsia" w:ascii="宋体" w:hAnsi="宋体" w:eastAsia="宋体" w:cs="宋体"/>
          <w:b w:val="0"/>
          <w:bCs w:val="0"/>
          <w:color w:val="auto"/>
          <w:sz w:val="28"/>
          <w:szCs w:val="28"/>
          <w:highlight w:val="none"/>
          <w:shd w:val="clear" w:color="auto" w:fill="auto"/>
          <w:lang w:val="en-US" w:eastAsia="zh-CN"/>
        </w:rPr>
        <w:t>项目</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实施内容、目标信息、预算信息以及其他的一些项目基本信息，有了初步了解，为制定绩效评价工作方案做好准备。</w:t>
      </w:r>
      <w:bookmarkEnd w:id="35"/>
    </w:p>
    <w:p w14:paraId="72770DF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14:paraId="615E9D7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14:paraId="16A8C72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14:paraId="71ECF7BB">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14:paraId="283783A8">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14:paraId="0CC9DAF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14:paraId="00FCF6FF">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14:paraId="6102ACEE">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14:paraId="5E4CBEF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14:paraId="24B6B2D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14:paraId="5C14E77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14:paraId="061D4A5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14:paraId="759DFF2D">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7C76AC6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14:paraId="1AAB3200">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14:paraId="6E0FB99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14:paraId="38673A87">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14:paraId="4EFE9BA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14:paraId="2B45313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14:paraId="6CC66310">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bookmarkStart w:id="55" w:name="_Toc1100"/>
      <w:r>
        <w:rPr>
          <w:rFonts w:hint="eastAsia" w:ascii="宋体" w:hAnsi="宋体" w:eastAsia="宋体" w:cs="宋体"/>
          <w:b/>
          <w:bCs/>
          <w:color w:val="auto"/>
          <w:highlight w:val="none"/>
          <w:shd w:val="clear" w:color="auto" w:fill="auto"/>
          <w:lang w:val="en-US" w:eastAsia="zh-CN"/>
        </w:rPr>
        <w:t>三、</w:t>
      </w:r>
      <w:r>
        <w:rPr>
          <w:rFonts w:hint="eastAsia" w:ascii="宋体" w:hAnsi="宋体" w:eastAsia="宋体" w:cs="宋体"/>
          <w:b/>
          <w:bCs/>
          <w:color w:val="auto"/>
          <w:highlight w:val="none"/>
          <w:shd w:val="clear" w:color="auto" w:fill="auto"/>
        </w:rPr>
        <w:t>综合评价情况及评价结论</w:t>
      </w:r>
      <w:bookmarkEnd w:id="55"/>
    </w:p>
    <w:p w14:paraId="5B629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cs="宋体"/>
          <w:color w:val="auto"/>
          <w:highlight w:val="none"/>
          <w:shd w:val="clear" w:color="auto" w:fill="auto"/>
          <w:lang w:val="en-US" w:eastAsia="zh-CN"/>
        </w:rPr>
        <w:t>原人民医院内科楼改造项目</w:t>
      </w:r>
      <w:r>
        <w:rPr>
          <w:rFonts w:hint="eastAsia" w:ascii="宋体" w:hAnsi="宋体" w:eastAsia="宋体" w:cs="宋体"/>
          <w:color w:val="auto"/>
          <w:highlight w:val="none"/>
          <w:shd w:val="clear" w:color="auto" w:fill="auto"/>
          <w:lang w:val="en-US"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97.6</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0EEEE77A">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79D8F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bCs/>
                <w:color w:val="auto"/>
                <w:highlight w:val="none"/>
                <w:shd w:val="clear" w:color="auto" w:fill="auto"/>
                <w:lang w:val="en-US" w:eastAsia="zh-CN"/>
              </w:rPr>
              <w:t>原人民医院内科楼改造项目</w:t>
            </w:r>
            <w:r>
              <w:rPr>
                <w:rFonts w:hint="eastAsia" w:ascii="宋体" w:hAnsi="宋体" w:eastAsia="宋体" w:cs="宋体"/>
                <w:b/>
                <w:bCs/>
                <w:color w:val="auto"/>
                <w:highlight w:val="none"/>
                <w:shd w:val="clear" w:color="auto" w:fill="auto"/>
                <w:lang w:val="en-US" w:eastAsia="zh-CN"/>
              </w:rPr>
              <w:t>项目</w:t>
            </w:r>
            <w:r>
              <w:rPr>
                <w:rFonts w:hint="eastAsia" w:ascii="宋体" w:hAnsi="宋体" w:eastAsia="宋体" w:cs="宋体"/>
                <w:b/>
                <w:bCs/>
                <w:color w:val="auto"/>
                <w:kern w:val="0"/>
                <w:sz w:val="28"/>
                <w:szCs w:val="28"/>
                <w:highlight w:val="none"/>
                <w:shd w:val="clear" w:color="auto" w:fill="auto"/>
                <w:lang w:val="en-US" w:eastAsia="zh-CN"/>
              </w:rPr>
              <w:t>得分表</w:t>
            </w:r>
          </w:p>
          <w:p w14:paraId="1A7868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06940E33">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DB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31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95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B2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24D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4E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72627696">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14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391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3E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BB2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08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37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3342A533">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17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39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19.6</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49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C96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28</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DE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76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97.6</w:t>
            </w:r>
          </w:p>
        </w:tc>
      </w:tr>
      <w:tr w14:paraId="4A33120D">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2B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D2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98</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5C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8A0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93</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03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3B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97.6</w:t>
            </w:r>
            <w:r>
              <w:rPr>
                <w:rFonts w:hint="eastAsia" w:ascii="宋体" w:hAnsi="宋体" w:eastAsia="宋体" w:cs="宋体"/>
                <w:color w:val="auto"/>
                <w:kern w:val="0"/>
                <w:sz w:val="21"/>
                <w:szCs w:val="21"/>
                <w:highlight w:val="none"/>
                <w:shd w:val="clear" w:color="auto" w:fill="auto"/>
                <w:lang w:val="en-US" w:eastAsia="zh-CN"/>
              </w:rPr>
              <w:t>%</w:t>
            </w:r>
          </w:p>
        </w:tc>
      </w:tr>
    </w:tbl>
    <w:p w14:paraId="61218FE1">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56" w:name="_Toc9421"/>
      <w:r>
        <w:rPr>
          <w:rFonts w:hint="eastAsia" w:ascii="宋体" w:hAnsi="宋体" w:eastAsia="宋体" w:cs="宋体"/>
          <w:b/>
          <w:bCs/>
          <w:color w:val="auto"/>
          <w:highlight w:val="none"/>
          <w:shd w:val="clear" w:color="auto" w:fill="auto"/>
          <w:lang w:val="en-US" w:eastAsia="zh-CN"/>
        </w:rPr>
        <w:t>四、绩效评价指标分析</w:t>
      </w:r>
      <w:bookmarkEnd w:id="56"/>
    </w:p>
    <w:p w14:paraId="53E1CCD6">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57" w:name="_Toc15355"/>
      <w:r>
        <w:rPr>
          <w:rFonts w:hint="eastAsia" w:ascii="宋体" w:hAnsi="宋体" w:eastAsia="宋体" w:cs="宋体"/>
          <w:color w:val="auto"/>
          <w:highlight w:val="none"/>
          <w:shd w:val="clear" w:color="auto" w:fill="auto"/>
        </w:rPr>
        <w:t>（一）项目决策情况</w:t>
      </w:r>
      <w:bookmarkEnd w:id="57"/>
    </w:p>
    <w:p w14:paraId="349F1ACF">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19.6</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14:paraId="41510E77">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2A65D9EF">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B591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FAD3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E43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4C8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581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37F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34A4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712A6F8">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1F258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51A5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D3890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7CAE6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DB3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FB9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ACE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56281CE1">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86069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84BAE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83E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470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4D6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925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153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2.6</w:t>
            </w:r>
          </w:p>
        </w:tc>
      </w:tr>
      <w:tr w14:paraId="27465A54">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342BD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C8C28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C58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F92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76E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FB7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5C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43CBCDC6">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E8FA8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C4FB7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C99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712E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6C5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9BC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898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09C152BE">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1E668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F08AE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74340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CB662B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DFF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4588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991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2BF47F87">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BDD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45B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6D0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28F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40A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A8E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34A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22B06558">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489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66ED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7AD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333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3F3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19.6</w:t>
            </w:r>
          </w:p>
        </w:tc>
      </w:tr>
    </w:tbl>
    <w:p w14:paraId="27DFFB7E">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14:paraId="77B67ECD">
      <w:pPr>
        <w:spacing w:line="520" w:lineRule="exact"/>
        <w:ind w:firstLine="560" w:firstLineChars="200"/>
        <w:rPr>
          <w:rFonts w:hint="eastAsia" w:hAnsi="宋体" w:eastAsia="宋体"/>
          <w:color w:val="auto"/>
          <w:sz w:val="28"/>
          <w:szCs w:val="28"/>
          <w:highlight w:val="none"/>
          <w:lang w:eastAsia="zh-CN"/>
        </w:rPr>
      </w:pPr>
      <w:r>
        <w:rPr>
          <w:rFonts w:hint="eastAsia"/>
          <w:color w:val="auto"/>
          <w:highlight w:val="none"/>
          <w:lang w:eastAsia="zh-CN"/>
        </w:rPr>
        <w:t>①项目立项符合</w:t>
      </w:r>
      <w:r>
        <w:rPr>
          <w:rFonts w:hAnsi="宋体"/>
          <w:color w:val="auto"/>
          <w:sz w:val="28"/>
          <w:szCs w:val="28"/>
          <w:highlight w:val="none"/>
        </w:rPr>
        <w:t>《中华人民共和国母婴保健法》</w:t>
      </w:r>
      <w:r>
        <w:rPr>
          <w:rFonts w:hint="eastAsia" w:hAnsi="宋体"/>
          <w:color w:val="auto"/>
          <w:sz w:val="28"/>
          <w:szCs w:val="28"/>
          <w:highlight w:val="none"/>
          <w:lang w:eastAsia="zh-CN"/>
        </w:rPr>
        <w:t>、</w:t>
      </w:r>
      <w:r>
        <w:rPr>
          <w:rFonts w:hAnsi="宋体"/>
          <w:color w:val="auto"/>
          <w:sz w:val="28"/>
          <w:szCs w:val="28"/>
          <w:highlight w:val="none"/>
        </w:rPr>
        <w:t>《妇女权益保障法》</w:t>
      </w:r>
      <w:r>
        <w:rPr>
          <w:rFonts w:hint="eastAsia" w:hAnsi="宋体"/>
          <w:color w:val="auto"/>
          <w:sz w:val="28"/>
          <w:szCs w:val="28"/>
          <w:highlight w:val="none"/>
          <w:lang w:eastAsia="zh-CN"/>
        </w:rPr>
        <w:t>、</w:t>
      </w:r>
      <w:r>
        <w:rPr>
          <w:rFonts w:hAnsi="宋体"/>
          <w:color w:val="auto"/>
          <w:sz w:val="28"/>
          <w:szCs w:val="28"/>
          <w:highlight w:val="none"/>
        </w:rPr>
        <w:t>《中国妇女发展纲要（</w:t>
      </w:r>
      <w:r>
        <w:rPr>
          <w:color w:val="auto"/>
          <w:sz w:val="28"/>
          <w:szCs w:val="28"/>
          <w:highlight w:val="none"/>
        </w:rPr>
        <w:t>20</w:t>
      </w:r>
      <w:r>
        <w:rPr>
          <w:rFonts w:hint="eastAsia"/>
          <w:color w:val="auto"/>
          <w:sz w:val="28"/>
          <w:szCs w:val="28"/>
          <w:highlight w:val="none"/>
        </w:rPr>
        <w:t>11</w:t>
      </w:r>
      <w:r>
        <w:rPr>
          <w:color w:val="auto"/>
          <w:sz w:val="28"/>
          <w:szCs w:val="28"/>
          <w:highlight w:val="none"/>
        </w:rPr>
        <w:t>-20</w:t>
      </w:r>
      <w:r>
        <w:rPr>
          <w:rFonts w:hint="eastAsia"/>
          <w:color w:val="auto"/>
          <w:sz w:val="28"/>
          <w:szCs w:val="28"/>
          <w:highlight w:val="none"/>
        </w:rPr>
        <w:t>20</w:t>
      </w:r>
      <w:r>
        <w:rPr>
          <w:rFonts w:hAnsi="宋体"/>
          <w:color w:val="auto"/>
          <w:sz w:val="28"/>
          <w:szCs w:val="28"/>
          <w:highlight w:val="none"/>
        </w:rPr>
        <w:t>年）》</w:t>
      </w:r>
      <w:r>
        <w:rPr>
          <w:rFonts w:hint="eastAsia" w:hAnsi="宋体"/>
          <w:color w:val="auto"/>
          <w:sz w:val="28"/>
          <w:szCs w:val="28"/>
          <w:highlight w:val="none"/>
          <w:lang w:eastAsia="zh-CN"/>
        </w:rPr>
        <w:t>、</w:t>
      </w:r>
      <w:r>
        <w:rPr>
          <w:rFonts w:hAnsi="宋体"/>
          <w:color w:val="auto"/>
          <w:sz w:val="28"/>
          <w:szCs w:val="28"/>
          <w:highlight w:val="none"/>
        </w:rPr>
        <w:t>《中国儿童发展纲要（</w:t>
      </w:r>
      <w:r>
        <w:rPr>
          <w:color w:val="auto"/>
          <w:sz w:val="28"/>
          <w:szCs w:val="28"/>
          <w:highlight w:val="none"/>
        </w:rPr>
        <w:t>20</w:t>
      </w:r>
      <w:r>
        <w:rPr>
          <w:rFonts w:hint="eastAsia"/>
          <w:color w:val="auto"/>
          <w:sz w:val="28"/>
          <w:szCs w:val="28"/>
          <w:highlight w:val="none"/>
        </w:rPr>
        <w:t>11</w:t>
      </w:r>
      <w:r>
        <w:rPr>
          <w:color w:val="auto"/>
          <w:sz w:val="28"/>
          <w:szCs w:val="28"/>
          <w:highlight w:val="none"/>
        </w:rPr>
        <w:t>-20</w:t>
      </w:r>
      <w:r>
        <w:rPr>
          <w:rFonts w:hint="eastAsia"/>
          <w:color w:val="auto"/>
          <w:sz w:val="28"/>
          <w:szCs w:val="28"/>
          <w:highlight w:val="none"/>
        </w:rPr>
        <w:t>20</w:t>
      </w:r>
      <w:r>
        <w:rPr>
          <w:rFonts w:hAnsi="宋体"/>
          <w:color w:val="auto"/>
          <w:sz w:val="28"/>
          <w:szCs w:val="28"/>
          <w:highlight w:val="none"/>
        </w:rPr>
        <w:t>年）》</w:t>
      </w:r>
      <w:r>
        <w:rPr>
          <w:rFonts w:hint="eastAsia" w:hAnsi="宋体"/>
          <w:color w:val="auto"/>
          <w:sz w:val="28"/>
          <w:szCs w:val="28"/>
          <w:highlight w:val="none"/>
          <w:lang w:eastAsia="zh-CN"/>
        </w:rPr>
        <w:t>、</w:t>
      </w:r>
      <w:r>
        <w:rPr>
          <w:rFonts w:hAnsi="宋体"/>
          <w:color w:val="auto"/>
          <w:kern w:val="0"/>
          <w:sz w:val="28"/>
          <w:szCs w:val="28"/>
          <w:highlight w:val="none"/>
          <w:lang w:val="zh-CN"/>
        </w:rPr>
        <w:t>卫生部关于印发《卫生部关于支持新疆卫生事业跨越式发展的指导意见》的通知（卫规财发</w:t>
      </w:r>
      <w:r>
        <w:rPr>
          <w:color w:val="auto"/>
          <w:kern w:val="0"/>
          <w:sz w:val="28"/>
          <w:szCs w:val="28"/>
          <w:highlight w:val="none"/>
          <w:lang w:val="zh-CN"/>
        </w:rPr>
        <w:t>[2010]68</w:t>
      </w:r>
      <w:r>
        <w:rPr>
          <w:rFonts w:hAnsi="宋体"/>
          <w:color w:val="auto"/>
          <w:kern w:val="0"/>
          <w:sz w:val="28"/>
          <w:szCs w:val="28"/>
          <w:highlight w:val="none"/>
          <w:lang w:val="zh-CN"/>
        </w:rPr>
        <w:t>号）</w:t>
      </w:r>
      <w:r>
        <w:rPr>
          <w:rFonts w:hint="eastAsia" w:hAnsi="宋体"/>
          <w:color w:val="auto"/>
          <w:kern w:val="0"/>
          <w:sz w:val="28"/>
          <w:szCs w:val="28"/>
          <w:highlight w:val="none"/>
          <w:lang w:val="zh-CN"/>
        </w:rPr>
        <w:t>、</w:t>
      </w:r>
      <w:r>
        <w:rPr>
          <w:rFonts w:hint="eastAsia" w:hAnsi="宋体"/>
          <w:color w:val="auto"/>
          <w:sz w:val="28"/>
          <w:szCs w:val="28"/>
          <w:highlight w:val="none"/>
        </w:rPr>
        <w:t>卫生部</w:t>
      </w:r>
      <w:r>
        <w:rPr>
          <w:rFonts w:hAnsi="宋体"/>
          <w:color w:val="auto"/>
          <w:sz w:val="28"/>
          <w:szCs w:val="28"/>
          <w:highlight w:val="none"/>
        </w:rPr>
        <w:t>《妇幼保健机构管理办法</w:t>
      </w:r>
      <w:r>
        <w:rPr>
          <w:rFonts w:hint="eastAsia" w:hAnsi="宋体"/>
          <w:color w:val="auto"/>
          <w:sz w:val="28"/>
          <w:szCs w:val="28"/>
          <w:highlight w:val="none"/>
        </w:rPr>
        <w:t>》</w:t>
      </w:r>
      <w:r>
        <w:rPr>
          <w:rFonts w:hint="eastAsia" w:hAnsi="宋体"/>
          <w:color w:val="auto"/>
          <w:sz w:val="28"/>
          <w:szCs w:val="28"/>
          <w:highlight w:val="none"/>
          <w:lang w:eastAsia="zh-CN"/>
        </w:rPr>
        <w:t>、</w:t>
      </w:r>
      <w:r>
        <w:rPr>
          <w:rFonts w:hAnsi="宋体"/>
          <w:color w:val="auto"/>
          <w:kern w:val="0"/>
          <w:sz w:val="28"/>
          <w:szCs w:val="28"/>
          <w:highlight w:val="none"/>
          <w:lang w:val="zh-CN"/>
        </w:rPr>
        <w:t>《新疆维吾尔自治区卫生资源配置标准》（新政办发</w:t>
      </w:r>
      <w:r>
        <w:rPr>
          <w:color w:val="auto"/>
          <w:kern w:val="0"/>
          <w:sz w:val="28"/>
          <w:szCs w:val="28"/>
          <w:highlight w:val="none"/>
          <w:lang w:val="zh-CN"/>
        </w:rPr>
        <w:t>[2002]118</w:t>
      </w:r>
      <w:r>
        <w:rPr>
          <w:rFonts w:hAnsi="宋体"/>
          <w:color w:val="auto"/>
          <w:kern w:val="0"/>
          <w:sz w:val="28"/>
          <w:szCs w:val="28"/>
          <w:highlight w:val="none"/>
          <w:lang w:val="zh-CN"/>
        </w:rPr>
        <w:t>号）</w:t>
      </w:r>
      <w:r>
        <w:rPr>
          <w:rFonts w:hint="eastAsia" w:hAnsi="宋体"/>
          <w:color w:val="auto"/>
          <w:kern w:val="0"/>
          <w:sz w:val="28"/>
          <w:szCs w:val="28"/>
          <w:highlight w:val="none"/>
          <w:lang w:val="zh-CN"/>
        </w:rPr>
        <w:t>、</w:t>
      </w:r>
      <w:r>
        <w:rPr>
          <w:rFonts w:hAnsi="宋体"/>
          <w:color w:val="auto"/>
          <w:sz w:val="28"/>
          <w:szCs w:val="28"/>
          <w:highlight w:val="none"/>
          <w:lang w:val="zh-CN"/>
        </w:rPr>
        <w:t>《新疆维吾尔自治区医疗机构管理办法》（新疆维吾尔自治区人民政府第</w:t>
      </w:r>
      <w:r>
        <w:rPr>
          <w:color w:val="auto"/>
          <w:sz w:val="28"/>
          <w:szCs w:val="28"/>
          <w:highlight w:val="none"/>
          <w:lang w:val="zh-CN"/>
        </w:rPr>
        <w:t>59</w:t>
      </w:r>
      <w:r>
        <w:rPr>
          <w:rFonts w:hAnsi="宋体"/>
          <w:color w:val="auto"/>
          <w:sz w:val="28"/>
          <w:szCs w:val="28"/>
          <w:highlight w:val="none"/>
          <w:lang w:val="zh-CN"/>
        </w:rPr>
        <w:t>号令）</w:t>
      </w:r>
      <w:r>
        <w:rPr>
          <w:rFonts w:hint="eastAsia" w:hAnsi="宋体"/>
          <w:color w:val="auto"/>
          <w:sz w:val="28"/>
          <w:szCs w:val="28"/>
          <w:highlight w:val="none"/>
          <w:lang w:val="zh-CN"/>
        </w:rPr>
        <w:t>、</w:t>
      </w:r>
      <w:r>
        <w:rPr>
          <w:rFonts w:hAnsi="宋体"/>
          <w:color w:val="auto"/>
          <w:sz w:val="28"/>
          <w:szCs w:val="28"/>
          <w:highlight w:val="none"/>
        </w:rPr>
        <w:t>《</w:t>
      </w:r>
      <w:r>
        <w:rPr>
          <w:rFonts w:hint="eastAsia" w:hAnsi="宋体"/>
          <w:color w:val="auto"/>
          <w:sz w:val="28"/>
          <w:szCs w:val="28"/>
          <w:highlight w:val="none"/>
        </w:rPr>
        <w:t>新疆维吾尔自治区</w:t>
      </w:r>
      <w:r>
        <w:rPr>
          <w:rFonts w:hAnsi="宋体"/>
          <w:color w:val="auto"/>
          <w:sz w:val="28"/>
          <w:szCs w:val="28"/>
          <w:highlight w:val="none"/>
        </w:rPr>
        <w:t>国民经济和社会发展第十</w:t>
      </w:r>
      <w:r>
        <w:rPr>
          <w:rFonts w:hint="eastAsia" w:hAnsi="宋体"/>
          <w:color w:val="auto"/>
          <w:sz w:val="28"/>
          <w:szCs w:val="28"/>
          <w:highlight w:val="none"/>
        </w:rPr>
        <w:t>三</w:t>
      </w:r>
      <w:r>
        <w:rPr>
          <w:rFonts w:hAnsi="宋体"/>
          <w:color w:val="auto"/>
          <w:sz w:val="28"/>
          <w:szCs w:val="28"/>
          <w:highlight w:val="none"/>
        </w:rPr>
        <w:t>个五年规划纲要》</w:t>
      </w:r>
      <w:r>
        <w:rPr>
          <w:rFonts w:hint="eastAsia" w:hAnsi="宋体"/>
          <w:color w:val="auto"/>
          <w:sz w:val="28"/>
          <w:szCs w:val="28"/>
          <w:highlight w:val="none"/>
          <w:lang w:eastAsia="zh-CN"/>
        </w:rPr>
        <w:t>、</w:t>
      </w:r>
      <w:r>
        <w:rPr>
          <w:rFonts w:hAnsi="宋体"/>
          <w:color w:val="auto"/>
          <w:sz w:val="28"/>
          <w:szCs w:val="28"/>
          <w:highlight w:val="none"/>
        </w:rPr>
        <w:t>《昌吉</w:t>
      </w:r>
      <w:r>
        <w:rPr>
          <w:rFonts w:hint="eastAsia" w:hAnsi="宋体"/>
          <w:color w:val="auto"/>
          <w:sz w:val="28"/>
          <w:szCs w:val="28"/>
          <w:highlight w:val="none"/>
        </w:rPr>
        <w:t>州</w:t>
      </w:r>
      <w:r>
        <w:rPr>
          <w:rFonts w:hAnsi="宋体"/>
          <w:color w:val="auto"/>
          <w:sz w:val="28"/>
          <w:szCs w:val="28"/>
          <w:highlight w:val="none"/>
        </w:rPr>
        <w:t>国民经济和社会发展第十</w:t>
      </w:r>
      <w:r>
        <w:rPr>
          <w:rFonts w:hint="eastAsia" w:hAnsi="宋体"/>
          <w:color w:val="auto"/>
          <w:sz w:val="28"/>
          <w:szCs w:val="28"/>
          <w:highlight w:val="none"/>
        </w:rPr>
        <w:t>三</w:t>
      </w:r>
      <w:r>
        <w:rPr>
          <w:rFonts w:hAnsi="宋体"/>
          <w:color w:val="auto"/>
          <w:sz w:val="28"/>
          <w:szCs w:val="28"/>
          <w:highlight w:val="none"/>
        </w:rPr>
        <w:t>个五年规划纲要》</w:t>
      </w:r>
      <w:r>
        <w:rPr>
          <w:rFonts w:hint="eastAsia" w:hAnsi="宋体"/>
          <w:color w:val="auto"/>
          <w:sz w:val="28"/>
          <w:szCs w:val="28"/>
          <w:highlight w:val="none"/>
          <w:lang w:eastAsia="zh-CN"/>
        </w:rPr>
        <w:t>、</w:t>
      </w:r>
      <w:r>
        <w:rPr>
          <w:rFonts w:hAnsi="宋体"/>
          <w:color w:val="auto"/>
          <w:sz w:val="28"/>
          <w:szCs w:val="28"/>
          <w:highlight w:val="none"/>
        </w:rPr>
        <w:t>《</w:t>
      </w:r>
      <w:r>
        <w:rPr>
          <w:rFonts w:hint="eastAsia" w:hAnsi="宋体"/>
          <w:color w:val="auto"/>
          <w:sz w:val="28"/>
          <w:szCs w:val="28"/>
          <w:highlight w:val="none"/>
        </w:rPr>
        <w:t>阜康市</w:t>
      </w:r>
      <w:r>
        <w:rPr>
          <w:rFonts w:hAnsi="宋体"/>
          <w:color w:val="auto"/>
          <w:sz w:val="28"/>
          <w:szCs w:val="28"/>
          <w:highlight w:val="none"/>
        </w:rPr>
        <w:t>国民经济和社会发展第十</w:t>
      </w:r>
      <w:r>
        <w:rPr>
          <w:rFonts w:hint="eastAsia" w:hAnsi="宋体"/>
          <w:color w:val="auto"/>
          <w:sz w:val="28"/>
          <w:szCs w:val="28"/>
          <w:highlight w:val="none"/>
        </w:rPr>
        <w:t>三</w:t>
      </w:r>
      <w:r>
        <w:rPr>
          <w:rFonts w:hAnsi="宋体"/>
          <w:color w:val="auto"/>
          <w:sz w:val="28"/>
          <w:szCs w:val="28"/>
          <w:highlight w:val="none"/>
        </w:rPr>
        <w:t>个五年规划纲要》</w:t>
      </w:r>
      <w:r>
        <w:rPr>
          <w:rFonts w:hint="eastAsia"/>
          <w:color w:val="auto"/>
          <w:sz w:val="28"/>
          <w:szCs w:val="28"/>
          <w:highlight w:val="none"/>
          <w:lang w:eastAsia="zh-CN"/>
        </w:rPr>
        <w:t>、</w:t>
      </w:r>
      <w:r>
        <w:rPr>
          <w:rFonts w:hAnsi="宋体"/>
          <w:color w:val="auto"/>
          <w:sz w:val="28"/>
          <w:szCs w:val="28"/>
          <w:highlight w:val="none"/>
        </w:rPr>
        <w:t>《昌吉州</w:t>
      </w:r>
      <w:r>
        <w:rPr>
          <w:rFonts w:hint="eastAsia" w:hAnsi="宋体"/>
          <w:color w:val="auto"/>
          <w:sz w:val="28"/>
          <w:szCs w:val="28"/>
          <w:highlight w:val="none"/>
        </w:rPr>
        <w:t>医疗</w:t>
      </w:r>
      <w:r>
        <w:rPr>
          <w:rFonts w:hAnsi="宋体"/>
          <w:color w:val="auto"/>
          <w:sz w:val="28"/>
          <w:szCs w:val="28"/>
          <w:highlight w:val="none"/>
        </w:rPr>
        <w:t>卫生事业</w:t>
      </w:r>
      <w:r>
        <w:rPr>
          <w:rFonts w:hint="eastAsia"/>
          <w:color w:val="auto"/>
          <w:sz w:val="28"/>
          <w:szCs w:val="28"/>
          <w:highlight w:val="none"/>
        </w:rPr>
        <w:t>第十三个五年</w:t>
      </w:r>
      <w:r>
        <w:rPr>
          <w:rFonts w:hAnsi="宋体"/>
          <w:color w:val="auto"/>
          <w:sz w:val="28"/>
          <w:szCs w:val="28"/>
          <w:highlight w:val="none"/>
        </w:rPr>
        <w:t>发展规划》</w:t>
      </w:r>
      <w:r>
        <w:rPr>
          <w:rFonts w:hint="eastAsia" w:hAnsi="宋体"/>
          <w:color w:val="auto"/>
          <w:sz w:val="28"/>
          <w:szCs w:val="28"/>
          <w:highlight w:val="none"/>
          <w:lang w:eastAsia="zh-CN"/>
        </w:rPr>
        <w:t>、</w:t>
      </w:r>
      <w:r>
        <w:rPr>
          <w:rFonts w:hint="eastAsia" w:hAnsi="宋体"/>
          <w:color w:val="auto"/>
          <w:sz w:val="28"/>
          <w:szCs w:val="28"/>
          <w:highlight w:val="none"/>
        </w:rPr>
        <w:t>《阜康市城镇总体规划》（2010—2030）</w:t>
      </w:r>
      <w:r>
        <w:rPr>
          <w:rFonts w:hint="eastAsia" w:hAnsi="宋体"/>
          <w:color w:val="auto"/>
          <w:sz w:val="28"/>
          <w:szCs w:val="28"/>
          <w:highlight w:val="none"/>
          <w:lang w:eastAsia="zh-CN"/>
        </w:rPr>
        <w:t>。</w:t>
      </w:r>
    </w:p>
    <w:p w14:paraId="20F85619">
      <w:pPr>
        <w:bidi w:val="0"/>
        <w:rPr>
          <w:rFonts w:hint="eastAsia"/>
          <w:color w:val="auto"/>
          <w:highlight w:val="none"/>
          <w:lang w:eastAsia="zh-CN"/>
        </w:rPr>
      </w:pPr>
      <w:r>
        <w:rPr>
          <w:rFonts w:hint="eastAsia"/>
          <w:color w:val="auto"/>
          <w:highlight w:val="none"/>
          <w:lang w:eastAsia="zh-CN"/>
        </w:rPr>
        <w:t>②项目立项符合</w:t>
      </w:r>
      <w:r>
        <w:rPr>
          <w:rFonts w:hAnsi="宋体"/>
          <w:color w:val="auto"/>
          <w:sz w:val="28"/>
          <w:szCs w:val="28"/>
          <w:highlight w:val="none"/>
        </w:rPr>
        <w:t>加强妇幼保健体系建设，健全妇幼卫生服务网络，提高妇幼卫生服务能力和水平，保证服务质量和效率，减少可避免的孕产妇和儿童死亡，加强新生儿疾病和妇女病的防治，全面提高妇女儿童健康水平。</w:t>
      </w:r>
      <w:r>
        <w:rPr>
          <w:rFonts w:hint="eastAsia"/>
          <w:color w:val="auto"/>
          <w:highlight w:val="none"/>
          <w:lang w:eastAsia="zh-CN"/>
        </w:rPr>
        <w:t>；</w:t>
      </w:r>
    </w:p>
    <w:p w14:paraId="10C3C175">
      <w:pPr>
        <w:bidi w:val="0"/>
        <w:rPr>
          <w:rFonts w:hint="eastAsia"/>
          <w:color w:val="auto"/>
          <w:highlight w:val="none"/>
          <w:lang w:eastAsia="zh-CN"/>
        </w:rPr>
      </w:pPr>
      <w:r>
        <w:rPr>
          <w:rFonts w:hint="eastAsia"/>
          <w:color w:val="auto"/>
          <w:highlight w:val="none"/>
          <w:lang w:eastAsia="zh-CN"/>
        </w:rPr>
        <w:t>③项目立项与</w:t>
      </w:r>
      <w:r>
        <w:rPr>
          <w:rFonts w:hint="eastAsia"/>
          <w:color w:val="auto"/>
          <w:highlight w:val="none"/>
          <w:lang w:val="en-US" w:eastAsia="zh-CN"/>
        </w:rPr>
        <w:t>切实</w:t>
      </w:r>
      <w:r>
        <w:rPr>
          <w:rFonts w:hAnsi="宋体"/>
          <w:color w:val="auto"/>
          <w:sz w:val="28"/>
          <w:szCs w:val="28"/>
          <w:highlight w:val="none"/>
        </w:rPr>
        <w:t>加强新生儿疾病和妇女病的防治，全面提高妇女儿童健康水平</w:t>
      </w:r>
      <w:r>
        <w:rPr>
          <w:rFonts w:hint="eastAsia"/>
          <w:color w:val="auto"/>
          <w:highlight w:val="none"/>
          <w:lang w:eastAsia="zh-CN"/>
        </w:rPr>
        <w:t>相符，属于部门履职所需；</w:t>
      </w:r>
    </w:p>
    <w:p w14:paraId="664B28F3">
      <w:pPr>
        <w:bidi w:val="0"/>
        <w:rPr>
          <w:rFonts w:hint="eastAsia"/>
          <w:color w:val="auto"/>
          <w:highlight w:val="none"/>
          <w:lang w:eastAsia="zh-CN"/>
        </w:rPr>
      </w:pPr>
      <w:r>
        <w:rPr>
          <w:rFonts w:hint="eastAsia"/>
          <w:color w:val="auto"/>
          <w:highlight w:val="none"/>
          <w:lang w:eastAsia="zh-CN"/>
        </w:rPr>
        <w:t>④项目属于公共财政支持范围，符合中央、地方事权支出责任划分原则；</w:t>
      </w:r>
    </w:p>
    <w:p w14:paraId="1158D001">
      <w:pPr>
        <w:bidi w:val="0"/>
        <w:rPr>
          <w:rFonts w:hint="eastAsia"/>
          <w:color w:val="auto"/>
          <w:highlight w:val="none"/>
          <w:lang w:eastAsia="zh-CN"/>
        </w:rPr>
      </w:pPr>
      <w:r>
        <w:rPr>
          <w:rFonts w:hint="eastAsia"/>
          <w:color w:val="auto"/>
          <w:highlight w:val="none"/>
          <w:lang w:eastAsia="zh-CN"/>
        </w:rPr>
        <w:t>⑤项目与相关部门同类项目或部门内部相关项目</w:t>
      </w:r>
      <w:r>
        <w:rPr>
          <w:rFonts w:hint="eastAsia"/>
          <w:color w:val="auto"/>
          <w:highlight w:val="none"/>
          <w:lang w:val="en-US" w:eastAsia="zh-CN"/>
        </w:rPr>
        <w:t>不</w:t>
      </w:r>
      <w:r>
        <w:rPr>
          <w:rFonts w:hint="eastAsia"/>
          <w:color w:val="auto"/>
          <w:highlight w:val="none"/>
          <w:lang w:eastAsia="zh-CN"/>
        </w:rPr>
        <w:t>重复。</w:t>
      </w:r>
    </w:p>
    <w:p w14:paraId="6D28B93D">
      <w:pPr>
        <w:bidi w:val="0"/>
        <w:rPr>
          <w:rFonts w:hint="default"/>
          <w:color w:val="auto"/>
          <w:highlight w:val="none"/>
          <w:lang w:val="en-US" w:eastAsia="zh-CN"/>
        </w:rPr>
      </w:pPr>
      <w:r>
        <w:rPr>
          <w:rFonts w:hint="eastAsia"/>
          <w:b/>
          <w:bCs/>
          <w:color w:val="auto"/>
          <w:highlight w:val="none"/>
          <w:lang w:val="en-US" w:eastAsia="zh-CN"/>
        </w:rPr>
        <w:t>综上，该项指标满分2分，得分2分。</w:t>
      </w:r>
    </w:p>
    <w:p w14:paraId="0491B23C">
      <w:pPr>
        <w:bidi w:val="0"/>
        <w:outlineLvl w:val="2"/>
        <w:rPr>
          <w:rFonts w:hint="default"/>
          <w:b/>
          <w:bCs/>
          <w:color w:val="auto"/>
          <w:highlight w:val="none"/>
          <w:lang w:val="en-US" w:eastAsia="zh-CN"/>
        </w:rPr>
      </w:pPr>
      <w:bookmarkStart w:id="59" w:name="_Toc21976"/>
      <w:r>
        <w:rPr>
          <w:rFonts w:hint="eastAsia"/>
          <w:b/>
          <w:bCs/>
          <w:color w:val="auto"/>
          <w:highlight w:val="none"/>
          <w:lang w:val="en-US" w:eastAsia="zh-CN"/>
        </w:rPr>
        <w:t>2.立项程序规范性</w:t>
      </w:r>
      <w:bookmarkEnd w:id="59"/>
    </w:p>
    <w:p w14:paraId="34E0A02E">
      <w:pPr>
        <w:bidi w:val="0"/>
        <w:rPr>
          <w:rFonts w:hint="eastAsia"/>
          <w:color w:val="auto"/>
          <w:highlight w:val="none"/>
          <w:lang w:eastAsia="zh-CN"/>
        </w:rPr>
      </w:pPr>
      <w:r>
        <w:rPr>
          <w:rFonts w:hint="eastAsia"/>
          <w:color w:val="auto"/>
          <w:highlight w:val="none"/>
          <w:lang w:eastAsia="zh-CN"/>
        </w:rPr>
        <w:t>①项目按照规定的程序申请设立；</w:t>
      </w:r>
    </w:p>
    <w:p w14:paraId="5057A70A">
      <w:pPr>
        <w:bidi w:val="0"/>
        <w:rPr>
          <w:rFonts w:hint="eastAsia"/>
          <w:color w:val="auto"/>
          <w:highlight w:val="none"/>
          <w:lang w:eastAsia="zh-CN"/>
        </w:rPr>
      </w:pPr>
      <w:r>
        <w:rPr>
          <w:rFonts w:hint="eastAsia"/>
          <w:color w:val="auto"/>
          <w:highlight w:val="none"/>
          <w:lang w:eastAsia="zh-CN"/>
        </w:rPr>
        <w:t>②审批文件、材料符合相关要求；</w:t>
      </w:r>
    </w:p>
    <w:p w14:paraId="56198788">
      <w:pPr>
        <w:bidi w:val="0"/>
        <w:rPr>
          <w:rFonts w:hint="default"/>
          <w:color w:val="auto"/>
          <w:highlight w:val="none"/>
          <w:lang w:val="en-US" w:eastAsia="zh-CN"/>
        </w:rPr>
      </w:pPr>
      <w:r>
        <w:rPr>
          <w:rFonts w:hint="eastAsia"/>
          <w:color w:val="auto"/>
          <w:highlight w:val="none"/>
          <w:lang w:eastAsia="zh-CN"/>
        </w:rPr>
        <w:t>③事前经过必要的可行性研究、专家论证、集体决策，未进行风险评估、绩效评估，扣</w:t>
      </w:r>
      <w:r>
        <w:rPr>
          <w:rFonts w:hint="eastAsia"/>
          <w:color w:val="auto"/>
          <w:highlight w:val="none"/>
          <w:lang w:val="en-US" w:eastAsia="zh-CN"/>
        </w:rPr>
        <w:t>0.4分。</w:t>
      </w:r>
    </w:p>
    <w:p w14:paraId="40ED3513">
      <w:pPr>
        <w:bidi w:val="0"/>
        <w:rPr>
          <w:rFonts w:hint="eastAsia"/>
          <w:color w:val="auto"/>
          <w:highlight w:val="none"/>
          <w:lang w:eastAsia="zh-CN"/>
        </w:rPr>
      </w:pPr>
      <w:r>
        <w:rPr>
          <w:rFonts w:hint="eastAsia"/>
          <w:b/>
          <w:bCs/>
          <w:color w:val="auto"/>
          <w:highlight w:val="none"/>
          <w:lang w:val="en-US" w:eastAsia="zh-CN"/>
        </w:rPr>
        <w:t>综上，该项指标满分3分，得分2.6分。</w:t>
      </w:r>
    </w:p>
    <w:p w14:paraId="5AD16C71">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14:paraId="30F92501">
      <w:pPr>
        <w:bidi w:val="0"/>
        <w:rPr>
          <w:rFonts w:hint="eastAsia"/>
          <w:color w:val="auto"/>
          <w:highlight w:val="none"/>
          <w:lang w:eastAsia="zh-CN"/>
        </w:rPr>
      </w:pPr>
      <w:r>
        <w:rPr>
          <w:rFonts w:hint="eastAsia"/>
          <w:color w:val="auto"/>
          <w:highlight w:val="none"/>
          <w:lang w:eastAsia="zh-CN"/>
        </w:rPr>
        <w:t>①项目有绩效目标；</w:t>
      </w:r>
    </w:p>
    <w:p w14:paraId="74BDB0DB">
      <w:pPr>
        <w:bidi w:val="0"/>
        <w:rPr>
          <w:rFonts w:hint="eastAsia"/>
          <w:color w:val="auto"/>
          <w:highlight w:val="none"/>
          <w:lang w:eastAsia="zh-CN"/>
        </w:rPr>
      </w:pPr>
      <w:r>
        <w:rPr>
          <w:rFonts w:hint="eastAsia"/>
          <w:color w:val="auto"/>
          <w:highlight w:val="none"/>
          <w:lang w:eastAsia="zh-CN"/>
        </w:rPr>
        <w:t>②项目绩效目标与实际工作内容具有相关性；</w:t>
      </w:r>
    </w:p>
    <w:p w14:paraId="3EBAA9C3">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14:paraId="79F7F373">
      <w:pPr>
        <w:bidi w:val="0"/>
        <w:rPr>
          <w:rFonts w:hint="eastAsia"/>
          <w:color w:val="auto"/>
          <w:highlight w:val="none"/>
          <w:lang w:eastAsia="zh-CN"/>
        </w:rPr>
      </w:pPr>
      <w:r>
        <w:rPr>
          <w:rFonts w:hint="eastAsia"/>
          <w:color w:val="auto"/>
          <w:highlight w:val="none"/>
          <w:lang w:eastAsia="zh-CN"/>
        </w:rPr>
        <w:t>④与预算确定的项目投资额或资金量相匹配。</w:t>
      </w:r>
    </w:p>
    <w:p w14:paraId="1B4E2C57">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004B6068">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14:paraId="24FFEEB6">
      <w:pPr>
        <w:bidi w:val="0"/>
        <w:rPr>
          <w:rFonts w:hint="default"/>
          <w:color w:val="auto"/>
          <w:highlight w:val="none"/>
          <w:lang w:val="en-US" w:eastAsia="zh-CN"/>
        </w:rPr>
      </w:pPr>
      <w:r>
        <w:rPr>
          <w:rFonts w:hint="eastAsia"/>
          <w:color w:val="auto"/>
          <w:highlight w:val="none"/>
          <w:lang w:eastAsia="zh-CN"/>
        </w:rPr>
        <w:t>①将项目绩效目标细化分解为具体的绩效指标，一级指标</w:t>
      </w:r>
      <w:r>
        <w:rPr>
          <w:rFonts w:hint="eastAsia"/>
          <w:color w:val="auto"/>
          <w:highlight w:val="none"/>
          <w:lang w:val="en-US" w:eastAsia="zh-CN"/>
        </w:rPr>
        <w:t>3个，二级指标5个，三级指标8个。</w:t>
      </w:r>
    </w:p>
    <w:p w14:paraId="60D485DE">
      <w:pPr>
        <w:bidi w:val="0"/>
        <w:rPr>
          <w:rFonts w:hint="default"/>
          <w:color w:val="auto"/>
          <w:highlight w:val="none"/>
          <w:lang w:val="en-US" w:eastAsia="zh-CN"/>
        </w:rPr>
      </w:pPr>
      <w:r>
        <w:rPr>
          <w:rFonts w:hint="eastAsia"/>
          <w:color w:val="auto"/>
          <w:highlight w:val="none"/>
          <w:lang w:eastAsia="zh-CN"/>
        </w:rPr>
        <w:t>②通过清晰、可衡量的指标值予以体现，量化率到到</w:t>
      </w:r>
      <w:r>
        <w:rPr>
          <w:rFonts w:hint="eastAsia"/>
          <w:color w:val="auto"/>
          <w:highlight w:val="none"/>
          <w:lang w:val="en-US" w:eastAsia="zh-CN"/>
        </w:rPr>
        <w:t>75%。</w:t>
      </w:r>
    </w:p>
    <w:p w14:paraId="1671BC43">
      <w:pPr>
        <w:bidi w:val="0"/>
        <w:rPr>
          <w:rFonts w:hint="eastAsia"/>
          <w:color w:val="auto"/>
          <w:highlight w:val="none"/>
          <w:lang w:eastAsia="zh-CN"/>
        </w:rPr>
      </w:pPr>
      <w:r>
        <w:rPr>
          <w:rFonts w:hint="eastAsia"/>
          <w:color w:val="auto"/>
          <w:highlight w:val="none"/>
          <w:lang w:eastAsia="zh-CN"/>
        </w:rPr>
        <w:t>③与项目目标任务数或计划数相对应。</w:t>
      </w:r>
    </w:p>
    <w:p w14:paraId="0235C82C">
      <w:pPr>
        <w:bidi w:val="0"/>
        <w:rPr>
          <w:rFonts w:hint="eastAsia"/>
          <w:color w:val="auto"/>
          <w:highlight w:val="none"/>
          <w:lang w:eastAsia="zh-CN"/>
        </w:rPr>
      </w:pPr>
      <w:r>
        <w:rPr>
          <w:rFonts w:hint="eastAsia"/>
          <w:b/>
          <w:bCs/>
          <w:color w:val="auto"/>
          <w:highlight w:val="none"/>
          <w:lang w:val="en-US" w:eastAsia="zh-CN"/>
        </w:rPr>
        <w:t>综上，该项指标满分5分，得分5分。</w:t>
      </w:r>
    </w:p>
    <w:p w14:paraId="29E4F0CA">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14:paraId="509A09B5">
      <w:pPr>
        <w:bidi w:val="0"/>
        <w:rPr>
          <w:rFonts w:hint="eastAsia"/>
          <w:color w:val="auto"/>
          <w:highlight w:val="none"/>
          <w:lang w:eastAsia="zh-CN"/>
        </w:rPr>
      </w:pPr>
      <w:r>
        <w:rPr>
          <w:rFonts w:hint="eastAsia"/>
          <w:color w:val="auto"/>
          <w:highlight w:val="none"/>
          <w:lang w:eastAsia="zh-CN"/>
        </w:rPr>
        <w:t>①预算编制经过科学论证；</w:t>
      </w:r>
    </w:p>
    <w:p w14:paraId="42B85005">
      <w:pPr>
        <w:bidi w:val="0"/>
        <w:rPr>
          <w:rFonts w:hint="eastAsia"/>
          <w:color w:val="auto"/>
          <w:highlight w:val="none"/>
          <w:lang w:eastAsia="zh-CN"/>
        </w:rPr>
      </w:pPr>
      <w:r>
        <w:rPr>
          <w:rFonts w:hint="eastAsia"/>
          <w:color w:val="auto"/>
          <w:highlight w:val="none"/>
          <w:lang w:eastAsia="zh-CN"/>
        </w:rPr>
        <w:t>②预算内容与项目内容匹配；</w:t>
      </w:r>
    </w:p>
    <w:p w14:paraId="23DE8C6A">
      <w:pPr>
        <w:bidi w:val="0"/>
        <w:rPr>
          <w:rFonts w:hint="eastAsia"/>
          <w:color w:val="auto"/>
          <w:highlight w:val="none"/>
          <w:lang w:eastAsia="zh-CN"/>
        </w:rPr>
      </w:pPr>
      <w:r>
        <w:rPr>
          <w:rFonts w:hint="eastAsia"/>
          <w:color w:val="auto"/>
          <w:highlight w:val="none"/>
          <w:lang w:eastAsia="zh-CN"/>
        </w:rPr>
        <w:t>③预算额度测算依据充分，按照标准编制；</w:t>
      </w:r>
    </w:p>
    <w:p w14:paraId="61BB5B56">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14:paraId="6A4A6A76">
      <w:pPr>
        <w:bidi w:val="0"/>
        <w:rPr>
          <w:rFonts w:hint="eastAsia"/>
          <w:color w:val="auto"/>
          <w:highlight w:val="none"/>
          <w:lang w:eastAsia="zh-CN"/>
        </w:rPr>
      </w:pPr>
      <w:r>
        <w:rPr>
          <w:rFonts w:hint="eastAsia"/>
          <w:b/>
          <w:bCs/>
          <w:color w:val="auto"/>
          <w:highlight w:val="none"/>
          <w:lang w:val="en-US" w:eastAsia="zh-CN"/>
        </w:rPr>
        <w:t>综上，该项指标满分2分，得分2分。</w:t>
      </w:r>
    </w:p>
    <w:p w14:paraId="5AA6B3C8">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14:paraId="3D8CC3D4">
      <w:pPr>
        <w:bidi w:val="0"/>
        <w:rPr>
          <w:rFonts w:hint="eastAsia"/>
          <w:color w:val="auto"/>
          <w:highlight w:val="none"/>
          <w:lang w:eastAsia="zh-CN"/>
        </w:rPr>
      </w:pPr>
      <w:r>
        <w:rPr>
          <w:rFonts w:hint="eastAsia"/>
          <w:color w:val="auto"/>
          <w:highlight w:val="none"/>
          <w:lang w:eastAsia="zh-CN"/>
        </w:rPr>
        <w:t>①预算资金分配依据充分；</w:t>
      </w:r>
    </w:p>
    <w:p w14:paraId="2D12BE85">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14:paraId="1AEA388A">
      <w:pPr>
        <w:bidi w:val="0"/>
        <w:rPr>
          <w:rFonts w:hint="eastAsia"/>
          <w:color w:val="auto"/>
          <w:highlight w:val="none"/>
          <w:lang w:eastAsia="zh-CN"/>
        </w:rPr>
      </w:pPr>
      <w:r>
        <w:rPr>
          <w:rFonts w:hint="eastAsia"/>
          <w:b/>
          <w:bCs/>
          <w:color w:val="auto"/>
          <w:highlight w:val="none"/>
          <w:lang w:val="en-US" w:eastAsia="zh-CN"/>
        </w:rPr>
        <w:t>综上，该项指标满分3分，得分3分。</w:t>
      </w:r>
    </w:p>
    <w:p w14:paraId="7545B96B">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bookmarkStart w:id="64" w:name="_Toc11361"/>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bookmarkEnd w:id="64"/>
    </w:p>
    <w:p w14:paraId="2B8AEC42">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194C6135">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4B0A6CDA">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A702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73F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1BD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5A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6D45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371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163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9918D12">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98F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476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455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B6E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91AD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8E3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5CC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6F95710">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8BE7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965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ED7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B31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7411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1CA8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963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7AC70C50">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2E8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921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A1C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139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DF8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7DB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28C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AA61D3D">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E1F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C22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54F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E4C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B6A0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AEE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3C1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1DD7609">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E16E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ED4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4B0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5C7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90E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FDCF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EAA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6A20D851">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7AD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FDFC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466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9AF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A62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0EB65CD1">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14:paraId="43CA84D2">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131.38万元</w:t>
      </w:r>
      <w:r>
        <w:rPr>
          <w:rFonts w:hint="eastAsia"/>
          <w:color w:val="auto"/>
          <w:highlight w:val="none"/>
          <w:lang w:eastAsia="zh-CN"/>
        </w:rPr>
        <w:t>/</w:t>
      </w:r>
      <w:r>
        <w:rPr>
          <w:rFonts w:hint="eastAsia"/>
          <w:color w:val="auto"/>
          <w:highlight w:val="none"/>
          <w:lang w:val="en-US" w:eastAsia="zh-CN"/>
        </w:rPr>
        <w:t>131.38万元</w:t>
      </w:r>
      <w:r>
        <w:rPr>
          <w:rFonts w:hint="eastAsia"/>
          <w:color w:val="auto"/>
          <w:highlight w:val="none"/>
          <w:lang w:eastAsia="zh-CN"/>
        </w:rPr>
        <w:t>）×100%。</w:t>
      </w:r>
      <w:r>
        <w:rPr>
          <w:rFonts w:hint="eastAsia"/>
          <w:b/>
          <w:bCs/>
          <w:color w:val="auto"/>
          <w:highlight w:val="none"/>
          <w:lang w:val="en-US" w:eastAsia="zh-CN"/>
        </w:rPr>
        <w:t>=100%</w:t>
      </w:r>
    </w:p>
    <w:p w14:paraId="4A2F62F8">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7A8656FA">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14:paraId="42A5C381">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131.38万元</w:t>
      </w:r>
      <w:r>
        <w:rPr>
          <w:rFonts w:hint="eastAsia"/>
          <w:color w:val="auto"/>
          <w:highlight w:val="none"/>
          <w:lang w:eastAsia="zh-CN"/>
        </w:rPr>
        <w:t>/</w:t>
      </w:r>
      <w:r>
        <w:rPr>
          <w:rFonts w:hint="eastAsia"/>
          <w:color w:val="auto"/>
          <w:highlight w:val="none"/>
          <w:lang w:val="en-US" w:eastAsia="zh-CN"/>
        </w:rPr>
        <w:t>131.38万元</w:t>
      </w:r>
      <w:r>
        <w:rPr>
          <w:rFonts w:hint="eastAsia"/>
          <w:color w:val="auto"/>
          <w:highlight w:val="none"/>
          <w:lang w:eastAsia="zh-CN"/>
        </w:rPr>
        <w:t>）×100%。</w:t>
      </w:r>
      <w:r>
        <w:rPr>
          <w:rFonts w:hint="eastAsia"/>
          <w:b/>
          <w:bCs/>
          <w:color w:val="auto"/>
          <w:highlight w:val="none"/>
          <w:lang w:val="en-US" w:eastAsia="zh-CN"/>
        </w:rPr>
        <w:t>=100%</w:t>
      </w:r>
    </w:p>
    <w:p w14:paraId="03221AB1">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188EB6D3">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14:paraId="2F0462D5">
      <w:pPr>
        <w:bidi w:val="0"/>
        <w:rPr>
          <w:rFonts w:hint="eastAsia"/>
          <w:color w:val="auto"/>
          <w:highlight w:val="none"/>
          <w:lang w:eastAsia="zh-CN"/>
        </w:rPr>
      </w:pPr>
      <w:r>
        <w:rPr>
          <w:rFonts w:hint="eastAsia"/>
          <w:color w:val="auto"/>
          <w:highlight w:val="none"/>
          <w:lang w:eastAsia="zh-CN"/>
        </w:rPr>
        <w:t>①符合国家《</w:t>
      </w:r>
      <w:r>
        <w:rPr>
          <w:rFonts w:hint="eastAsia"/>
          <w:color w:val="auto"/>
          <w:highlight w:val="none"/>
          <w:lang w:val="en-US" w:eastAsia="zh-CN"/>
        </w:rPr>
        <w:t>政府会计准则</w:t>
      </w:r>
      <w:r>
        <w:rPr>
          <w:rFonts w:hint="eastAsia"/>
          <w:color w:val="auto"/>
          <w:highlight w:val="none"/>
          <w:lang w:eastAsia="zh-CN"/>
        </w:rPr>
        <w:t>》、《工程建设</w:t>
      </w:r>
      <w:r>
        <w:rPr>
          <w:rFonts w:hint="eastAsia"/>
          <w:color w:val="auto"/>
          <w:highlight w:val="none"/>
          <w:lang w:val="en-US" w:eastAsia="zh-CN"/>
        </w:rPr>
        <w:t>项目资金使用办法</w:t>
      </w:r>
      <w:r>
        <w:rPr>
          <w:rFonts w:hint="eastAsia"/>
          <w:color w:val="auto"/>
          <w:highlight w:val="none"/>
          <w:lang w:eastAsia="zh-CN"/>
        </w:rPr>
        <w:t>》以及有关专项资金管理办法的规定；</w:t>
      </w:r>
    </w:p>
    <w:p w14:paraId="141A7A0B">
      <w:pPr>
        <w:bidi w:val="0"/>
        <w:rPr>
          <w:rFonts w:hint="eastAsia"/>
          <w:color w:val="auto"/>
          <w:highlight w:val="none"/>
          <w:lang w:eastAsia="zh-CN"/>
        </w:rPr>
      </w:pPr>
      <w:r>
        <w:rPr>
          <w:rFonts w:hint="eastAsia"/>
          <w:color w:val="auto"/>
          <w:highlight w:val="none"/>
          <w:lang w:eastAsia="zh-CN"/>
        </w:rPr>
        <w:t>②资金的拨付有完整的审批程序和手续；</w:t>
      </w:r>
    </w:p>
    <w:p w14:paraId="3A8A30CD">
      <w:pPr>
        <w:bidi w:val="0"/>
        <w:rPr>
          <w:rFonts w:hint="eastAsia"/>
          <w:color w:val="auto"/>
          <w:highlight w:val="none"/>
          <w:lang w:eastAsia="zh-CN"/>
        </w:rPr>
      </w:pPr>
      <w:r>
        <w:rPr>
          <w:rFonts w:hint="eastAsia"/>
          <w:color w:val="auto"/>
          <w:highlight w:val="none"/>
          <w:lang w:eastAsia="zh-CN"/>
        </w:rPr>
        <w:t>③符合项目预算批复或合同规定的用途；</w:t>
      </w:r>
    </w:p>
    <w:p w14:paraId="73B8830D">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14:paraId="1F7338EB">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01CE2F2C">
      <w:pPr>
        <w:bidi w:val="0"/>
        <w:rPr>
          <w:rFonts w:hint="default"/>
          <w:b/>
          <w:bCs/>
          <w:color w:val="auto"/>
          <w:highlight w:val="none"/>
          <w:lang w:val="en-US" w:eastAsia="zh-CN"/>
        </w:rPr>
      </w:pPr>
      <w:r>
        <w:rPr>
          <w:rFonts w:hint="eastAsia"/>
          <w:b/>
          <w:bCs/>
          <w:color w:val="auto"/>
          <w:highlight w:val="none"/>
          <w:lang w:val="en-US" w:eastAsia="zh-CN"/>
        </w:rPr>
        <w:t>4.管理制度健全性</w:t>
      </w:r>
    </w:p>
    <w:p w14:paraId="6761D81C">
      <w:pPr>
        <w:bidi w:val="0"/>
        <w:rPr>
          <w:rFonts w:hint="eastAsia"/>
          <w:color w:val="auto"/>
          <w:highlight w:val="none"/>
          <w:lang w:eastAsia="zh-CN"/>
        </w:rPr>
      </w:pPr>
      <w:r>
        <w:rPr>
          <w:rFonts w:hint="eastAsia"/>
          <w:color w:val="auto"/>
          <w:highlight w:val="none"/>
          <w:lang w:eastAsia="zh-CN"/>
        </w:rPr>
        <w:t>①已制定或具有相应的《</w:t>
      </w:r>
      <w:r>
        <w:rPr>
          <w:rFonts w:hint="eastAsia"/>
          <w:color w:val="auto"/>
          <w:highlight w:val="none"/>
          <w:lang w:val="en-US" w:eastAsia="zh-CN"/>
        </w:rPr>
        <w:t>阜康市妇幼保健计划生育服务中心财务管理制度</w:t>
      </w:r>
      <w:r>
        <w:rPr>
          <w:rFonts w:hint="eastAsia"/>
          <w:color w:val="auto"/>
          <w:highlight w:val="none"/>
          <w:lang w:eastAsia="zh-CN"/>
        </w:rPr>
        <w:t>》、《工程建设</w:t>
      </w:r>
      <w:r>
        <w:rPr>
          <w:rFonts w:hint="eastAsia"/>
          <w:color w:val="auto"/>
          <w:highlight w:val="none"/>
          <w:lang w:val="en-US" w:eastAsia="zh-CN"/>
        </w:rPr>
        <w:t>项目资金使用办法</w:t>
      </w:r>
      <w:r>
        <w:rPr>
          <w:rFonts w:hint="eastAsia"/>
          <w:color w:val="auto"/>
          <w:highlight w:val="none"/>
          <w:lang w:eastAsia="zh-CN"/>
        </w:rPr>
        <w:t>》；</w:t>
      </w:r>
    </w:p>
    <w:p w14:paraId="19597932">
      <w:pPr>
        <w:bidi w:val="0"/>
        <w:rPr>
          <w:rFonts w:hint="eastAsia"/>
          <w:color w:val="auto"/>
          <w:highlight w:val="none"/>
          <w:lang w:eastAsia="zh-CN"/>
        </w:rPr>
      </w:pPr>
      <w:r>
        <w:rPr>
          <w:rFonts w:hint="eastAsia"/>
          <w:color w:val="auto"/>
          <w:highlight w:val="none"/>
          <w:lang w:eastAsia="zh-CN"/>
        </w:rPr>
        <w:t>②财务和业务管理制度合法、合规、完整。</w:t>
      </w:r>
    </w:p>
    <w:p w14:paraId="52E70DE9">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1BD0D4E7">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14:paraId="0867DBC4">
      <w:pPr>
        <w:bidi w:val="0"/>
        <w:rPr>
          <w:rFonts w:hint="eastAsia"/>
          <w:color w:val="auto"/>
          <w:highlight w:val="none"/>
          <w:lang w:eastAsia="zh-CN"/>
        </w:rPr>
      </w:pPr>
      <w:r>
        <w:rPr>
          <w:rFonts w:hint="eastAsia"/>
          <w:color w:val="auto"/>
          <w:highlight w:val="none"/>
          <w:lang w:eastAsia="zh-CN"/>
        </w:rPr>
        <w:t>①遵守相关法律法规和相关管理规定；</w:t>
      </w:r>
    </w:p>
    <w:p w14:paraId="6BECDA2B">
      <w:pPr>
        <w:bidi w:val="0"/>
        <w:rPr>
          <w:rFonts w:hint="eastAsia"/>
          <w:color w:val="auto"/>
          <w:highlight w:val="none"/>
          <w:lang w:eastAsia="zh-CN"/>
        </w:rPr>
      </w:pPr>
      <w:r>
        <w:rPr>
          <w:rFonts w:hint="eastAsia"/>
          <w:color w:val="auto"/>
          <w:highlight w:val="none"/>
          <w:lang w:eastAsia="zh-CN"/>
        </w:rPr>
        <w:t>②项目</w:t>
      </w:r>
      <w:r>
        <w:rPr>
          <w:rFonts w:hint="eastAsia"/>
          <w:color w:val="auto"/>
          <w:highlight w:val="none"/>
          <w:lang w:val="en-US" w:eastAsia="zh-CN"/>
        </w:rPr>
        <w:t>未调整</w:t>
      </w:r>
      <w:r>
        <w:rPr>
          <w:rFonts w:hint="eastAsia"/>
          <w:color w:val="auto"/>
          <w:highlight w:val="none"/>
          <w:lang w:eastAsia="zh-CN"/>
        </w:rPr>
        <w:t>；</w:t>
      </w:r>
    </w:p>
    <w:p w14:paraId="298F7E0B">
      <w:pPr>
        <w:bidi w:val="0"/>
        <w:rPr>
          <w:rFonts w:hint="eastAsia"/>
          <w:color w:val="auto"/>
          <w:highlight w:val="none"/>
          <w:lang w:eastAsia="zh-CN"/>
        </w:rPr>
      </w:pPr>
      <w:r>
        <w:rPr>
          <w:rFonts w:hint="eastAsia"/>
          <w:color w:val="auto"/>
          <w:highlight w:val="none"/>
          <w:lang w:eastAsia="zh-CN"/>
        </w:rPr>
        <w:t>③项目合同书、验收报告、审计报告等资料齐全并及时归档；</w:t>
      </w:r>
    </w:p>
    <w:p w14:paraId="22C3D668">
      <w:pPr>
        <w:bidi w:val="0"/>
        <w:rPr>
          <w:rFonts w:hint="eastAsia"/>
          <w:color w:val="auto"/>
          <w:highlight w:val="none"/>
          <w:lang w:eastAsia="zh-CN"/>
        </w:rPr>
      </w:pPr>
      <w:r>
        <w:rPr>
          <w:rFonts w:hint="eastAsia"/>
          <w:color w:val="auto"/>
          <w:highlight w:val="none"/>
          <w:lang w:eastAsia="zh-CN"/>
        </w:rPr>
        <w:t>④项目实施</w:t>
      </w:r>
      <w:r>
        <w:rPr>
          <w:rFonts w:hint="eastAsia" w:cs="宋体"/>
          <w:b w:val="0"/>
          <w:bCs w:val="0"/>
          <w:color w:val="auto"/>
          <w:kern w:val="2"/>
          <w:sz w:val="28"/>
          <w:szCs w:val="28"/>
          <w:highlight w:val="none"/>
          <w:shd w:val="clear" w:color="auto" w:fill="auto"/>
          <w:lang w:val="en-US" w:eastAsia="zh-CN" w:bidi="ar-SA"/>
        </w:rPr>
        <w:t>的施工、监理、跟踪审计人员到场</w:t>
      </w:r>
      <w:r>
        <w:rPr>
          <w:rFonts w:hint="eastAsia"/>
          <w:color w:val="auto"/>
          <w:highlight w:val="none"/>
          <w:shd w:val="clear"/>
          <w:lang w:eastAsia="zh-CN"/>
        </w:rPr>
        <w:t>、施工设备、</w:t>
      </w:r>
      <w:r>
        <w:rPr>
          <w:rFonts w:hint="eastAsia"/>
          <w:color w:val="auto"/>
          <w:highlight w:val="none"/>
          <w:shd w:val="clear"/>
          <w:lang w:val="en-US" w:eastAsia="zh-CN"/>
        </w:rPr>
        <w:t>信息化系统</w:t>
      </w:r>
      <w:r>
        <w:rPr>
          <w:rFonts w:hint="eastAsia"/>
          <w:color w:val="auto"/>
          <w:highlight w:val="none"/>
          <w:shd w:val="clear"/>
          <w:lang w:eastAsia="zh-CN"/>
        </w:rPr>
        <w:t>等落实到</w:t>
      </w:r>
      <w:r>
        <w:rPr>
          <w:rFonts w:hint="eastAsia"/>
          <w:color w:val="auto"/>
          <w:highlight w:val="none"/>
          <w:lang w:eastAsia="zh-CN"/>
        </w:rPr>
        <w:t>位。</w:t>
      </w:r>
    </w:p>
    <w:p w14:paraId="4A932C5E">
      <w:pPr>
        <w:bidi w:val="0"/>
        <w:rPr>
          <w:rFonts w:hint="eastAsia"/>
          <w:color w:val="auto"/>
          <w:highlight w:val="none"/>
          <w:lang w:eastAsia="zh-CN"/>
        </w:rPr>
      </w:pPr>
      <w:r>
        <w:rPr>
          <w:rFonts w:hint="eastAsia"/>
          <w:b/>
          <w:bCs/>
          <w:color w:val="auto"/>
          <w:highlight w:val="none"/>
          <w:lang w:val="en-US" w:eastAsia="zh-CN"/>
        </w:rPr>
        <w:t>综上，该项指标满分4分，得分4分。</w:t>
      </w:r>
    </w:p>
    <w:p w14:paraId="382B76B8">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69" w:name="_Toc16268"/>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bookmarkEnd w:id="69"/>
    </w:p>
    <w:p w14:paraId="6AD721A7">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28</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38E29CBA">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3BBA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634" w:type="dxa"/>
            <w:shd w:val="clear" w:color="auto" w:fill="auto"/>
            <w:tcMar>
              <w:top w:w="15" w:type="dxa"/>
              <w:left w:w="15" w:type="dxa"/>
              <w:right w:w="15" w:type="dxa"/>
            </w:tcMar>
            <w:vAlign w:val="center"/>
          </w:tcPr>
          <w:p w14:paraId="3EE21F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shd w:val="clear" w:color="auto" w:fill="auto"/>
            <w:tcMar>
              <w:top w:w="15" w:type="dxa"/>
              <w:left w:w="15" w:type="dxa"/>
              <w:right w:w="15" w:type="dxa"/>
            </w:tcMar>
            <w:vAlign w:val="center"/>
          </w:tcPr>
          <w:p w14:paraId="5B59D0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shd w:val="clear" w:color="auto" w:fill="auto"/>
            <w:tcMar>
              <w:top w:w="15" w:type="dxa"/>
              <w:left w:w="15" w:type="dxa"/>
              <w:right w:w="15" w:type="dxa"/>
            </w:tcMar>
            <w:vAlign w:val="center"/>
          </w:tcPr>
          <w:p w14:paraId="31508E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shd w:val="clear" w:color="auto" w:fill="auto"/>
            <w:tcMar>
              <w:top w:w="15" w:type="dxa"/>
              <w:left w:w="15" w:type="dxa"/>
              <w:right w:w="15" w:type="dxa"/>
            </w:tcMar>
            <w:vAlign w:val="center"/>
          </w:tcPr>
          <w:p w14:paraId="68D163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shd w:val="clear" w:color="auto" w:fill="auto"/>
            <w:tcMar>
              <w:top w:w="15" w:type="dxa"/>
              <w:left w:w="15" w:type="dxa"/>
              <w:right w:w="15" w:type="dxa"/>
            </w:tcMar>
            <w:vAlign w:val="center"/>
          </w:tcPr>
          <w:p w14:paraId="60CF03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shd w:val="clear" w:color="auto" w:fill="auto"/>
            <w:tcMar>
              <w:top w:w="15" w:type="dxa"/>
              <w:left w:w="15" w:type="dxa"/>
              <w:right w:w="15" w:type="dxa"/>
            </w:tcMar>
            <w:vAlign w:val="center"/>
          </w:tcPr>
          <w:p w14:paraId="17F104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shd w:val="clear" w:color="auto" w:fill="auto"/>
            <w:tcMar>
              <w:top w:w="15" w:type="dxa"/>
              <w:left w:w="15" w:type="dxa"/>
              <w:right w:w="15" w:type="dxa"/>
            </w:tcMar>
            <w:vAlign w:val="center"/>
          </w:tcPr>
          <w:p w14:paraId="25823B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6829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restart"/>
            <w:shd w:val="clear" w:color="auto" w:fill="auto"/>
            <w:tcMar>
              <w:top w:w="15" w:type="dxa"/>
              <w:left w:w="15" w:type="dxa"/>
              <w:right w:w="15" w:type="dxa"/>
            </w:tcMar>
            <w:vAlign w:val="center"/>
          </w:tcPr>
          <w:p w14:paraId="3FB5C6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shd w:val="clear" w:color="auto" w:fill="auto"/>
            <w:tcMar>
              <w:top w:w="15" w:type="dxa"/>
              <w:left w:w="15" w:type="dxa"/>
              <w:right w:w="15" w:type="dxa"/>
            </w:tcMar>
            <w:vAlign w:val="center"/>
          </w:tcPr>
          <w:p w14:paraId="1EF5CF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shd w:val="clear" w:color="auto" w:fill="auto"/>
            <w:tcMar>
              <w:top w:w="15" w:type="dxa"/>
              <w:left w:w="15" w:type="dxa"/>
              <w:right w:w="15" w:type="dxa"/>
            </w:tcMar>
            <w:vAlign w:val="center"/>
          </w:tcPr>
          <w:p w14:paraId="6BD1EBC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改造面积</w:t>
            </w:r>
          </w:p>
        </w:tc>
        <w:tc>
          <w:tcPr>
            <w:tcW w:w="1437" w:type="dxa"/>
            <w:shd w:val="clear" w:color="auto" w:fill="auto"/>
            <w:tcMar>
              <w:top w:w="15" w:type="dxa"/>
              <w:left w:w="15" w:type="dxa"/>
              <w:right w:w="15" w:type="dxa"/>
            </w:tcMar>
            <w:vAlign w:val="center"/>
          </w:tcPr>
          <w:p w14:paraId="70BF00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'=9025.25平方米</w:t>
            </w:r>
          </w:p>
        </w:tc>
        <w:tc>
          <w:tcPr>
            <w:tcW w:w="558" w:type="dxa"/>
            <w:shd w:val="clear" w:color="auto" w:fill="auto"/>
            <w:tcMar>
              <w:top w:w="15" w:type="dxa"/>
              <w:left w:w="15" w:type="dxa"/>
              <w:right w:w="15" w:type="dxa"/>
            </w:tcMar>
            <w:vAlign w:val="center"/>
          </w:tcPr>
          <w:p w14:paraId="68CFA2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shd w:val="clear" w:color="auto" w:fill="auto"/>
            <w:tcMar>
              <w:top w:w="15" w:type="dxa"/>
              <w:left w:w="15" w:type="dxa"/>
              <w:right w:w="15" w:type="dxa"/>
            </w:tcMar>
            <w:vAlign w:val="center"/>
          </w:tcPr>
          <w:p w14:paraId="6E6D244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9025.25平方米</w:t>
            </w:r>
          </w:p>
        </w:tc>
        <w:tc>
          <w:tcPr>
            <w:tcW w:w="631" w:type="dxa"/>
            <w:shd w:val="clear" w:color="auto" w:fill="auto"/>
            <w:tcMar>
              <w:top w:w="15" w:type="dxa"/>
              <w:left w:w="15" w:type="dxa"/>
              <w:right w:w="15" w:type="dxa"/>
            </w:tcMar>
            <w:vAlign w:val="center"/>
          </w:tcPr>
          <w:p w14:paraId="1CEF1D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623E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continue"/>
            <w:shd w:val="clear" w:color="auto" w:fill="auto"/>
            <w:tcMar>
              <w:top w:w="15" w:type="dxa"/>
              <w:left w:w="15" w:type="dxa"/>
              <w:right w:w="15" w:type="dxa"/>
            </w:tcMar>
            <w:vAlign w:val="center"/>
          </w:tcPr>
          <w:p w14:paraId="2135D3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472800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24F8D7D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改造层数</w:t>
            </w:r>
          </w:p>
        </w:tc>
        <w:tc>
          <w:tcPr>
            <w:tcW w:w="1437" w:type="dxa"/>
            <w:shd w:val="clear" w:color="auto" w:fill="auto"/>
            <w:tcMar>
              <w:top w:w="15" w:type="dxa"/>
              <w:left w:w="15" w:type="dxa"/>
              <w:right w:w="15" w:type="dxa"/>
            </w:tcMar>
            <w:vAlign w:val="center"/>
          </w:tcPr>
          <w:p w14:paraId="3233F1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'=6层</w:t>
            </w:r>
          </w:p>
        </w:tc>
        <w:tc>
          <w:tcPr>
            <w:tcW w:w="558" w:type="dxa"/>
            <w:shd w:val="clear" w:color="auto" w:fill="auto"/>
            <w:tcMar>
              <w:top w:w="15" w:type="dxa"/>
              <w:left w:w="15" w:type="dxa"/>
              <w:right w:w="15" w:type="dxa"/>
            </w:tcMar>
            <w:vAlign w:val="center"/>
          </w:tcPr>
          <w:p w14:paraId="28BDA8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shd w:val="clear" w:color="auto" w:fill="auto"/>
            <w:tcMar>
              <w:top w:w="15" w:type="dxa"/>
              <w:left w:w="15" w:type="dxa"/>
              <w:right w:w="15" w:type="dxa"/>
            </w:tcMar>
            <w:vAlign w:val="center"/>
          </w:tcPr>
          <w:p w14:paraId="60A16D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6层</w:t>
            </w:r>
          </w:p>
        </w:tc>
        <w:tc>
          <w:tcPr>
            <w:tcW w:w="631" w:type="dxa"/>
            <w:shd w:val="clear" w:color="auto" w:fill="auto"/>
            <w:tcMar>
              <w:top w:w="15" w:type="dxa"/>
              <w:left w:w="15" w:type="dxa"/>
              <w:right w:w="15" w:type="dxa"/>
            </w:tcMar>
            <w:vAlign w:val="center"/>
          </w:tcPr>
          <w:p w14:paraId="6EAB72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7705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continue"/>
            <w:shd w:val="clear" w:color="auto" w:fill="auto"/>
            <w:tcMar>
              <w:top w:w="15" w:type="dxa"/>
              <w:left w:w="15" w:type="dxa"/>
              <w:right w:w="15" w:type="dxa"/>
            </w:tcMar>
            <w:vAlign w:val="center"/>
          </w:tcPr>
          <w:p w14:paraId="33D1C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shd w:val="clear" w:color="auto" w:fill="auto"/>
            <w:tcMar>
              <w:top w:w="15" w:type="dxa"/>
              <w:left w:w="15" w:type="dxa"/>
              <w:right w:w="15" w:type="dxa"/>
            </w:tcMar>
            <w:vAlign w:val="center"/>
          </w:tcPr>
          <w:p w14:paraId="63B8A5A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shd w:val="clear" w:color="auto" w:fill="auto"/>
            <w:tcMar>
              <w:top w:w="15" w:type="dxa"/>
              <w:left w:w="15" w:type="dxa"/>
              <w:right w:w="15" w:type="dxa"/>
            </w:tcMar>
            <w:vAlign w:val="center"/>
          </w:tcPr>
          <w:p w14:paraId="7C0491A3">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工程质量合格率</w:t>
            </w:r>
          </w:p>
        </w:tc>
        <w:tc>
          <w:tcPr>
            <w:tcW w:w="1437" w:type="dxa"/>
            <w:shd w:val="clear" w:color="auto" w:fill="auto"/>
            <w:tcMar>
              <w:top w:w="15" w:type="dxa"/>
              <w:left w:w="15" w:type="dxa"/>
              <w:right w:w="15" w:type="dxa"/>
            </w:tcMar>
            <w:vAlign w:val="center"/>
          </w:tcPr>
          <w:p w14:paraId="3BEFCD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10</w:t>
            </w:r>
            <w:r>
              <w:rPr>
                <w:rFonts w:hint="eastAsia" w:ascii="宋体" w:hAnsi="宋体" w:eastAsia="宋体" w:cs="宋体"/>
                <w:color w:val="auto"/>
                <w:kern w:val="0"/>
                <w:sz w:val="20"/>
                <w:szCs w:val="20"/>
                <w:highlight w:val="none"/>
                <w:shd w:val="clear" w:color="auto" w:fill="auto"/>
                <w:lang w:val="en-US" w:eastAsia="zh-CN"/>
              </w:rPr>
              <w:t>0%</w:t>
            </w:r>
          </w:p>
        </w:tc>
        <w:tc>
          <w:tcPr>
            <w:tcW w:w="558" w:type="dxa"/>
            <w:shd w:val="clear" w:color="auto" w:fill="auto"/>
            <w:tcMar>
              <w:top w:w="15" w:type="dxa"/>
              <w:left w:w="15" w:type="dxa"/>
              <w:right w:w="15" w:type="dxa"/>
            </w:tcMar>
            <w:vAlign w:val="center"/>
          </w:tcPr>
          <w:p w14:paraId="4ADD07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365" w:type="dxa"/>
            <w:shd w:val="clear" w:color="auto" w:fill="auto"/>
            <w:tcMar>
              <w:top w:w="15" w:type="dxa"/>
              <w:left w:w="15" w:type="dxa"/>
              <w:right w:w="15" w:type="dxa"/>
            </w:tcMar>
            <w:vAlign w:val="center"/>
          </w:tcPr>
          <w:p w14:paraId="6D138D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shd w:val="clear" w:color="auto" w:fill="auto"/>
            <w:tcMar>
              <w:top w:w="15" w:type="dxa"/>
              <w:left w:w="15" w:type="dxa"/>
              <w:right w:w="15" w:type="dxa"/>
            </w:tcMar>
            <w:vAlign w:val="center"/>
          </w:tcPr>
          <w:p w14:paraId="6D01E6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14:paraId="1AD6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634" w:type="dxa"/>
            <w:vMerge w:val="continue"/>
            <w:shd w:val="clear" w:color="auto" w:fill="auto"/>
            <w:tcMar>
              <w:top w:w="15" w:type="dxa"/>
              <w:left w:w="15" w:type="dxa"/>
              <w:right w:w="15" w:type="dxa"/>
            </w:tcMar>
            <w:vAlign w:val="center"/>
          </w:tcPr>
          <w:p w14:paraId="2F4311C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shd w:val="clear" w:color="auto" w:fill="auto"/>
            <w:tcMar>
              <w:top w:w="15" w:type="dxa"/>
              <w:left w:w="15" w:type="dxa"/>
              <w:right w:w="15" w:type="dxa"/>
            </w:tcMar>
            <w:vAlign w:val="center"/>
          </w:tcPr>
          <w:p w14:paraId="1CD0CC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shd w:val="clear" w:color="auto" w:fill="auto"/>
            <w:tcMar>
              <w:top w:w="15" w:type="dxa"/>
              <w:left w:w="15" w:type="dxa"/>
              <w:right w:w="15" w:type="dxa"/>
            </w:tcMar>
            <w:vAlign w:val="center"/>
          </w:tcPr>
          <w:p w14:paraId="15C4D4F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开工时间</w:t>
            </w:r>
          </w:p>
        </w:tc>
        <w:tc>
          <w:tcPr>
            <w:tcW w:w="1437" w:type="dxa"/>
            <w:shd w:val="clear" w:color="auto" w:fill="auto"/>
            <w:tcMar>
              <w:top w:w="15" w:type="dxa"/>
              <w:left w:w="15" w:type="dxa"/>
              <w:right w:w="15" w:type="dxa"/>
            </w:tcMar>
            <w:vAlign w:val="center"/>
          </w:tcPr>
          <w:p w14:paraId="649DA6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2019年5月</w:t>
            </w:r>
          </w:p>
        </w:tc>
        <w:tc>
          <w:tcPr>
            <w:tcW w:w="558" w:type="dxa"/>
            <w:shd w:val="clear" w:color="auto" w:fill="auto"/>
            <w:tcMar>
              <w:top w:w="15" w:type="dxa"/>
              <w:left w:w="15" w:type="dxa"/>
              <w:right w:w="15" w:type="dxa"/>
            </w:tcMar>
            <w:vAlign w:val="center"/>
          </w:tcPr>
          <w:p w14:paraId="5261BF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shd w:val="clear" w:color="auto" w:fill="auto"/>
            <w:tcMar>
              <w:top w:w="15" w:type="dxa"/>
              <w:left w:w="15" w:type="dxa"/>
              <w:right w:w="15" w:type="dxa"/>
            </w:tcMar>
            <w:vAlign w:val="center"/>
          </w:tcPr>
          <w:p w14:paraId="6567D96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2019年5月</w:t>
            </w:r>
          </w:p>
        </w:tc>
        <w:tc>
          <w:tcPr>
            <w:tcW w:w="631" w:type="dxa"/>
            <w:shd w:val="clear" w:color="auto" w:fill="auto"/>
            <w:tcMar>
              <w:top w:w="15" w:type="dxa"/>
              <w:left w:w="15" w:type="dxa"/>
              <w:right w:w="15" w:type="dxa"/>
            </w:tcMar>
            <w:vAlign w:val="center"/>
          </w:tcPr>
          <w:p w14:paraId="5EF6C4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74C6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634" w:type="dxa"/>
            <w:vMerge w:val="continue"/>
            <w:shd w:val="clear" w:color="auto" w:fill="auto"/>
            <w:tcMar>
              <w:top w:w="15" w:type="dxa"/>
              <w:left w:w="15" w:type="dxa"/>
              <w:right w:w="15" w:type="dxa"/>
            </w:tcMar>
            <w:vAlign w:val="center"/>
          </w:tcPr>
          <w:p w14:paraId="7CB3ED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255F9A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18323C3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完工时间</w:t>
            </w:r>
          </w:p>
        </w:tc>
        <w:tc>
          <w:tcPr>
            <w:tcW w:w="1437" w:type="dxa"/>
            <w:shd w:val="clear" w:color="auto" w:fill="auto"/>
            <w:tcMar>
              <w:top w:w="15" w:type="dxa"/>
              <w:left w:w="15" w:type="dxa"/>
              <w:right w:w="15" w:type="dxa"/>
            </w:tcMar>
            <w:vAlign w:val="center"/>
          </w:tcPr>
          <w:p w14:paraId="02D0F0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2019年10月</w:t>
            </w:r>
          </w:p>
        </w:tc>
        <w:tc>
          <w:tcPr>
            <w:tcW w:w="558" w:type="dxa"/>
            <w:shd w:val="clear" w:color="auto" w:fill="auto"/>
            <w:tcMar>
              <w:top w:w="15" w:type="dxa"/>
              <w:left w:w="15" w:type="dxa"/>
              <w:right w:w="15" w:type="dxa"/>
            </w:tcMar>
            <w:vAlign w:val="center"/>
          </w:tcPr>
          <w:p w14:paraId="3FA7BC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shd w:val="clear" w:color="auto" w:fill="auto"/>
            <w:tcMar>
              <w:top w:w="15" w:type="dxa"/>
              <w:left w:w="15" w:type="dxa"/>
              <w:right w:w="15" w:type="dxa"/>
            </w:tcMar>
            <w:vAlign w:val="center"/>
          </w:tcPr>
          <w:p w14:paraId="7455CA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2021年1月</w:t>
            </w:r>
          </w:p>
        </w:tc>
        <w:tc>
          <w:tcPr>
            <w:tcW w:w="631" w:type="dxa"/>
            <w:shd w:val="clear" w:color="auto" w:fill="auto"/>
            <w:tcMar>
              <w:top w:w="15" w:type="dxa"/>
              <w:left w:w="15" w:type="dxa"/>
              <w:right w:w="15" w:type="dxa"/>
            </w:tcMar>
            <w:vAlign w:val="center"/>
          </w:tcPr>
          <w:p w14:paraId="62DC739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6BB3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trPr>
        <w:tc>
          <w:tcPr>
            <w:tcW w:w="634" w:type="dxa"/>
            <w:vMerge w:val="continue"/>
            <w:shd w:val="clear" w:color="auto" w:fill="auto"/>
            <w:tcMar>
              <w:top w:w="15" w:type="dxa"/>
              <w:left w:w="15" w:type="dxa"/>
              <w:right w:w="15" w:type="dxa"/>
            </w:tcMar>
            <w:vAlign w:val="center"/>
          </w:tcPr>
          <w:p w14:paraId="7E62CA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shd w:val="clear" w:color="auto" w:fill="auto"/>
            <w:tcMar>
              <w:top w:w="15" w:type="dxa"/>
              <w:left w:w="15" w:type="dxa"/>
              <w:right w:w="15" w:type="dxa"/>
            </w:tcMar>
            <w:vAlign w:val="center"/>
          </w:tcPr>
          <w:p w14:paraId="58A0B2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shd w:val="clear" w:color="auto" w:fill="auto"/>
            <w:tcMar>
              <w:top w:w="15" w:type="dxa"/>
              <w:left w:w="15" w:type="dxa"/>
              <w:right w:w="15" w:type="dxa"/>
            </w:tcMar>
            <w:vAlign w:val="center"/>
          </w:tcPr>
          <w:p w14:paraId="2302209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项目总成本（万元）</w:t>
            </w:r>
          </w:p>
        </w:tc>
        <w:tc>
          <w:tcPr>
            <w:tcW w:w="1437" w:type="dxa"/>
            <w:shd w:val="clear" w:color="auto" w:fill="auto"/>
            <w:tcMar>
              <w:top w:w="15" w:type="dxa"/>
              <w:left w:w="15" w:type="dxa"/>
              <w:right w:w="15" w:type="dxa"/>
            </w:tcMar>
            <w:vAlign w:val="center"/>
          </w:tcPr>
          <w:p w14:paraId="107C92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131.38</w:t>
            </w:r>
            <w:r>
              <w:rPr>
                <w:rFonts w:hint="eastAsia" w:ascii="宋体" w:hAnsi="宋体" w:eastAsia="宋体" w:cs="宋体"/>
                <w:color w:val="auto"/>
                <w:kern w:val="0"/>
                <w:sz w:val="20"/>
                <w:szCs w:val="20"/>
                <w:highlight w:val="none"/>
                <w:shd w:val="clear" w:color="auto" w:fill="auto"/>
                <w:lang w:val="en-US" w:eastAsia="zh-CN"/>
              </w:rPr>
              <w:t>万元</w:t>
            </w:r>
          </w:p>
        </w:tc>
        <w:tc>
          <w:tcPr>
            <w:tcW w:w="558" w:type="dxa"/>
            <w:shd w:val="clear" w:color="auto" w:fill="auto"/>
            <w:tcMar>
              <w:top w:w="15" w:type="dxa"/>
              <w:left w:w="15" w:type="dxa"/>
              <w:right w:w="15" w:type="dxa"/>
            </w:tcMar>
            <w:vAlign w:val="center"/>
          </w:tcPr>
          <w:p w14:paraId="51B731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6</w:t>
            </w:r>
          </w:p>
        </w:tc>
        <w:tc>
          <w:tcPr>
            <w:tcW w:w="1365" w:type="dxa"/>
            <w:shd w:val="clear" w:color="auto" w:fill="auto"/>
            <w:tcMar>
              <w:top w:w="15" w:type="dxa"/>
              <w:left w:w="15" w:type="dxa"/>
              <w:right w:w="15" w:type="dxa"/>
            </w:tcMar>
            <w:vAlign w:val="center"/>
          </w:tcPr>
          <w:p w14:paraId="4B85793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131.38万元</w:t>
            </w:r>
          </w:p>
        </w:tc>
        <w:tc>
          <w:tcPr>
            <w:tcW w:w="631" w:type="dxa"/>
            <w:shd w:val="clear" w:color="auto" w:fill="auto"/>
            <w:tcMar>
              <w:top w:w="15" w:type="dxa"/>
              <w:left w:w="15" w:type="dxa"/>
              <w:right w:w="15" w:type="dxa"/>
            </w:tcMar>
            <w:vAlign w:val="center"/>
          </w:tcPr>
          <w:p w14:paraId="58BC6F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6</w:t>
            </w:r>
          </w:p>
        </w:tc>
      </w:tr>
      <w:tr w14:paraId="2CC9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rPr>
        <w:tc>
          <w:tcPr>
            <w:tcW w:w="5643" w:type="dxa"/>
            <w:gridSpan w:val="4"/>
            <w:shd w:val="clear" w:color="auto" w:fill="auto"/>
            <w:tcMar>
              <w:top w:w="15" w:type="dxa"/>
              <w:left w:w="15" w:type="dxa"/>
              <w:right w:w="15" w:type="dxa"/>
            </w:tcMar>
            <w:vAlign w:val="center"/>
          </w:tcPr>
          <w:p w14:paraId="2D940D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shd w:val="clear" w:color="auto" w:fill="auto"/>
            <w:tcMar>
              <w:top w:w="15" w:type="dxa"/>
              <w:left w:w="15" w:type="dxa"/>
              <w:right w:w="15" w:type="dxa"/>
            </w:tcMar>
            <w:vAlign w:val="center"/>
          </w:tcPr>
          <w:p w14:paraId="203A99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65" w:type="dxa"/>
            <w:shd w:val="clear" w:color="auto" w:fill="auto"/>
            <w:tcMar>
              <w:top w:w="15" w:type="dxa"/>
              <w:left w:w="15" w:type="dxa"/>
              <w:right w:w="15" w:type="dxa"/>
            </w:tcMar>
            <w:vAlign w:val="center"/>
          </w:tcPr>
          <w:p w14:paraId="74B102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shd w:val="clear" w:color="auto" w:fill="auto"/>
            <w:tcMar>
              <w:top w:w="15" w:type="dxa"/>
              <w:left w:w="15" w:type="dxa"/>
              <w:right w:w="15" w:type="dxa"/>
            </w:tcMar>
            <w:vAlign w:val="center"/>
          </w:tcPr>
          <w:p w14:paraId="62C8A2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09CF03AF">
      <w:pPr>
        <w:bidi w:val="0"/>
        <w:rPr>
          <w:rFonts w:hint="default"/>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14:paraId="717D8CB9">
      <w:pPr>
        <w:bidi w:val="0"/>
        <w:rPr>
          <w:rFonts w:hint="eastAsia"/>
          <w:color w:val="auto"/>
          <w:highlight w:val="none"/>
          <w:lang w:val="en-US" w:eastAsia="zh-CN"/>
        </w:rPr>
      </w:pPr>
      <w:r>
        <w:rPr>
          <w:rFonts w:hint="eastAsia"/>
          <w:color w:val="auto"/>
          <w:highlight w:val="none"/>
          <w:lang w:eastAsia="zh-CN"/>
        </w:rPr>
        <w:t>“</w:t>
      </w:r>
      <w:r>
        <w:rPr>
          <w:rFonts w:hint="eastAsia" w:cs="宋体"/>
          <w:color w:val="auto"/>
          <w:kern w:val="0"/>
          <w:sz w:val="28"/>
          <w:szCs w:val="28"/>
          <w:highlight w:val="none"/>
          <w:shd w:val="clear" w:color="auto" w:fill="auto"/>
          <w:lang w:val="en-US" w:eastAsia="zh-CN"/>
        </w:rPr>
        <w:t>改造面积</w:t>
      </w:r>
      <w:r>
        <w:rPr>
          <w:rFonts w:hint="eastAsia"/>
          <w:color w:val="auto"/>
          <w:highlight w:val="none"/>
          <w:lang w:eastAsia="zh-CN"/>
        </w:rPr>
        <w:t>”</w:t>
      </w:r>
      <w:r>
        <w:rPr>
          <w:rFonts w:hint="eastAsia"/>
          <w:color w:val="auto"/>
          <w:highlight w:val="none"/>
          <w:lang w:val="en-US" w:eastAsia="zh-CN"/>
        </w:rPr>
        <w:t>指标，预期目标值为</w:t>
      </w:r>
      <w:r>
        <w:rPr>
          <w:rFonts w:hint="eastAsia" w:cs="宋体"/>
          <w:color w:val="auto"/>
          <w:kern w:val="0"/>
          <w:sz w:val="28"/>
          <w:szCs w:val="28"/>
          <w:highlight w:val="none"/>
          <w:shd w:val="clear" w:color="auto" w:fill="auto"/>
          <w:lang w:val="en-US" w:eastAsia="zh-CN"/>
        </w:rPr>
        <w:t>=9025.25平方米</w:t>
      </w:r>
      <w:r>
        <w:rPr>
          <w:rFonts w:hint="eastAsia"/>
          <w:color w:val="auto"/>
          <w:highlight w:val="none"/>
          <w:lang w:val="en-US" w:eastAsia="zh-CN"/>
        </w:rPr>
        <w:t>，实际完成为</w:t>
      </w:r>
      <w:r>
        <w:rPr>
          <w:rFonts w:hint="eastAsia" w:cs="宋体"/>
          <w:color w:val="auto"/>
          <w:kern w:val="0"/>
          <w:sz w:val="28"/>
          <w:szCs w:val="28"/>
          <w:highlight w:val="none"/>
          <w:shd w:val="clear" w:color="auto" w:fill="auto"/>
          <w:lang w:val="en-US" w:eastAsia="zh-CN"/>
        </w:rPr>
        <w:t>9025.25平方米</w:t>
      </w:r>
      <w:r>
        <w:rPr>
          <w:rFonts w:hint="eastAsia"/>
          <w:color w:val="auto"/>
          <w:highlight w:val="none"/>
          <w:lang w:val="en-US" w:eastAsia="zh-CN"/>
        </w:rPr>
        <w:t>。实际完成率=（9025.25/9025.25）×100%=100%。</w:t>
      </w:r>
    </w:p>
    <w:p w14:paraId="148E738E">
      <w:pPr>
        <w:bidi w:val="0"/>
        <w:rPr>
          <w:rFonts w:hint="eastAsia"/>
          <w:color w:val="auto"/>
          <w:highlight w:val="none"/>
          <w:lang w:val="en-US" w:eastAsia="zh-CN"/>
        </w:rPr>
      </w:pPr>
      <w:r>
        <w:rPr>
          <w:rFonts w:hint="eastAsia"/>
          <w:color w:val="auto"/>
          <w:highlight w:val="none"/>
          <w:lang w:eastAsia="zh-CN"/>
        </w:rPr>
        <w:t>“</w:t>
      </w:r>
      <w:r>
        <w:rPr>
          <w:rFonts w:hint="eastAsia" w:cs="宋体"/>
          <w:color w:val="auto"/>
          <w:kern w:val="0"/>
          <w:sz w:val="28"/>
          <w:szCs w:val="28"/>
          <w:highlight w:val="none"/>
          <w:shd w:val="clear" w:color="auto" w:fill="auto"/>
          <w:lang w:val="en-US" w:eastAsia="zh-CN"/>
        </w:rPr>
        <w:t>改造层数</w:t>
      </w:r>
      <w:r>
        <w:rPr>
          <w:rFonts w:hint="eastAsia"/>
          <w:color w:val="auto"/>
          <w:highlight w:val="none"/>
          <w:lang w:eastAsia="zh-CN"/>
        </w:rPr>
        <w:t>”</w:t>
      </w:r>
      <w:r>
        <w:rPr>
          <w:rFonts w:hint="eastAsia"/>
          <w:color w:val="auto"/>
          <w:highlight w:val="none"/>
          <w:lang w:val="en-US" w:eastAsia="zh-CN"/>
        </w:rPr>
        <w:t>指标，预期目标值为</w:t>
      </w:r>
      <w:r>
        <w:rPr>
          <w:rFonts w:hint="eastAsia" w:cs="宋体"/>
          <w:color w:val="auto"/>
          <w:kern w:val="0"/>
          <w:sz w:val="28"/>
          <w:szCs w:val="28"/>
          <w:highlight w:val="none"/>
          <w:shd w:val="clear" w:color="auto" w:fill="auto"/>
          <w:lang w:val="en-US" w:eastAsia="zh-CN"/>
        </w:rPr>
        <w:t>=6层</w:t>
      </w:r>
      <w:r>
        <w:rPr>
          <w:rFonts w:hint="eastAsia"/>
          <w:color w:val="auto"/>
          <w:highlight w:val="none"/>
          <w:lang w:val="en-US" w:eastAsia="zh-CN"/>
        </w:rPr>
        <w:t>，实际完成为</w:t>
      </w:r>
      <w:r>
        <w:rPr>
          <w:rFonts w:hint="eastAsia" w:cs="宋体"/>
          <w:color w:val="auto"/>
          <w:kern w:val="0"/>
          <w:sz w:val="28"/>
          <w:szCs w:val="28"/>
          <w:highlight w:val="none"/>
          <w:shd w:val="clear" w:color="auto" w:fill="auto"/>
          <w:lang w:val="en-US" w:eastAsia="zh-CN"/>
        </w:rPr>
        <w:t>6层</w:t>
      </w:r>
      <w:r>
        <w:rPr>
          <w:rFonts w:hint="eastAsia"/>
          <w:color w:val="auto"/>
          <w:highlight w:val="none"/>
          <w:lang w:val="en-US" w:eastAsia="zh-CN"/>
        </w:rPr>
        <w:t>。实际完成率=（6/6）×100%=100%。</w:t>
      </w:r>
    </w:p>
    <w:p w14:paraId="54E0161D">
      <w:pPr>
        <w:bidi w:val="0"/>
        <w:rPr>
          <w:rFonts w:hint="eastAsia"/>
          <w:color w:val="auto"/>
          <w:highlight w:val="none"/>
          <w:lang w:eastAsia="zh-CN"/>
        </w:rPr>
      </w:pPr>
      <w:r>
        <w:rPr>
          <w:rFonts w:hint="eastAsia"/>
          <w:b/>
          <w:bCs/>
          <w:color w:val="auto"/>
          <w:highlight w:val="none"/>
          <w:lang w:val="en-US" w:eastAsia="zh-CN"/>
        </w:rPr>
        <w:t>综上，该项指标满分10分，得分10分。</w:t>
      </w:r>
    </w:p>
    <w:p w14:paraId="4786C00F">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14:paraId="2DB75F72">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cs="宋体"/>
          <w:color w:val="auto"/>
          <w:kern w:val="0"/>
          <w:sz w:val="28"/>
          <w:szCs w:val="28"/>
          <w:highlight w:val="none"/>
          <w:shd w:val="clear" w:color="auto" w:fill="auto"/>
          <w:lang w:val="en-US" w:eastAsia="zh-CN"/>
        </w:rPr>
        <w:t>工程质量合格率</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ascii="宋体" w:hAnsi="宋体" w:eastAsia="宋体" w:cs="宋体"/>
          <w:color w:val="auto"/>
          <w:kern w:val="0"/>
          <w:sz w:val="28"/>
          <w:szCs w:val="28"/>
          <w:highlight w:val="none"/>
          <w:shd w:val="clear" w:color="auto" w:fill="auto"/>
          <w:lang w:val="en-US" w:eastAsia="zh-CN"/>
        </w:rPr>
        <w:t>≥</w:t>
      </w:r>
      <w:r>
        <w:rPr>
          <w:rFonts w:hint="eastAsia" w:cs="宋体"/>
          <w:color w:val="auto"/>
          <w:kern w:val="0"/>
          <w:sz w:val="28"/>
          <w:szCs w:val="28"/>
          <w:highlight w:val="none"/>
          <w:shd w:val="clear" w:color="auto" w:fill="auto"/>
          <w:lang w:val="en-US" w:eastAsia="zh-CN"/>
        </w:rPr>
        <w:t>10</w:t>
      </w:r>
      <w:r>
        <w:rPr>
          <w:rFonts w:hint="eastAsia" w:ascii="宋体" w:hAnsi="宋体" w:eastAsia="宋体" w:cs="宋体"/>
          <w:color w:val="auto"/>
          <w:kern w:val="0"/>
          <w:sz w:val="28"/>
          <w:szCs w:val="28"/>
          <w:highlight w:val="none"/>
          <w:shd w:val="clear" w:color="auto" w:fill="auto"/>
          <w:lang w:val="en-US" w:eastAsia="zh-CN"/>
        </w:rPr>
        <w:t>0%</w:t>
      </w:r>
      <w:r>
        <w:rPr>
          <w:rFonts w:hint="eastAsia"/>
          <w:color w:val="auto"/>
          <w:sz w:val="28"/>
          <w:szCs w:val="28"/>
          <w:highlight w:val="none"/>
          <w:lang w:val="en-US" w:eastAsia="zh-CN"/>
        </w:rPr>
        <w:t>，实际完成为</w:t>
      </w:r>
      <w:r>
        <w:rPr>
          <w:rFonts w:hint="eastAsia" w:ascii="宋体" w:hAnsi="宋体" w:eastAsia="宋体" w:cs="宋体"/>
          <w:color w:val="auto"/>
          <w:kern w:val="0"/>
          <w:sz w:val="28"/>
          <w:szCs w:val="28"/>
          <w:highlight w:val="none"/>
          <w:shd w:val="clear" w:color="auto" w:fill="auto"/>
          <w:lang w:val="en-US" w:eastAsia="zh-CN"/>
        </w:rPr>
        <w:t>100%</w:t>
      </w:r>
      <w:r>
        <w:rPr>
          <w:rFonts w:hint="eastAsia"/>
          <w:color w:val="auto"/>
          <w:sz w:val="28"/>
          <w:szCs w:val="28"/>
          <w:highlight w:val="none"/>
          <w:lang w:val="en-US" w:eastAsia="zh-CN"/>
        </w:rPr>
        <w:t>；</w:t>
      </w:r>
    </w:p>
    <w:p w14:paraId="7051012E">
      <w:pPr>
        <w:bidi w:val="0"/>
        <w:rPr>
          <w:rFonts w:hint="eastAsia"/>
          <w:color w:val="auto"/>
          <w:highlight w:val="none"/>
          <w:lang w:eastAsia="zh-CN"/>
        </w:rPr>
      </w:pPr>
      <w:r>
        <w:rPr>
          <w:rFonts w:hint="eastAsia"/>
          <w:b/>
          <w:bCs/>
          <w:color w:val="auto"/>
          <w:highlight w:val="none"/>
          <w:lang w:val="en-US" w:eastAsia="zh-CN"/>
        </w:rPr>
        <w:t>综上，该项指标满分13分，得分13分。</w:t>
      </w:r>
    </w:p>
    <w:p w14:paraId="75DB9059">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14:paraId="77767027">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cs="宋体"/>
          <w:color w:val="auto"/>
          <w:kern w:val="0"/>
          <w:sz w:val="28"/>
          <w:szCs w:val="28"/>
          <w:highlight w:val="none"/>
          <w:shd w:val="clear" w:color="auto" w:fill="auto"/>
          <w:lang w:val="en-US" w:eastAsia="zh-CN"/>
        </w:rPr>
        <w:t>开工时间</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cs="宋体"/>
          <w:color w:val="auto"/>
          <w:kern w:val="0"/>
          <w:sz w:val="28"/>
          <w:szCs w:val="28"/>
          <w:highlight w:val="none"/>
          <w:shd w:val="clear" w:color="auto" w:fill="auto"/>
          <w:lang w:val="en-US" w:eastAsia="zh-CN"/>
        </w:rPr>
        <w:t>2019年5月</w:t>
      </w:r>
      <w:r>
        <w:rPr>
          <w:rFonts w:hint="eastAsia"/>
          <w:color w:val="auto"/>
          <w:sz w:val="28"/>
          <w:szCs w:val="28"/>
          <w:highlight w:val="none"/>
          <w:lang w:val="en-US" w:eastAsia="zh-CN"/>
        </w:rPr>
        <w:t>，实际完成为</w:t>
      </w:r>
      <w:r>
        <w:rPr>
          <w:rFonts w:hint="eastAsia" w:cs="宋体"/>
          <w:color w:val="auto"/>
          <w:kern w:val="0"/>
          <w:sz w:val="28"/>
          <w:szCs w:val="28"/>
          <w:highlight w:val="none"/>
          <w:shd w:val="clear" w:color="auto" w:fill="auto"/>
          <w:lang w:val="en-US" w:eastAsia="zh-CN"/>
        </w:rPr>
        <w:t>2019年5月</w:t>
      </w:r>
      <w:r>
        <w:rPr>
          <w:rFonts w:hint="eastAsia"/>
          <w:color w:val="auto"/>
          <w:sz w:val="28"/>
          <w:szCs w:val="28"/>
          <w:highlight w:val="none"/>
          <w:lang w:val="en-US" w:eastAsia="zh-CN"/>
        </w:rPr>
        <w:t>；</w:t>
      </w:r>
    </w:p>
    <w:p w14:paraId="3CD1D94E">
      <w:pPr>
        <w:bidi w:val="0"/>
        <w:rPr>
          <w:rFonts w:hint="eastAsia"/>
          <w:color w:val="auto"/>
          <w:sz w:val="28"/>
          <w:szCs w:val="28"/>
          <w:highlight w:val="none"/>
          <w:lang w:eastAsia="zh-CN"/>
        </w:rPr>
      </w:pPr>
      <w:r>
        <w:rPr>
          <w:rFonts w:hint="eastAsia"/>
          <w:color w:val="auto"/>
          <w:sz w:val="28"/>
          <w:szCs w:val="28"/>
          <w:highlight w:val="none"/>
          <w:lang w:eastAsia="zh-CN"/>
        </w:rPr>
        <w:t>“</w:t>
      </w:r>
      <w:r>
        <w:rPr>
          <w:rFonts w:hint="eastAsia" w:cs="宋体"/>
          <w:color w:val="auto"/>
          <w:kern w:val="0"/>
          <w:sz w:val="28"/>
          <w:szCs w:val="28"/>
          <w:highlight w:val="none"/>
          <w:shd w:val="clear" w:color="auto" w:fill="auto"/>
          <w:lang w:val="en-US" w:eastAsia="zh-CN"/>
        </w:rPr>
        <w:t>完工时间</w:t>
      </w:r>
      <w:r>
        <w:rPr>
          <w:rFonts w:hint="eastAsia"/>
          <w:color w:val="auto"/>
          <w:sz w:val="28"/>
          <w:szCs w:val="28"/>
          <w:highlight w:val="none"/>
          <w:lang w:eastAsia="zh-CN"/>
        </w:rPr>
        <w:t>”</w:t>
      </w:r>
      <w:r>
        <w:rPr>
          <w:rFonts w:hint="eastAsia"/>
          <w:color w:val="auto"/>
          <w:sz w:val="28"/>
          <w:szCs w:val="28"/>
          <w:highlight w:val="none"/>
          <w:lang w:val="en-US" w:eastAsia="zh-CN"/>
        </w:rPr>
        <w:t>指标，预期目标值为</w:t>
      </w:r>
      <w:r>
        <w:rPr>
          <w:rFonts w:hint="eastAsia" w:cs="宋体"/>
          <w:color w:val="auto"/>
          <w:kern w:val="0"/>
          <w:sz w:val="28"/>
          <w:szCs w:val="28"/>
          <w:highlight w:val="none"/>
          <w:shd w:val="clear" w:color="auto" w:fill="auto"/>
          <w:lang w:val="en-US" w:eastAsia="zh-CN"/>
        </w:rPr>
        <w:t>2019年10月</w:t>
      </w:r>
      <w:r>
        <w:rPr>
          <w:rFonts w:hint="eastAsia"/>
          <w:color w:val="auto"/>
          <w:sz w:val="28"/>
          <w:szCs w:val="28"/>
          <w:highlight w:val="none"/>
          <w:lang w:val="en-US" w:eastAsia="zh-CN"/>
        </w:rPr>
        <w:t>，实际完成为</w:t>
      </w:r>
      <w:r>
        <w:rPr>
          <w:rFonts w:hint="eastAsia" w:cs="宋体"/>
          <w:color w:val="auto"/>
          <w:kern w:val="0"/>
          <w:sz w:val="28"/>
          <w:szCs w:val="28"/>
          <w:highlight w:val="none"/>
          <w:shd w:val="clear" w:color="auto" w:fill="auto"/>
          <w:lang w:val="en-US" w:eastAsia="zh-CN"/>
        </w:rPr>
        <w:t>2021年1月，扣2分</w:t>
      </w:r>
      <w:r>
        <w:rPr>
          <w:rFonts w:hint="eastAsia"/>
          <w:color w:val="auto"/>
          <w:sz w:val="28"/>
          <w:szCs w:val="28"/>
          <w:highlight w:val="none"/>
          <w:lang w:val="en-US" w:eastAsia="zh-CN"/>
        </w:rPr>
        <w:t>。</w:t>
      </w:r>
    </w:p>
    <w:p w14:paraId="02FBCBDF">
      <w:pPr>
        <w:bidi w:val="0"/>
        <w:rPr>
          <w:rFonts w:hint="eastAsia"/>
          <w:color w:val="auto"/>
          <w:highlight w:val="none"/>
          <w:lang w:eastAsia="zh-CN"/>
        </w:rPr>
      </w:pPr>
      <w:r>
        <w:rPr>
          <w:rFonts w:hint="eastAsia"/>
          <w:b/>
          <w:bCs/>
          <w:color w:val="auto"/>
          <w:highlight w:val="none"/>
          <w:lang w:val="en-US" w:eastAsia="zh-CN"/>
        </w:rPr>
        <w:t>综上，该项指标满分4分，得分2分。</w:t>
      </w:r>
    </w:p>
    <w:p w14:paraId="7F015E02">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14:paraId="0ED6A929">
      <w:pPr>
        <w:bidi w:val="0"/>
        <w:rPr>
          <w:rFonts w:hint="eastAsia"/>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项目总成本（万元）</w:t>
      </w:r>
      <w:r>
        <w:rPr>
          <w:rFonts w:hint="eastAsia"/>
          <w:color w:val="auto"/>
          <w:sz w:val="28"/>
          <w:szCs w:val="28"/>
          <w:highlight w:val="none"/>
          <w:lang w:eastAsia="zh-CN"/>
        </w:rPr>
        <w:t>”</w:t>
      </w:r>
      <w:r>
        <w:rPr>
          <w:rFonts w:hint="eastAsia"/>
          <w:color w:val="auto"/>
          <w:sz w:val="28"/>
          <w:szCs w:val="28"/>
          <w:highlight w:val="none"/>
          <w:lang w:val="en-US" w:eastAsia="zh-CN"/>
        </w:rPr>
        <w:t>指标，预期目标值为131.38万元，实际完成为131.38万元；</w:t>
      </w:r>
    </w:p>
    <w:p w14:paraId="32A5CA73">
      <w:pPr>
        <w:bidi w:val="0"/>
        <w:rPr>
          <w:rFonts w:hint="eastAsia"/>
          <w:color w:val="auto"/>
          <w:highlight w:val="none"/>
          <w:lang w:eastAsia="zh-CN"/>
        </w:rPr>
      </w:pPr>
      <w:r>
        <w:rPr>
          <w:rFonts w:hint="eastAsia"/>
          <w:color w:val="auto"/>
          <w:highlight w:val="none"/>
          <w:lang w:val="en-US" w:eastAsia="zh-CN"/>
        </w:rPr>
        <w:t>实际完成率=（131.38万元/131.38万元）×100%=100%。</w:t>
      </w:r>
    </w:p>
    <w:p w14:paraId="1A0C4724">
      <w:pPr>
        <w:bidi w:val="0"/>
        <w:rPr>
          <w:rFonts w:hint="eastAsia"/>
          <w:color w:val="auto"/>
          <w:highlight w:val="none"/>
          <w:lang w:eastAsia="zh-CN"/>
        </w:rPr>
      </w:pPr>
      <w:r>
        <w:rPr>
          <w:rFonts w:hint="eastAsia"/>
          <w:b/>
          <w:bCs/>
          <w:color w:val="auto"/>
          <w:highlight w:val="none"/>
          <w:lang w:val="en-US" w:eastAsia="zh-CN"/>
        </w:rPr>
        <w:t>综上，该项指标满分6分，得分6分。</w:t>
      </w:r>
    </w:p>
    <w:p w14:paraId="1C388356">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bookmarkStart w:id="74" w:name="_Toc18446"/>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bookmarkEnd w:id="74"/>
    </w:p>
    <w:p w14:paraId="6C87C2FA">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highlight w:val="none"/>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14:paraId="236D3435">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3A9115C1">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D6DAC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35A468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873C3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E3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62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12DF9B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D4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037319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6B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130772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C2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5A724A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731DDE6E">
        <w:tblPrEx>
          <w:shd w:val="clear" w:color="auto" w:fill="auto"/>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14:paraId="64D5DF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42F8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2EF3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4F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A4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14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EE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4896E24">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2CE01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14:paraId="730FE5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11DE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促进妇幼保健服务业务的发展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62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促进</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4F9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141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CC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w:t>
            </w:r>
          </w:p>
        </w:tc>
      </w:tr>
      <w:tr w14:paraId="4CBDBDDC">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28C877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A903C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D840C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提高妇女儿童健康水平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17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提高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EF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4F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D5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7FD8A3F6">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2F19E0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B866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7BE48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11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A1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FE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D1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1AE54918">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EE8EF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BE9A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3484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CF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EEB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82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EB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w:t>
            </w:r>
          </w:p>
        </w:tc>
      </w:tr>
      <w:tr w14:paraId="57785972">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7152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98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B4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患者满意度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27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9F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23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16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14:paraId="724D5CDF">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48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070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C7D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C6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53EAA5EB">
      <w:pPr>
        <w:bidi w:val="0"/>
        <w:outlineLvl w:val="2"/>
        <w:rPr>
          <w:rFonts w:hint="default"/>
          <w:b/>
          <w:bCs/>
          <w:color w:val="auto"/>
          <w:highlight w:val="none"/>
          <w:lang w:val="en-US" w:eastAsia="zh-CN"/>
        </w:rPr>
      </w:pPr>
      <w:bookmarkStart w:id="75" w:name="_Toc8010"/>
      <w:r>
        <w:rPr>
          <w:rFonts w:hint="eastAsia"/>
          <w:b/>
          <w:bCs/>
          <w:color w:val="auto"/>
          <w:highlight w:val="none"/>
          <w:lang w:val="en-US" w:eastAsia="zh-CN"/>
        </w:rPr>
        <w:t>1.经济效益指标</w:t>
      </w:r>
      <w:bookmarkEnd w:id="75"/>
    </w:p>
    <w:p w14:paraId="08484CB5">
      <w:pPr>
        <w:bidi w:val="0"/>
        <w:rPr>
          <w:rFonts w:hint="eastAsia"/>
          <w:b/>
          <w:bCs/>
          <w:color w:val="auto"/>
          <w:highlight w:val="none"/>
          <w:lang w:val="en-US" w:eastAsia="zh-CN"/>
        </w:rPr>
      </w:pPr>
      <w:r>
        <w:rPr>
          <w:rFonts w:hint="eastAsia"/>
          <w:color w:val="auto"/>
          <w:highlight w:val="none"/>
          <w:lang w:val="en-US" w:eastAsia="zh-CN"/>
        </w:rPr>
        <w:t>本项目不存在经济效益指标。</w:t>
      </w:r>
    </w:p>
    <w:p w14:paraId="3D51AE74">
      <w:pPr>
        <w:bidi w:val="0"/>
        <w:outlineLvl w:val="2"/>
        <w:rPr>
          <w:rFonts w:hint="eastAsia"/>
          <w:b/>
          <w:bCs/>
          <w:color w:val="auto"/>
          <w:highlight w:val="none"/>
          <w:lang w:val="en-US" w:eastAsia="zh-CN"/>
        </w:rPr>
      </w:pPr>
      <w:bookmarkStart w:id="76" w:name="_Toc27006"/>
      <w:r>
        <w:rPr>
          <w:rFonts w:hint="eastAsia"/>
          <w:b/>
          <w:bCs/>
          <w:color w:val="auto"/>
          <w:highlight w:val="none"/>
          <w:lang w:val="en-US" w:eastAsia="zh-CN"/>
        </w:rPr>
        <w:t>2.社会效益指标</w:t>
      </w:r>
      <w:bookmarkEnd w:id="76"/>
    </w:p>
    <w:p w14:paraId="2C363D44">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促进妇幼保健服务业务的发展</w:t>
      </w:r>
      <w:r>
        <w:rPr>
          <w:rFonts w:hint="eastAsia"/>
          <w:color w:val="auto"/>
          <w:highlight w:val="none"/>
          <w:lang w:eastAsia="zh-CN"/>
        </w:rPr>
        <w:t>”</w:t>
      </w:r>
      <w:r>
        <w:rPr>
          <w:rFonts w:hint="eastAsia"/>
          <w:color w:val="auto"/>
          <w:highlight w:val="none"/>
          <w:lang w:val="en-US" w:eastAsia="zh-CN"/>
        </w:rPr>
        <w:t>指标，预期目标值为促进，实际完成为100%。</w:t>
      </w:r>
    </w:p>
    <w:p w14:paraId="7D91D771">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提高妇女儿童健康水平</w:t>
      </w:r>
      <w:r>
        <w:rPr>
          <w:rFonts w:hint="eastAsia"/>
          <w:color w:val="auto"/>
          <w:highlight w:val="none"/>
          <w:lang w:eastAsia="zh-CN"/>
        </w:rPr>
        <w:t>”</w:t>
      </w:r>
      <w:r>
        <w:rPr>
          <w:rFonts w:hint="eastAsia"/>
          <w:color w:val="auto"/>
          <w:highlight w:val="none"/>
          <w:lang w:val="en-US" w:eastAsia="zh-CN"/>
        </w:rPr>
        <w:t>指标，预期目标值为提高，实际完成为100%。</w:t>
      </w:r>
    </w:p>
    <w:p w14:paraId="6FAC3C65">
      <w:pPr>
        <w:bidi w:val="0"/>
        <w:rPr>
          <w:rFonts w:hint="eastAsia"/>
          <w:color w:val="auto"/>
          <w:highlight w:val="none"/>
          <w:lang w:val="en-US" w:eastAsia="zh-CN"/>
        </w:rPr>
      </w:pPr>
      <w:r>
        <w:rPr>
          <w:rFonts w:hint="eastAsia"/>
          <w:b/>
          <w:bCs/>
          <w:color w:val="auto"/>
          <w:highlight w:val="none"/>
          <w:lang w:val="en-US" w:eastAsia="zh-CN"/>
        </w:rPr>
        <w:t>综上，该项指标满分20分，得分20分。</w:t>
      </w:r>
    </w:p>
    <w:p w14:paraId="6B3F60E3">
      <w:pPr>
        <w:bidi w:val="0"/>
        <w:outlineLvl w:val="2"/>
        <w:rPr>
          <w:rFonts w:hint="eastAsia"/>
          <w:color w:val="auto"/>
          <w:highlight w:val="none"/>
          <w:lang w:val="en-US" w:eastAsia="zh-CN"/>
        </w:rPr>
      </w:pPr>
      <w:bookmarkStart w:id="77" w:name="_Toc23106"/>
      <w:r>
        <w:rPr>
          <w:rFonts w:hint="eastAsia"/>
          <w:b/>
          <w:bCs/>
          <w:color w:val="auto"/>
          <w:highlight w:val="none"/>
          <w:lang w:val="en-US" w:eastAsia="zh-CN"/>
        </w:rPr>
        <w:t>3.生态效益指标</w:t>
      </w:r>
      <w:bookmarkEnd w:id="77"/>
    </w:p>
    <w:p w14:paraId="44897F83">
      <w:pPr>
        <w:bidi w:val="0"/>
        <w:rPr>
          <w:rFonts w:hint="eastAsia"/>
          <w:color w:val="auto"/>
          <w:highlight w:val="none"/>
          <w:lang w:val="en-US" w:eastAsia="zh-CN"/>
        </w:rPr>
      </w:pPr>
      <w:r>
        <w:rPr>
          <w:rFonts w:hint="eastAsia"/>
          <w:color w:val="auto"/>
          <w:highlight w:val="none"/>
          <w:lang w:val="en-US" w:eastAsia="zh-CN"/>
        </w:rPr>
        <w:t>本项目不存在生态效益指标</w:t>
      </w:r>
      <w:r>
        <w:rPr>
          <w:rFonts w:hint="eastAsia"/>
          <w:b w:val="0"/>
          <w:bCs w:val="0"/>
          <w:color w:val="auto"/>
          <w:highlight w:val="none"/>
          <w:lang w:val="en-US" w:eastAsia="zh-CN"/>
        </w:rPr>
        <w:t>。</w:t>
      </w:r>
    </w:p>
    <w:p w14:paraId="02A540BA">
      <w:pPr>
        <w:bidi w:val="0"/>
        <w:outlineLvl w:val="2"/>
        <w:rPr>
          <w:rFonts w:hint="eastAsia"/>
          <w:b/>
          <w:bCs/>
          <w:color w:val="auto"/>
          <w:highlight w:val="none"/>
          <w:lang w:val="en-US" w:eastAsia="zh-CN"/>
        </w:rPr>
      </w:pPr>
      <w:bookmarkStart w:id="78" w:name="_Toc3271"/>
      <w:r>
        <w:rPr>
          <w:rFonts w:hint="eastAsia"/>
          <w:b/>
          <w:bCs/>
          <w:color w:val="auto"/>
          <w:highlight w:val="none"/>
          <w:lang w:val="en-US" w:eastAsia="zh-CN"/>
        </w:rPr>
        <w:t>4.满意度指标</w:t>
      </w:r>
      <w:bookmarkEnd w:id="78"/>
    </w:p>
    <w:p w14:paraId="23FDAC07">
      <w:pPr>
        <w:bidi w:val="0"/>
        <w:rPr>
          <w:rFonts w:hint="eastAsia"/>
          <w:color w:val="auto"/>
          <w:highlight w:val="none"/>
          <w:lang w:val="en-US" w:eastAsia="zh-CN"/>
        </w:rPr>
      </w:pPr>
      <w:bookmarkStart w:id="79" w:name="_Toc19962"/>
      <w:r>
        <w:rPr>
          <w:rFonts w:hint="eastAsia"/>
          <w:color w:val="auto"/>
          <w:highlight w:val="none"/>
          <w:lang w:eastAsia="zh-CN"/>
        </w:rPr>
        <w:t>“</w:t>
      </w:r>
      <w:r>
        <w:rPr>
          <w:rFonts w:hint="eastAsia"/>
          <w:color w:val="auto"/>
          <w:highlight w:val="none"/>
          <w:lang w:val="en-US" w:eastAsia="zh-CN"/>
        </w:rPr>
        <w:t>患者满意度</w:t>
      </w:r>
      <w:r>
        <w:rPr>
          <w:rFonts w:hint="eastAsia"/>
          <w:color w:val="auto"/>
          <w:highlight w:val="none"/>
          <w:lang w:eastAsia="zh-CN"/>
        </w:rPr>
        <w:t>”</w:t>
      </w:r>
      <w:r>
        <w:rPr>
          <w:rFonts w:hint="eastAsia"/>
          <w:color w:val="auto"/>
          <w:highlight w:val="none"/>
          <w:lang w:val="en-US" w:eastAsia="zh-CN"/>
        </w:rPr>
        <w:t>指标，预期目标值为90%，实际完成为90%。</w:t>
      </w:r>
    </w:p>
    <w:p w14:paraId="428F27BB">
      <w:pPr>
        <w:bidi w:val="0"/>
        <w:rPr>
          <w:rFonts w:hint="eastAsia"/>
          <w:color w:val="auto"/>
          <w:highlight w:val="none"/>
          <w:lang w:val="en-US" w:eastAsia="zh-CN"/>
        </w:rPr>
      </w:pPr>
      <w:r>
        <w:rPr>
          <w:rFonts w:hint="eastAsia"/>
          <w:b/>
          <w:bCs/>
          <w:color w:val="auto"/>
          <w:highlight w:val="none"/>
          <w:lang w:val="en-US" w:eastAsia="zh-CN"/>
        </w:rPr>
        <w:t>综上，该项指标满分10分，得分10分。</w:t>
      </w:r>
    </w:p>
    <w:p w14:paraId="4713E1DF">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五、预算执行进度与指标偏差</w:t>
      </w:r>
      <w:bookmarkEnd w:id="79"/>
    </w:p>
    <w:p w14:paraId="0331B28C">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cs="仿宋_GB2312"/>
          <w:color w:val="auto"/>
          <w:sz w:val="28"/>
          <w:szCs w:val="28"/>
          <w:highlight w:val="none"/>
          <w:lang w:val="en-US" w:eastAsia="zh-CN"/>
        </w:rPr>
      </w:pPr>
      <w:r>
        <w:rPr>
          <w:rFonts w:hint="eastAsia" w:cs="仿宋_GB2312"/>
          <w:color w:val="auto"/>
          <w:sz w:val="28"/>
          <w:szCs w:val="28"/>
          <w:highlight w:val="none"/>
          <w:lang w:val="en-US" w:eastAsia="zh-CN"/>
        </w:rPr>
        <w:t>该</w:t>
      </w:r>
      <w:r>
        <w:rPr>
          <w:rFonts w:hint="eastAsia" w:cs="仿宋_GB2312"/>
          <w:color w:val="auto"/>
          <w:sz w:val="28"/>
          <w:szCs w:val="28"/>
          <w:highlight w:val="none"/>
          <w:lang w:eastAsia="zh-CN"/>
        </w:rPr>
        <w:t>项目预算资金</w:t>
      </w:r>
      <w:r>
        <w:rPr>
          <w:rFonts w:hint="eastAsia" w:cs="仿宋_GB2312"/>
          <w:b w:val="0"/>
          <w:bCs w:val="0"/>
          <w:color w:val="auto"/>
          <w:sz w:val="28"/>
          <w:szCs w:val="28"/>
          <w:highlight w:val="none"/>
          <w:lang w:eastAsia="zh-CN"/>
        </w:rPr>
        <w:t>总额为</w:t>
      </w:r>
      <w:r>
        <w:rPr>
          <w:rFonts w:hint="eastAsia"/>
          <w:b w:val="0"/>
          <w:bCs w:val="0"/>
          <w:color w:val="auto"/>
          <w:highlight w:val="none"/>
          <w:lang w:val="en-US" w:eastAsia="zh-CN"/>
        </w:rPr>
        <w:t>131.38</w:t>
      </w:r>
      <w:r>
        <w:rPr>
          <w:rFonts w:hint="eastAsia" w:cs="仿宋_GB2312"/>
          <w:b w:val="0"/>
          <w:bCs w:val="0"/>
          <w:color w:val="auto"/>
          <w:sz w:val="28"/>
          <w:szCs w:val="28"/>
          <w:highlight w:val="none"/>
          <w:lang w:val="en-US" w:eastAsia="zh-CN"/>
        </w:rPr>
        <w:t>万元，全年执行数为</w:t>
      </w:r>
      <w:r>
        <w:rPr>
          <w:rFonts w:hint="eastAsia"/>
          <w:b w:val="0"/>
          <w:bCs w:val="0"/>
          <w:color w:val="auto"/>
          <w:highlight w:val="none"/>
          <w:lang w:val="en-US" w:eastAsia="zh-CN"/>
        </w:rPr>
        <w:t>131.38</w:t>
      </w:r>
      <w:r>
        <w:rPr>
          <w:rFonts w:hint="eastAsia" w:cs="仿宋_GB2312"/>
          <w:b w:val="0"/>
          <w:bCs w:val="0"/>
          <w:color w:val="auto"/>
          <w:sz w:val="28"/>
          <w:szCs w:val="28"/>
          <w:highlight w:val="none"/>
          <w:lang w:val="en-US" w:eastAsia="zh-CN"/>
        </w:rPr>
        <w:t>万元，预算执行率为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en-US" w:eastAsia="zh-CN"/>
        </w:rPr>
        <w:t>%，</w:t>
      </w:r>
      <w:r>
        <w:rPr>
          <w:rFonts w:hint="eastAsia" w:cs="仿宋_GB2312"/>
          <w:b w:val="0"/>
          <w:bCs w:val="0"/>
          <w:color w:val="auto"/>
          <w:sz w:val="28"/>
          <w:szCs w:val="28"/>
          <w:highlight w:val="none"/>
          <w:lang w:eastAsia="zh-CN"/>
        </w:rPr>
        <w:t>总体完成率为</w:t>
      </w:r>
      <w:r>
        <w:rPr>
          <w:rFonts w:hint="eastAsia"/>
          <w:b w:val="0"/>
          <w:bCs w:val="0"/>
          <w:color w:val="auto"/>
          <w:highlight w:val="none"/>
          <w:lang w:val="en-US" w:eastAsia="zh-CN"/>
        </w:rPr>
        <w:t>100</w:t>
      </w:r>
      <w:r>
        <w:rPr>
          <w:rFonts w:hint="eastAsia" w:cs="仿宋_GB2312"/>
          <w:b w:val="0"/>
          <w:bCs w:val="0"/>
          <w:color w:val="auto"/>
          <w:sz w:val="28"/>
          <w:szCs w:val="28"/>
          <w:highlight w:val="none"/>
          <w:lang w:val="zh-TW" w:eastAsia="zh-TW"/>
        </w:rPr>
        <w:t>%。</w:t>
      </w:r>
      <w:r>
        <w:rPr>
          <w:rFonts w:hint="eastAsia" w:cs="仿宋_GB2312"/>
          <w:b w:val="0"/>
          <w:bCs w:val="0"/>
          <w:color w:val="auto"/>
          <w:sz w:val="28"/>
          <w:szCs w:val="28"/>
          <w:highlight w:val="none"/>
          <w:lang w:val="en-US" w:eastAsia="zh-CN"/>
        </w:rPr>
        <w:t>预算执行率与总体完成率之间的偏差为</w:t>
      </w:r>
      <w:r>
        <w:rPr>
          <w:rFonts w:hint="eastAsia"/>
          <w:b w:val="0"/>
          <w:bCs w:val="0"/>
          <w:color w:val="auto"/>
          <w:highlight w:val="none"/>
          <w:lang w:val="en-US" w:eastAsia="zh-CN"/>
        </w:rPr>
        <w:t>0</w:t>
      </w:r>
      <w:r>
        <w:rPr>
          <w:rFonts w:hint="eastAsia" w:cs="仿宋_GB2312"/>
          <w:b w:val="0"/>
          <w:bCs w:val="0"/>
          <w:color w:val="auto"/>
          <w:sz w:val="28"/>
          <w:szCs w:val="28"/>
          <w:highlight w:val="none"/>
          <w:lang w:val="en-US" w:eastAsia="zh-CN"/>
        </w:rPr>
        <w:t>%，无</w:t>
      </w:r>
      <w:r>
        <w:rPr>
          <w:rFonts w:hint="eastAsia"/>
          <w:b w:val="0"/>
          <w:bCs w:val="0"/>
          <w:color w:val="auto"/>
          <w:highlight w:val="none"/>
        </w:rPr>
        <w:t>偏差</w:t>
      </w:r>
      <w:r>
        <w:rPr>
          <w:rFonts w:hint="eastAsia" w:ascii="仿宋_GB2312" w:hAnsi="仿宋_GB2312" w:cs="仿宋_GB2312"/>
          <w:color w:val="auto"/>
          <w:sz w:val="28"/>
          <w:szCs w:val="28"/>
          <w:highlight w:val="none"/>
        </w:rPr>
        <w:t>。</w:t>
      </w:r>
    </w:p>
    <w:p w14:paraId="22BBC5FC">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0" w:name="_Toc29934"/>
      <w:r>
        <w:rPr>
          <w:rFonts w:hint="eastAsia" w:ascii="宋体" w:hAnsi="宋体" w:eastAsia="宋体" w:cs="宋体"/>
          <w:b/>
          <w:bCs/>
          <w:color w:val="auto"/>
          <w:highlight w:val="none"/>
          <w:shd w:val="clear" w:color="auto" w:fill="auto"/>
          <w:lang w:val="en-US" w:eastAsia="zh-CN"/>
        </w:rPr>
        <w:t>六、主要经验及做法、存在的问题及原因分析</w:t>
      </w:r>
      <w:bookmarkEnd w:id="80"/>
    </w:p>
    <w:p w14:paraId="0258487D">
      <w:pPr>
        <w:numPr>
          <w:ilvl w:val="0"/>
          <w:numId w:val="0"/>
        </w:numPr>
        <w:bidi w:val="0"/>
        <w:ind w:left="560" w:leftChars="0"/>
        <w:outlineLvl w:val="1"/>
        <w:rPr>
          <w:rFonts w:hint="eastAsia"/>
          <w:b/>
          <w:bCs/>
          <w:color w:val="auto"/>
          <w:highlight w:val="none"/>
          <w:lang w:eastAsia="zh-CN"/>
        </w:rPr>
      </w:pPr>
      <w:bookmarkStart w:id="81" w:name="_Toc13160"/>
      <w:bookmarkStart w:id="82" w:name="_Toc28290"/>
      <w:bookmarkStart w:id="83"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bookmarkEnd w:id="81"/>
    </w:p>
    <w:p w14:paraId="7D424E66">
      <w:pPr>
        <w:bidi w:val="0"/>
        <w:rPr>
          <w:rFonts w:hint="eastAsia"/>
          <w:color w:val="auto"/>
          <w:highlight w:val="none"/>
          <w:lang w:eastAsia="zh-CN"/>
        </w:rPr>
      </w:pPr>
      <w:r>
        <w:rPr>
          <w:rFonts w:hint="eastAsia"/>
          <w:color w:val="auto"/>
          <w:highlight w:val="none"/>
          <w:lang w:val="en-US" w:eastAsia="zh-CN"/>
        </w:rPr>
        <w:t>原人民医院内科楼改造项目项目</w:t>
      </w:r>
      <w:r>
        <w:rPr>
          <w:rFonts w:hint="eastAsia"/>
          <w:color w:val="auto"/>
          <w:highlight w:val="none"/>
          <w:lang w:eastAsia="zh-CN"/>
        </w:rPr>
        <w:t>20</w:t>
      </w:r>
      <w:r>
        <w:rPr>
          <w:rFonts w:hint="eastAsia"/>
          <w:color w:val="auto"/>
          <w:highlight w:val="none"/>
          <w:lang w:val="en-US" w:eastAsia="zh-CN"/>
        </w:rPr>
        <w:t>23</w:t>
      </w:r>
      <w:r>
        <w:rPr>
          <w:rFonts w:hint="eastAsia"/>
          <w:color w:val="auto"/>
          <w:highlight w:val="none"/>
          <w:lang w:eastAsia="zh-CN"/>
        </w:rPr>
        <w:t>年预算</w:t>
      </w:r>
      <w:r>
        <w:rPr>
          <w:rFonts w:hint="eastAsia"/>
          <w:color w:val="auto"/>
          <w:highlight w:val="none"/>
          <w:lang w:val="en-US" w:eastAsia="zh-CN"/>
        </w:rPr>
        <w:t>数</w:t>
      </w:r>
      <w:r>
        <w:rPr>
          <w:rFonts w:hint="eastAsia"/>
          <w:color w:val="auto"/>
          <w:highlight w:val="none"/>
          <w:lang w:eastAsia="zh-CN"/>
        </w:rPr>
        <w:t>为</w:t>
      </w:r>
      <w:r>
        <w:rPr>
          <w:rFonts w:hint="eastAsia"/>
          <w:color w:val="auto"/>
          <w:highlight w:val="none"/>
          <w:lang w:val="en-US" w:eastAsia="zh-CN"/>
        </w:rPr>
        <w:t>131.38</w:t>
      </w:r>
      <w:r>
        <w:rPr>
          <w:rFonts w:hint="eastAsia"/>
          <w:color w:val="auto"/>
          <w:highlight w:val="none"/>
          <w:lang w:eastAsia="zh-CN"/>
        </w:rPr>
        <w:t>万元，</w:t>
      </w:r>
      <w:r>
        <w:rPr>
          <w:rFonts w:hint="eastAsia"/>
          <w:color w:val="auto"/>
          <w:highlight w:val="none"/>
          <w:lang w:val="en-US" w:eastAsia="zh-CN"/>
        </w:rPr>
        <w:t>截至2023年12月31日共</w:t>
      </w:r>
      <w:r>
        <w:rPr>
          <w:rFonts w:hint="eastAsia"/>
          <w:color w:val="auto"/>
          <w:highlight w:val="none"/>
          <w:lang w:eastAsia="zh-CN"/>
        </w:rPr>
        <w:t>支出</w:t>
      </w:r>
      <w:r>
        <w:rPr>
          <w:rFonts w:hint="eastAsia"/>
          <w:color w:val="auto"/>
          <w:highlight w:val="none"/>
          <w:lang w:val="en-US" w:eastAsia="zh-CN"/>
        </w:rPr>
        <w:t>131.38</w:t>
      </w:r>
      <w:r>
        <w:rPr>
          <w:rFonts w:hint="eastAsia"/>
          <w:color w:val="auto"/>
          <w:highlight w:val="none"/>
          <w:lang w:eastAsia="zh-CN"/>
        </w:rPr>
        <w:t>万元，预算</w:t>
      </w:r>
      <w:r>
        <w:rPr>
          <w:rFonts w:hint="eastAsia"/>
          <w:color w:val="auto"/>
          <w:highlight w:val="none"/>
          <w:lang w:val="en-US" w:eastAsia="zh-CN"/>
        </w:rPr>
        <w:t>执行</w:t>
      </w:r>
      <w:r>
        <w:rPr>
          <w:rFonts w:hint="eastAsia"/>
          <w:color w:val="auto"/>
          <w:highlight w:val="none"/>
          <w:lang w:eastAsia="zh-CN"/>
        </w:rPr>
        <w:t>率为</w:t>
      </w:r>
      <w:r>
        <w:rPr>
          <w:rFonts w:hint="eastAsia"/>
          <w:color w:val="auto"/>
          <w:highlight w:val="none"/>
          <w:lang w:val="en-US" w:eastAsia="zh-CN"/>
        </w:rPr>
        <w:t>100</w:t>
      </w:r>
      <w:r>
        <w:rPr>
          <w:rFonts w:hint="eastAsia"/>
          <w:color w:val="auto"/>
          <w:highlight w:val="none"/>
          <w:lang w:eastAsia="zh-CN"/>
        </w:rPr>
        <w:t>%。</w:t>
      </w:r>
    </w:p>
    <w:p w14:paraId="2B263889">
      <w:pPr>
        <w:bidi w:val="0"/>
        <w:rPr>
          <w:rFonts w:hint="eastAsia"/>
          <w:color w:val="auto"/>
          <w:highlight w:val="none"/>
          <w:lang w:eastAsia="zh-CN"/>
        </w:rPr>
      </w:pPr>
      <w:r>
        <w:rPr>
          <w:rFonts w:hint="eastAsia"/>
          <w:color w:val="auto"/>
          <w:highlight w:val="none"/>
          <w:lang w:val="en-US" w:eastAsia="zh-CN"/>
        </w:rPr>
        <w:t>阜康市妇幼保健计划生育服务中心</w:t>
      </w:r>
      <w:r>
        <w:rPr>
          <w:rFonts w:hint="eastAsia"/>
          <w:color w:val="auto"/>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highlight w:val="none"/>
          <w:lang w:val="en-US" w:eastAsia="zh-CN"/>
        </w:rPr>
        <w:t>阜康市妇幼保健计划生育服务中心</w:t>
      </w:r>
      <w:r>
        <w:rPr>
          <w:rFonts w:hint="eastAsia"/>
          <w:color w:val="auto"/>
          <w:highlight w:val="none"/>
          <w:lang w:eastAsia="zh-CN"/>
        </w:rPr>
        <w:t>事业发展中关系民生与稳定的项目，切实优化资源配置，提高了资金使用的效率和效果。</w:t>
      </w:r>
    </w:p>
    <w:bookmarkEnd w:id="82"/>
    <w:bookmarkEnd w:id="83"/>
    <w:p w14:paraId="76B33C6C">
      <w:pPr>
        <w:bidi w:val="0"/>
        <w:outlineLvl w:val="1"/>
        <w:rPr>
          <w:rFonts w:hint="eastAsia"/>
          <w:b/>
          <w:bCs/>
          <w:color w:val="auto"/>
          <w:highlight w:val="none"/>
          <w:lang w:eastAsia="zh-CN"/>
        </w:rPr>
      </w:pPr>
      <w:bookmarkStart w:id="84" w:name="_Toc9582"/>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4"/>
    </w:p>
    <w:p w14:paraId="200B8700">
      <w:pPr>
        <w:bidi w:val="0"/>
        <w:rPr>
          <w:rFonts w:hint="eastAsia"/>
          <w:color w:val="auto"/>
          <w:highlight w:val="none"/>
          <w:lang w:val="en-US" w:eastAsia="zh-CN"/>
        </w:rPr>
      </w:pPr>
      <w:bookmarkStart w:id="85" w:name="_Toc5230"/>
      <w:r>
        <w:rPr>
          <w:rFonts w:hint="eastAsia"/>
          <w:color w:val="auto"/>
          <w:highlight w:val="none"/>
          <w:lang w:val="en-US" w:eastAsia="zh-CN"/>
        </w:rPr>
        <w:t>1、工程建设项目组织、发动工作力度有待进一步加强。各各科室对工程建设项目不了解不参与，部分职工对实施科室改造的重要意义认识不足，主动参与意识不强，影响医院整体规划和建设</w:t>
      </w:r>
    </w:p>
    <w:p w14:paraId="5145FB3C">
      <w:pPr>
        <w:bidi w:val="0"/>
        <w:rPr>
          <w:rFonts w:hint="eastAsia"/>
          <w:color w:val="auto"/>
          <w:highlight w:val="none"/>
          <w:lang w:val="en-US" w:eastAsia="zh-CN"/>
        </w:rPr>
      </w:pPr>
      <w:r>
        <w:rPr>
          <w:rFonts w:hint="eastAsia"/>
          <w:color w:val="auto"/>
          <w:highlight w:val="none"/>
          <w:lang w:val="en-US" w:eastAsia="zh-CN"/>
        </w:rPr>
        <w:t>2、绩效指标值设置不够严谨，设置指标值之前未能严格做好项目预算，未精准预计项目实施情况。</w:t>
      </w:r>
    </w:p>
    <w:p w14:paraId="73C1F2C2">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七、有关建议</w:t>
      </w:r>
      <w:bookmarkEnd w:id="85"/>
    </w:p>
    <w:p w14:paraId="604CEC48">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）进一步加强组织领导，健全各部门协调配合机制，层层压实责任。充分发挥主体责任，利用广播、电视、微信、网络等媒介对</w:t>
      </w:r>
      <w:r>
        <w:rPr>
          <w:rFonts w:hint="eastAsia"/>
          <w:color w:val="auto"/>
          <w:highlight w:val="none"/>
          <w:lang w:val="en-US" w:eastAsia="zh-CN"/>
        </w:rPr>
        <w:t>妇幼儿童</w:t>
      </w:r>
      <w:r>
        <w:rPr>
          <w:rFonts w:hint="eastAsia"/>
          <w:color w:val="auto"/>
          <w:highlight w:val="none"/>
          <w:lang w:eastAsia="zh-CN"/>
        </w:rPr>
        <w:t>工作进行广泛宣传，积极采取多种方式持续开展</w:t>
      </w:r>
      <w:r>
        <w:rPr>
          <w:rFonts w:hint="eastAsia"/>
          <w:color w:val="auto"/>
          <w:highlight w:val="none"/>
          <w:lang w:val="en-US" w:eastAsia="zh-CN"/>
        </w:rPr>
        <w:t>医疗</w:t>
      </w:r>
      <w:r>
        <w:rPr>
          <w:rFonts w:hint="eastAsia"/>
          <w:color w:val="auto"/>
          <w:highlight w:val="none"/>
          <w:lang w:eastAsia="zh-CN"/>
        </w:rPr>
        <w:t>惠民政策的引导，提升各族群众自我保健意识，提高群众知晓率及参与度。</w:t>
      </w:r>
    </w:p>
    <w:p w14:paraId="45162A55">
      <w:pPr>
        <w:bidi w:val="0"/>
        <w:rPr>
          <w:rFonts w:hint="eastAsia"/>
          <w:color w:val="auto"/>
          <w:highlight w:val="none"/>
          <w:lang w:eastAsia="zh-CN"/>
        </w:rPr>
      </w:pPr>
      <w:r>
        <w:rPr>
          <w:rFonts w:hint="eastAsia"/>
          <w:color w:val="auto"/>
          <w:highlight w:val="none"/>
          <w:lang w:val="en-US" w:eastAsia="zh-CN"/>
        </w:rPr>
        <w:t>（二）在项目前期应做好相关预算，能够精准预计项目实施的具体情况，根据预算做好相关绩效指标设置。</w:t>
      </w:r>
    </w:p>
    <w:p w14:paraId="7640457E">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6" w:name="_Toc15618"/>
      <w:r>
        <w:rPr>
          <w:rFonts w:hint="eastAsia" w:ascii="宋体" w:hAnsi="宋体" w:eastAsia="宋体" w:cs="宋体"/>
          <w:b/>
          <w:bCs/>
          <w:color w:val="auto"/>
          <w:highlight w:val="none"/>
          <w:shd w:val="clear" w:color="auto" w:fill="auto"/>
          <w:lang w:val="en-US" w:eastAsia="zh-CN"/>
        </w:rPr>
        <w:t>八、其他需要说明的问题</w:t>
      </w:r>
      <w:bookmarkEnd w:id="86"/>
    </w:p>
    <w:p w14:paraId="3E0CB6E5">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14:paraId="4F43C495">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14:paraId="520EF9B7">
      <w:pPr>
        <w:ind w:left="0" w:leftChars="0" w:firstLine="0" w:firstLineChars="0"/>
        <w:rPr>
          <w:rFonts w:hint="eastAsia" w:ascii="宋体" w:hAnsi="宋体" w:eastAsia="宋体" w:cs="宋体"/>
          <w:b/>
          <w:bCs/>
          <w:color w:val="auto"/>
          <w:highlight w:val="none"/>
          <w:shd w:val="clear" w:color="auto" w:fill="auto"/>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bookmarkStart w:id="87" w:name="_Toc11349"/>
    </w:p>
    <w:p w14:paraId="3D6593CA">
      <w:pPr>
        <w:ind w:left="0" w:leftChars="0" w:firstLine="0" w:firstLineChars="0"/>
        <w:rPr>
          <w:color w:val="auto"/>
          <w:highlight w:val="none"/>
        </w:rPr>
      </w:pPr>
      <w:r>
        <w:rPr>
          <w:rFonts w:hint="eastAsia" w:ascii="宋体" w:hAnsi="宋体" w:eastAsia="宋体" w:cs="宋体"/>
          <w:b/>
          <w:bCs/>
          <w:color w:val="auto"/>
          <w:highlight w:val="none"/>
          <w:shd w:val="clear" w:color="auto" w:fill="auto"/>
          <w:lang w:val="en-US" w:eastAsia="zh-CN"/>
        </w:rPr>
        <w:t>附件一、项目支出绩效自评表</w:t>
      </w:r>
      <w:bookmarkEnd w:id="87"/>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14"/>
        <w:gridCol w:w="914"/>
        <w:gridCol w:w="914"/>
        <w:gridCol w:w="914"/>
        <w:gridCol w:w="1465"/>
        <w:gridCol w:w="914"/>
        <w:gridCol w:w="914"/>
        <w:gridCol w:w="1006"/>
        <w:gridCol w:w="914"/>
        <w:gridCol w:w="914"/>
        <w:gridCol w:w="1373"/>
        <w:gridCol w:w="1098"/>
        <w:gridCol w:w="1006"/>
        <w:gridCol w:w="914"/>
      </w:tblGrid>
      <w:tr w14:paraId="58FC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0D858B26">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auto"/>
                <w:sz w:val="40"/>
                <w:szCs w:val="40"/>
                <w:highlight w:val="none"/>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118B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46B86E25">
            <w:pPr>
              <w:keepNext w:val="0"/>
              <w:keepLines w:val="0"/>
              <w:widowControl/>
              <w:suppressLineNumbers w:val="0"/>
              <w:ind w:firstLine="442" w:firstLineChars="20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30CE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33" w:type="dxa"/>
            <w:gridSpan w:val="2"/>
            <w:tcBorders>
              <w:top w:val="single" w:color="auto" w:sz="4" w:space="0"/>
            </w:tcBorders>
            <w:shd w:val="clear" w:color="auto" w:fill="auto"/>
            <w:vAlign w:val="center"/>
          </w:tcPr>
          <w:p w14:paraId="59B1E276">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项目名称</w:t>
            </w:r>
          </w:p>
        </w:tc>
        <w:tc>
          <w:tcPr>
            <w:tcW w:w="12641" w:type="dxa"/>
            <w:gridSpan w:val="12"/>
            <w:tcBorders>
              <w:top w:val="single" w:color="auto" w:sz="4" w:space="0"/>
            </w:tcBorders>
            <w:shd w:val="clear" w:color="auto" w:fill="auto"/>
            <w:vAlign w:val="center"/>
          </w:tcPr>
          <w:p w14:paraId="3B58E4EC">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原人民医院内科楼改造项目</w:t>
            </w:r>
          </w:p>
        </w:tc>
      </w:tr>
      <w:tr w14:paraId="2200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33" w:type="dxa"/>
            <w:gridSpan w:val="2"/>
            <w:shd w:val="clear" w:color="auto" w:fill="auto"/>
            <w:vAlign w:val="center"/>
          </w:tcPr>
          <w:p w14:paraId="63E923CE">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主管部门</w:t>
            </w:r>
          </w:p>
        </w:tc>
        <w:tc>
          <w:tcPr>
            <w:tcW w:w="4812" w:type="dxa"/>
            <w:gridSpan w:val="5"/>
            <w:shd w:val="clear" w:color="auto" w:fill="auto"/>
            <w:vAlign w:val="center"/>
          </w:tcPr>
          <w:p w14:paraId="0CD784FF">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1776" w:type="dxa"/>
            <w:gridSpan w:val="2"/>
            <w:shd w:val="clear" w:color="auto" w:fill="auto"/>
            <w:vAlign w:val="center"/>
          </w:tcPr>
          <w:p w14:paraId="7E3275C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6053" w:type="dxa"/>
            <w:gridSpan w:val="5"/>
            <w:shd w:val="clear" w:color="auto" w:fill="auto"/>
            <w:vAlign w:val="center"/>
          </w:tcPr>
          <w:p w14:paraId="4B9936B8">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阜康市妇幼保健计划生育服务中心</w:t>
            </w:r>
          </w:p>
        </w:tc>
      </w:tr>
      <w:tr w14:paraId="7C90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33" w:type="dxa"/>
            <w:gridSpan w:val="2"/>
            <w:vMerge w:val="restart"/>
            <w:shd w:val="clear" w:color="auto" w:fill="auto"/>
            <w:vAlign w:val="center"/>
          </w:tcPr>
          <w:p w14:paraId="5C221E64">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300" w:type="dxa"/>
            <w:gridSpan w:val="2"/>
            <w:shd w:val="clear" w:color="auto" w:fill="auto"/>
            <w:vAlign w:val="center"/>
          </w:tcPr>
          <w:p w14:paraId="420DEE8A">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资金来源</w:t>
            </w:r>
          </w:p>
        </w:tc>
        <w:tc>
          <w:tcPr>
            <w:tcW w:w="1055" w:type="dxa"/>
            <w:shd w:val="clear" w:color="auto" w:fill="auto"/>
            <w:vAlign w:val="center"/>
          </w:tcPr>
          <w:p w14:paraId="5842B0E6">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457" w:type="dxa"/>
            <w:gridSpan w:val="2"/>
            <w:shd w:val="clear" w:color="auto" w:fill="auto"/>
            <w:vAlign w:val="center"/>
          </w:tcPr>
          <w:p w14:paraId="2497EF14">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776" w:type="dxa"/>
            <w:gridSpan w:val="2"/>
            <w:shd w:val="clear" w:color="auto" w:fill="auto"/>
            <w:vAlign w:val="center"/>
          </w:tcPr>
          <w:p w14:paraId="535536B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全年执行数</w:t>
            </w:r>
          </w:p>
        </w:tc>
        <w:tc>
          <w:tcPr>
            <w:tcW w:w="2415" w:type="dxa"/>
            <w:gridSpan w:val="2"/>
            <w:shd w:val="clear" w:color="auto" w:fill="auto"/>
            <w:vAlign w:val="center"/>
          </w:tcPr>
          <w:p w14:paraId="4071A1B4">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分值权重</w:t>
            </w:r>
          </w:p>
        </w:tc>
        <w:tc>
          <w:tcPr>
            <w:tcW w:w="1864" w:type="dxa"/>
            <w:gridSpan w:val="2"/>
            <w:shd w:val="clear" w:color="auto" w:fill="auto"/>
            <w:vAlign w:val="center"/>
          </w:tcPr>
          <w:p w14:paraId="3E484335">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执行率</w:t>
            </w:r>
          </w:p>
        </w:tc>
        <w:tc>
          <w:tcPr>
            <w:tcW w:w="1774" w:type="dxa"/>
            <w:shd w:val="clear" w:color="auto" w:fill="auto"/>
            <w:vAlign w:val="center"/>
          </w:tcPr>
          <w:p w14:paraId="1DD000AF">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得分</w:t>
            </w:r>
          </w:p>
        </w:tc>
      </w:tr>
      <w:tr w14:paraId="3DC3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33" w:type="dxa"/>
            <w:gridSpan w:val="2"/>
            <w:vMerge w:val="continue"/>
            <w:shd w:val="clear" w:color="auto" w:fill="auto"/>
            <w:vAlign w:val="center"/>
          </w:tcPr>
          <w:p w14:paraId="750BEAEE">
            <w:pPr>
              <w:jc w:val="center"/>
              <w:rPr>
                <w:rFonts w:hint="eastAsia" w:ascii="宋体" w:hAnsi="宋体" w:eastAsia="宋体" w:cs="宋体"/>
                <w:i w:val="0"/>
                <w:iCs w:val="0"/>
                <w:color w:val="auto"/>
                <w:sz w:val="20"/>
                <w:szCs w:val="20"/>
                <w:highlight w:val="none"/>
                <w:u w:val="none"/>
              </w:rPr>
            </w:pPr>
          </w:p>
        </w:tc>
        <w:tc>
          <w:tcPr>
            <w:tcW w:w="2300" w:type="dxa"/>
            <w:gridSpan w:val="2"/>
            <w:shd w:val="clear" w:color="auto" w:fill="auto"/>
            <w:vAlign w:val="center"/>
          </w:tcPr>
          <w:p w14:paraId="700D7C4C">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55" w:type="dxa"/>
            <w:shd w:val="clear" w:color="auto" w:fill="auto"/>
            <w:vAlign w:val="center"/>
          </w:tcPr>
          <w:p w14:paraId="42CA83C4">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131.38 </w:t>
            </w:r>
          </w:p>
        </w:tc>
        <w:tc>
          <w:tcPr>
            <w:tcW w:w="1457" w:type="dxa"/>
            <w:gridSpan w:val="2"/>
            <w:shd w:val="clear" w:color="auto" w:fill="auto"/>
            <w:vAlign w:val="center"/>
          </w:tcPr>
          <w:p w14:paraId="688FF126">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131.38 </w:t>
            </w:r>
          </w:p>
        </w:tc>
        <w:tc>
          <w:tcPr>
            <w:tcW w:w="1776" w:type="dxa"/>
            <w:gridSpan w:val="2"/>
            <w:shd w:val="clear" w:color="auto" w:fill="auto"/>
            <w:vAlign w:val="center"/>
          </w:tcPr>
          <w:p w14:paraId="126063AB">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131.38 </w:t>
            </w:r>
          </w:p>
        </w:tc>
        <w:tc>
          <w:tcPr>
            <w:tcW w:w="2415" w:type="dxa"/>
            <w:gridSpan w:val="2"/>
            <w:shd w:val="clear" w:color="auto" w:fill="auto"/>
            <w:vAlign w:val="center"/>
          </w:tcPr>
          <w:p w14:paraId="100C1FF2">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864" w:type="dxa"/>
            <w:gridSpan w:val="2"/>
            <w:shd w:val="clear" w:color="auto" w:fill="auto"/>
            <w:vAlign w:val="center"/>
          </w:tcPr>
          <w:p w14:paraId="01ACC9B7">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w:t>
            </w:r>
          </w:p>
        </w:tc>
        <w:tc>
          <w:tcPr>
            <w:tcW w:w="1774" w:type="dxa"/>
            <w:shd w:val="clear" w:color="auto" w:fill="auto"/>
            <w:vAlign w:val="center"/>
          </w:tcPr>
          <w:p w14:paraId="2C39A6F0">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r>
      <w:tr w14:paraId="6B0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33" w:type="dxa"/>
            <w:gridSpan w:val="2"/>
            <w:vMerge w:val="continue"/>
            <w:shd w:val="clear" w:color="auto" w:fill="auto"/>
            <w:vAlign w:val="center"/>
          </w:tcPr>
          <w:p w14:paraId="6A3C60D1">
            <w:pPr>
              <w:jc w:val="center"/>
              <w:rPr>
                <w:rFonts w:hint="eastAsia" w:ascii="宋体" w:hAnsi="宋体" w:eastAsia="宋体" w:cs="宋体"/>
                <w:i w:val="0"/>
                <w:iCs w:val="0"/>
                <w:color w:val="auto"/>
                <w:sz w:val="20"/>
                <w:szCs w:val="20"/>
                <w:highlight w:val="none"/>
                <w:u w:val="none"/>
              </w:rPr>
            </w:pPr>
          </w:p>
        </w:tc>
        <w:tc>
          <w:tcPr>
            <w:tcW w:w="2300" w:type="dxa"/>
            <w:gridSpan w:val="2"/>
            <w:shd w:val="clear" w:color="auto" w:fill="auto"/>
            <w:vAlign w:val="center"/>
          </w:tcPr>
          <w:p w14:paraId="4E7E5303">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55" w:type="dxa"/>
            <w:shd w:val="clear" w:color="auto" w:fill="auto"/>
            <w:vAlign w:val="center"/>
          </w:tcPr>
          <w:p w14:paraId="5E8E821B">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131.38 </w:t>
            </w:r>
          </w:p>
        </w:tc>
        <w:tc>
          <w:tcPr>
            <w:tcW w:w="1457" w:type="dxa"/>
            <w:gridSpan w:val="2"/>
            <w:shd w:val="clear" w:color="auto" w:fill="auto"/>
            <w:vAlign w:val="center"/>
          </w:tcPr>
          <w:p w14:paraId="0718F7E7">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131.38 </w:t>
            </w:r>
          </w:p>
        </w:tc>
        <w:tc>
          <w:tcPr>
            <w:tcW w:w="1776" w:type="dxa"/>
            <w:gridSpan w:val="2"/>
            <w:shd w:val="clear" w:color="auto" w:fill="auto"/>
            <w:vAlign w:val="center"/>
          </w:tcPr>
          <w:p w14:paraId="242AE72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131.38 </w:t>
            </w:r>
          </w:p>
        </w:tc>
        <w:tc>
          <w:tcPr>
            <w:tcW w:w="2415" w:type="dxa"/>
            <w:gridSpan w:val="2"/>
            <w:shd w:val="clear" w:color="auto" w:fill="auto"/>
            <w:vAlign w:val="center"/>
          </w:tcPr>
          <w:p w14:paraId="7E1C91E2">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1864" w:type="dxa"/>
            <w:gridSpan w:val="2"/>
            <w:shd w:val="clear" w:color="auto" w:fill="auto"/>
            <w:vAlign w:val="center"/>
          </w:tcPr>
          <w:p w14:paraId="2111BFAE">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1774" w:type="dxa"/>
            <w:shd w:val="clear" w:color="auto" w:fill="auto"/>
            <w:vAlign w:val="center"/>
          </w:tcPr>
          <w:p w14:paraId="07C0641C">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r>
      <w:tr w14:paraId="4B48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533" w:type="dxa"/>
            <w:gridSpan w:val="2"/>
            <w:vMerge w:val="continue"/>
            <w:shd w:val="clear" w:color="auto" w:fill="auto"/>
            <w:vAlign w:val="center"/>
          </w:tcPr>
          <w:p w14:paraId="30E2EC68">
            <w:pPr>
              <w:jc w:val="center"/>
              <w:rPr>
                <w:rFonts w:hint="eastAsia" w:ascii="宋体" w:hAnsi="宋体" w:eastAsia="宋体" w:cs="宋体"/>
                <w:i w:val="0"/>
                <w:iCs w:val="0"/>
                <w:color w:val="auto"/>
                <w:sz w:val="20"/>
                <w:szCs w:val="20"/>
                <w:highlight w:val="none"/>
                <w:u w:val="none"/>
              </w:rPr>
            </w:pPr>
          </w:p>
        </w:tc>
        <w:tc>
          <w:tcPr>
            <w:tcW w:w="2300" w:type="dxa"/>
            <w:gridSpan w:val="2"/>
            <w:shd w:val="clear" w:color="auto" w:fill="auto"/>
            <w:vAlign w:val="center"/>
          </w:tcPr>
          <w:p w14:paraId="6DE2BB8D">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其他资金</w:t>
            </w:r>
          </w:p>
        </w:tc>
        <w:tc>
          <w:tcPr>
            <w:tcW w:w="1055" w:type="dxa"/>
            <w:shd w:val="clear" w:color="auto" w:fill="auto"/>
            <w:vAlign w:val="center"/>
          </w:tcPr>
          <w:p w14:paraId="48AE78D9">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57" w:type="dxa"/>
            <w:gridSpan w:val="2"/>
            <w:shd w:val="clear" w:color="auto" w:fill="auto"/>
            <w:vAlign w:val="center"/>
          </w:tcPr>
          <w:p w14:paraId="4CBF1319">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776" w:type="dxa"/>
            <w:gridSpan w:val="2"/>
            <w:shd w:val="clear" w:color="auto" w:fill="auto"/>
            <w:vAlign w:val="center"/>
          </w:tcPr>
          <w:p w14:paraId="3F14B585">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2415" w:type="dxa"/>
            <w:gridSpan w:val="2"/>
            <w:shd w:val="clear" w:color="auto" w:fill="auto"/>
            <w:vAlign w:val="center"/>
          </w:tcPr>
          <w:p w14:paraId="57F001E0">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1864" w:type="dxa"/>
            <w:gridSpan w:val="2"/>
            <w:shd w:val="clear" w:color="auto" w:fill="auto"/>
            <w:vAlign w:val="center"/>
          </w:tcPr>
          <w:p w14:paraId="289CCC17">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c>
          <w:tcPr>
            <w:tcW w:w="1774" w:type="dxa"/>
            <w:shd w:val="clear" w:color="auto" w:fill="auto"/>
            <w:vAlign w:val="center"/>
          </w:tcPr>
          <w:p w14:paraId="3F54C692">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w:t>
            </w:r>
          </w:p>
        </w:tc>
      </w:tr>
      <w:tr w14:paraId="59F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vMerge w:val="restart"/>
            <w:shd w:val="clear" w:color="auto" w:fill="auto"/>
            <w:vAlign w:val="center"/>
          </w:tcPr>
          <w:p w14:paraId="4110F39A">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7355" w:type="dxa"/>
            <w:gridSpan w:val="8"/>
            <w:shd w:val="clear" w:color="auto" w:fill="auto"/>
            <w:vAlign w:val="center"/>
          </w:tcPr>
          <w:p w14:paraId="1DEF8EC7">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总体目标</w:t>
            </w:r>
          </w:p>
        </w:tc>
        <w:tc>
          <w:tcPr>
            <w:tcW w:w="6053" w:type="dxa"/>
            <w:gridSpan w:val="5"/>
            <w:shd w:val="clear" w:color="auto" w:fill="auto"/>
            <w:vAlign w:val="center"/>
          </w:tcPr>
          <w:p w14:paraId="72D32D59">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6157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766" w:type="dxa"/>
            <w:vMerge w:val="continue"/>
            <w:shd w:val="clear" w:color="auto" w:fill="auto"/>
            <w:vAlign w:val="center"/>
          </w:tcPr>
          <w:p w14:paraId="5F2C65BD">
            <w:pPr>
              <w:jc w:val="center"/>
              <w:rPr>
                <w:rFonts w:hint="eastAsia" w:ascii="宋体" w:hAnsi="宋体" w:eastAsia="宋体" w:cs="宋体"/>
                <w:i w:val="0"/>
                <w:iCs w:val="0"/>
                <w:color w:val="auto"/>
                <w:sz w:val="20"/>
                <w:szCs w:val="20"/>
                <w:highlight w:val="none"/>
                <w:u w:val="none"/>
              </w:rPr>
            </w:pPr>
          </w:p>
        </w:tc>
        <w:tc>
          <w:tcPr>
            <w:tcW w:w="7355" w:type="dxa"/>
            <w:gridSpan w:val="8"/>
            <w:shd w:val="clear" w:color="auto" w:fill="auto"/>
            <w:vAlign w:val="center"/>
          </w:tcPr>
          <w:p w14:paraId="6AC73902">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2023年完成原市医院内科楼9025.25平方米室内装饰装修、地面、电气、排水、消防等改造工程，工程质量合格率100%，为保证阜康市妇幼保健计划生育服务中心顺利搬迁，有效促进阜康市妇幼保健计划生育服务中心</w:t>
            </w:r>
            <w:bookmarkStart w:id="89" w:name="_GoBack"/>
            <w:bookmarkEnd w:id="89"/>
            <w:r>
              <w:rPr>
                <w:rFonts w:hint="eastAsia" w:ascii="宋体" w:hAnsi="宋体" w:eastAsia="宋体" w:cs="宋体"/>
                <w:i w:val="0"/>
                <w:iCs w:val="0"/>
                <w:color w:val="000000"/>
                <w:kern w:val="0"/>
                <w:sz w:val="20"/>
                <w:szCs w:val="20"/>
                <w:u w:val="none"/>
                <w:lang w:val="en-US" w:eastAsia="zh-CN" w:bidi="ar"/>
              </w:rPr>
              <w:t>业务的发展，提高妇女儿童健康水平。</w:t>
            </w:r>
          </w:p>
        </w:tc>
        <w:tc>
          <w:tcPr>
            <w:tcW w:w="6053" w:type="dxa"/>
            <w:gridSpan w:val="5"/>
            <w:shd w:val="clear" w:color="auto" w:fill="auto"/>
            <w:vAlign w:val="center"/>
          </w:tcPr>
          <w:p w14:paraId="7A6560BD">
            <w:pPr>
              <w:keepNext w:val="0"/>
              <w:keepLines w:val="0"/>
              <w:widowControl/>
              <w:suppressLineNumbers w:val="0"/>
              <w:ind w:firstLine="400" w:firstLineChars="2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截至2023年12月31日，本项目完成改造面积9025.25平方米，工程合格率达到100%，项目完成率达到100%，项目的实施达到了促进妇幼保健服务业务的发展，提高了妇女儿童健康水平的效益。</w:t>
            </w:r>
          </w:p>
        </w:tc>
      </w:tr>
      <w:tr w14:paraId="75E8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6" w:type="dxa"/>
            <w:shd w:val="clear" w:color="auto" w:fill="auto"/>
            <w:vAlign w:val="center"/>
          </w:tcPr>
          <w:p w14:paraId="08AC356B">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shd w:val="clear" w:color="auto" w:fill="auto"/>
            <w:vAlign w:val="center"/>
          </w:tcPr>
          <w:p w14:paraId="1EA7451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一级指标</w:t>
            </w:r>
          </w:p>
        </w:tc>
        <w:tc>
          <w:tcPr>
            <w:tcW w:w="997" w:type="dxa"/>
            <w:shd w:val="clear" w:color="auto" w:fill="auto"/>
            <w:vAlign w:val="center"/>
          </w:tcPr>
          <w:p w14:paraId="06D8464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二级指标</w:t>
            </w:r>
          </w:p>
        </w:tc>
        <w:tc>
          <w:tcPr>
            <w:tcW w:w="1303" w:type="dxa"/>
            <w:shd w:val="clear" w:color="auto" w:fill="auto"/>
            <w:vAlign w:val="center"/>
          </w:tcPr>
          <w:p w14:paraId="1140FCA4">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三级指标</w:t>
            </w:r>
          </w:p>
        </w:tc>
        <w:tc>
          <w:tcPr>
            <w:tcW w:w="1055" w:type="dxa"/>
            <w:shd w:val="clear" w:color="auto" w:fill="auto"/>
            <w:vAlign w:val="center"/>
          </w:tcPr>
          <w:p w14:paraId="126E300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w:t>
            </w:r>
          </w:p>
        </w:tc>
        <w:tc>
          <w:tcPr>
            <w:tcW w:w="806" w:type="dxa"/>
            <w:shd w:val="clear" w:color="auto" w:fill="auto"/>
            <w:vAlign w:val="center"/>
          </w:tcPr>
          <w:p w14:paraId="59F000F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指标值设置依据</w:t>
            </w:r>
          </w:p>
        </w:tc>
        <w:tc>
          <w:tcPr>
            <w:tcW w:w="651" w:type="dxa"/>
            <w:shd w:val="clear" w:color="auto" w:fill="auto"/>
            <w:vAlign w:val="center"/>
          </w:tcPr>
          <w:p w14:paraId="3631ACD6">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上年完成值</w:t>
            </w:r>
          </w:p>
        </w:tc>
        <w:tc>
          <w:tcPr>
            <w:tcW w:w="681" w:type="dxa"/>
            <w:shd w:val="clear" w:color="auto" w:fill="auto"/>
            <w:vAlign w:val="center"/>
          </w:tcPr>
          <w:p w14:paraId="32A49CA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指标分值权重</w:t>
            </w:r>
          </w:p>
        </w:tc>
        <w:tc>
          <w:tcPr>
            <w:tcW w:w="1095" w:type="dxa"/>
            <w:shd w:val="clear" w:color="auto" w:fill="auto"/>
            <w:vAlign w:val="center"/>
          </w:tcPr>
          <w:p w14:paraId="1CBAA26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指标赋分规则</w:t>
            </w:r>
          </w:p>
        </w:tc>
        <w:tc>
          <w:tcPr>
            <w:tcW w:w="1010" w:type="dxa"/>
            <w:shd w:val="clear" w:color="auto" w:fill="auto"/>
            <w:vAlign w:val="center"/>
          </w:tcPr>
          <w:p w14:paraId="5AE8686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佐证资料</w:t>
            </w:r>
          </w:p>
        </w:tc>
        <w:tc>
          <w:tcPr>
            <w:tcW w:w="1405" w:type="dxa"/>
            <w:shd w:val="clear" w:color="auto" w:fill="auto"/>
            <w:vAlign w:val="center"/>
          </w:tcPr>
          <w:p w14:paraId="17E63CA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指标实际完成值</w:t>
            </w:r>
          </w:p>
        </w:tc>
        <w:tc>
          <w:tcPr>
            <w:tcW w:w="798" w:type="dxa"/>
            <w:shd w:val="clear" w:color="auto" w:fill="auto"/>
            <w:vAlign w:val="center"/>
          </w:tcPr>
          <w:p w14:paraId="0A2C9E0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完成率</w:t>
            </w:r>
          </w:p>
        </w:tc>
        <w:tc>
          <w:tcPr>
            <w:tcW w:w="1066" w:type="dxa"/>
            <w:shd w:val="clear" w:color="auto" w:fill="auto"/>
            <w:vAlign w:val="center"/>
          </w:tcPr>
          <w:p w14:paraId="5FA7AC8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指标得分</w:t>
            </w:r>
          </w:p>
        </w:tc>
        <w:tc>
          <w:tcPr>
            <w:tcW w:w="1774" w:type="dxa"/>
            <w:shd w:val="clear" w:color="auto" w:fill="auto"/>
            <w:vAlign w:val="center"/>
          </w:tcPr>
          <w:p w14:paraId="5CA172C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365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66" w:type="dxa"/>
            <w:vMerge w:val="restart"/>
            <w:shd w:val="clear" w:color="auto" w:fill="auto"/>
            <w:vAlign w:val="center"/>
          </w:tcPr>
          <w:p w14:paraId="4CB9468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67" w:type="dxa"/>
            <w:vMerge w:val="restart"/>
            <w:shd w:val="clear" w:color="auto" w:fill="auto"/>
            <w:vAlign w:val="center"/>
          </w:tcPr>
          <w:p w14:paraId="40CBA08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997" w:type="dxa"/>
            <w:vMerge w:val="restart"/>
            <w:shd w:val="clear" w:color="auto" w:fill="auto"/>
            <w:vAlign w:val="center"/>
          </w:tcPr>
          <w:p w14:paraId="449D164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303" w:type="dxa"/>
            <w:shd w:val="clear" w:color="auto" w:fill="auto"/>
            <w:vAlign w:val="center"/>
          </w:tcPr>
          <w:p w14:paraId="0408E20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改造面积</w:t>
            </w:r>
          </w:p>
        </w:tc>
        <w:tc>
          <w:tcPr>
            <w:tcW w:w="1055" w:type="dxa"/>
            <w:shd w:val="clear" w:color="auto" w:fill="auto"/>
            <w:vAlign w:val="center"/>
          </w:tcPr>
          <w:p w14:paraId="1824869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=9025.25平方米</w:t>
            </w:r>
          </w:p>
        </w:tc>
        <w:tc>
          <w:tcPr>
            <w:tcW w:w="806" w:type="dxa"/>
            <w:shd w:val="clear" w:color="auto" w:fill="auto"/>
            <w:vAlign w:val="center"/>
          </w:tcPr>
          <w:p w14:paraId="380AA41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vAlign w:val="center"/>
          </w:tcPr>
          <w:p w14:paraId="0E22775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5636899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shd w:val="clear" w:color="auto" w:fill="auto"/>
            <w:vAlign w:val="center"/>
          </w:tcPr>
          <w:p w14:paraId="6807F25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10" w:type="dxa"/>
            <w:shd w:val="clear" w:color="auto" w:fill="auto"/>
            <w:vAlign w:val="center"/>
          </w:tcPr>
          <w:p w14:paraId="180F6C1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4D543B4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9025.25平方米</w:t>
            </w:r>
          </w:p>
        </w:tc>
        <w:tc>
          <w:tcPr>
            <w:tcW w:w="798" w:type="dxa"/>
            <w:shd w:val="clear" w:color="auto" w:fill="auto"/>
            <w:vAlign w:val="center"/>
          </w:tcPr>
          <w:p w14:paraId="56C805D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55D22E5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74" w:type="dxa"/>
            <w:shd w:val="clear" w:color="auto" w:fill="auto"/>
            <w:vAlign w:val="center"/>
          </w:tcPr>
          <w:p w14:paraId="266EFCF9">
            <w:pPr>
              <w:jc w:val="center"/>
              <w:rPr>
                <w:rFonts w:hint="eastAsia" w:ascii="宋体" w:hAnsi="宋体" w:eastAsia="宋体" w:cs="宋体"/>
                <w:i w:val="0"/>
                <w:iCs w:val="0"/>
                <w:color w:val="auto"/>
                <w:kern w:val="0"/>
                <w:sz w:val="20"/>
                <w:szCs w:val="20"/>
                <w:highlight w:val="none"/>
                <w:u w:val="none"/>
                <w:lang w:val="en-US" w:eastAsia="zh-CN" w:bidi="ar"/>
              </w:rPr>
            </w:pPr>
          </w:p>
        </w:tc>
      </w:tr>
      <w:tr w14:paraId="2D4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7DC176D4">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02DF6BFE">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vMerge w:val="continue"/>
            <w:shd w:val="clear" w:color="auto" w:fill="auto"/>
            <w:vAlign w:val="center"/>
          </w:tcPr>
          <w:p w14:paraId="70E3B683">
            <w:pPr>
              <w:jc w:val="center"/>
              <w:rPr>
                <w:rFonts w:hint="eastAsia" w:ascii="宋体" w:hAnsi="宋体" w:eastAsia="宋体" w:cs="宋体"/>
                <w:i w:val="0"/>
                <w:iCs w:val="0"/>
                <w:color w:val="auto"/>
                <w:kern w:val="0"/>
                <w:sz w:val="20"/>
                <w:szCs w:val="20"/>
                <w:highlight w:val="none"/>
                <w:u w:val="none"/>
                <w:lang w:val="en-US" w:eastAsia="zh-CN" w:bidi="ar"/>
              </w:rPr>
            </w:pPr>
          </w:p>
        </w:tc>
        <w:tc>
          <w:tcPr>
            <w:tcW w:w="1303" w:type="dxa"/>
            <w:shd w:val="clear" w:color="auto" w:fill="auto"/>
            <w:vAlign w:val="center"/>
          </w:tcPr>
          <w:p w14:paraId="1A93379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改造层数</w:t>
            </w:r>
          </w:p>
        </w:tc>
        <w:tc>
          <w:tcPr>
            <w:tcW w:w="1055" w:type="dxa"/>
            <w:shd w:val="clear" w:color="auto" w:fill="auto"/>
            <w:vAlign w:val="center"/>
          </w:tcPr>
          <w:p w14:paraId="3922BF9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=6层</w:t>
            </w:r>
          </w:p>
        </w:tc>
        <w:tc>
          <w:tcPr>
            <w:tcW w:w="806" w:type="dxa"/>
            <w:shd w:val="clear" w:color="auto" w:fill="auto"/>
            <w:vAlign w:val="center"/>
          </w:tcPr>
          <w:p w14:paraId="5588AD6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vAlign w:val="center"/>
          </w:tcPr>
          <w:p w14:paraId="7E66ED0C">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6169583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shd w:val="clear" w:color="auto" w:fill="auto"/>
            <w:vAlign w:val="center"/>
          </w:tcPr>
          <w:p w14:paraId="0474985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10" w:type="dxa"/>
            <w:shd w:val="clear" w:color="auto" w:fill="auto"/>
            <w:vAlign w:val="center"/>
          </w:tcPr>
          <w:p w14:paraId="7F18A6B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2281D40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6层</w:t>
            </w:r>
          </w:p>
        </w:tc>
        <w:tc>
          <w:tcPr>
            <w:tcW w:w="798" w:type="dxa"/>
            <w:shd w:val="clear" w:color="auto" w:fill="auto"/>
            <w:vAlign w:val="center"/>
          </w:tcPr>
          <w:p w14:paraId="6D5DB4EF">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0699D1F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74" w:type="dxa"/>
            <w:shd w:val="clear" w:color="auto" w:fill="auto"/>
            <w:vAlign w:val="center"/>
          </w:tcPr>
          <w:p w14:paraId="04953E33">
            <w:pPr>
              <w:jc w:val="center"/>
              <w:rPr>
                <w:rFonts w:hint="eastAsia" w:ascii="宋体" w:hAnsi="宋体" w:eastAsia="宋体" w:cs="宋体"/>
                <w:i w:val="0"/>
                <w:iCs w:val="0"/>
                <w:color w:val="auto"/>
                <w:kern w:val="0"/>
                <w:sz w:val="20"/>
                <w:szCs w:val="20"/>
                <w:highlight w:val="none"/>
                <w:u w:val="none"/>
                <w:lang w:val="en-US" w:eastAsia="zh-CN" w:bidi="ar"/>
              </w:rPr>
            </w:pPr>
          </w:p>
        </w:tc>
      </w:tr>
      <w:tr w14:paraId="78D2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418B1258">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7BC50D9B">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shd w:val="clear" w:color="auto" w:fill="auto"/>
            <w:vAlign w:val="center"/>
          </w:tcPr>
          <w:p w14:paraId="14862B3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303" w:type="dxa"/>
            <w:shd w:val="clear" w:color="auto" w:fill="auto"/>
            <w:vAlign w:val="center"/>
          </w:tcPr>
          <w:p w14:paraId="6BE28B8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工程质量合格率</w:t>
            </w:r>
          </w:p>
        </w:tc>
        <w:tc>
          <w:tcPr>
            <w:tcW w:w="1055" w:type="dxa"/>
            <w:shd w:val="clear" w:color="auto" w:fill="auto"/>
            <w:vAlign w:val="center"/>
          </w:tcPr>
          <w:p w14:paraId="5FCB257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806" w:type="dxa"/>
            <w:shd w:val="clear" w:color="auto" w:fill="auto"/>
            <w:vAlign w:val="center"/>
          </w:tcPr>
          <w:p w14:paraId="3499B66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行业标准</w:t>
            </w:r>
          </w:p>
        </w:tc>
        <w:tc>
          <w:tcPr>
            <w:tcW w:w="651" w:type="dxa"/>
            <w:shd w:val="clear" w:color="auto" w:fill="auto"/>
            <w:vAlign w:val="center"/>
          </w:tcPr>
          <w:p w14:paraId="329B431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6FFF8E7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shd w:val="clear" w:color="auto" w:fill="auto"/>
            <w:vAlign w:val="center"/>
          </w:tcPr>
          <w:p w14:paraId="4197B3F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10" w:type="dxa"/>
            <w:shd w:val="clear" w:color="auto" w:fill="auto"/>
            <w:vAlign w:val="center"/>
          </w:tcPr>
          <w:p w14:paraId="7B3B1D2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2201121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98" w:type="dxa"/>
            <w:shd w:val="clear" w:color="auto" w:fill="auto"/>
            <w:vAlign w:val="center"/>
          </w:tcPr>
          <w:p w14:paraId="05A09AC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596826C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74" w:type="dxa"/>
            <w:shd w:val="clear" w:color="auto" w:fill="auto"/>
            <w:vAlign w:val="center"/>
          </w:tcPr>
          <w:p w14:paraId="1D0B9BDC">
            <w:pPr>
              <w:jc w:val="center"/>
              <w:rPr>
                <w:rFonts w:hint="eastAsia" w:ascii="宋体" w:hAnsi="宋体" w:eastAsia="宋体" w:cs="宋体"/>
                <w:i w:val="0"/>
                <w:iCs w:val="0"/>
                <w:color w:val="auto"/>
                <w:kern w:val="0"/>
                <w:sz w:val="20"/>
                <w:szCs w:val="20"/>
                <w:highlight w:val="none"/>
                <w:u w:val="none"/>
                <w:lang w:val="en-US" w:eastAsia="zh-CN" w:bidi="ar"/>
              </w:rPr>
            </w:pPr>
          </w:p>
        </w:tc>
      </w:tr>
      <w:tr w14:paraId="2D90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168552F3">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0D0C5BA5">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vMerge w:val="restart"/>
            <w:shd w:val="clear" w:color="auto" w:fill="auto"/>
            <w:vAlign w:val="center"/>
          </w:tcPr>
          <w:p w14:paraId="373CA14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303" w:type="dxa"/>
            <w:shd w:val="clear" w:color="auto" w:fill="auto"/>
            <w:vAlign w:val="center"/>
          </w:tcPr>
          <w:p w14:paraId="18D04E51">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开工时间</w:t>
            </w:r>
          </w:p>
        </w:tc>
        <w:tc>
          <w:tcPr>
            <w:tcW w:w="1055" w:type="dxa"/>
            <w:shd w:val="clear" w:color="auto" w:fill="auto"/>
            <w:vAlign w:val="center"/>
          </w:tcPr>
          <w:p w14:paraId="24B6300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w:t>
            </w:r>
          </w:p>
        </w:tc>
        <w:tc>
          <w:tcPr>
            <w:tcW w:w="806" w:type="dxa"/>
            <w:shd w:val="clear" w:color="auto" w:fill="auto"/>
            <w:vAlign w:val="center"/>
          </w:tcPr>
          <w:p w14:paraId="4FE4506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vAlign w:val="center"/>
          </w:tcPr>
          <w:p w14:paraId="47A78964">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25FB73C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shd w:val="clear" w:color="auto" w:fill="auto"/>
            <w:vAlign w:val="center"/>
          </w:tcPr>
          <w:p w14:paraId="2473973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10" w:type="dxa"/>
            <w:shd w:val="clear" w:color="auto" w:fill="auto"/>
            <w:vAlign w:val="center"/>
          </w:tcPr>
          <w:p w14:paraId="086713E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1FF73F4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2019年5月</w:t>
            </w:r>
          </w:p>
        </w:tc>
        <w:tc>
          <w:tcPr>
            <w:tcW w:w="798" w:type="dxa"/>
            <w:shd w:val="clear" w:color="auto" w:fill="auto"/>
            <w:vAlign w:val="center"/>
          </w:tcPr>
          <w:p w14:paraId="40780F6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70A0758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74" w:type="dxa"/>
            <w:shd w:val="clear" w:color="auto" w:fill="auto"/>
            <w:vAlign w:val="center"/>
          </w:tcPr>
          <w:p w14:paraId="18A67592">
            <w:pPr>
              <w:jc w:val="center"/>
              <w:rPr>
                <w:rFonts w:hint="eastAsia" w:ascii="宋体" w:hAnsi="宋体" w:eastAsia="宋体" w:cs="宋体"/>
                <w:i w:val="0"/>
                <w:iCs w:val="0"/>
                <w:color w:val="auto"/>
                <w:kern w:val="0"/>
                <w:sz w:val="20"/>
                <w:szCs w:val="20"/>
                <w:highlight w:val="none"/>
                <w:u w:val="none"/>
                <w:lang w:val="en-US" w:eastAsia="zh-CN" w:bidi="ar"/>
              </w:rPr>
            </w:pPr>
          </w:p>
        </w:tc>
      </w:tr>
      <w:tr w14:paraId="14E6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4F096BAF">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3D7DAD20">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vMerge w:val="continue"/>
            <w:shd w:val="clear" w:color="auto" w:fill="auto"/>
            <w:vAlign w:val="center"/>
          </w:tcPr>
          <w:p w14:paraId="5C2C39ED">
            <w:pPr>
              <w:jc w:val="center"/>
              <w:rPr>
                <w:rFonts w:hint="eastAsia" w:ascii="宋体" w:hAnsi="宋体" w:eastAsia="宋体" w:cs="宋体"/>
                <w:i w:val="0"/>
                <w:iCs w:val="0"/>
                <w:color w:val="auto"/>
                <w:kern w:val="0"/>
                <w:sz w:val="20"/>
                <w:szCs w:val="20"/>
                <w:highlight w:val="none"/>
                <w:u w:val="none"/>
                <w:lang w:val="en-US" w:eastAsia="zh-CN" w:bidi="ar"/>
              </w:rPr>
            </w:pPr>
          </w:p>
        </w:tc>
        <w:tc>
          <w:tcPr>
            <w:tcW w:w="1303" w:type="dxa"/>
            <w:shd w:val="clear" w:color="auto" w:fill="auto"/>
            <w:vAlign w:val="center"/>
          </w:tcPr>
          <w:p w14:paraId="6D2044C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完工时间</w:t>
            </w:r>
          </w:p>
        </w:tc>
        <w:tc>
          <w:tcPr>
            <w:tcW w:w="1055" w:type="dxa"/>
            <w:shd w:val="clear" w:color="auto" w:fill="auto"/>
            <w:vAlign w:val="center"/>
          </w:tcPr>
          <w:p w14:paraId="65FBAA0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2019年10月</w:t>
            </w:r>
          </w:p>
        </w:tc>
        <w:tc>
          <w:tcPr>
            <w:tcW w:w="806" w:type="dxa"/>
            <w:shd w:val="clear" w:color="auto" w:fill="auto"/>
            <w:vAlign w:val="center"/>
          </w:tcPr>
          <w:p w14:paraId="5F49E14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vAlign w:val="center"/>
          </w:tcPr>
          <w:p w14:paraId="6E59B2A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61D0B22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shd w:val="clear" w:color="auto" w:fill="auto"/>
            <w:vAlign w:val="center"/>
          </w:tcPr>
          <w:p w14:paraId="7B49307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按照完成比例赋分</w:t>
            </w:r>
          </w:p>
        </w:tc>
        <w:tc>
          <w:tcPr>
            <w:tcW w:w="1010" w:type="dxa"/>
            <w:shd w:val="clear" w:color="auto" w:fill="auto"/>
            <w:vAlign w:val="center"/>
          </w:tcPr>
          <w:p w14:paraId="7560AA2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0F6FB66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2021年1月</w:t>
            </w:r>
          </w:p>
        </w:tc>
        <w:tc>
          <w:tcPr>
            <w:tcW w:w="798" w:type="dxa"/>
            <w:shd w:val="clear" w:color="auto" w:fill="auto"/>
            <w:vAlign w:val="center"/>
          </w:tcPr>
          <w:p w14:paraId="76A5688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16C9B67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74" w:type="dxa"/>
            <w:shd w:val="clear" w:color="auto" w:fill="auto"/>
            <w:vAlign w:val="center"/>
          </w:tcPr>
          <w:p w14:paraId="0651C6A6">
            <w:pPr>
              <w:jc w:val="center"/>
              <w:rPr>
                <w:rFonts w:hint="eastAsia" w:ascii="宋体" w:hAnsi="宋体" w:eastAsia="宋体" w:cs="宋体"/>
                <w:i w:val="0"/>
                <w:iCs w:val="0"/>
                <w:color w:val="auto"/>
                <w:kern w:val="0"/>
                <w:sz w:val="20"/>
                <w:szCs w:val="20"/>
                <w:highlight w:val="none"/>
                <w:u w:val="none"/>
                <w:lang w:val="en-US" w:eastAsia="zh-CN" w:bidi="ar"/>
              </w:rPr>
            </w:pPr>
          </w:p>
        </w:tc>
      </w:tr>
      <w:tr w14:paraId="5B52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5D8CA7D4">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restart"/>
            <w:shd w:val="clear" w:color="auto" w:fill="auto"/>
            <w:vAlign w:val="center"/>
          </w:tcPr>
          <w:p w14:paraId="47D1D92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tc>
        <w:tc>
          <w:tcPr>
            <w:tcW w:w="997" w:type="dxa"/>
            <w:shd w:val="clear" w:color="auto" w:fill="auto"/>
            <w:vAlign w:val="center"/>
          </w:tcPr>
          <w:p w14:paraId="4A43009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经济成本指标</w:t>
            </w:r>
          </w:p>
        </w:tc>
        <w:tc>
          <w:tcPr>
            <w:tcW w:w="1303" w:type="dxa"/>
            <w:shd w:val="clear" w:color="auto" w:fill="auto"/>
            <w:vAlign w:val="center"/>
          </w:tcPr>
          <w:p w14:paraId="77DBB6A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项目总成本（万元）</w:t>
            </w:r>
          </w:p>
        </w:tc>
        <w:tc>
          <w:tcPr>
            <w:tcW w:w="1055" w:type="dxa"/>
            <w:shd w:val="clear" w:color="auto" w:fill="auto"/>
            <w:vAlign w:val="center"/>
          </w:tcPr>
          <w:p w14:paraId="3AEF236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≤131.38万元</w:t>
            </w:r>
          </w:p>
        </w:tc>
        <w:tc>
          <w:tcPr>
            <w:tcW w:w="806" w:type="dxa"/>
            <w:shd w:val="clear" w:color="auto" w:fill="auto"/>
            <w:vAlign w:val="center"/>
          </w:tcPr>
          <w:p w14:paraId="20302AC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vAlign w:val="center"/>
          </w:tcPr>
          <w:p w14:paraId="0A46654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7A9E553F">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shd w:val="clear" w:color="auto" w:fill="auto"/>
            <w:vAlign w:val="center"/>
          </w:tcPr>
          <w:p w14:paraId="591F48E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直接赋分</w:t>
            </w:r>
          </w:p>
        </w:tc>
        <w:tc>
          <w:tcPr>
            <w:tcW w:w="1010" w:type="dxa"/>
            <w:shd w:val="clear" w:color="auto" w:fill="auto"/>
            <w:vAlign w:val="center"/>
          </w:tcPr>
          <w:p w14:paraId="1604239F">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原始凭证</w:t>
            </w:r>
          </w:p>
        </w:tc>
        <w:tc>
          <w:tcPr>
            <w:tcW w:w="1405" w:type="dxa"/>
            <w:shd w:val="clear" w:color="auto" w:fill="auto"/>
            <w:vAlign w:val="center"/>
          </w:tcPr>
          <w:p w14:paraId="01AC17F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131.38万元</w:t>
            </w:r>
          </w:p>
        </w:tc>
        <w:tc>
          <w:tcPr>
            <w:tcW w:w="798" w:type="dxa"/>
            <w:shd w:val="clear" w:color="auto" w:fill="auto"/>
            <w:vAlign w:val="center"/>
          </w:tcPr>
          <w:p w14:paraId="71D8483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6DA7CA1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774" w:type="dxa"/>
            <w:shd w:val="clear" w:color="auto" w:fill="auto"/>
            <w:vAlign w:val="center"/>
          </w:tcPr>
          <w:p w14:paraId="2DA645AA">
            <w:pPr>
              <w:jc w:val="center"/>
              <w:rPr>
                <w:rFonts w:hint="eastAsia" w:ascii="宋体" w:hAnsi="宋体" w:eastAsia="宋体" w:cs="宋体"/>
                <w:i w:val="0"/>
                <w:iCs w:val="0"/>
                <w:color w:val="auto"/>
                <w:kern w:val="0"/>
                <w:sz w:val="20"/>
                <w:szCs w:val="20"/>
                <w:highlight w:val="none"/>
                <w:u w:val="none"/>
                <w:lang w:val="en-US" w:eastAsia="zh-CN" w:bidi="ar"/>
              </w:rPr>
            </w:pPr>
          </w:p>
        </w:tc>
      </w:tr>
      <w:tr w14:paraId="154C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1565FC2C">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12CE3400">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shd w:val="clear" w:color="auto" w:fill="auto"/>
            <w:vAlign w:val="center"/>
          </w:tcPr>
          <w:p w14:paraId="518435E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社会成本指标</w:t>
            </w:r>
          </w:p>
        </w:tc>
        <w:tc>
          <w:tcPr>
            <w:tcW w:w="1303" w:type="dxa"/>
            <w:shd w:val="clear" w:color="auto" w:fill="auto"/>
            <w:vAlign w:val="center"/>
          </w:tcPr>
          <w:p w14:paraId="070B2D7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5" w:type="dxa"/>
            <w:shd w:val="clear" w:color="auto" w:fill="auto"/>
            <w:vAlign w:val="center"/>
          </w:tcPr>
          <w:p w14:paraId="1EFEFC6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6" w:type="dxa"/>
            <w:shd w:val="clear" w:color="auto" w:fill="auto"/>
            <w:vAlign w:val="center"/>
          </w:tcPr>
          <w:p w14:paraId="0D7F0DD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1" w:type="dxa"/>
            <w:shd w:val="clear" w:color="auto" w:fill="auto"/>
            <w:vAlign w:val="center"/>
          </w:tcPr>
          <w:p w14:paraId="3D89162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40DCE5E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95" w:type="dxa"/>
            <w:shd w:val="clear" w:color="auto" w:fill="auto"/>
            <w:vAlign w:val="center"/>
          </w:tcPr>
          <w:p w14:paraId="319DB5D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shd w:val="clear" w:color="auto" w:fill="auto"/>
            <w:vAlign w:val="center"/>
          </w:tcPr>
          <w:p w14:paraId="7B982FD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05" w:type="dxa"/>
            <w:shd w:val="clear" w:color="auto" w:fill="auto"/>
            <w:vAlign w:val="center"/>
          </w:tcPr>
          <w:p w14:paraId="4F92BF2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shd w:val="clear" w:color="auto" w:fill="auto"/>
            <w:vAlign w:val="center"/>
          </w:tcPr>
          <w:p w14:paraId="70CBDD8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6" w:type="dxa"/>
            <w:shd w:val="clear" w:color="auto" w:fill="auto"/>
            <w:vAlign w:val="center"/>
          </w:tcPr>
          <w:p w14:paraId="2F73DF7E">
            <w:pPr>
              <w:jc w:val="center"/>
              <w:rPr>
                <w:rFonts w:hint="eastAsia" w:ascii="宋体" w:hAnsi="宋体" w:eastAsia="宋体" w:cs="宋体"/>
                <w:i w:val="0"/>
                <w:iCs w:val="0"/>
                <w:color w:val="auto"/>
                <w:kern w:val="0"/>
                <w:sz w:val="20"/>
                <w:szCs w:val="20"/>
                <w:highlight w:val="none"/>
                <w:u w:val="none"/>
                <w:lang w:val="en-US" w:eastAsia="zh-CN" w:bidi="ar"/>
              </w:rPr>
            </w:pPr>
          </w:p>
        </w:tc>
        <w:tc>
          <w:tcPr>
            <w:tcW w:w="1774" w:type="dxa"/>
            <w:shd w:val="clear" w:color="auto" w:fill="auto"/>
            <w:vAlign w:val="center"/>
          </w:tcPr>
          <w:p w14:paraId="54561707">
            <w:pPr>
              <w:jc w:val="center"/>
              <w:rPr>
                <w:rFonts w:hint="eastAsia" w:ascii="宋体" w:hAnsi="宋体" w:eastAsia="宋体" w:cs="宋体"/>
                <w:i w:val="0"/>
                <w:iCs w:val="0"/>
                <w:color w:val="auto"/>
                <w:kern w:val="0"/>
                <w:sz w:val="20"/>
                <w:szCs w:val="20"/>
                <w:highlight w:val="none"/>
                <w:u w:val="none"/>
                <w:lang w:val="en-US" w:eastAsia="zh-CN" w:bidi="ar"/>
              </w:rPr>
            </w:pPr>
          </w:p>
        </w:tc>
      </w:tr>
      <w:tr w14:paraId="439C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153CDE9B">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64295E08">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shd w:val="clear" w:color="auto" w:fill="auto"/>
            <w:vAlign w:val="center"/>
          </w:tcPr>
          <w:p w14:paraId="4D57E28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生态环境成本指标</w:t>
            </w:r>
          </w:p>
        </w:tc>
        <w:tc>
          <w:tcPr>
            <w:tcW w:w="1303" w:type="dxa"/>
            <w:shd w:val="clear" w:color="auto" w:fill="auto"/>
            <w:vAlign w:val="center"/>
          </w:tcPr>
          <w:p w14:paraId="23E3968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5" w:type="dxa"/>
            <w:shd w:val="clear" w:color="auto" w:fill="auto"/>
            <w:vAlign w:val="center"/>
          </w:tcPr>
          <w:p w14:paraId="2580A73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6" w:type="dxa"/>
            <w:shd w:val="clear" w:color="auto" w:fill="auto"/>
            <w:vAlign w:val="center"/>
          </w:tcPr>
          <w:p w14:paraId="0C74F30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1" w:type="dxa"/>
            <w:shd w:val="clear" w:color="auto" w:fill="auto"/>
            <w:vAlign w:val="center"/>
          </w:tcPr>
          <w:p w14:paraId="76D609C9">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14B02851">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95" w:type="dxa"/>
            <w:shd w:val="clear" w:color="auto" w:fill="auto"/>
            <w:vAlign w:val="center"/>
          </w:tcPr>
          <w:p w14:paraId="38E6E20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shd w:val="clear" w:color="auto" w:fill="auto"/>
            <w:vAlign w:val="center"/>
          </w:tcPr>
          <w:p w14:paraId="30A45F5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05" w:type="dxa"/>
            <w:shd w:val="clear" w:color="auto" w:fill="auto"/>
            <w:vAlign w:val="center"/>
          </w:tcPr>
          <w:p w14:paraId="15D3BAE4">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shd w:val="clear" w:color="auto" w:fill="auto"/>
            <w:vAlign w:val="center"/>
          </w:tcPr>
          <w:p w14:paraId="5E7A7A9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6" w:type="dxa"/>
            <w:shd w:val="clear" w:color="auto" w:fill="auto"/>
            <w:vAlign w:val="center"/>
          </w:tcPr>
          <w:p w14:paraId="4FF2AB1B">
            <w:pPr>
              <w:jc w:val="center"/>
              <w:rPr>
                <w:rFonts w:hint="eastAsia" w:ascii="宋体" w:hAnsi="宋体" w:eastAsia="宋体" w:cs="宋体"/>
                <w:i w:val="0"/>
                <w:iCs w:val="0"/>
                <w:color w:val="auto"/>
                <w:kern w:val="0"/>
                <w:sz w:val="20"/>
                <w:szCs w:val="20"/>
                <w:highlight w:val="none"/>
                <w:u w:val="none"/>
                <w:lang w:val="en-US" w:eastAsia="zh-CN" w:bidi="ar"/>
              </w:rPr>
            </w:pPr>
          </w:p>
        </w:tc>
        <w:tc>
          <w:tcPr>
            <w:tcW w:w="1774" w:type="dxa"/>
            <w:shd w:val="clear" w:color="auto" w:fill="auto"/>
            <w:vAlign w:val="center"/>
          </w:tcPr>
          <w:p w14:paraId="49393E66">
            <w:pPr>
              <w:jc w:val="center"/>
              <w:rPr>
                <w:rFonts w:hint="eastAsia" w:ascii="宋体" w:hAnsi="宋体" w:eastAsia="宋体" w:cs="宋体"/>
                <w:i w:val="0"/>
                <w:iCs w:val="0"/>
                <w:color w:val="auto"/>
                <w:kern w:val="0"/>
                <w:sz w:val="20"/>
                <w:szCs w:val="20"/>
                <w:highlight w:val="none"/>
                <w:u w:val="none"/>
                <w:lang w:val="en-US" w:eastAsia="zh-CN" w:bidi="ar"/>
              </w:rPr>
            </w:pPr>
          </w:p>
        </w:tc>
      </w:tr>
      <w:tr w14:paraId="79C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68ABF6BD">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6877925A">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shd w:val="clear" w:color="auto" w:fill="auto"/>
            <w:vAlign w:val="center"/>
          </w:tcPr>
          <w:p w14:paraId="7E0591F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303" w:type="dxa"/>
            <w:shd w:val="clear" w:color="auto" w:fill="auto"/>
            <w:vAlign w:val="center"/>
          </w:tcPr>
          <w:p w14:paraId="2F1F571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5" w:type="dxa"/>
            <w:shd w:val="clear" w:color="auto" w:fill="auto"/>
            <w:vAlign w:val="center"/>
          </w:tcPr>
          <w:p w14:paraId="1CBAE7E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6" w:type="dxa"/>
            <w:shd w:val="clear" w:color="auto" w:fill="auto"/>
            <w:vAlign w:val="center"/>
          </w:tcPr>
          <w:p w14:paraId="270E519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1" w:type="dxa"/>
            <w:shd w:val="clear" w:color="auto" w:fill="auto"/>
            <w:vAlign w:val="center"/>
          </w:tcPr>
          <w:p w14:paraId="06F4395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0424F54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95" w:type="dxa"/>
            <w:shd w:val="clear" w:color="auto" w:fill="auto"/>
            <w:vAlign w:val="center"/>
          </w:tcPr>
          <w:p w14:paraId="2BAFBE9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shd w:val="clear" w:color="auto" w:fill="auto"/>
            <w:vAlign w:val="center"/>
          </w:tcPr>
          <w:p w14:paraId="4A7A911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05" w:type="dxa"/>
            <w:shd w:val="clear" w:color="auto" w:fill="auto"/>
            <w:vAlign w:val="center"/>
          </w:tcPr>
          <w:p w14:paraId="7114C9C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shd w:val="clear" w:color="auto" w:fill="auto"/>
            <w:vAlign w:val="center"/>
          </w:tcPr>
          <w:p w14:paraId="501040F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6" w:type="dxa"/>
            <w:shd w:val="clear" w:color="auto" w:fill="auto"/>
            <w:vAlign w:val="center"/>
          </w:tcPr>
          <w:p w14:paraId="28BB029C">
            <w:pPr>
              <w:jc w:val="center"/>
              <w:rPr>
                <w:rFonts w:hint="eastAsia" w:ascii="宋体" w:hAnsi="宋体" w:eastAsia="宋体" w:cs="宋体"/>
                <w:i w:val="0"/>
                <w:iCs w:val="0"/>
                <w:color w:val="auto"/>
                <w:kern w:val="0"/>
                <w:sz w:val="20"/>
                <w:szCs w:val="20"/>
                <w:highlight w:val="none"/>
                <w:u w:val="none"/>
                <w:lang w:val="en-US" w:eastAsia="zh-CN" w:bidi="ar"/>
              </w:rPr>
            </w:pPr>
          </w:p>
        </w:tc>
        <w:tc>
          <w:tcPr>
            <w:tcW w:w="1774" w:type="dxa"/>
            <w:shd w:val="clear" w:color="auto" w:fill="auto"/>
            <w:vAlign w:val="center"/>
          </w:tcPr>
          <w:p w14:paraId="7706C756">
            <w:pPr>
              <w:jc w:val="center"/>
              <w:rPr>
                <w:rFonts w:hint="eastAsia" w:ascii="宋体" w:hAnsi="宋体" w:eastAsia="宋体" w:cs="宋体"/>
                <w:i w:val="0"/>
                <w:iCs w:val="0"/>
                <w:color w:val="auto"/>
                <w:kern w:val="0"/>
                <w:sz w:val="20"/>
                <w:szCs w:val="20"/>
                <w:highlight w:val="none"/>
                <w:u w:val="none"/>
                <w:lang w:val="en-US" w:eastAsia="zh-CN" w:bidi="ar"/>
              </w:rPr>
            </w:pPr>
          </w:p>
        </w:tc>
      </w:tr>
      <w:tr w14:paraId="3031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0" w:hRule="atLeast"/>
        </w:trPr>
        <w:tc>
          <w:tcPr>
            <w:tcW w:w="766" w:type="dxa"/>
            <w:vMerge w:val="continue"/>
            <w:shd w:val="clear" w:color="auto" w:fill="auto"/>
            <w:vAlign w:val="center"/>
          </w:tcPr>
          <w:p w14:paraId="2DB9636E">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1F9B7DC2">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vMerge w:val="restart"/>
            <w:shd w:val="clear" w:color="auto" w:fill="auto"/>
            <w:vAlign w:val="center"/>
          </w:tcPr>
          <w:p w14:paraId="6FF0059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303" w:type="dxa"/>
            <w:shd w:val="clear" w:color="auto" w:fill="auto"/>
            <w:vAlign w:val="center"/>
          </w:tcPr>
          <w:p w14:paraId="7AF3C9C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促进妇幼保健服务业务的发展</w:t>
            </w:r>
          </w:p>
        </w:tc>
        <w:tc>
          <w:tcPr>
            <w:tcW w:w="1055" w:type="dxa"/>
            <w:shd w:val="clear" w:color="auto" w:fill="auto"/>
            <w:vAlign w:val="center"/>
          </w:tcPr>
          <w:p w14:paraId="3A9403E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促进</w:t>
            </w:r>
          </w:p>
        </w:tc>
        <w:tc>
          <w:tcPr>
            <w:tcW w:w="806" w:type="dxa"/>
            <w:shd w:val="clear" w:color="auto" w:fill="auto"/>
            <w:noWrap/>
            <w:vAlign w:val="center"/>
          </w:tcPr>
          <w:p w14:paraId="206ACDF4">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noWrap/>
            <w:vAlign w:val="center"/>
          </w:tcPr>
          <w:p w14:paraId="56CF29CB">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0322474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shd w:val="clear" w:color="auto" w:fill="auto"/>
            <w:vAlign w:val="center"/>
          </w:tcPr>
          <w:p w14:paraId="51D484AF">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按评判等级赋分</w:t>
            </w:r>
          </w:p>
        </w:tc>
        <w:tc>
          <w:tcPr>
            <w:tcW w:w="1010" w:type="dxa"/>
            <w:shd w:val="clear" w:color="auto" w:fill="auto"/>
            <w:vAlign w:val="center"/>
          </w:tcPr>
          <w:p w14:paraId="4067B12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02CB25DC">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98" w:type="dxa"/>
            <w:shd w:val="clear" w:color="auto" w:fill="auto"/>
            <w:vAlign w:val="center"/>
          </w:tcPr>
          <w:p w14:paraId="026BFF5E">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427C98D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74" w:type="dxa"/>
            <w:shd w:val="clear" w:color="auto" w:fill="auto"/>
            <w:vAlign w:val="center"/>
          </w:tcPr>
          <w:p w14:paraId="0DF0947E">
            <w:pPr>
              <w:jc w:val="center"/>
              <w:rPr>
                <w:rFonts w:hint="eastAsia" w:ascii="宋体" w:hAnsi="宋体" w:eastAsia="宋体" w:cs="宋体"/>
                <w:i w:val="0"/>
                <w:iCs w:val="0"/>
                <w:color w:val="auto"/>
                <w:kern w:val="0"/>
                <w:sz w:val="20"/>
                <w:szCs w:val="20"/>
                <w:highlight w:val="none"/>
                <w:u w:val="none"/>
                <w:lang w:val="en-US" w:eastAsia="zh-CN" w:bidi="ar"/>
              </w:rPr>
            </w:pPr>
          </w:p>
        </w:tc>
      </w:tr>
      <w:tr w14:paraId="26CF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0FCA3BCD">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7C430028">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vMerge w:val="continue"/>
            <w:shd w:val="clear" w:color="auto" w:fill="auto"/>
            <w:vAlign w:val="center"/>
          </w:tcPr>
          <w:p w14:paraId="56CD8598">
            <w:pPr>
              <w:jc w:val="center"/>
              <w:rPr>
                <w:rFonts w:hint="eastAsia" w:ascii="宋体" w:hAnsi="宋体" w:eastAsia="宋体" w:cs="宋体"/>
                <w:i w:val="0"/>
                <w:iCs w:val="0"/>
                <w:color w:val="auto"/>
                <w:kern w:val="0"/>
                <w:sz w:val="20"/>
                <w:szCs w:val="20"/>
                <w:highlight w:val="none"/>
                <w:u w:val="none"/>
                <w:lang w:val="en-US" w:eastAsia="zh-CN" w:bidi="ar"/>
              </w:rPr>
            </w:pPr>
          </w:p>
        </w:tc>
        <w:tc>
          <w:tcPr>
            <w:tcW w:w="1303" w:type="dxa"/>
            <w:shd w:val="clear" w:color="auto" w:fill="auto"/>
            <w:vAlign w:val="center"/>
          </w:tcPr>
          <w:p w14:paraId="48DB298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提高妇女儿童健康水平</w:t>
            </w:r>
          </w:p>
        </w:tc>
        <w:tc>
          <w:tcPr>
            <w:tcW w:w="1055" w:type="dxa"/>
            <w:shd w:val="clear" w:color="auto" w:fill="auto"/>
            <w:vAlign w:val="center"/>
          </w:tcPr>
          <w:p w14:paraId="5E64832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提高</w:t>
            </w:r>
          </w:p>
        </w:tc>
        <w:tc>
          <w:tcPr>
            <w:tcW w:w="806" w:type="dxa"/>
            <w:shd w:val="clear" w:color="auto" w:fill="auto"/>
            <w:noWrap/>
            <w:vAlign w:val="center"/>
          </w:tcPr>
          <w:p w14:paraId="13794D67">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651" w:type="dxa"/>
            <w:shd w:val="clear" w:color="auto" w:fill="auto"/>
            <w:noWrap/>
            <w:vAlign w:val="center"/>
          </w:tcPr>
          <w:p w14:paraId="6B01AE80">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6BD9AC3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shd w:val="clear" w:color="auto" w:fill="auto"/>
            <w:vAlign w:val="center"/>
          </w:tcPr>
          <w:p w14:paraId="46912D6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按评判等级赋分</w:t>
            </w:r>
          </w:p>
        </w:tc>
        <w:tc>
          <w:tcPr>
            <w:tcW w:w="1010" w:type="dxa"/>
            <w:shd w:val="clear" w:color="auto" w:fill="auto"/>
            <w:vAlign w:val="center"/>
          </w:tcPr>
          <w:p w14:paraId="59E3C30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工作资料</w:t>
            </w:r>
          </w:p>
        </w:tc>
        <w:tc>
          <w:tcPr>
            <w:tcW w:w="1405" w:type="dxa"/>
            <w:shd w:val="clear" w:color="auto" w:fill="auto"/>
            <w:vAlign w:val="center"/>
          </w:tcPr>
          <w:p w14:paraId="4769A8A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98" w:type="dxa"/>
            <w:shd w:val="clear" w:color="auto" w:fill="auto"/>
            <w:vAlign w:val="center"/>
          </w:tcPr>
          <w:p w14:paraId="61EA279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66" w:type="dxa"/>
            <w:shd w:val="clear" w:color="auto" w:fill="auto"/>
            <w:vAlign w:val="center"/>
          </w:tcPr>
          <w:p w14:paraId="489C62B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74" w:type="dxa"/>
            <w:shd w:val="clear" w:color="auto" w:fill="auto"/>
            <w:vAlign w:val="center"/>
          </w:tcPr>
          <w:p w14:paraId="06297E15">
            <w:pPr>
              <w:jc w:val="center"/>
              <w:rPr>
                <w:rFonts w:hint="eastAsia" w:ascii="宋体" w:hAnsi="宋体" w:eastAsia="宋体" w:cs="宋体"/>
                <w:i w:val="0"/>
                <w:iCs w:val="0"/>
                <w:color w:val="auto"/>
                <w:kern w:val="0"/>
                <w:sz w:val="20"/>
                <w:szCs w:val="20"/>
                <w:highlight w:val="none"/>
                <w:u w:val="none"/>
                <w:lang w:val="en-US" w:eastAsia="zh-CN" w:bidi="ar"/>
              </w:rPr>
            </w:pPr>
          </w:p>
        </w:tc>
      </w:tr>
      <w:tr w14:paraId="1869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44CAF4F0">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vMerge w:val="continue"/>
            <w:shd w:val="clear" w:color="auto" w:fill="auto"/>
            <w:vAlign w:val="center"/>
          </w:tcPr>
          <w:p w14:paraId="19E12A8D">
            <w:pPr>
              <w:jc w:val="center"/>
              <w:rPr>
                <w:rFonts w:hint="eastAsia" w:ascii="宋体" w:hAnsi="宋体" w:eastAsia="宋体" w:cs="宋体"/>
                <w:i w:val="0"/>
                <w:iCs w:val="0"/>
                <w:color w:val="auto"/>
                <w:kern w:val="0"/>
                <w:sz w:val="20"/>
                <w:szCs w:val="20"/>
                <w:highlight w:val="none"/>
                <w:u w:val="none"/>
                <w:lang w:val="en-US" w:eastAsia="zh-CN" w:bidi="ar"/>
              </w:rPr>
            </w:pPr>
          </w:p>
        </w:tc>
        <w:tc>
          <w:tcPr>
            <w:tcW w:w="997" w:type="dxa"/>
            <w:shd w:val="clear" w:color="auto" w:fill="auto"/>
            <w:vAlign w:val="center"/>
          </w:tcPr>
          <w:p w14:paraId="3F13F834">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1303" w:type="dxa"/>
            <w:shd w:val="clear" w:color="auto" w:fill="auto"/>
            <w:vAlign w:val="center"/>
          </w:tcPr>
          <w:p w14:paraId="2BAB20D1">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55" w:type="dxa"/>
            <w:shd w:val="clear" w:color="auto" w:fill="auto"/>
            <w:vAlign w:val="center"/>
          </w:tcPr>
          <w:p w14:paraId="5D18770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6" w:type="dxa"/>
            <w:shd w:val="clear" w:color="auto" w:fill="auto"/>
            <w:vAlign w:val="center"/>
          </w:tcPr>
          <w:p w14:paraId="2679CFB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1" w:type="dxa"/>
            <w:shd w:val="clear" w:color="auto" w:fill="auto"/>
            <w:vAlign w:val="center"/>
          </w:tcPr>
          <w:p w14:paraId="32BE435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5592A2A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95" w:type="dxa"/>
            <w:shd w:val="clear" w:color="auto" w:fill="auto"/>
            <w:vAlign w:val="center"/>
          </w:tcPr>
          <w:p w14:paraId="586CF0C9">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shd w:val="clear" w:color="auto" w:fill="auto"/>
            <w:vAlign w:val="center"/>
          </w:tcPr>
          <w:p w14:paraId="1A5CFE11">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05" w:type="dxa"/>
            <w:shd w:val="clear" w:color="auto" w:fill="auto"/>
            <w:vAlign w:val="center"/>
          </w:tcPr>
          <w:p w14:paraId="3062603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shd w:val="clear" w:color="auto" w:fill="auto"/>
            <w:vAlign w:val="center"/>
          </w:tcPr>
          <w:p w14:paraId="505D2D80">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6" w:type="dxa"/>
            <w:shd w:val="clear" w:color="auto" w:fill="auto"/>
            <w:vAlign w:val="center"/>
          </w:tcPr>
          <w:p w14:paraId="3E0CFE72">
            <w:pPr>
              <w:jc w:val="center"/>
              <w:rPr>
                <w:rFonts w:hint="eastAsia" w:ascii="宋体" w:hAnsi="宋体" w:eastAsia="宋体" w:cs="宋体"/>
                <w:i w:val="0"/>
                <w:iCs w:val="0"/>
                <w:color w:val="auto"/>
                <w:kern w:val="0"/>
                <w:sz w:val="20"/>
                <w:szCs w:val="20"/>
                <w:highlight w:val="none"/>
                <w:u w:val="none"/>
                <w:lang w:val="en-US" w:eastAsia="zh-CN" w:bidi="ar"/>
              </w:rPr>
            </w:pPr>
          </w:p>
        </w:tc>
        <w:tc>
          <w:tcPr>
            <w:tcW w:w="1774" w:type="dxa"/>
            <w:shd w:val="clear" w:color="auto" w:fill="auto"/>
            <w:vAlign w:val="center"/>
          </w:tcPr>
          <w:p w14:paraId="5EC3F1C2">
            <w:pPr>
              <w:jc w:val="center"/>
              <w:rPr>
                <w:rFonts w:hint="eastAsia" w:ascii="宋体" w:hAnsi="宋体" w:eastAsia="宋体" w:cs="宋体"/>
                <w:i w:val="0"/>
                <w:iCs w:val="0"/>
                <w:color w:val="auto"/>
                <w:kern w:val="0"/>
                <w:sz w:val="20"/>
                <w:szCs w:val="20"/>
                <w:highlight w:val="none"/>
                <w:u w:val="none"/>
                <w:lang w:val="en-US" w:eastAsia="zh-CN" w:bidi="ar"/>
              </w:rPr>
            </w:pPr>
          </w:p>
        </w:tc>
      </w:tr>
      <w:tr w14:paraId="4066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766" w:type="dxa"/>
            <w:vMerge w:val="continue"/>
            <w:shd w:val="clear" w:color="auto" w:fill="auto"/>
            <w:vAlign w:val="center"/>
          </w:tcPr>
          <w:p w14:paraId="7699B598">
            <w:pPr>
              <w:jc w:val="center"/>
              <w:rPr>
                <w:rFonts w:hint="eastAsia" w:ascii="宋体" w:hAnsi="宋体" w:eastAsia="宋体" w:cs="宋体"/>
                <w:i w:val="0"/>
                <w:iCs w:val="0"/>
                <w:color w:val="auto"/>
                <w:kern w:val="0"/>
                <w:sz w:val="20"/>
                <w:szCs w:val="20"/>
                <w:highlight w:val="none"/>
                <w:u w:val="none"/>
                <w:lang w:val="en-US" w:eastAsia="zh-CN" w:bidi="ar"/>
              </w:rPr>
            </w:pPr>
          </w:p>
        </w:tc>
        <w:tc>
          <w:tcPr>
            <w:tcW w:w="767" w:type="dxa"/>
            <w:shd w:val="clear" w:color="auto" w:fill="auto"/>
            <w:vAlign w:val="center"/>
          </w:tcPr>
          <w:p w14:paraId="227219E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97" w:type="dxa"/>
            <w:shd w:val="clear" w:color="auto" w:fill="auto"/>
            <w:vAlign w:val="center"/>
          </w:tcPr>
          <w:p w14:paraId="34587D8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1303" w:type="dxa"/>
            <w:shd w:val="clear" w:color="auto" w:fill="auto"/>
            <w:vAlign w:val="center"/>
          </w:tcPr>
          <w:p w14:paraId="69F2237A">
            <w:pPr>
              <w:keepNext w:val="0"/>
              <w:keepLines w:val="0"/>
              <w:widowControl/>
              <w:suppressLineNumbers w:val="0"/>
              <w:ind w:firstLine="400" w:firstLineChars="20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服务对象满意率</w:t>
            </w:r>
          </w:p>
        </w:tc>
        <w:tc>
          <w:tcPr>
            <w:tcW w:w="1055" w:type="dxa"/>
            <w:shd w:val="clear" w:color="auto" w:fill="auto"/>
            <w:vAlign w:val="center"/>
          </w:tcPr>
          <w:p w14:paraId="4813CC9D">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6" w:type="dxa"/>
            <w:shd w:val="clear" w:color="auto" w:fill="auto"/>
            <w:vAlign w:val="center"/>
          </w:tcPr>
          <w:p w14:paraId="410A9401">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51" w:type="dxa"/>
            <w:shd w:val="clear" w:color="auto" w:fill="auto"/>
            <w:vAlign w:val="center"/>
          </w:tcPr>
          <w:p w14:paraId="2A38CD31">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681" w:type="dxa"/>
            <w:shd w:val="clear" w:color="auto" w:fill="auto"/>
            <w:vAlign w:val="center"/>
          </w:tcPr>
          <w:p w14:paraId="491A5412">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95" w:type="dxa"/>
            <w:shd w:val="clear" w:color="auto" w:fill="auto"/>
            <w:vAlign w:val="center"/>
          </w:tcPr>
          <w:p w14:paraId="01A81953">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shd w:val="clear" w:color="auto" w:fill="auto"/>
            <w:vAlign w:val="center"/>
          </w:tcPr>
          <w:p w14:paraId="2063FD86">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405" w:type="dxa"/>
            <w:shd w:val="clear" w:color="auto" w:fill="auto"/>
            <w:vAlign w:val="center"/>
          </w:tcPr>
          <w:p w14:paraId="6A0DC9B5">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98" w:type="dxa"/>
            <w:shd w:val="clear" w:color="auto" w:fill="auto"/>
            <w:vAlign w:val="center"/>
          </w:tcPr>
          <w:p w14:paraId="562131AB">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66" w:type="dxa"/>
            <w:shd w:val="clear" w:color="auto" w:fill="auto"/>
            <w:vAlign w:val="center"/>
          </w:tcPr>
          <w:p w14:paraId="69C01222">
            <w:pPr>
              <w:jc w:val="center"/>
              <w:rPr>
                <w:rFonts w:hint="eastAsia" w:ascii="宋体" w:hAnsi="宋体" w:eastAsia="宋体" w:cs="宋体"/>
                <w:i w:val="0"/>
                <w:iCs w:val="0"/>
                <w:color w:val="auto"/>
                <w:kern w:val="0"/>
                <w:sz w:val="20"/>
                <w:szCs w:val="20"/>
                <w:highlight w:val="none"/>
                <w:u w:val="none"/>
                <w:lang w:val="en-US" w:eastAsia="zh-CN" w:bidi="ar"/>
              </w:rPr>
            </w:pPr>
          </w:p>
        </w:tc>
        <w:tc>
          <w:tcPr>
            <w:tcW w:w="1774" w:type="dxa"/>
            <w:shd w:val="clear" w:color="auto" w:fill="auto"/>
            <w:vAlign w:val="center"/>
          </w:tcPr>
          <w:p w14:paraId="4D8689DE">
            <w:pPr>
              <w:jc w:val="center"/>
              <w:rPr>
                <w:rFonts w:hint="eastAsia" w:ascii="宋体" w:hAnsi="宋体" w:eastAsia="宋体" w:cs="宋体"/>
                <w:i w:val="0"/>
                <w:iCs w:val="0"/>
                <w:color w:val="auto"/>
                <w:kern w:val="0"/>
                <w:sz w:val="20"/>
                <w:szCs w:val="20"/>
                <w:highlight w:val="none"/>
                <w:u w:val="none"/>
                <w:lang w:val="en-US" w:eastAsia="zh-CN" w:bidi="ar"/>
              </w:rPr>
            </w:pPr>
          </w:p>
        </w:tc>
      </w:tr>
      <w:tr w14:paraId="76A4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3833" w:type="dxa"/>
            <w:gridSpan w:val="4"/>
            <w:shd w:val="clear" w:color="auto" w:fill="auto"/>
            <w:vAlign w:val="center"/>
          </w:tcPr>
          <w:p w14:paraId="287E58A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总分</w:t>
            </w:r>
          </w:p>
        </w:tc>
        <w:tc>
          <w:tcPr>
            <w:tcW w:w="1055" w:type="dxa"/>
            <w:shd w:val="clear" w:color="auto" w:fill="auto"/>
            <w:vAlign w:val="center"/>
          </w:tcPr>
          <w:p w14:paraId="28632AC6">
            <w:pPr>
              <w:jc w:val="center"/>
              <w:rPr>
                <w:rFonts w:hint="eastAsia" w:ascii="宋体" w:hAnsi="宋体" w:eastAsia="宋体" w:cs="宋体"/>
                <w:i w:val="0"/>
                <w:iCs w:val="0"/>
                <w:color w:val="auto"/>
                <w:kern w:val="0"/>
                <w:sz w:val="20"/>
                <w:szCs w:val="20"/>
                <w:highlight w:val="none"/>
                <w:u w:val="none"/>
                <w:lang w:val="en-US" w:eastAsia="zh-CN" w:bidi="ar"/>
              </w:rPr>
            </w:pPr>
          </w:p>
        </w:tc>
        <w:tc>
          <w:tcPr>
            <w:tcW w:w="806" w:type="dxa"/>
            <w:shd w:val="clear" w:color="auto" w:fill="auto"/>
            <w:vAlign w:val="center"/>
          </w:tcPr>
          <w:p w14:paraId="030C9218">
            <w:pPr>
              <w:rPr>
                <w:rFonts w:hint="eastAsia" w:ascii="宋体" w:hAnsi="宋体" w:eastAsia="宋体" w:cs="宋体"/>
                <w:i w:val="0"/>
                <w:iCs w:val="0"/>
                <w:color w:val="auto"/>
                <w:kern w:val="0"/>
                <w:sz w:val="20"/>
                <w:szCs w:val="20"/>
                <w:highlight w:val="none"/>
                <w:u w:val="none"/>
                <w:lang w:val="en-US" w:eastAsia="zh-CN" w:bidi="ar"/>
              </w:rPr>
            </w:pPr>
          </w:p>
        </w:tc>
        <w:tc>
          <w:tcPr>
            <w:tcW w:w="651" w:type="dxa"/>
            <w:shd w:val="clear" w:color="auto" w:fill="auto"/>
            <w:vAlign w:val="center"/>
          </w:tcPr>
          <w:p w14:paraId="1223F6CF">
            <w:pPr>
              <w:jc w:val="center"/>
            </w:pPr>
          </w:p>
        </w:tc>
        <w:tc>
          <w:tcPr>
            <w:tcW w:w="681" w:type="dxa"/>
            <w:shd w:val="clear" w:color="auto" w:fill="auto"/>
            <w:vAlign w:val="center"/>
          </w:tcPr>
          <w:p w14:paraId="3CC80EB8">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100分</w:t>
            </w:r>
          </w:p>
        </w:tc>
        <w:tc>
          <w:tcPr>
            <w:tcW w:w="1095" w:type="dxa"/>
            <w:shd w:val="clear" w:color="auto" w:fill="auto"/>
            <w:vAlign w:val="center"/>
          </w:tcPr>
          <w:p w14:paraId="4C452B7D">
            <w:pPr>
              <w:jc w:val="center"/>
              <w:rPr>
                <w:rFonts w:hint="eastAsia" w:ascii="宋体" w:hAnsi="宋体" w:eastAsia="宋体" w:cs="宋体"/>
                <w:i w:val="0"/>
                <w:iCs w:val="0"/>
                <w:color w:val="auto"/>
                <w:kern w:val="0"/>
                <w:sz w:val="20"/>
                <w:szCs w:val="20"/>
                <w:highlight w:val="none"/>
                <w:u w:val="none"/>
                <w:lang w:val="en-US" w:eastAsia="zh-CN" w:bidi="ar"/>
              </w:rPr>
            </w:pPr>
          </w:p>
        </w:tc>
        <w:tc>
          <w:tcPr>
            <w:tcW w:w="1010" w:type="dxa"/>
            <w:shd w:val="clear" w:color="auto" w:fill="auto"/>
            <w:vAlign w:val="center"/>
          </w:tcPr>
          <w:p w14:paraId="150A9322">
            <w:pPr>
              <w:rPr>
                <w:rFonts w:hint="eastAsia" w:ascii="宋体" w:hAnsi="宋体" w:eastAsia="宋体" w:cs="宋体"/>
                <w:i w:val="0"/>
                <w:iCs w:val="0"/>
                <w:color w:val="auto"/>
                <w:kern w:val="0"/>
                <w:sz w:val="20"/>
                <w:szCs w:val="20"/>
                <w:highlight w:val="none"/>
                <w:u w:val="none"/>
                <w:lang w:val="en-US" w:eastAsia="zh-CN" w:bidi="ar"/>
              </w:rPr>
            </w:pPr>
          </w:p>
        </w:tc>
        <w:tc>
          <w:tcPr>
            <w:tcW w:w="1405" w:type="dxa"/>
            <w:shd w:val="clear" w:color="auto" w:fill="auto"/>
            <w:vAlign w:val="center"/>
          </w:tcPr>
          <w:p w14:paraId="41293670">
            <w:pPr>
              <w:rPr>
                <w:rFonts w:hint="eastAsia" w:ascii="宋体" w:hAnsi="宋体" w:eastAsia="宋体" w:cs="宋体"/>
                <w:i w:val="0"/>
                <w:iCs w:val="0"/>
                <w:color w:val="auto"/>
                <w:kern w:val="0"/>
                <w:sz w:val="20"/>
                <w:szCs w:val="20"/>
                <w:highlight w:val="none"/>
                <w:u w:val="none"/>
                <w:lang w:val="en-US" w:eastAsia="zh-CN" w:bidi="ar"/>
              </w:rPr>
            </w:pPr>
          </w:p>
        </w:tc>
        <w:tc>
          <w:tcPr>
            <w:tcW w:w="798" w:type="dxa"/>
            <w:shd w:val="clear" w:color="auto" w:fill="auto"/>
            <w:vAlign w:val="center"/>
          </w:tcPr>
          <w:p w14:paraId="58BC1D33">
            <w:pPr>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shd w:val="clear" w:color="auto" w:fill="auto"/>
            <w:vAlign w:val="center"/>
          </w:tcPr>
          <w:p w14:paraId="3CF119BA">
            <w:pPr>
              <w:keepNext w:val="0"/>
              <w:keepLines w:val="0"/>
              <w:widowControl/>
              <w:suppressLineNumbers w:val="0"/>
              <w:ind w:firstLine="400" w:firstLineChars="20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74" w:type="dxa"/>
            <w:shd w:val="clear" w:color="auto" w:fill="auto"/>
            <w:vAlign w:val="center"/>
          </w:tcPr>
          <w:p w14:paraId="1F395BCF">
            <w:pPr>
              <w:rPr>
                <w:rFonts w:hint="eastAsia" w:ascii="宋体" w:hAnsi="宋体" w:eastAsia="宋体" w:cs="宋体"/>
                <w:i w:val="0"/>
                <w:iCs w:val="0"/>
                <w:color w:val="auto"/>
                <w:kern w:val="0"/>
                <w:sz w:val="20"/>
                <w:szCs w:val="20"/>
                <w:highlight w:val="none"/>
                <w:u w:val="none"/>
                <w:lang w:val="en-US" w:eastAsia="zh-CN" w:bidi="ar"/>
              </w:rPr>
            </w:pPr>
          </w:p>
        </w:tc>
      </w:tr>
    </w:tbl>
    <w:p w14:paraId="02936E20">
      <w:pPr>
        <w:pStyle w:val="2"/>
        <w:rPr>
          <w:color w:val="auto"/>
          <w:highlight w:val="none"/>
        </w:rPr>
      </w:pPr>
    </w:p>
    <w:p w14:paraId="3A78389B">
      <w:pPr>
        <w:pStyle w:val="2"/>
        <w:rPr>
          <w:rFonts w:hint="eastAsia"/>
          <w:color w:val="auto"/>
          <w:highlight w:val="none"/>
          <w:lang w:val="en-US" w:eastAsia="zh-CN"/>
        </w:rPr>
      </w:pPr>
    </w:p>
    <w:p w14:paraId="654EE181">
      <w:pPr>
        <w:rPr>
          <w:rFonts w:hint="eastAsia"/>
          <w:color w:val="auto"/>
          <w:highlight w:val="none"/>
          <w:lang w:val="en-US" w:eastAsia="zh-CN"/>
        </w:rPr>
        <w:sectPr>
          <w:pgSz w:w="16838" w:h="11906" w:orient="landscape"/>
          <w:pgMar w:top="1800" w:right="1440" w:bottom="1800" w:left="1440" w:header="737" w:footer="851" w:gutter="0"/>
          <w:pgNumType w:fmt="decimal" w:start="1"/>
          <w:cols w:space="720" w:num="1"/>
          <w:docGrid w:type="lines" w:linePitch="408" w:charSpace="0"/>
        </w:sectPr>
      </w:pPr>
    </w:p>
    <w:p w14:paraId="1833CD88">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8"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62324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vAlign w:val="center"/>
          </w:tcPr>
          <w:p w14:paraId="4BE7A2D2">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auto"/>
            <w:vAlign w:val="center"/>
          </w:tcPr>
          <w:p w14:paraId="7645B8C7">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auto"/>
            <w:vAlign w:val="center"/>
          </w:tcPr>
          <w:p w14:paraId="563BF7EF">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auto"/>
            <w:vAlign w:val="center"/>
          </w:tcPr>
          <w:p w14:paraId="741B9834">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auto"/>
            <w:vAlign w:val="center"/>
          </w:tcPr>
          <w:p w14:paraId="44B836A2">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auto"/>
            <w:vAlign w:val="center"/>
          </w:tcPr>
          <w:p w14:paraId="28927652">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auto"/>
            <w:vAlign w:val="center"/>
          </w:tcPr>
          <w:p w14:paraId="6740165F">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14:paraId="30E64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auto"/>
            <w:vAlign w:val="center"/>
          </w:tcPr>
          <w:p w14:paraId="696649B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14:paraId="12C4CE4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53EA2FF9">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auto"/>
            <w:vAlign w:val="center"/>
          </w:tcPr>
          <w:p w14:paraId="59C84C48">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auto"/>
            <w:vAlign w:val="center"/>
          </w:tcPr>
          <w:p w14:paraId="2830FE5E">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14:paraId="4304A2A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auto"/>
            <w:vAlign w:val="center"/>
          </w:tcPr>
          <w:p w14:paraId="2D98DF4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auto"/>
            <w:vAlign w:val="center"/>
          </w:tcPr>
          <w:p w14:paraId="202B817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64E9F1E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14:paraId="7D05240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14:paraId="4F1D278E">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14:paraId="54E9D518">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14:paraId="1E0A83C5">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auto"/>
            <w:vAlign w:val="center"/>
          </w:tcPr>
          <w:p w14:paraId="2CA872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44FDA94E">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329CB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auto"/>
            <w:vAlign w:val="center"/>
          </w:tcPr>
          <w:p w14:paraId="7B6A340D">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1DED1E16">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30D3771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14:paraId="1E7B607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auto"/>
            <w:vAlign w:val="center"/>
          </w:tcPr>
          <w:p w14:paraId="56C7E57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auto"/>
            <w:vAlign w:val="center"/>
          </w:tcPr>
          <w:p w14:paraId="16C6435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37A9254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14:paraId="382A58A2">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14:paraId="52647B4E">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auto"/>
            <w:vAlign w:val="center"/>
          </w:tcPr>
          <w:p w14:paraId="44B945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5182DDC6">
            <w:pPr>
              <w:widowControl/>
              <w:spacing w:line="0" w:lineRule="atLeast"/>
              <w:ind w:firstLine="0" w:firstLineChars="0"/>
              <w:jc w:val="left"/>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2.6</w:t>
            </w:r>
          </w:p>
        </w:tc>
      </w:tr>
      <w:tr w14:paraId="48911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auto"/>
            <w:vAlign w:val="center"/>
          </w:tcPr>
          <w:p w14:paraId="72E61C2B">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7833426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auto"/>
            <w:vAlign w:val="center"/>
          </w:tcPr>
          <w:p w14:paraId="5B4220BA">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14:paraId="5D78616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3AC3BBC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auto" w:fill="auto"/>
            <w:vAlign w:val="center"/>
          </w:tcPr>
          <w:p w14:paraId="32C3241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43695EC">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14:paraId="6FEEBB1B">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14:paraId="44E1A007">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14:paraId="0C0D9E93">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14:paraId="54B475A2">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auto" w:fill="auto"/>
            <w:vAlign w:val="center"/>
          </w:tcPr>
          <w:p w14:paraId="5CEEE7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44740EC8">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2558B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auto"/>
            <w:vAlign w:val="center"/>
          </w:tcPr>
          <w:p w14:paraId="3EBCF0D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auto"/>
            <w:vAlign w:val="center"/>
          </w:tcPr>
          <w:p w14:paraId="753E2BAB">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auto"/>
            <w:vAlign w:val="center"/>
          </w:tcPr>
          <w:p w14:paraId="73348A1F">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14:paraId="055F737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auto" w:fill="auto"/>
            <w:vAlign w:val="center"/>
          </w:tcPr>
          <w:p w14:paraId="1848258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auto" w:fill="auto"/>
            <w:vAlign w:val="center"/>
          </w:tcPr>
          <w:p w14:paraId="25B9D80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272F5D9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14:paraId="2D2846F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14:paraId="32F3C52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14:paraId="414B56B7">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shd w:val="clear" w:color="auto" w:fill="auto"/>
            <w:vAlign w:val="center"/>
          </w:tcPr>
          <w:p w14:paraId="5EDD4D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vAlign w:val="center"/>
          </w:tcPr>
          <w:p w14:paraId="3E2FC4E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707B7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auto"/>
            <w:vAlign w:val="center"/>
          </w:tcPr>
          <w:p w14:paraId="674CFB46">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7313EE6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14:paraId="01E1093C">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04CE827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14:paraId="7F11537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auto"/>
            <w:vAlign w:val="center"/>
          </w:tcPr>
          <w:p w14:paraId="60BCDF7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auto"/>
            <w:vAlign w:val="center"/>
          </w:tcPr>
          <w:p w14:paraId="4ED65AF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F7BEA4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14:paraId="184F2A46">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14:paraId="6C4403B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14:paraId="3CCF8C8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auto"/>
            <w:vAlign w:val="center"/>
          </w:tcPr>
          <w:p w14:paraId="19E6D2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vAlign w:val="center"/>
          </w:tcPr>
          <w:p w14:paraId="6857BE7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10313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auto"/>
            <w:vAlign w:val="center"/>
          </w:tcPr>
          <w:p w14:paraId="5231FDAF">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C09FE6F">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10F95675">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14:paraId="28ACDB60">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auto"/>
            <w:vAlign w:val="center"/>
          </w:tcPr>
          <w:p w14:paraId="2814D360">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auto"/>
            <w:vAlign w:val="center"/>
          </w:tcPr>
          <w:p w14:paraId="0B4A9738">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5FD6997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14:paraId="55A0F81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auto"/>
            <w:vAlign w:val="center"/>
          </w:tcPr>
          <w:p w14:paraId="760B85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vAlign w:val="center"/>
          </w:tcPr>
          <w:p w14:paraId="6B6CD07E">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14:paraId="5ECA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vAlign w:val="center"/>
          </w:tcPr>
          <w:p w14:paraId="512ACE45">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auto"/>
            <w:vAlign w:val="center"/>
          </w:tcPr>
          <w:p w14:paraId="76791D9E">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485090B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auto" w:fill="auto"/>
            <w:vAlign w:val="center"/>
          </w:tcPr>
          <w:p w14:paraId="524724E3">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auto" w:fill="auto"/>
            <w:vAlign w:val="center"/>
          </w:tcPr>
          <w:p w14:paraId="10AE02DC">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14:paraId="0087418F">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14:paraId="55CF3A4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auto" w:fill="auto"/>
            <w:vAlign w:val="center"/>
          </w:tcPr>
          <w:p w14:paraId="04749D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402E868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6F1EF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auto"/>
            <w:vAlign w:val="center"/>
          </w:tcPr>
          <w:p w14:paraId="60798A94">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auto"/>
            <w:vAlign w:val="center"/>
          </w:tcPr>
          <w:p w14:paraId="266CC967">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auto"/>
            <w:vAlign w:val="center"/>
          </w:tcPr>
          <w:p w14:paraId="5FE4B47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auto"/>
            <w:vAlign w:val="center"/>
          </w:tcPr>
          <w:p w14:paraId="5C6BC0D7">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auto"/>
            <w:vAlign w:val="center"/>
          </w:tcPr>
          <w:p w14:paraId="16B992E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14:paraId="4322AEA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auto"/>
            <w:vAlign w:val="center"/>
          </w:tcPr>
          <w:p w14:paraId="000CAFD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0745438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66618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shd w:val="clear" w:color="auto" w:fill="auto"/>
            <w:vAlign w:val="center"/>
          </w:tcPr>
          <w:p w14:paraId="06526D14">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14:paraId="4AF83C4F">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auto"/>
            <w:vAlign w:val="center"/>
          </w:tcPr>
          <w:p w14:paraId="1ED9D59A">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auto"/>
            <w:vAlign w:val="center"/>
          </w:tcPr>
          <w:p w14:paraId="5E50DEC8">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14:paraId="45806B0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auto" w:fill="auto"/>
            <w:vAlign w:val="center"/>
          </w:tcPr>
          <w:p w14:paraId="7F253DB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auto" w:fill="auto"/>
            <w:vAlign w:val="center"/>
          </w:tcPr>
          <w:p w14:paraId="0694BD9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1CB6EA0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14:paraId="1C6AA9AE">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14:paraId="18DF8D8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14:paraId="1EE7A9B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auto" w:fill="auto"/>
            <w:vAlign w:val="center"/>
          </w:tcPr>
          <w:p w14:paraId="7C7DC7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3DB4C040">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2D6F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vAlign w:val="center"/>
          </w:tcPr>
          <w:p w14:paraId="41A4A611">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auto"/>
            <w:vAlign w:val="center"/>
          </w:tcPr>
          <w:p w14:paraId="169617D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14:paraId="27737D52">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auto"/>
            <w:vAlign w:val="center"/>
          </w:tcPr>
          <w:p w14:paraId="0A891FFD">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14:paraId="079CD43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auto" w:fill="auto"/>
            <w:vAlign w:val="center"/>
          </w:tcPr>
          <w:p w14:paraId="439C5B7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auto" w:fill="auto"/>
            <w:vAlign w:val="center"/>
          </w:tcPr>
          <w:p w14:paraId="3FEEE73D">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0A783F7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14:paraId="2ED3C122">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auto" w:fill="auto"/>
            <w:vAlign w:val="center"/>
          </w:tcPr>
          <w:p w14:paraId="4349659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1B07ABB3">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4F6A4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auto"/>
            <w:vAlign w:val="center"/>
          </w:tcPr>
          <w:p w14:paraId="51680708">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050B4162">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27B2A9A0">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14:paraId="59EED08B">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auto" w:fill="auto"/>
            <w:vAlign w:val="center"/>
          </w:tcPr>
          <w:p w14:paraId="2F7DCE36">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auto" w:fill="auto"/>
            <w:vAlign w:val="center"/>
          </w:tcPr>
          <w:p w14:paraId="33CC395F">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14:paraId="42248A44">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14:paraId="2E001CD9">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14:paraId="02BB84F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14:paraId="4E9C6588">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auto" w:fill="auto"/>
            <w:vAlign w:val="center"/>
          </w:tcPr>
          <w:p w14:paraId="3F2BF6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vAlign w:val="center"/>
          </w:tcPr>
          <w:p w14:paraId="2D932B99">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14:paraId="19251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vAlign w:val="center"/>
          </w:tcPr>
          <w:p w14:paraId="20CE3C86">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23A4524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820" w:type="dxa"/>
            <w:shd w:val="clear" w:color="auto" w:fill="auto"/>
            <w:vAlign w:val="center"/>
          </w:tcPr>
          <w:p w14:paraId="5B23DB37">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改造面积</w:t>
            </w:r>
          </w:p>
        </w:tc>
        <w:tc>
          <w:tcPr>
            <w:tcW w:w="2141" w:type="dxa"/>
            <w:shd w:val="clear" w:color="auto" w:fill="auto"/>
            <w:vAlign w:val="center"/>
          </w:tcPr>
          <w:p w14:paraId="019D23E1">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05A2B8E3">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75E65DC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3DB67DD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571BF021">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auto" w:fill="auto"/>
            <w:vAlign w:val="center"/>
          </w:tcPr>
          <w:p w14:paraId="20DD36B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17F85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shd w:val="clear" w:color="auto" w:fill="auto"/>
            <w:vAlign w:val="center"/>
          </w:tcPr>
          <w:p w14:paraId="27828AD2">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093DECC5">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产出数量</w:t>
            </w:r>
          </w:p>
        </w:tc>
        <w:tc>
          <w:tcPr>
            <w:tcW w:w="820" w:type="dxa"/>
            <w:shd w:val="clear" w:color="auto" w:fill="auto"/>
            <w:vAlign w:val="center"/>
          </w:tcPr>
          <w:p w14:paraId="70EFE0CC">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改造</w:t>
            </w:r>
            <w:r>
              <w:rPr>
                <w:rFonts w:hint="eastAsia" w:cs="宋体"/>
                <w:color w:val="auto"/>
                <w:kern w:val="0"/>
                <w:sz w:val="22"/>
                <w:szCs w:val="22"/>
                <w:highlight w:val="none"/>
                <w:lang w:eastAsia="zh-CN"/>
              </w:rPr>
              <w:t>楼层数</w:t>
            </w:r>
          </w:p>
        </w:tc>
        <w:tc>
          <w:tcPr>
            <w:tcW w:w="2141" w:type="dxa"/>
            <w:shd w:val="clear" w:color="auto" w:fill="auto"/>
            <w:vAlign w:val="center"/>
          </w:tcPr>
          <w:p w14:paraId="725CA2B3">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auto" w:fill="auto"/>
            <w:vAlign w:val="center"/>
          </w:tcPr>
          <w:p w14:paraId="2A85CB5B">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14:paraId="0CA093D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14:paraId="32317424">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auto" w:fill="auto"/>
            <w:vAlign w:val="center"/>
          </w:tcPr>
          <w:p w14:paraId="2C8BACBA">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shd w:val="clear" w:color="auto" w:fill="auto"/>
            <w:vAlign w:val="center"/>
          </w:tcPr>
          <w:p w14:paraId="192C7A75">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14:paraId="4B2E5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auto"/>
            <w:vAlign w:val="center"/>
          </w:tcPr>
          <w:p w14:paraId="7237975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auto"/>
            <w:vAlign w:val="center"/>
          </w:tcPr>
          <w:p w14:paraId="797B3CE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20" w:type="dxa"/>
            <w:shd w:val="clear" w:color="auto" w:fill="auto"/>
            <w:vAlign w:val="center"/>
          </w:tcPr>
          <w:p w14:paraId="1E7DBB1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工程质量合格率</w:t>
            </w:r>
          </w:p>
        </w:tc>
        <w:tc>
          <w:tcPr>
            <w:tcW w:w="2141" w:type="dxa"/>
            <w:shd w:val="clear" w:color="auto" w:fill="auto"/>
            <w:vAlign w:val="center"/>
          </w:tcPr>
          <w:p w14:paraId="0CFFD04A">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auto" w:fill="auto"/>
            <w:vAlign w:val="center"/>
          </w:tcPr>
          <w:p w14:paraId="775EB6B4">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14:paraId="55C1FBE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auto" w:fill="auto"/>
            <w:vAlign w:val="center"/>
          </w:tcPr>
          <w:p w14:paraId="5F0EC48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vAlign w:val="center"/>
          </w:tcPr>
          <w:p w14:paraId="7D34CD8E">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49C05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1EFAEBA5">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68514588">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auto"/>
            <w:vAlign w:val="center"/>
          </w:tcPr>
          <w:p w14:paraId="2719318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开工时间</w:t>
            </w:r>
          </w:p>
        </w:tc>
        <w:tc>
          <w:tcPr>
            <w:tcW w:w="2141" w:type="dxa"/>
            <w:shd w:val="clear" w:color="auto" w:fill="auto"/>
            <w:vAlign w:val="center"/>
          </w:tcPr>
          <w:p w14:paraId="5712E36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67933EA0">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71CDAEE5">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vAlign w:val="center"/>
          </w:tcPr>
          <w:p w14:paraId="65BD7EF7">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c>
          <w:tcPr>
            <w:tcW w:w="769" w:type="dxa"/>
            <w:shd w:val="clear" w:color="auto" w:fill="auto"/>
            <w:vAlign w:val="center"/>
          </w:tcPr>
          <w:p w14:paraId="6F7D9F42">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14:paraId="3630C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vAlign w:val="center"/>
          </w:tcPr>
          <w:p w14:paraId="056CAAFC">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50E63E71">
            <w:pPr>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产出时效</w:t>
            </w:r>
          </w:p>
        </w:tc>
        <w:tc>
          <w:tcPr>
            <w:tcW w:w="820" w:type="dxa"/>
            <w:shd w:val="clear" w:color="auto" w:fill="auto"/>
            <w:vAlign w:val="center"/>
          </w:tcPr>
          <w:p w14:paraId="2FC8E439">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eastAsia="zh-CN"/>
              </w:rPr>
              <w:t>完</w:t>
            </w:r>
            <w:r>
              <w:rPr>
                <w:rFonts w:hint="eastAsia" w:ascii="宋体" w:hAnsi="宋体" w:eastAsia="宋体" w:cs="宋体"/>
                <w:color w:val="auto"/>
                <w:kern w:val="0"/>
                <w:sz w:val="22"/>
                <w:szCs w:val="22"/>
                <w:highlight w:val="none"/>
              </w:rPr>
              <w:t>工时间</w:t>
            </w:r>
          </w:p>
        </w:tc>
        <w:tc>
          <w:tcPr>
            <w:tcW w:w="2141" w:type="dxa"/>
            <w:shd w:val="clear" w:color="auto" w:fill="auto"/>
            <w:vAlign w:val="center"/>
          </w:tcPr>
          <w:p w14:paraId="417A92EF">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auto" w:fill="auto"/>
            <w:vAlign w:val="center"/>
          </w:tcPr>
          <w:p w14:paraId="513FE03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14:paraId="48616F45">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auto" w:fill="auto"/>
            <w:vAlign w:val="center"/>
          </w:tcPr>
          <w:p w14:paraId="43744E8D">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2</w:t>
            </w:r>
          </w:p>
        </w:tc>
        <w:tc>
          <w:tcPr>
            <w:tcW w:w="769" w:type="dxa"/>
            <w:shd w:val="clear" w:color="auto" w:fill="auto"/>
            <w:vAlign w:val="center"/>
          </w:tcPr>
          <w:p w14:paraId="3B30752D">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0</w:t>
            </w:r>
          </w:p>
        </w:tc>
      </w:tr>
      <w:tr w14:paraId="76E35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continue"/>
            <w:shd w:val="clear" w:color="auto" w:fill="auto"/>
            <w:vAlign w:val="center"/>
          </w:tcPr>
          <w:p w14:paraId="0ECDD6E6">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auto"/>
            <w:vAlign w:val="center"/>
          </w:tcPr>
          <w:p w14:paraId="591FC7C1">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auto"/>
            <w:vAlign w:val="center"/>
          </w:tcPr>
          <w:p w14:paraId="443D2A4D">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项目总成本（万元）</w:t>
            </w:r>
          </w:p>
        </w:tc>
        <w:tc>
          <w:tcPr>
            <w:tcW w:w="2141" w:type="dxa"/>
            <w:shd w:val="clear" w:color="auto" w:fill="auto"/>
            <w:vAlign w:val="center"/>
          </w:tcPr>
          <w:p w14:paraId="2569ADC9">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auto" w:fill="auto"/>
            <w:vAlign w:val="center"/>
          </w:tcPr>
          <w:p w14:paraId="1EF1B3AC">
            <w:pPr>
              <w:widowControl/>
              <w:spacing w:line="0" w:lineRule="atLeast"/>
              <w:ind w:firstLine="0" w:firstLineChars="0"/>
              <w:rPr>
                <w:rFonts w:hint="eastAsia" w:ascii="宋体" w:hAnsi="宋体" w:eastAsia="宋体" w:cs="宋体"/>
                <w:color w:val="auto"/>
                <w:kern w:val="0"/>
                <w:sz w:val="22"/>
                <w:szCs w:val="22"/>
                <w:highlight w:val="none"/>
                <w:lang w:eastAsia="zh-CN"/>
              </w:rPr>
            </w:pPr>
          </w:p>
          <w:p w14:paraId="1AAD5E4A">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14:paraId="14AC0161">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14:paraId="2FD1709C">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auto" w:fill="auto"/>
            <w:vAlign w:val="center"/>
          </w:tcPr>
          <w:p w14:paraId="5749426C">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c>
          <w:tcPr>
            <w:tcW w:w="769" w:type="dxa"/>
            <w:shd w:val="clear" w:color="auto" w:fill="auto"/>
            <w:vAlign w:val="center"/>
          </w:tcPr>
          <w:p w14:paraId="481AD20D">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6</w:t>
            </w:r>
          </w:p>
        </w:tc>
      </w:tr>
      <w:tr w14:paraId="146B2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shd w:val="clear" w:color="auto" w:fill="auto"/>
            <w:vAlign w:val="center"/>
          </w:tcPr>
          <w:p w14:paraId="431A1F4E">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　</w:t>
            </w:r>
          </w:p>
        </w:tc>
        <w:tc>
          <w:tcPr>
            <w:tcW w:w="727" w:type="dxa"/>
            <w:vMerge w:val="restart"/>
            <w:shd w:val="clear" w:color="auto" w:fill="auto"/>
            <w:vAlign w:val="center"/>
          </w:tcPr>
          <w:p w14:paraId="14262302">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auto"/>
            <w:vAlign w:val="center"/>
          </w:tcPr>
          <w:p w14:paraId="1D7F99C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促进妇幼保健服务业务的发展</w:t>
            </w:r>
          </w:p>
        </w:tc>
        <w:tc>
          <w:tcPr>
            <w:tcW w:w="2141" w:type="dxa"/>
            <w:shd w:val="clear" w:color="auto" w:fill="auto"/>
            <w:vAlign w:val="center"/>
          </w:tcPr>
          <w:p w14:paraId="672B22B0">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vAlign w:val="center"/>
          </w:tcPr>
          <w:p w14:paraId="2CD59D0F">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4F8FC37A">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vAlign w:val="center"/>
          </w:tcPr>
          <w:p w14:paraId="5048E7AC">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7C141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5E8EDC63">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76B20E84">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02C1E8AC">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提高妇女儿童健康水平</w:t>
            </w:r>
          </w:p>
        </w:tc>
        <w:tc>
          <w:tcPr>
            <w:tcW w:w="2141" w:type="dxa"/>
            <w:shd w:val="clear" w:color="auto" w:fill="auto"/>
            <w:vAlign w:val="center"/>
          </w:tcPr>
          <w:p w14:paraId="3F2AC8BB">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项目实施所产生的效益。</w:t>
            </w:r>
          </w:p>
        </w:tc>
        <w:tc>
          <w:tcPr>
            <w:tcW w:w="7821" w:type="dxa"/>
            <w:shd w:val="clear" w:color="auto" w:fill="auto"/>
            <w:vAlign w:val="center"/>
          </w:tcPr>
          <w:p w14:paraId="1341C162">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auto"/>
            <w:vAlign w:val="center"/>
          </w:tcPr>
          <w:p w14:paraId="4DCE1874">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10</w:t>
            </w:r>
          </w:p>
        </w:tc>
        <w:tc>
          <w:tcPr>
            <w:tcW w:w="769" w:type="dxa"/>
            <w:shd w:val="clear" w:color="auto" w:fill="auto"/>
            <w:vAlign w:val="center"/>
          </w:tcPr>
          <w:p w14:paraId="4353E97E">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cs="宋体"/>
                <w:color w:val="auto"/>
                <w:kern w:val="0"/>
                <w:sz w:val="22"/>
                <w:szCs w:val="22"/>
                <w:highlight w:val="none"/>
                <w:lang w:val="en-US" w:eastAsia="zh-CN"/>
              </w:rPr>
              <w:t>10</w:t>
            </w:r>
          </w:p>
        </w:tc>
      </w:tr>
      <w:tr w14:paraId="39EC9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auto"/>
            <w:vAlign w:val="center"/>
          </w:tcPr>
          <w:p w14:paraId="4175EEAA">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auto"/>
            <w:vAlign w:val="center"/>
          </w:tcPr>
          <w:p w14:paraId="69BD2AA0">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auto"/>
            <w:vAlign w:val="center"/>
          </w:tcPr>
          <w:p w14:paraId="7A00EC3F">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auto"/>
                <w:kern w:val="0"/>
                <w:sz w:val="22"/>
                <w:szCs w:val="22"/>
                <w:highlight w:val="none"/>
                <w:lang w:eastAsia="zh-CN"/>
              </w:rPr>
              <w:t>患者</w:t>
            </w:r>
            <w:r>
              <w:rPr>
                <w:rFonts w:hint="eastAsia" w:ascii="宋体" w:hAnsi="宋体" w:eastAsia="宋体" w:cs="宋体"/>
                <w:color w:val="auto"/>
                <w:kern w:val="0"/>
                <w:sz w:val="22"/>
                <w:szCs w:val="22"/>
                <w:highlight w:val="none"/>
              </w:rPr>
              <w:t>满意度</w:t>
            </w:r>
          </w:p>
        </w:tc>
        <w:tc>
          <w:tcPr>
            <w:tcW w:w="2141" w:type="dxa"/>
            <w:shd w:val="clear" w:color="auto" w:fill="auto"/>
            <w:vAlign w:val="center"/>
          </w:tcPr>
          <w:p w14:paraId="18B57BF2">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服务对象满意</w:t>
            </w:r>
            <w:r>
              <w:rPr>
                <w:rFonts w:hint="eastAsia" w:cs="宋体"/>
                <w:color w:val="auto"/>
                <w:kern w:val="0"/>
                <w:sz w:val="22"/>
                <w:szCs w:val="22"/>
                <w:highlight w:val="none"/>
                <w:lang w:eastAsia="zh-CN"/>
              </w:rPr>
              <w:t>度</w:t>
            </w:r>
          </w:p>
        </w:tc>
        <w:tc>
          <w:tcPr>
            <w:tcW w:w="7821" w:type="dxa"/>
            <w:shd w:val="clear" w:color="auto" w:fill="auto"/>
            <w:vAlign w:val="center"/>
          </w:tcPr>
          <w:p w14:paraId="05009F4D">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auto" w:fill="auto"/>
            <w:vAlign w:val="center"/>
          </w:tcPr>
          <w:p w14:paraId="107A50AB">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auto" w:fill="auto"/>
            <w:vAlign w:val="center"/>
          </w:tcPr>
          <w:p w14:paraId="0950976A">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14:paraId="1C5DB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shd w:val="clear" w:color="auto" w:fill="auto"/>
            <w:vAlign w:val="center"/>
          </w:tcPr>
          <w:p w14:paraId="015FFD4B">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shd w:val="clear" w:color="auto" w:fill="auto"/>
            <w:vAlign w:val="center"/>
          </w:tcPr>
          <w:p w14:paraId="66C864C3">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shd w:val="clear" w:color="auto" w:fill="auto"/>
            <w:vAlign w:val="center"/>
          </w:tcPr>
          <w:p w14:paraId="28327CEF">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shd w:val="clear" w:color="auto" w:fill="auto"/>
            <w:vAlign w:val="center"/>
          </w:tcPr>
          <w:p w14:paraId="4CB882A0">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97.6</w:t>
            </w:r>
          </w:p>
        </w:tc>
      </w:tr>
    </w:tbl>
    <w:p w14:paraId="130C93E6">
      <w:pPr>
        <w:spacing w:line="240" w:lineRule="auto"/>
        <w:ind w:firstLine="0" w:firstLineChars="0"/>
        <w:rPr>
          <w:rFonts w:ascii="Times New Roman" w:hAnsi="Times New Roman" w:eastAsia="仿宋_GB2312" w:cs="Times New Roman"/>
          <w:color w:val="auto"/>
          <w:sz w:val="30"/>
          <w:szCs w:val="24"/>
          <w:highlight w:val="none"/>
        </w:rPr>
      </w:pPr>
    </w:p>
    <w:p w14:paraId="3E0B8C59">
      <w:pPr>
        <w:rPr>
          <w:rFonts w:hint="default"/>
          <w:color w:val="auto"/>
          <w:highlight w:val="none"/>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decorative"/>
    <w:pitch w:val="default"/>
    <w:sig w:usb0="00000000" w:usb1="00000000" w:usb2="00000000" w:usb3="00000000" w:csb0="00000001" w:csb1="00000000"/>
  </w:font>
  <w:font w:name="Arial Unicode MS">
    <w:panose1 w:val="020B0604020202020204"/>
    <w:charset w:val="86"/>
    <w:family w:val="decorative"/>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A78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03D10">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C03D10">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mI4ODZmMjljZWZhNGFkN2U2N2Y4ODgwYjM5ZGIifQ=="/>
    <w:docVar w:name="KSO_WPS_MARK_KEY" w:val="0b4327b6-5c3f-4159-8a8c-9c3a367d00fb"/>
  </w:docVars>
  <w:rsids>
    <w:rsidRoot w:val="68291A1A"/>
    <w:rsid w:val="007D6A04"/>
    <w:rsid w:val="00E23C81"/>
    <w:rsid w:val="01253350"/>
    <w:rsid w:val="01282E62"/>
    <w:rsid w:val="014029CF"/>
    <w:rsid w:val="01470C4C"/>
    <w:rsid w:val="01681153"/>
    <w:rsid w:val="017311EE"/>
    <w:rsid w:val="01ED2040"/>
    <w:rsid w:val="02200440"/>
    <w:rsid w:val="02284B43"/>
    <w:rsid w:val="02B015E2"/>
    <w:rsid w:val="02DC08FA"/>
    <w:rsid w:val="033B569D"/>
    <w:rsid w:val="034C0523"/>
    <w:rsid w:val="03557185"/>
    <w:rsid w:val="039C3BA0"/>
    <w:rsid w:val="03A845BB"/>
    <w:rsid w:val="03AD5595"/>
    <w:rsid w:val="03B45AD1"/>
    <w:rsid w:val="03DC0271"/>
    <w:rsid w:val="04C32E19"/>
    <w:rsid w:val="04D12EE4"/>
    <w:rsid w:val="04D63993"/>
    <w:rsid w:val="077A6BBA"/>
    <w:rsid w:val="07890F4F"/>
    <w:rsid w:val="083707CC"/>
    <w:rsid w:val="083E3A37"/>
    <w:rsid w:val="08892439"/>
    <w:rsid w:val="08EB30F3"/>
    <w:rsid w:val="09237408"/>
    <w:rsid w:val="094B7B50"/>
    <w:rsid w:val="09781BD6"/>
    <w:rsid w:val="09F359DF"/>
    <w:rsid w:val="0A575E65"/>
    <w:rsid w:val="0ACA0AB6"/>
    <w:rsid w:val="0B756CA4"/>
    <w:rsid w:val="0C032502"/>
    <w:rsid w:val="0C27698C"/>
    <w:rsid w:val="0D052744"/>
    <w:rsid w:val="0D1774B0"/>
    <w:rsid w:val="0D4452F3"/>
    <w:rsid w:val="0EAC0F21"/>
    <w:rsid w:val="0F5E5042"/>
    <w:rsid w:val="0F6E7CEB"/>
    <w:rsid w:val="0FD80171"/>
    <w:rsid w:val="0FE95707"/>
    <w:rsid w:val="10510571"/>
    <w:rsid w:val="10787A20"/>
    <w:rsid w:val="108672DE"/>
    <w:rsid w:val="10D313F0"/>
    <w:rsid w:val="10EC685A"/>
    <w:rsid w:val="11586307"/>
    <w:rsid w:val="11FA6155"/>
    <w:rsid w:val="12CF0947"/>
    <w:rsid w:val="12F1313F"/>
    <w:rsid w:val="136C678E"/>
    <w:rsid w:val="13EB2FF5"/>
    <w:rsid w:val="14057E65"/>
    <w:rsid w:val="14216B22"/>
    <w:rsid w:val="14781F4B"/>
    <w:rsid w:val="14C36F54"/>
    <w:rsid w:val="15A46B04"/>
    <w:rsid w:val="165825BC"/>
    <w:rsid w:val="16BC5D73"/>
    <w:rsid w:val="176F36D7"/>
    <w:rsid w:val="178511C2"/>
    <w:rsid w:val="1795226D"/>
    <w:rsid w:val="180912F7"/>
    <w:rsid w:val="18456B1E"/>
    <w:rsid w:val="18F41B50"/>
    <w:rsid w:val="19BA0124"/>
    <w:rsid w:val="1B77677A"/>
    <w:rsid w:val="1B827383"/>
    <w:rsid w:val="1C1171C5"/>
    <w:rsid w:val="1C6D1AB1"/>
    <w:rsid w:val="1D265138"/>
    <w:rsid w:val="1D6A1583"/>
    <w:rsid w:val="1D7B6BCA"/>
    <w:rsid w:val="1DA41A79"/>
    <w:rsid w:val="1DF53469"/>
    <w:rsid w:val="1E0952A7"/>
    <w:rsid w:val="1E2F24F2"/>
    <w:rsid w:val="1E58492F"/>
    <w:rsid w:val="1E5B6757"/>
    <w:rsid w:val="1ED10AC6"/>
    <w:rsid w:val="1F091DA7"/>
    <w:rsid w:val="1F3E18CF"/>
    <w:rsid w:val="1F89225F"/>
    <w:rsid w:val="1F900A1F"/>
    <w:rsid w:val="1FC0575D"/>
    <w:rsid w:val="206132C7"/>
    <w:rsid w:val="209D4F4E"/>
    <w:rsid w:val="21B00C1D"/>
    <w:rsid w:val="22027E59"/>
    <w:rsid w:val="23031BEB"/>
    <w:rsid w:val="23917691"/>
    <w:rsid w:val="244D65B8"/>
    <w:rsid w:val="245E1E24"/>
    <w:rsid w:val="2560264C"/>
    <w:rsid w:val="25AD5E5D"/>
    <w:rsid w:val="26F2732D"/>
    <w:rsid w:val="2732478D"/>
    <w:rsid w:val="27457703"/>
    <w:rsid w:val="27661469"/>
    <w:rsid w:val="27900EAD"/>
    <w:rsid w:val="279B538A"/>
    <w:rsid w:val="286F545C"/>
    <w:rsid w:val="29314FBC"/>
    <w:rsid w:val="2A870AD2"/>
    <w:rsid w:val="2C024B86"/>
    <w:rsid w:val="2C927671"/>
    <w:rsid w:val="2D7C2C3A"/>
    <w:rsid w:val="2D7C5CD6"/>
    <w:rsid w:val="2E483E7E"/>
    <w:rsid w:val="2E690493"/>
    <w:rsid w:val="2E9854BD"/>
    <w:rsid w:val="2EA45E35"/>
    <w:rsid w:val="2F0D407F"/>
    <w:rsid w:val="2F454B19"/>
    <w:rsid w:val="2F5E167A"/>
    <w:rsid w:val="30FE6AEF"/>
    <w:rsid w:val="310224D9"/>
    <w:rsid w:val="31B4621C"/>
    <w:rsid w:val="31E3230A"/>
    <w:rsid w:val="325668CA"/>
    <w:rsid w:val="330957E0"/>
    <w:rsid w:val="33356F64"/>
    <w:rsid w:val="33944516"/>
    <w:rsid w:val="342B5426"/>
    <w:rsid w:val="34B62907"/>
    <w:rsid w:val="36BD137C"/>
    <w:rsid w:val="371400E2"/>
    <w:rsid w:val="385D37E7"/>
    <w:rsid w:val="386A018F"/>
    <w:rsid w:val="38782EDD"/>
    <w:rsid w:val="39EA4612"/>
    <w:rsid w:val="3B42664A"/>
    <w:rsid w:val="3B6431FB"/>
    <w:rsid w:val="3C8818A1"/>
    <w:rsid w:val="3D836A4E"/>
    <w:rsid w:val="3DD376D7"/>
    <w:rsid w:val="3DF000DF"/>
    <w:rsid w:val="3E6A5C9F"/>
    <w:rsid w:val="3EA37E97"/>
    <w:rsid w:val="3F5C223B"/>
    <w:rsid w:val="3F9E01D4"/>
    <w:rsid w:val="3FBE0BC5"/>
    <w:rsid w:val="4048103A"/>
    <w:rsid w:val="40736643"/>
    <w:rsid w:val="40D24A7A"/>
    <w:rsid w:val="4155413F"/>
    <w:rsid w:val="42621029"/>
    <w:rsid w:val="42AA1BED"/>
    <w:rsid w:val="435241E2"/>
    <w:rsid w:val="436D1C46"/>
    <w:rsid w:val="43975C51"/>
    <w:rsid w:val="439E3FA7"/>
    <w:rsid w:val="43E23CA5"/>
    <w:rsid w:val="44B32266"/>
    <w:rsid w:val="44FC64F4"/>
    <w:rsid w:val="455025AA"/>
    <w:rsid w:val="467F4585"/>
    <w:rsid w:val="470628CB"/>
    <w:rsid w:val="47555BD4"/>
    <w:rsid w:val="47B87CFB"/>
    <w:rsid w:val="47E96399"/>
    <w:rsid w:val="48E12B50"/>
    <w:rsid w:val="499441BE"/>
    <w:rsid w:val="499A6C1C"/>
    <w:rsid w:val="49F4215B"/>
    <w:rsid w:val="4A2138F0"/>
    <w:rsid w:val="4A583887"/>
    <w:rsid w:val="4ADE1B26"/>
    <w:rsid w:val="4B9F6E02"/>
    <w:rsid w:val="4BA550B1"/>
    <w:rsid w:val="4BB530DC"/>
    <w:rsid w:val="4C2A5F81"/>
    <w:rsid w:val="4C89637B"/>
    <w:rsid w:val="4E6E48A8"/>
    <w:rsid w:val="4EEC036B"/>
    <w:rsid w:val="501D2673"/>
    <w:rsid w:val="50C80BF1"/>
    <w:rsid w:val="51852833"/>
    <w:rsid w:val="526B7FD2"/>
    <w:rsid w:val="52D035CA"/>
    <w:rsid w:val="52F11AC8"/>
    <w:rsid w:val="53281FE3"/>
    <w:rsid w:val="534F49D9"/>
    <w:rsid w:val="53555F0F"/>
    <w:rsid w:val="535D23D5"/>
    <w:rsid w:val="54811E33"/>
    <w:rsid w:val="55072DA6"/>
    <w:rsid w:val="55D831E4"/>
    <w:rsid w:val="56F4341A"/>
    <w:rsid w:val="57156660"/>
    <w:rsid w:val="575A7321"/>
    <w:rsid w:val="580C3AB9"/>
    <w:rsid w:val="583C7AE0"/>
    <w:rsid w:val="586C1E9A"/>
    <w:rsid w:val="586E0800"/>
    <w:rsid w:val="59216F96"/>
    <w:rsid w:val="598C4145"/>
    <w:rsid w:val="59957D1B"/>
    <w:rsid w:val="59D4294E"/>
    <w:rsid w:val="5A897B40"/>
    <w:rsid w:val="5B634312"/>
    <w:rsid w:val="5B740FF5"/>
    <w:rsid w:val="5B9D2CCD"/>
    <w:rsid w:val="5B9E71EA"/>
    <w:rsid w:val="5C211BAE"/>
    <w:rsid w:val="5CA57EC6"/>
    <w:rsid w:val="5DA2730B"/>
    <w:rsid w:val="5E226FBC"/>
    <w:rsid w:val="5EB02500"/>
    <w:rsid w:val="5EB54071"/>
    <w:rsid w:val="5FE72BD2"/>
    <w:rsid w:val="60120613"/>
    <w:rsid w:val="603A11F0"/>
    <w:rsid w:val="618D5292"/>
    <w:rsid w:val="622E78FA"/>
    <w:rsid w:val="63343F70"/>
    <w:rsid w:val="63EB31A9"/>
    <w:rsid w:val="64296E1C"/>
    <w:rsid w:val="64496AFC"/>
    <w:rsid w:val="645B3E33"/>
    <w:rsid w:val="649E64A2"/>
    <w:rsid w:val="65765B7B"/>
    <w:rsid w:val="65E5270A"/>
    <w:rsid w:val="663C22D4"/>
    <w:rsid w:val="663D3C54"/>
    <w:rsid w:val="66862C89"/>
    <w:rsid w:val="66BB486D"/>
    <w:rsid w:val="67394C7D"/>
    <w:rsid w:val="68126B38"/>
    <w:rsid w:val="68291A1A"/>
    <w:rsid w:val="68352BB8"/>
    <w:rsid w:val="691B1594"/>
    <w:rsid w:val="693A016B"/>
    <w:rsid w:val="6A17429C"/>
    <w:rsid w:val="6A25176A"/>
    <w:rsid w:val="6A567EA3"/>
    <w:rsid w:val="6B4B4368"/>
    <w:rsid w:val="6B5601AE"/>
    <w:rsid w:val="6B79100E"/>
    <w:rsid w:val="6C7D4736"/>
    <w:rsid w:val="6C844C00"/>
    <w:rsid w:val="6CC57954"/>
    <w:rsid w:val="6D2408DD"/>
    <w:rsid w:val="6D26792C"/>
    <w:rsid w:val="6E10212C"/>
    <w:rsid w:val="6E43561A"/>
    <w:rsid w:val="6E557973"/>
    <w:rsid w:val="6E9568DB"/>
    <w:rsid w:val="6F0D6C22"/>
    <w:rsid w:val="6F47657F"/>
    <w:rsid w:val="6FAF23D9"/>
    <w:rsid w:val="70635CF6"/>
    <w:rsid w:val="70670707"/>
    <w:rsid w:val="720E3691"/>
    <w:rsid w:val="724E244C"/>
    <w:rsid w:val="72C277AF"/>
    <w:rsid w:val="72DA6946"/>
    <w:rsid w:val="732764B3"/>
    <w:rsid w:val="74026044"/>
    <w:rsid w:val="74746410"/>
    <w:rsid w:val="754A30AE"/>
    <w:rsid w:val="75E5007C"/>
    <w:rsid w:val="763079CC"/>
    <w:rsid w:val="76576F5D"/>
    <w:rsid w:val="76D377DB"/>
    <w:rsid w:val="7775458B"/>
    <w:rsid w:val="77813724"/>
    <w:rsid w:val="77861774"/>
    <w:rsid w:val="78880C51"/>
    <w:rsid w:val="78F31435"/>
    <w:rsid w:val="79300B45"/>
    <w:rsid w:val="793357E6"/>
    <w:rsid w:val="794D3E18"/>
    <w:rsid w:val="79F3729A"/>
    <w:rsid w:val="7A880722"/>
    <w:rsid w:val="7AC21775"/>
    <w:rsid w:val="7ACB0498"/>
    <w:rsid w:val="7AED0B4D"/>
    <w:rsid w:val="7C1E4487"/>
    <w:rsid w:val="7C215E02"/>
    <w:rsid w:val="7C9B6E16"/>
    <w:rsid w:val="7CF23764"/>
    <w:rsid w:val="7D394408"/>
    <w:rsid w:val="7DF605E0"/>
    <w:rsid w:val="7E797F74"/>
    <w:rsid w:val="7F6801F2"/>
    <w:rsid w:val="7F835D19"/>
    <w:rsid w:val="7F924011"/>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next w:val="8"/>
    <w:autoRedefine/>
    <w:qFormat/>
    <w:uiPriority w:val="0"/>
    <w:pPr>
      <w:spacing w:before="240" w:after="240" w:line="360" w:lineRule="auto"/>
      <w:jc w:val="center"/>
    </w:pPr>
    <w:rPr>
      <w:b/>
      <w:sz w:val="44"/>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10248</Words>
  <Characters>10820</Characters>
  <Lines>0</Lines>
  <Paragraphs>0</Paragraphs>
  <TotalTime>3</TotalTime>
  <ScaleCrop>false</ScaleCrop>
  <LinksUpToDate>false</LinksUpToDate>
  <CharactersWithSpaces>10842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苞米</cp:lastModifiedBy>
  <dcterms:modified xsi:type="dcterms:W3CDTF">2024-10-10T09:00:55Z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