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EEA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/>
        <w:jc w:val="center"/>
        <w:textAlignment w:val="auto"/>
        <w:rPr>
          <w:rStyle w:val="5"/>
          <w:rFonts w:hint="eastAsia" w:ascii="Microsoft YaHei UI" w:hAnsi="Microsoft YaHei UI" w:eastAsia="Microsoft YaHei UI" w:cs="Microsoft YaHei UI"/>
          <w:spacing w:val="7"/>
          <w:sz w:val="44"/>
          <w:szCs w:val="44"/>
          <w:bdr w:val="none" w:color="auto" w:sz="0" w:space="0"/>
          <w:shd w:val="clear" w:fill="FFFFFF"/>
        </w:rPr>
      </w:pPr>
      <w:r>
        <w:rPr>
          <w:rStyle w:val="5"/>
          <w:rFonts w:hint="eastAsia" w:ascii="Microsoft YaHei UI" w:hAnsi="Microsoft YaHei UI" w:eastAsia="Microsoft YaHei UI" w:cs="Microsoft YaHei UI"/>
          <w:spacing w:val="7"/>
          <w:sz w:val="44"/>
          <w:szCs w:val="44"/>
          <w:bdr w:val="none" w:color="auto" w:sz="0" w:space="0"/>
          <w:shd w:val="clear" w:fill="FFFFFF"/>
        </w:rPr>
        <w:t>国家矿山安全监察局关于印发《金属非</w:t>
      </w:r>
    </w:p>
    <w:p w14:paraId="0F07AA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/>
        <w:jc w:val="center"/>
        <w:textAlignment w:val="auto"/>
        <w:rPr>
          <w:rStyle w:val="5"/>
          <w:rFonts w:hint="eastAsia" w:ascii="Microsoft YaHei UI" w:hAnsi="Microsoft YaHei UI" w:eastAsia="Microsoft YaHei UI" w:cs="Microsoft YaHei UI"/>
          <w:spacing w:val="7"/>
          <w:sz w:val="44"/>
          <w:szCs w:val="44"/>
          <w:bdr w:val="none" w:color="auto" w:sz="0" w:space="0"/>
          <w:shd w:val="clear" w:fill="FFFFFF"/>
        </w:rPr>
      </w:pPr>
      <w:r>
        <w:rPr>
          <w:rStyle w:val="5"/>
          <w:rFonts w:hint="eastAsia" w:ascii="Microsoft YaHei UI" w:hAnsi="Microsoft YaHei UI" w:eastAsia="Microsoft YaHei UI" w:cs="Microsoft YaHei UI"/>
          <w:spacing w:val="7"/>
          <w:sz w:val="44"/>
          <w:szCs w:val="44"/>
          <w:bdr w:val="none" w:color="auto" w:sz="0" w:space="0"/>
          <w:shd w:val="clear" w:fill="FFFFFF"/>
        </w:rPr>
        <w:t>金属矿山重大事故隐患判定标准</w:t>
      </w:r>
    </w:p>
    <w:p w14:paraId="39B948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/>
        <w:jc w:val="center"/>
        <w:textAlignment w:val="auto"/>
        <w:rPr>
          <w:rFonts w:hint="eastAsia" w:ascii="Microsoft YaHei UI" w:hAnsi="Microsoft YaHei UI" w:eastAsia="Microsoft YaHei UI" w:cs="Microsoft YaHei UI"/>
          <w:spacing w:val="5"/>
          <w:sz w:val="44"/>
          <w:szCs w:val="44"/>
        </w:rPr>
      </w:pPr>
      <w:r>
        <w:rPr>
          <w:rStyle w:val="5"/>
          <w:rFonts w:hint="eastAsia" w:ascii="Microsoft YaHei UI" w:hAnsi="Microsoft YaHei UI" w:eastAsia="Microsoft YaHei UI" w:cs="Microsoft YaHei UI"/>
          <w:spacing w:val="7"/>
          <w:sz w:val="44"/>
          <w:szCs w:val="44"/>
          <w:bdr w:val="none" w:color="auto" w:sz="0" w:space="0"/>
          <w:shd w:val="clear" w:fill="FFFFFF"/>
        </w:rPr>
        <w:t>补充情形》的通知</w:t>
      </w:r>
    </w:p>
    <w:p w14:paraId="72A9FF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Microsoft YaHei UI" w:hAnsi="Microsoft YaHei UI" w:eastAsia="Microsoft YaHei UI" w:cs="Microsoft YaHei UI"/>
          <w:spacing w:val="5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spacing w:val="7"/>
          <w:sz w:val="28"/>
          <w:szCs w:val="28"/>
          <w:bdr w:val="none" w:color="auto" w:sz="0" w:space="0"/>
          <w:shd w:val="clear" w:fill="FFFFFF"/>
        </w:rPr>
        <w:t>矿安〔2024〕41号</w:t>
      </w:r>
    </w:p>
    <w:p w14:paraId="252100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pacing w:val="5"/>
          <w:sz w:val="32"/>
          <w:szCs w:val="32"/>
          <w:bdr w:val="none" w:color="auto" w:sz="0" w:space="0"/>
          <w:shd w:val="clear" w:fill="FFFFFF"/>
        </w:rPr>
      </w:pPr>
    </w:p>
    <w:p w14:paraId="736C18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  <w:bdr w:val="none" w:color="auto" w:sz="0" w:space="0"/>
          <w:shd w:val="clear" w:fill="FFFFFF"/>
        </w:rPr>
        <w:t>各省、自治区、直辖市应急管理厅（局），新疆生产建设兵团应急管理局，国家矿山安全监察局各省级局，有关中央企业:</w:t>
      </w:r>
    </w:p>
    <w:p w14:paraId="7AFD6E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kern w:val="0"/>
          <w:sz w:val="32"/>
          <w:szCs w:val="32"/>
          <w:bdr w:val="none" w:color="auto" w:sz="0" w:space="0"/>
          <w:lang w:val="en-US" w:eastAsia="zh-CN" w:bidi="ar"/>
        </w:rPr>
        <w:t>《金属非金属矿山重大事故隐患判定标准补充情形》已经国家矿山安全监察局2024年第7次局务会议审议通过，现印发给你们，请遵照执行。</w:t>
      </w:r>
    </w:p>
    <w:p w14:paraId="0B8CEF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  <w:bdr w:val="none" w:color="auto" w:sz="0" w:space="0"/>
          <w:shd w:val="clear" w:fill="FFFFFF"/>
        </w:rPr>
        <w:t>国家矿山安全监察局   </w:t>
      </w:r>
    </w:p>
    <w:p w14:paraId="15BBEE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  <w:bdr w:val="none" w:color="auto" w:sz="0" w:space="0"/>
          <w:shd w:val="clear" w:fill="FFFFFF"/>
        </w:rPr>
        <w:t>2024年4月23日    </w:t>
      </w:r>
    </w:p>
    <w:p w14:paraId="5B15B0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5"/>
          <w:rFonts w:hint="eastAsia" w:ascii="仿宋" w:hAnsi="仿宋" w:eastAsia="仿宋" w:cs="仿宋"/>
          <w:spacing w:val="5"/>
          <w:sz w:val="32"/>
          <w:szCs w:val="32"/>
          <w:bdr w:val="none" w:color="auto" w:sz="0" w:space="0"/>
          <w:shd w:val="clear" w:fill="FFFFFF"/>
        </w:rPr>
      </w:pPr>
    </w:p>
    <w:p w14:paraId="00C042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5"/>
          <w:rFonts w:hint="eastAsia" w:ascii="仿宋" w:hAnsi="仿宋" w:eastAsia="仿宋" w:cs="仿宋"/>
          <w:spacing w:val="5"/>
          <w:sz w:val="32"/>
          <w:szCs w:val="32"/>
          <w:bdr w:val="none" w:color="auto" w:sz="0" w:space="0"/>
          <w:shd w:val="clear" w:fill="FFFFFF"/>
        </w:rPr>
      </w:pPr>
    </w:p>
    <w:p w14:paraId="3D6F6E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spacing w:val="5"/>
          <w:sz w:val="32"/>
          <w:szCs w:val="32"/>
        </w:rPr>
      </w:pPr>
      <w:r>
        <w:rPr>
          <w:rStyle w:val="5"/>
          <w:rFonts w:hint="eastAsia" w:ascii="仿宋" w:hAnsi="仿宋" w:eastAsia="仿宋" w:cs="仿宋"/>
          <w:spacing w:val="5"/>
          <w:sz w:val="32"/>
          <w:szCs w:val="32"/>
          <w:bdr w:val="none" w:color="auto" w:sz="0" w:space="0"/>
          <w:shd w:val="clear" w:fill="FFFFFF"/>
        </w:rPr>
        <w:t>《金属非金属矿山重大事故隐患判定标准</w:t>
      </w:r>
    </w:p>
    <w:p w14:paraId="74FAC0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spacing w:val="5"/>
          <w:sz w:val="32"/>
          <w:szCs w:val="32"/>
        </w:rPr>
      </w:pPr>
      <w:r>
        <w:rPr>
          <w:rStyle w:val="5"/>
          <w:rFonts w:hint="eastAsia" w:ascii="仿宋" w:hAnsi="仿宋" w:eastAsia="仿宋" w:cs="仿宋"/>
          <w:spacing w:val="5"/>
          <w:sz w:val="32"/>
          <w:szCs w:val="32"/>
          <w:bdr w:val="none" w:color="auto" w:sz="0" w:space="0"/>
          <w:shd w:val="clear" w:fill="FFFFFF"/>
        </w:rPr>
        <w:t>补充情形》</w:t>
      </w:r>
    </w:p>
    <w:p w14:paraId="152F640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金属非金属地下矿山重大事故隐患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一）地表距进风井口和平硐口50m范围内存放油料或其他易燃、易爆材料。（二）受地表水威胁的矿井，未查清矿山及周边地面裂缝、废弃井巷、封闭不良钻孔、采空区、水力联系通道等隐蔽致灾因素或者未采取有效治理措施，在井下受威胁区域组织生产建设。（三）办公区、生活区等人员集聚场所设在危崖、塌陷区、崩落区，或洪水、泥石流、滑坡等灾害威胁范围内。（四）遇极端天气地下矿山未及时停止作业、撤出现场作业人员。</w:t>
      </w:r>
    </w:p>
    <w:p w14:paraId="794679A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金属非金属露天矿山重大事故隐患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（一）办公区、生活区等人员集聚场所设在危崖、塌陷区、崩落区，或洪水、泥石流、滑坡等灾害威胁范围内。（二）遇极端天气露天矿山未及时停止作业、撤出现场作业人员。</w:t>
      </w:r>
    </w:p>
    <w:p w14:paraId="03C919AD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Style w:val="5"/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三、尾矿库重大事故隐患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（一）尾矿库排洪构筑物拱板（盖板）与周边结构缝隙未采用设计材料充满充实的，或封堵体设置在井顶、井身段或斜槽顶、槽身段。（二）遇极端天气尾矿库未及时停止作业、撤出现场作业人员。</w:t>
      </w:r>
    </w:p>
    <w:p w14:paraId="7AA4BD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F6002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09FD6"/>
    <w:multiLevelType w:val="singleLevel"/>
    <w:tmpl w:val="D2209F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Yzg5MjMxNzJiOGU0OTk4MzcyZmMyNWI5ODBmMDEifQ=="/>
  </w:docVars>
  <w:rsids>
    <w:rsidRoot w:val="3D5B65DB"/>
    <w:rsid w:val="3D5B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2024-07-17T03:57:00Z</dcterms:created>
  <dc:creator>含羞草</dc:creator>
  <cp:lastModifiedBy>含羞草</cp:lastModifiedBy>
  <dcterms:modified xsi:type="dcterms:W3CDTF">2024-07-17T04:01:10Z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2DE09C39926441A3B82C6996F538AEF3_11</vt:lpwstr>
  </property>
</Properties>
</file>