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ind w:firstLine="803"/>
        <w:jc w:val="center"/>
        <w:rPr>
          <w:rFonts w:ascii="Times New Roman" w:hAnsi="Times New Roman" w:cs="Times New Roman"/>
          <w:b/>
          <w:bCs/>
          <w:sz w:val="40"/>
          <w:szCs w:val="40"/>
        </w:rPr>
      </w:pPr>
      <w:r>
        <w:rPr>
          <w:rFonts w:ascii="Times New Roman" w:hAnsi="Times New Roman" w:cs="Times New Roman"/>
          <w:b/>
          <w:bCs/>
          <w:sz w:val="40"/>
          <w:szCs w:val="40"/>
        </w:rPr>
        <w:t>阜康市2022年1万亩高标准农田建设</w:t>
      </w:r>
    </w:p>
    <w:p>
      <w:pPr>
        <w:ind w:firstLine="803"/>
        <w:jc w:val="center"/>
        <w:rPr>
          <w:rFonts w:ascii="Times New Roman" w:hAnsi="Times New Roman" w:cs="Times New Roman"/>
          <w:b/>
          <w:bCs/>
          <w:sz w:val="40"/>
          <w:szCs w:val="40"/>
        </w:rPr>
      </w:pPr>
      <w:r>
        <w:rPr>
          <w:rFonts w:ascii="Times New Roman" w:hAnsi="Times New Roman" w:cs="Times New Roman"/>
          <w:b/>
          <w:bCs/>
          <w:sz w:val="40"/>
          <w:szCs w:val="40"/>
        </w:rPr>
        <w:t>项目支出绩效评价报告</w:t>
      </w: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jc w:val="center"/>
        <w:rPr>
          <w:rFonts w:ascii="Times New Roman" w:hAnsi="Times New Roman" w:cs="Times New Roman"/>
          <w:b/>
          <w:bCs/>
          <w:color w:val="000000"/>
          <w:sz w:val="36"/>
          <w:szCs w:val="36"/>
        </w:rPr>
      </w:pPr>
    </w:p>
    <w:p>
      <w:pPr>
        <w:ind w:firstLine="560"/>
        <w:rPr>
          <w:rFonts w:ascii="Times New Roman" w:hAnsi="Times New Roman" w:cs="Times New Roman"/>
          <w:bCs/>
        </w:rPr>
      </w:pPr>
      <w:r>
        <w:rPr>
          <w:rFonts w:ascii="Times New Roman" w:hAnsi="Times New Roman" w:cs="Times New Roman"/>
          <w:bCs/>
        </w:rPr>
        <w:t>项目名称：阜康市2022年1万亩高标准农田建设项目</w:t>
      </w:r>
    </w:p>
    <w:p>
      <w:pPr>
        <w:ind w:firstLine="560"/>
        <w:rPr>
          <w:rFonts w:ascii="Times New Roman" w:hAnsi="Times New Roman" w:cs="Times New Roman"/>
          <w:bCs/>
        </w:rPr>
      </w:pPr>
      <w:r>
        <w:rPr>
          <w:rFonts w:ascii="Times New Roman" w:hAnsi="Times New Roman" w:cs="Times New Roman"/>
          <w:bCs/>
        </w:rPr>
        <w:t>实施单位：阜康市农业农村局</w:t>
      </w:r>
    </w:p>
    <w:p>
      <w:pPr>
        <w:ind w:firstLine="560"/>
        <w:rPr>
          <w:rFonts w:ascii="Times New Roman" w:hAnsi="Times New Roman" w:cs="Times New Roman"/>
          <w:bCs/>
        </w:rPr>
      </w:pPr>
      <w:r>
        <w:rPr>
          <w:rFonts w:ascii="Times New Roman" w:hAnsi="Times New Roman" w:cs="Times New Roman"/>
          <w:bCs/>
        </w:rPr>
        <w:t>主管部门：阜康市农业农村局</w:t>
      </w:r>
      <w:bookmarkStart w:id="14" w:name="_GoBack"/>
      <w:bookmarkEnd w:id="14"/>
    </w:p>
    <w:p>
      <w:pPr>
        <w:pStyle w:val="2"/>
        <w:ind w:firstLine="562"/>
        <w:rPr>
          <w:rFonts w:ascii="Times New Roman" w:hAnsi="Times New Roman" w:cs="Times New Roman"/>
          <w:color w:val="000000"/>
          <w:sz w:val="28"/>
          <w:szCs w:val="28"/>
        </w:rPr>
      </w:pPr>
    </w:p>
    <w:p>
      <w:pPr>
        <w:ind w:firstLine="560"/>
        <w:sectPr>
          <w:pgSz w:w="11906" w:h="16838"/>
          <w:pgMar w:top="1928" w:right="1531" w:bottom="1701" w:left="1531" w:header="737" w:footer="851" w:gutter="0"/>
          <w:cols w:space="720" w:num="1"/>
          <w:docGrid w:type="lines" w:linePitch="408" w:charSpace="0"/>
        </w:sectPr>
      </w:pPr>
    </w:p>
    <w:p>
      <w:pPr>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阜康市2022年1万亩高标准农田建设项目</w:t>
      </w:r>
    </w:p>
    <w:p>
      <w:pPr>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支出绩效评价报告</w:t>
      </w:r>
    </w:p>
    <w:p>
      <w:pPr>
        <w:pStyle w:val="3"/>
        <w:spacing w:line="360" w:lineRule="auto"/>
        <w:ind w:firstLine="643"/>
        <w:rPr>
          <w:rFonts w:eastAsia="宋体" w:cs="Times New Roman"/>
          <w:b/>
          <w:bCs/>
          <w:color w:val="000000"/>
        </w:rPr>
      </w:pPr>
      <w:r>
        <w:rPr>
          <w:rFonts w:eastAsia="宋体" w:cs="Times New Roman"/>
          <w:b/>
          <w:bCs/>
          <w:color w:val="000000"/>
        </w:rPr>
        <w:t>一、基本情况</w:t>
      </w:r>
    </w:p>
    <w:p>
      <w:pPr>
        <w:pStyle w:val="4"/>
        <w:spacing w:line="360" w:lineRule="auto"/>
        <w:ind w:firstLine="643"/>
        <w:rPr>
          <w:rFonts w:ascii="Times New Roman" w:hAnsi="Times New Roman" w:eastAsia="宋体" w:cs="Times New Roman"/>
          <w:color w:val="000000"/>
        </w:rPr>
      </w:pPr>
      <w:r>
        <w:rPr>
          <w:rFonts w:ascii="Times New Roman" w:hAnsi="Times New Roman" w:eastAsia="宋体" w:cs="Times New Roman"/>
          <w:color w:val="000000"/>
        </w:rPr>
        <w:t>（一）项目概况</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1.项目背景</w:t>
      </w:r>
    </w:p>
    <w:p>
      <w:pPr>
        <w:spacing w:line="600" w:lineRule="exact"/>
        <w:ind w:firstLine="560"/>
        <w:rPr>
          <w:rFonts w:ascii="Times New Roman" w:hAnsi="Times New Roman" w:cs="Times New Roman"/>
        </w:rPr>
      </w:pPr>
      <w:r>
        <w:rPr>
          <w:rFonts w:ascii="Times New Roman" w:hAnsi="Times New Roman" w:cs="Times New Roman"/>
        </w:rPr>
        <w:t>根据《自治区农业农村厅关于下达2022年自治区农田建设任务的通知》（新农建（2022）27号）、《自治州农业农村局关于下达2022年昌吉州农田建设任务的通知》（昌州农字〔2022〕30号），阜康市承担2022年高标准农田建设项目1万亩，项目总投资2393万元，其中申请中央财政资金922万元、自治区补助资金578</w:t>
      </w:r>
      <w:r>
        <w:rPr>
          <w:rFonts w:hint="eastAsia" w:ascii="Times New Roman" w:hAnsi="Times New Roman" w:cs="Times New Roman"/>
        </w:rPr>
        <w:t>万元</w:t>
      </w:r>
      <w:r>
        <w:rPr>
          <w:rFonts w:ascii="Times New Roman" w:hAnsi="Times New Roman" w:cs="Times New Roman"/>
        </w:rPr>
        <w:t>，用于灌溉和排水工程、田间道路工程、农田输配电工程建设、科技推广措施工程；地方资金893万元，用于农田防护与生态环境保护工程、土壤改良措施等。项目建设期为1-2年。项目涉及1个村，包括以下1个项目，分别是阜康市三工河乡（拜斯胡木中心村）2022年1</w:t>
      </w:r>
      <w:r>
        <w:rPr>
          <w:rFonts w:hint="eastAsia" w:ascii="Times New Roman" w:hAnsi="Times New Roman" w:cs="Times New Roman"/>
        </w:rPr>
        <w:t>、</w:t>
      </w:r>
      <w:r>
        <w:rPr>
          <w:rFonts w:ascii="Times New Roman" w:hAnsi="Times New Roman" w:cs="Times New Roman"/>
        </w:rPr>
        <w:t>万亩高标准农田项目。</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2.主要内容及实施情况</w:t>
      </w:r>
    </w:p>
    <w:p>
      <w:pPr>
        <w:spacing w:line="600" w:lineRule="exact"/>
        <w:ind w:firstLine="562"/>
        <w:rPr>
          <w:rFonts w:ascii="Times New Roman" w:hAnsi="Times New Roman" w:cs="Times New Roman"/>
        </w:rPr>
      </w:pPr>
      <w:r>
        <w:rPr>
          <w:rFonts w:ascii="Times New Roman" w:hAnsi="Times New Roman" w:cs="Times New Roman"/>
          <w:b/>
          <w:bCs/>
        </w:rPr>
        <w:t>主要内容：</w:t>
      </w:r>
      <w:r>
        <w:rPr>
          <w:rFonts w:ascii="Times New Roman" w:hAnsi="Times New Roman" w:cs="Times New Roman"/>
        </w:rPr>
        <w:t>(一)灌溉和排水工程:新建滴灌面积1</w:t>
      </w:r>
      <w:r>
        <w:rPr>
          <w:rFonts w:hint="eastAsia" w:ascii="Times New Roman" w:hAnsi="Times New Roman" w:cs="Times New Roman"/>
        </w:rPr>
        <w:t>、</w:t>
      </w:r>
      <w:r>
        <w:rPr>
          <w:rFonts w:ascii="Times New Roman" w:hAnsi="Times New Roman" w:cs="Times New Roman"/>
        </w:rPr>
        <w:t>万亩、划分为14个滴灌系统，主要建设内容包括:建设沉砂池5座，首部管理房5座;安装过滤器14套、施肥箱14套，离心泵14套，变频启动柜14套;埋设各种规格PVC-U管87.14km;砌筑田间闸阀井99座，排水井91座;引水渠防渗760m。安装智能化滴灌面积0.44万亩，共6个系统，主要包括:首部智能气象站1个专用电脑台，软件平台及监控设备6套，水泵控制器6套;田间电动阀578套，智能网关12套，墒情采集仪10套；(二)田间道路工程:修筑田间道路12.145公里，其中:4m机拼路2202m，6m机耕路9943m,均采用30cm沙砾石铺装层；(三)农田输配电工程:架设高压输电线路500m，安装变压器5台及配套设施；(四)科技推广措施工程:新建新地质量监测点2处；(五)农田防护与生态环境保护工程:更新农田防护林33亩，栽种苗木0.38万林；(六)土壤改良措施:测土配方施肥面积10404亩，每苗增施农家肥350kg，共3641.4吨。</w:t>
      </w:r>
    </w:p>
    <w:p>
      <w:pPr>
        <w:spacing w:line="600" w:lineRule="exact"/>
        <w:ind w:firstLine="560"/>
        <w:rPr>
          <w:rFonts w:ascii="Times New Roman" w:hAnsi="Times New Roman" w:cs="Times New Roman"/>
        </w:rPr>
      </w:pPr>
      <w:r>
        <w:rPr>
          <w:rFonts w:ascii="Times New Roman" w:hAnsi="Times New Roman" w:cs="Times New Roman"/>
        </w:rPr>
        <w:t>组织实施：2022年9月组织中标施工单位进场进行施工建设，项目分年度实施，目前正在建设过程中。</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3.资金投入和使用情况</w:t>
      </w:r>
    </w:p>
    <w:p>
      <w:pPr>
        <w:ind w:firstLine="560"/>
        <w:rPr>
          <w:rFonts w:ascii="Times New Roman" w:hAnsi="Times New Roman" w:cs="Times New Roman"/>
          <w:color w:val="000000"/>
        </w:rPr>
      </w:pPr>
      <w:r>
        <w:rPr>
          <w:rFonts w:ascii="Times New Roman" w:hAnsi="Times New Roman" w:cs="Times New Roman"/>
          <w:color w:val="000000"/>
        </w:rPr>
        <w:t>（1）项目资金安排落实、总投入等情况分析</w:t>
      </w:r>
    </w:p>
    <w:p>
      <w:pPr>
        <w:ind w:firstLine="560"/>
        <w:rPr>
          <w:rFonts w:ascii="Times New Roman" w:hAnsi="Times New Roman" w:cs="Times New Roman"/>
        </w:rPr>
      </w:pPr>
      <w:r>
        <w:rPr>
          <w:rFonts w:ascii="Times New Roman" w:hAnsi="Times New Roman" w:cs="Times New Roman"/>
        </w:rPr>
        <w:t>阜康市2022年1万亩高标准农田建设项目预算安排总额为2393万元，其中财政资1500万元，其他资金893万元，2021年实际收到预算资金1500万元，预算资金到位率为100%。</w:t>
      </w:r>
    </w:p>
    <w:p>
      <w:pPr>
        <w:ind w:firstLine="544"/>
        <w:rPr>
          <w:rFonts w:ascii="Times New Roman" w:hAnsi="Times New Roman" w:cs="Times New Roman"/>
          <w:bCs/>
          <w:color w:val="000000"/>
          <w:spacing w:val="-4"/>
        </w:rPr>
      </w:pPr>
      <w:r>
        <w:rPr>
          <w:rFonts w:ascii="Times New Roman" w:hAnsi="Times New Roman" w:cs="Times New Roman"/>
          <w:bCs/>
          <w:color w:val="000000"/>
          <w:spacing w:val="-4"/>
        </w:rPr>
        <w:t>（2）项目资金实际使用情况分析</w:t>
      </w:r>
    </w:p>
    <w:p>
      <w:pPr>
        <w:ind w:firstLine="560"/>
        <w:rPr>
          <w:rFonts w:ascii="Times New Roman" w:hAnsi="Times New Roman" w:cs="Times New Roman"/>
        </w:rPr>
      </w:pPr>
      <w:r>
        <w:rPr>
          <w:rFonts w:ascii="Times New Roman" w:hAnsi="Times New Roman" w:cs="Times New Roman"/>
        </w:rPr>
        <w:t>截止2022年12月31日，阜康市2022年1万亩高标准农田建设项目实际支付资金1715.21</w:t>
      </w:r>
      <w:r>
        <w:rPr>
          <w:rFonts w:hint="eastAsia" w:ascii="Times New Roman" w:hAnsi="Times New Roman" w:cs="Times New Roman"/>
        </w:rPr>
        <w:t>万元，</w:t>
      </w:r>
      <w:r>
        <w:rPr>
          <w:rFonts w:ascii="Times New Roman" w:hAnsi="Times New Roman" w:cs="Times New Roman"/>
        </w:rPr>
        <w:t>预算执行率</w:t>
      </w:r>
      <w:r>
        <w:rPr>
          <w:rFonts w:hint="eastAsia" w:ascii="Times New Roman" w:hAnsi="Times New Roman" w:cs="Times New Roman"/>
        </w:rPr>
        <w:t>72</w:t>
      </w:r>
      <w:r>
        <w:rPr>
          <w:rFonts w:ascii="Times New Roman" w:hAnsi="Times New Roman" w:cs="Times New Roman"/>
        </w:rPr>
        <w:t>%。结转资金677.79万元，属于工程施工费和业主管理费。项目资金主要用于续建项目建设管理等方面。</w:t>
      </w:r>
    </w:p>
    <w:p>
      <w:pPr>
        <w:ind w:firstLine="560"/>
        <w:rPr>
          <w:rFonts w:ascii="Times New Roman" w:hAnsi="Times New Roman" w:cs="Times New Roman"/>
        </w:rPr>
      </w:pPr>
    </w:p>
    <w:p>
      <w:pPr>
        <w:pStyle w:val="4"/>
        <w:numPr>
          <w:ilvl w:val="0"/>
          <w:numId w:val="1"/>
        </w:numPr>
        <w:spacing w:line="360" w:lineRule="auto"/>
        <w:ind w:firstLine="643"/>
        <w:rPr>
          <w:rFonts w:ascii="Times New Roman" w:hAnsi="Times New Roman" w:eastAsia="宋体" w:cs="Times New Roman"/>
          <w:color w:val="000000"/>
        </w:rPr>
      </w:pPr>
      <w:r>
        <w:rPr>
          <w:rFonts w:ascii="Times New Roman" w:hAnsi="Times New Roman" w:eastAsia="宋体" w:cs="Times New Roman"/>
          <w:color w:val="000000"/>
        </w:rPr>
        <w:t>项目绩效目标</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1.总体目标</w:t>
      </w:r>
    </w:p>
    <w:p>
      <w:pPr>
        <w:pStyle w:val="5"/>
        <w:spacing w:line="360" w:lineRule="auto"/>
        <w:ind w:firstLine="560"/>
        <w:rPr>
          <w:rFonts w:ascii="Times New Roman" w:hAnsi="Times New Roman" w:eastAsia="宋体" w:cs="Times New Roman"/>
          <w:b w:val="0"/>
          <w:color w:val="000000"/>
          <w:kern w:val="2"/>
          <w:szCs w:val="28"/>
        </w:rPr>
      </w:pPr>
      <w:r>
        <w:rPr>
          <w:rFonts w:ascii="Times New Roman" w:hAnsi="Times New Roman" w:eastAsia="宋体" w:cs="Times New Roman"/>
          <w:b w:val="0"/>
          <w:color w:val="000000"/>
          <w:kern w:val="2"/>
          <w:szCs w:val="28"/>
        </w:rPr>
        <w:t>阜康市2022年1万亩高标准农田建设项目绩效总体目标为：1.新建高标准农田面积，通过项目建设，有效改善项目区农田基础设施条件，提升耕地质量，提高粮食综合生产能力。2、新增高效节水灌溉面积，提升农田灌溉排水和节水能力。</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2.阶段性目标</w:t>
      </w:r>
    </w:p>
    <w:p>
      <w:pPr>
        <w:ind w:firstLine="560"/>
        <w:rPr>
          <w:rFonts w:ascii="Times New Roman" w:hAnsi="Times New Roman" w:cs="Times New Roman"/>
          <w:bCs/>
          <w:color w:val="000000"/>
        </w:rPr>
      </w:pPr>
      <w:r>
        <w:rPr>
          <w:rFonts w:ascii="Times New Roman" w:hAnsi="Times New Roman" w:cs="Times New Roman"/>
          <w:bCs/>
          <w:color w:val="000000"/>
        </w:rPr>
        <w:t>根据《预算法》、《财政支出绩效评价管理暂行办法》（财预〔2020〕10号）、《自治区党委自治区人民政府关于全面实施预算绩效管理的实施意见》（新党发〔2018〕30号）、</w:t>
      </w:r>
      <w:r>
        <w:rPr>
          <w:rFonts w:ascii="Times New Roman" w:hAnsi="Times New Roman" w:cs="Times New Roman"/>
          <w:color w:val="000000"/>
        </w:rPr>
        <w:t>《自治区财政支出绩效评价管理暂行办法》（新财预〔2018〕189号）等文件</w:t>
      </w:r>
      <w:r>
        <w:rPr>
          <w:rFonts w:ascii="Times New Roman" w:hAnsi="Times New Roman" w:cs="Times New Roman"/>
          <w:bCs/>
          <w:color w:val="000000"/>
        </w:rPr>
        <w:t>的规定，结合项目实施单位的规章制度以及财务相关资料，评价小组对项目绩效目标进行了进一步的完善，完善后绩效目标如下：</w:t>
      </w:r>
    </w:p>
    <w:p>
      <w:pPr>
        <w:ind w:firstLine="560"/>
        <w:rPr>
          <w:rFonts w:ascii="Times New Roman" w:hAnsi="Times New Roman" w:cs="Times New Roman"/>
        </w:rPr>
      </w:pPr>
      <w:r>
        <w:rPr>
          <w:rFonts w:ascii="Times New Roman" w:hAnsi="Times New Roman" w:cs="Times New Roman"/>
        </w:rPr>
        <w:t>①数量指标</w:t>
      </w:r>
    </w:p>
    <w:p>
      <w:pPr>
        <w:ind w:firstLine="560"/>
        <w:rPr>
          <w:rFonts w:ascii="Times New Roman" w:hAnsi="Times New Roman" w:cs="Times New Roman"/>
        </w:rPr>
      </w:pPr>
      <w:r>
        <w:rPr>
          <w:rFonts w:ascii="Times New Roman" w:hAnsi="Times New Roman" w:cs="Times New Roman"/>
        </w:rPr>
        <w:t>“新增高标准农田面积”指标，预期指标值为</w:t>
      </w:r>
      <w:r>
        <w:rPr>
          <w:rFonts w:ascii="Times New Roman" w:hAnsi="Times New Roman" w:cs="Times New Roman"/>
          <w:b/>
          <w:bCs/>
        </w:rPr>
        <w:t>≧2万亩</w:t>
      </w:r>
      <w:r>
        <w:rPr>
          <w:rFonts w:hint="eastAsia" w:ascii="Times New Roman" w:hAnsi="Times New Roman" w:cs="Times New Roman"/>
          <w:b/>
          <w:bCs/>
        </w:rPr>
        <w:t>；</w:t>
      </w:r>
    </w:p>
    <w:p>
      <w:pPr>
        <w:ind w:firstLine="560"/>
        <w:rPr>
          <w:rFonts w:ascii="Times New Roman" w:hAnsi="Times New Roman" w:cs="Times New Roman"/>
        </w:rPr>
      </w:pPr>
      <w:r>
        <w:rPr>
          <w:rFonts w:ascii="Times New Roman" w:hAnsi="Times New Roman" w:cs="Times New Roman"/>
        </w:rPr>
        <w:t>②质量指标</w:t>
      </w:r>
    </w:p>
    <w:p>
      <w:pPr>
        <w:ind w:firstLine="560"/>
        <w:rPr>
          <w:rFonts w:ascii="Times New Roman" w:hAnsi="Times New Roman" w:cs="Times New Roman"/>
        </w:rPr>
      </w:pPr>
      <w:r>
        <w:rPr>
          <w:rFonts w:ascii="Times New Roman" w:hAnsi="Times New Roman" w:cs="Times New Roman"/>
        </w:rPr>
        <w:t>“项目验收合格率”指标，预期指标值为</w:t>
      </w:r>
      <w:r>
        <w:rPr>
          <w:rFonts w:ascii="Times New Roman" w:hAnsi="Times New Roman" w:cs="Times New Roman"/>
          <w:b/>
          <w:bCs/>
        </w:rPr>
        <w:t>≧95%</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t>③时效指标</w:t>
      </w:r>
    </w:p>
    <w:p>
      <w:pPr>
        <w:ind w:firstLine="560"/>
        <w:rPr>
          <w:rFonts w:ascii="Times New Roman" w:hAnsi="Times New Roman" w:cs="Times New Roman"/>
        </w:rPr>
      </w:pPr>
      <w:r>
        <w:rPr>
          <w:rFonts w:ascii="Times New Roman" w:hAnsi="Times New Roman" w:cs="Times New Roman"/>
        </w:rPr>
        <w:t>“项目完成及时率”指标，预期指标值为</w:t>
      </w:r>
      <w:r>
        <w:rPr>
          <w:rFonts w:hint="eastAsia" w:ascii="Times New Roman" w:hAnsi="Times New Roman" w:cs="Times New Roman"/>
          <w:b/>
          <w:bCs/>
        </w:rPr>
        <w:t>100%</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t>④成本指标</w:t>
      </w:r>
    </w:p>
    <w:p>
      <w:pPr>
        <w:ind w:firstLine="560"/>
        <w:rPr>
          <w:rFonts w:ascii="Times New Roman" w:hAnsi="Times New Roman" w:cs="Times New Roman"/>
        </w:rPr>
      </w:pPr>
      <w:r>
        <w:rPr>
          <w:rFonts w:ascii="Times New Roman" w:hAnsi="Times New Roman" w:cs="Times New Roman"/>
        </w:rPr>
        <w:t>“财政资金亩均补助标准”指标，预期指标值为</w:t>
      </w:r>
      <w:r>
        <w:rPr>
          <w:rFonts w:ascii="Times New Roman" w:hAnsi="Times New Roman" w:cs="Times New Roman"/>
          <w:b/>
          <w:bCs/>
        </w:rPr>
        <w:t>≧1500元/亩</w:t>
      </w:r>
      <w:r>
        <w:rPr>
          <w:rFonts w:ascii="Times New Roman" w:hAnsi="Times New Roman" w:cs="Times New Roman"/>
        </w:rPr>
        <w:t>；</w:t>
      </w:r>
    </w:p>
    <w:p>
      <w:pPr>
        <w:pStyle w:val="2"/>
        <w:ind w:firstLine="560"/>
        <w:rPr>
          <w:rFonts w:ascii="Times New Roman" w:hAnsi="Times New Roman" w:cs="Times New Roman"/>
          <w:b w:val="0"/>
          <w:bCs w:val="0"/>
          <w:sz w:val="28"/>
          <w:szCs w:val="28"/>
        </w:rPr>
      </w:pPr>
      <w:r>
        <w:rPr>
          <w:rFonts w:ascii="Times New Roman" w:hAnsi="Times New Roman" w:cs="Times New Roman"/>
          <w:b w:val="0"/>
          <w:bCs w:val="0"/>
          <w:sz w:val="28"/>
          <w:szCs w:val="28"/>
        </w:rPr>
        <w:t>“</w:t>
      </w:r>
      <w:r>
        <w:rPr>
          <w:rFonts w:hint="eastAsia" w:ascii="Times New Roman" w:hAnsi="Times New Roman" w:cs="Times New Roman"/>
          <w:b w:val="0"/>
          <w:bCs w:val="0"/>
          <w:sz w:val="28"/>
          <w:szCs w:val="28"/>
        </w:rPr>
        <w:t xml:space="preserve"> 亩均投资</w:t>
      </w:r>
      <w:r>
        <w:rPr>
          <w:rFonts w:ascii="Times New Roman" w:hAnsi="Times New Roman" w:cs="Times New Roman"/>
          <w:b w:val="0"/>
          <w:bCs w:val="0"/>
          <w:sz w:val="28"/>
          <w:szCs w:val="28"/>
        </w:rPr>
        <w:t>”指标，预期指标值为</w:t>
      </w:r>
      <w:r>
        <w:rPr>
          <w:rFonts w:ascii="Times New Roman" w:hAnsi="Times New Roman" w:cs="Times New Roman"/>
          <w:sz w:val="28"/>
          <w:szCs w:val="28"/>
        </w:rPr>
        <w:t>≧1500元</w:t>
      </w:r>
      <w:r>
        <w:rPr>
          <w:rFonts w:hint="eastAsia" w:ascii="Times New Roman" w:hAnsi="Times New Roman" w:cs="Times New Roman"/>
          <w:b w:val="0"/>
          <w:bCs w:val="0"/>
          <w:sz w:val="28"/>
          <w:szCs w:val="28"/>
        </w:rPr>
        <w:t>。</w:t>
      </w:r>
    </w:p>
    <w:p>
      <w:pPr>
        <w:ind w:firstLine="562"/>
        <w:rPr>
          <w:rFonts w:ascii="Times New Roman" w:hAnsi="Times New Roman" w:cs="Times New Roman"/>
          <w:b/>
          <w:bCs/>
        </w:rPr>
      </w:pPr>
      <w:r>
        <w:rPr>
          <w:rFonts w:ascii="Times New Roman" w:hAnsi="Times New Roman" w:cs="Times New Roman"/>
          <w:b/>
          <w:bCs/>
        </w:rPr>
        <w:t>（2）项目效益目标</w:t>
      </w:r>
    </w:p>
    <w:p>
      <w:pPr>
        <w:ind w:firstLine="560"/>
        <w:rPr>
          <w:rFonts w:ascii="Times New Roman" w:hAnsi="Times New Roman" w:cs="Times New Roman"/>
        </w:rPr>
      </w:pPr>
      <w:r>
        <w:rPr>
          <w:rFonts w:ascii="Times New Roman" w:hAnsi="Times New Roman" w:cs="Times New Roman"/>
        </w:rPr>
        <w:t>①社会效益指标</w:t>
      </w:r>
    </w:p>
    <w:p>
      <w:pPr>
        <w:ind w:firstLine="560"/>
        <w:rPr>
          <w:rFonts w:ascii="Times New Roman" w:hAnsi="Times New Roman" w:cs="Times New Roman"/>
        </w:rPr>
      </w:pPr>
      <w:r>
        <w:rPr>
          <w:rFonts w:ascii="Times New Roman" w:hAnsi="Times New Roman" w:cs="Times New Roman"/>
        </w:rPr>
        <w:t>“粮食综合生产能力”指标，预期指标值为</w:t>
      </w:r>
      <w:r>
        <w:rPr>
          <w:rFonts w:ascii="Times New Roman" w:hAnsi="Times New Roman" w:cs="Times New Roman"/>
          <w:b/>
          <w:bCs/>
        </w:rPr>
        <w:t>明显提升</w:t>
      </w:r>
      <w:r>
        <w:rPr>
          <w:rFonts w:ascii="Times New Roman" w:hAnsi="Times New Roman" w:cs="Times New Roman"/>
        </w:rPr>
        <w:t>；</w:t>
      </w:r>
    </w:p>
    <w:p>
      <w:pPr>
        <w:ind w:firstLine="560"/>
        <w:rPr>
          <w:rFonts w:ascii="Times New Roman" w:hAnsi="Times New Roman" w:cs="Times New Roman"/>
          <w:b/>
          <w:bCs/>
        </w:rPr>
      </w:pPr>
      <w:r>
        <w:rPr>
          <w:rFonts w:ascii="Times New Roman" w:hAnsi="Times New Roman" w:cs="Times New Roman"/>
        </w:rPr>
        <w:t>“田间道路通达度”指标，预期指标值为</w:t>
      </w:r>
      <w:r>
        <w:rPr>
          <w:rFonts w:ascii="Times New Roman" w:hAnsi="Times New Roman" w:cs="Times New Roman"/>
          <w:b/>
          <w:bCs/>
        </w:rPr>
        <w:t>平原地区达到100%；</w:t>
      </w:r>
    </w:p>
    <w:p>
      <w:pPr>
        <w:ind w:firstLine="560"/>
        <w:rPr>
          <w:rFonts w:ascii="Times New Roman" w:hAnsi="Times New Roman" w:cs="Times New Roman"/>
        </w:rPr>
      </w:pPr>
      <w:r>
        <w:rPr>
          <w:rFonts w:ascii="Times New Roman" w:hAnsi="Times New Roman" w:cs="Times New Roman"/>
        </w:rPr>
        <w:t>②生态效益指标</w:t>
      </w:r>
    </w:p>
    <w:p>
      <w:pPr>
        <w:ind w:firstLine="560"/>
        <w:rPr>
          <w:rFonts w:ascii="Times New Roman" w:hAnsi="Times New Roman" w:cs="Times New Roman"/>
        </w:rPr>
      </w:pPr>
      <w:r>
        <w:rPr>
          <w:rFonts w:ascii="Times New Roman" w:hAnsi="Times New Roman" w:cs="Times New Roman"/>
        </w:rPr>
        <w:t>“耕地质量与水资源利用率”指标，预期指标值为</w:t>
      </w:r>
      <w:r>
        <w:rPr>
          <w:rFonts w:ascii="Times New Roman" w:hAnsi="Times New Roman" w:cs="Times New Roman"/>
          <w:b/>
          <w:bCs/>
        </w:rPr>
        <w:t>逐步提升</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t>③可持续影响指标</w:t>
      </w:r>
    </w:p>
    <w:p>
      <w:pPr>
        <w:ind w:firstLine="560"/>
        <w:rPr>
          <w:rFonts w:ascii="Times New Roman" w:hAnsi="Times New Roman" w:cs="Times New Roman"/>
        </w:rPr>
      </w:pPr>
      <w:r>
        <w:rPr>
          <w:rFonts w:ascii="Times New Roman" w:hAnsi="Times New Roman" w:cs="Times New Roman"/>
        </w:rPr>
        <w:t>“农业种植结构”指标，预期指标值为</w:t>
      </w:r>
      <w:r>
        <w:rPr>
          <w:rFonts w:ascii="Times New Roman" w:hAnsi="Times New Roman" w:cs="Times New Roman"/>
          <w:b/>
          <w:bCs/>
        </w:rPr>
        <w:t>进一步优化</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 4 \* GB3 \* MERGEFORMAT </w:instrText>
      </w:r>
      <w:r>
        <w:rPr>
          <w:rFonts w:ascii="Times New Roman" w:hAnsi="Times New Roman" w:cs="Times New Roman"/>
        </w:rPr>
        <w:fldChar w:fldCharType="separate"/>
      </w:r>
      <w:r>
        <w:rPr>
          <w:rFonts w:ascii="Times New Roman" w:hAnsi="Times New Roman" w:cs="Times New Roman"/>
        </w:rPr>
        <w:t>④</w:t>
      </w:r>
      <w:r>
        <w:rPr>
          <w:rFonts w:ascii="Times New Roman" w:hAnsi="Times New Roman" w:cs="Times New Roman"/>
        </w:rPr>
        <w:fldChar w:fldCharType="end"/>
      </w:r>
      <w:r>
        <w:rPr>
          <w:rFonts w:ascii="Times New Roman" w:hAnsi="Times New Roman" w:cs="Times New Roman"/>
        </w:rPr>
        <w:t>满意度指标</w:t>
      </w:r>
    </w:p>
    <w:p>
      <w:pPr>
        <w:ind w:firstLine="560"/>
        <w:rPr>
          <w:rFonts w:ascii="Times New Roman" w:hAnsi="Times New Roman" w:cs="Times New Roman"/>
        </w:rPr>
      </w:pPr>
      <w:r>
        <w:rPr>
          <w:rFonts w:ascii="Times New Roman" w:hAnsi="Times New Roman" w:cs="Times New Roman"/>
        </w:rPr>
        <w:t>“受益群众满意率”指标，预期指标值为</w:t>
      </w:r>
      <w:r>
        <w:rPr>
          <w:rFonts w:ascii="Times New Roman" w:hAnsi="Times New Roman" w:cs="Times New Roman"/>
          <w:b/>
          <w:bCs/>
        </w:rPr>
        <w:t>≧90%</w:t>
      </w:r>
      <w:r>
        <w:rPr>
          <w:rFonts w:ascii="Times New Roman" w:hAnsi="Times New Roman" w:cs="Times New Roman"/>
        </w:rPr>
        <w:t>。</w:t>
      </w:r>
    </w:p>
    <w:p>
      <w:pPr>
        <w:pStyle w:val="3"/>
        <w:ind w:firstLine="640"/>
        <w:rPr>
          <w:rFonts w:ascii="黑体" w:hAnsi="黑体" w:cs="黑体"/>
        </w:rPr>
      </w:pPr>
      <w:r>
        <w:rPr>
          <w:rFonts w:hint="eastAsia" w:ascii="黑体" w:hAnsi="黑体" w:cs="黑体"/>
        </w:rPr>
        <w:t>二、绩效评价工作开展情况</w:t>
      </w:r>
    </w:p>
    <w:p>
      <w:pPr>
        <w:pStyle w:val="4"/>
        <w:numPr>
          <w:ilvl w:val="0"/>
          <w:numId w:val="2"/>
        </w:numPr>
        <w:spacing w:line="360" w:lineRule="auto"/>
        <w:ind w:firstLine="643"/>
        <w:rPr>
          <w:rFonts w:ascii="Times New Roman" w:hAnsi="Times New Roman" w:eastAsia="宋体" w:cs="Times New Roman"/>
          <w:color w:val="000000"/>
          <w:szCs w:val="32"/>
        </w:rPr>
      </w:pPr>
      <w:bookmarkStart w:id="0" w:name="_Toc5462343"/>
      <w:bookmarkStart w:id="1" w:name="_Toc26632"/>
      <w:bookmarkStart w:id="2" w:name="_Toc22169_WPSOffice_Level2"/>
      <w:bookmarkStart w:id="3" w:name="_Toc21664"/>
      <w:bookmarkStart w:id="4" w:name="_Toc22922"/>
      <w:bookmarkStart w:id="5" w:name="_Toc12868"/>
      <w:bookmarkStart w:id="6" w:name="_Toc480473081"/>
      <w:bookmarkStart w:id="7" w:name="_Toc5258"/>
      <w:r>
        <w:rPr>
          <w:rFonts w:ascii="Times New Roman" w:hAnsi="Times New Roman" w:eastAsia="宋体" w:cs="Times New Roman"/>
          <w:color w:val="000000"/>
          <w:szCs w:val="32"/>
        </w:rPr>
        <w:t>绩效评价的目的</w:t>
      </w:r>
      <w:bookmarkEnd w:id="0"/>
      <w:bookmarkEnd w:id="1"/>
      <w:bookmarkEnd w:id="2"/>
      <w:bookmarkEnd w:id="3"/>
      <w:bookmarkEnd w:id="4"/>
      <w:bookmarkEnd w:id="5"/>
      <w:bookmarkEnd w:id="6"/>
      <w:bookmarkEnd w:id="7"/>
      <w:r>
        <w:rPr>
          <w:rFonts w:ascii="Times New Roman" w:hAnsi="Times New Roman" w:eastAsia="宋体" w:cs="Times New Roman"/>
          <w:color w:val="000000"/>
          <w:szCs w:val="32"/>
        </w:rPr>
        <w:t>、对象和范围</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1.</w:t>
      </w:r>
      <w:r>
        <w:rPr>
          <w:rFonts w:ascii="Times New Roman" w:hAnsi="Times New Roman" w:eastAsia="宋体" w:cs="Times New Roman"/>
          <w:color w:val="000000"/>
          <w:sz w:val="32"/>
        </w:rPr>
        <w:t>绩效评价的目的</w:t>
      </w:r>
    </w:p>
    <w:p>
      <w:pPr>
        <w:ind w:firstLine="560"/>
        <w:rPr>
          <w:rFonts w:ascii="Times New Roman" w:hAnsi="Times New Roman" w:cs="Times New Roman"/>
          <w:color w:val="000000"/>
        </w:rPr>
      </w:pPr>
      <w:r>
        <w:rPr>
          <w:rFonts w:ascii="Times New Roman" w:hAnsi="Times New Roman" w:cs="Times New Roman"/>
          <w:color w:val="000000"/>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2.绩效评价的对象和范围</w:t>
      </w:r>
    </w:p>
    <w:p>
      <w:pPr>
        <w:ind w:firstLine="560"/>
        <w:rPr>
          <w:rFonts w:ascii="Times New Roman" w:hAnsi="Times New Roman" w:cs="Times New Roman"/>
          <w:color w:val="000000"/>
        </w:rPr>
      </w:pPr>
      <w:r>
        <w:rPr>
          <w:rFonts w:ascii="Times New Roman" w:hAnsi="Times New Roman" w:cs="Times New Roman"/>
          <w:color w:val="000000"/>
        </w:rPr>
        <w:t>此次我单位根据《财政支出绩效评价管理暂行办法》（财预〔2020〕10号）文件要求对2022年度我单位实施的</w:t>
      </w:r>
      <w:r>
        <w:rPr>
          <w:rFonts w:ascii="Times New Roman" w:hAnsi="Times New Roman" w:cs="Times New Roman"/>
        </w:rPr>
        <w:t>阜康市202</w:t>
      </w:r>
      <w:r>
        <w:rPr>
          <w:rFonts w:hint="eastAsia" w:ascii="Times New Roman" w:hAnsi="Times New Roman" w:cs="Times New Roman"/>
        </w:rPr>
        <w:t>2</w:t>
      </w:r>
      <w:r>
        <w:rPr>
          <w:rFonts w:ascii="Times New Roman" w:hAnsi="Times New Roman" w:cs="Times New Roman"/>
        </w:rPr>
        <w:t>年</w:t>
      </w:r>
      <w:r>
        <w:rPr>
          <w:rFonts w:hint="eastAsia" w:ascii="Times New Roman" w:hAnsi="Times New Roman" w:cs="Times New Roman"/>
        </w:rPr>
        <w:t>1</w:t>
      </w:r>
      <w:r>
        <w:rPr>
          <w:rFonts w:ascii="Times New Roman" w:hAnsi="Times New Roman" w:cs="Times New Roman"/>
        </w:rPr>
        <w:t>万亩高标准农田建设项目</w:t>
      </w:r>
      <w:r>
        <w:rPr>
          <w:rFonts w:ascii="Times New Roman" w:hAnsi="Times New Roman" w:cs="Times New Roman"/>
          <w:color w:val="000000"/>
        </w:rPr>
        <w:t>开展部门绩效评价。</w:t>
      </w:r>
    </w:p>
    <w:p>
      <w:pPr>
        <w:ind w:firstLine="560"/>
        <w:rPr>
          <w:rFonts w:ascii="Times New Roman" w:hAnsi="Times New Roman" w:cs="Times New Roman"/>
          <w:color w:val="000000"/>
        </w:rPr>
      </w:pPr>
      <w:r>
        <w:rPr>
          <w:rFonts w:ascii="Times New Roman" w:hAnsi="Times New Roman" w:cs="Times New Roman"/>
          <w:color w:val="000000"/>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Times New Roman" w:hAnsi="Times New Roman" w:eastAsia="宋体" w:cs="Times New Roman"/>
          <w:color w:val="000000"/>
          <w:szCs w:val="32"/>
        </w:rPr>
      </w:pPr>
      <w:r>
        <w:rPr>
          <w:rFonts w:ascii="Times New Roman" w:hAnsi="Times New Roman" w:eastAsia="宋体" w:cs="Times New Roman"/>
          <w:color w:val="000000"/>
          <w:szCs w:val="32"/>
        </w:rPr>
        <w:t>绩效评价原则、评价指标体系（附表说明）、评价方法、评价标准</w:t>
      </w:r>
    </w:p>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1.绩效评价原则</w:t>
      </w:r>
    </w:p>
    <w:p>
      <w:pPr>
        <w:ind w:firstLine="560"/>
        <w:rPr>
          <w:rFonts w:ascii="Times New Roman" w:hAnsi="Times New Roman" w:cs="Times New Roman"/>
          <w:color w:val="000000"/>
        </w:rPr>
      </w:pPr>
      <w:r>
        <w:rPr>
          <w:rFonts w:ascii="Times New Roman" w:hAnsi="Times New Roman" w:cs="Times New Roman"/>
          <w:color w:val="000000"/>
        </w:rPr>
        <w:t>依据</w:t>
      </w:r>
      <w:r>
        <w:rPr>
          <w:rFonts w:ascii="Times New Roman" w:hAnsi="Times New Roman" w:cs="Times New Roman"/>
          <w:bCs/>
          <w:color w:val="000000"/>
        </w:rPr>
        <w:t>《财政支出绩效评价管理暂行办法》（财预〔2020〕10号）</w:t>
      </w:r>
      <w:r>
        <w:rPr>
          <w:rFonts w:ascii="Times New Roman" w:hAnsi="Times New Roman" w:cs="Times New Roman"/>
          <w:color w:val="000000"/>
        </w:rPr>
        <w:t>本次绩效评价秉承科学规范、公正公开、分级分类、绩效相关等原则，按照从投入、过程到产出效果和</w:t>
      </w:r>
      <w:r>
        <w:rPr>
          <w:rFonts w:ascii="Times New Roman" w:hAnsi="Times New Roman" w:cs="Times New Roman"/>
        </w:rPr>
        <w:t>影响的绩效逻辑路径，结合</w:t>
      </w:r>
      <w:r>
        <w:rPr>
          <w:rFonts w:hint="eastAsia" w:ascii="Times New Roman" w:hAnsi="Times New Roman" w:cs="Times New Roman"/>
        </w:rPr>
        <w:t>阜康市2021年1万亩高标准农田建设项目</w:t>
      </w:r>
      <w:r>
        <w:rPr>
          <w:rFonts w:ascii="Times New Roman" w:hAnsi="Times New Roman" w:cs="Times New Roman"/>
        </w:rPr>
        <w:t>实际开展情况，运用定量和定性分析相结合的方法，总结经验做法，反</w:t>
      </w:r>
      <w:r>
        <w:rPr>
          <w:rFonts w:ascii="Times New Roman" w:hAnsi="Times New Roman" w:cs="Times New Roman"/>
          <w:color w:val="000000"/>
        </w:rPr>
        <w:t>思项目实施和管理中的问题，以切实提升财政资金管理的科学化、规范化和精细化水平。</w:t>
      </w:r>
    </w:p>
    <w:p>
      <w:pPr>
        <w:ind w:firstLine="560"/>
        <w:rPr>
          <w:rFonts w:ascii="Times New Roman" w:hAnsi="Times New Roman" w:cs="Times New Roman"/>
          <w:color w:val="000000"/>
        </w:rPr>
      </w:pPr>
      <w:r>
        <w:rPr>
          <w:rFonts w:ascii="Times New Roman" w:hAnsi="Times New Roman" w:cs="Times New Roman"/>
          <w:color w:val="000000"/>
        </w:rPr>
        <w:t>根据以上原则，绩效评价应遵循如下要求：</w:t>
      </w:r>
    </w:p>
    <w:p>
      <w:pPr>
        <w:ind w:firstLine="560"/>
        <w:rPr>
          <w:rFonts w:ascii="Times New Roman" w:hAnsi="Times New Roman" w:cs="Times New Roman"/>
          <w:color w:val="000000"/>
        </w:rPr>
      </w:pPr>
      <w:r>
        <w:rPr>
          <w:rFonts w:ascii="Times New Roman" w:hAnsi="Times New Roman" w:cs="Times New Roman"/>
          <w:color w:val="000000"/>
        </w:rPr>
        <w:t>（1）科学公正。绩效评价应当运用科学合理的方法，按照规范的程序，对项目绩效进行客观、公正的反映。</w:t>
      </w:r>
    </w:p>
    <w:p>
      <w:pPr>
        <w:ind w:firstLine="560"/>
        <w:rPr>
          <w:rFonts w:ascii="Times New Roman" w:hAnsi="Times New Roman" w:cs="Times New Roman"/>
          <w:color w:val="000000"/>
        </w:rPr>
      </w:pPr>
      <w:r>
        <w:rPr>
          <w:rFonts w:ascii="Times New Roman" w:hAnsi="Times New Roman" w:cs="Times New Roman"/>
          <w:color w:val="000000"/>
        </w:rPr>
        <w:t>（2）统筹兼顾。单位自评、部门评价和财政评价应职责明确，各有侧重，相互衔接。单位自评应由项目单位自主实施，即“谁支出、谁自评”。</w:t>
      </w:r>
    </w:p>
    <w:p>
      <w:pPr>
        <w:ind w:firstLine="560"/>
        <w:rPr>
          <w:rFonts w:ascii="Times New Roman" w:hAnsi="Times New Roman" w:cs="Times New Roman"/>
          <w:color w:val="000000"/>
        </w:rPr>
      </w:pPr>
      <w:r>
        <w:rPr>
          <w:rFonts w:ascii="Times New Roman" w:hAnsi="Times New Roman" w:cs="Times New Roman"/>
          <w:color w:val="000000"/>
        </w:rPr>
        <w:t>（3）激励约束。绩效评价结果应与预算安排、政策调整、改进管理实质性挂钩，体现奖优罚劣和激励相容导向，有效要安排、低效要压减、无效要问责。</w:t>
      </w:r>
    </w:p>
    <w:p>
      <w:pPr>
        <w:ind w:firstLine="560"/>
        <w:rPr>
          <w:rFonts w:ascii="Times New Roman" w:hAnsi="Times New Roman" w:cs="Times New Roman"/>
          <w:color w:val="000000"/>
        </w:rPr>
      </w:pPr>
      <w:r>
        <w:rPr>
          <w:rFonts w:ascii="Times New Roman" w:hAnsi="Times New Roman" w:cs="Times New Roman"/>
          <w:color w:val="000000"/>
        </w:rPr>
        <w:t>（4）公开透明。绩效评价结果应依法依规公开，并自觉接受社会监督。</w:t>
      </w:r>
    </w:p>
    <w:p>
      <w:pPr>
        <w:pStyle w:val="5"/>
        <w:spacing w:line="360" w:lineRule="auto"/>
        <w:ind w:firstLine="562"/>
        <w:rPr>
          <w:rFonts w:ascii="Times New Roman" w:hAnsi="Times New Roman" w:eastAsia="宋体" w:cs="Times New Roman"/>
          <w:color w:val="000000"/>
        </w:rPr>
      </w:pPr>
      <w:bookmarkStart w:id="8" w:name="_Toc428278230"/>
      <w:bookmarkStart w:id="9" w:name="_Toc26131"/>
      <w:bookmarkStart w:id="10" w:name="_Toc1913"/>
      <w:bookmarkStart w:id="11" w:name="_Toc419984722"/>
      <w:r>
        <w:rPr>
          <w:rFonts w:ascii="Times New Roman" w:hAnsi="Times New Roman" w:eastAsia="宋体" w:cs="Times New Roman"/>
          <w:color w:val="000000"/>
        </w:rPr>
        <w:t>2.绩效评价指标体系及绩效评价</w:t>
      </w:r>
      <w:bookmarkEnd w:id="8"/>
      <w:bookmarkEnd w:id="9"/>
      <w:bookmarkEnd w:id="10"/>
      <w:bookmarkEnd w:id="11"/>
      <w:r>
        <w:rPr>
          <w:rFonts w:ascii="Times New Roman" w:hAnsi="Times New Roman" w:eastAsia="宋体" w:cs="Times New Roman"/>
          <w:color w:val="000000"/>
        </w:rPr>
        <w:t>标准</w:t>
      </w:r>
    </w:p>
    <w:p>
      <w:pPr>
        <w:ind w:firstLine="560"/>
        <w:rPr>
          <w:rFonts w:ascii="Times New Roman" w:hAnsi="Times New Roman" w:cs="Times New Roman"/>
          <w:color w:val="000000"/>
        </w:rPr>
      </w:pPr>
      <w:r>
        <w:rPr>
          <w:rFonts w:ascii="Times New Roman" w:hAnsi="Times New Roman" w:cs="Times New Roman"/>
          <w:color w:val="000000"/>
        </w:rPr>
        <w:t>我单位</w:t>
      </w:r>
      <w:r>
        <w:rPr>
          <w:rFonts w:ascii="Times New Roman" w:hAnsi="Times New Roman" w:cs="Times New Roman"/>
          <w:color w:val="000000"/>
          <w:lang w:val="zh-TW" w:eastAsia="zh-TW"/>
        </w:rPr>
        <w:t>根据项目的</w:t>
      </w:r>
      <w:r>
        <w:rPr>
          <w:rFonts w:ascii="Times New Roman" w:hAnsi="Times New Roman" w:cs="Times New Roman"/>
          <w:color w:val="000000"/>
        </w:rPr>
        <w:t>实施</w:t>
      </w:r>
      <w:r>
        <w:rPr>
          <w:rFonts w:ascii="Times New Roman" w:hAnsi="Times New Roman" w:cs="Times New Roman"/>
          <w:color w:val="000000"/>
          <w:lang w:val="zh-TW" w:eastAsia="zh-TW"/>
        </w:rPr>
        <w:t>资料研读及前期调研，结合项目的实际开展情况，最终形成了项目绩效评价指标体系</w:t>
      </w:r>
      <w:r>
        <w:rPr>
          <w:rFonts w:ascii="Times New Roman" w:hAnsi="Times New Roman" w:cs="Times New Roman"/>
          <w:color w:val="000000"/>
          <w:lang w:val="zh-TW"/>
        </w:rPr>
        <w:t>，</w:t>
      </w:r>
      <w:r>
        <w:rPr>
          <w:rFonts w:ascii="Times New Roman" w:hAnsi="Times New Roman" w:cs="Times New Roman"/>
          <w:color w:val="000000"/>
        </w:rPr>
        <w:t>指标体系结构如下</w:t>
      </w:r>
      <w:r>
        <w:rPr>
          <w:rFonts w:ascii="Times New Roman" w:hAnsi="Times New Roman" w:cs="Times New Roman"/>
          <w:b/>
          <w:bCs/>
          <w:color w:val="000000"/>
        </w:rPr>
        <w:t>（详见上传的附件）</w:t>
      </w:r>
      <w:r>
        <w:rPr>
          <w:rFonts w:ascii="Times New Roman" w:hAnsi="Times New Roman" w:cs="Times New Roman"/>
          <w:color w:val="000000"/>
        </w:rPr>
        <w:t>：</w:t>
      </w:r>
    </w:p>
    <w:p>
      <w:pPr>
        <w:ind w:firstLine="562"/>
        <w:jc w:val="center"/>
        <w:rPr>
          <w:rFonts w:ascii="Times New Roman" w:hAnsi="Times New Roman" w:cs="Times New Roman"/>
          <w:b/>
          <w:bCs/>
        </w:rPr>
      </w:pPr>
      <w:r>
        <w:rPr>
          <w:rFonts w:ascii="Times New Roman" w:hAnsi="Times New Roman" w:cs="Times New Roman"/>
          <w:b/>
          <w:bCs/>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立项依据</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充分性</w:t>
            </w:r>
          </w:p>
        </w:tc>
        <w:tc>
          <w:tcPr>
            <w:tcW w:w="1996"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①项目立项是否符合国家法律法规、国民经济发展规划和相关政策；</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②项目立项是否符合行业发展规划和政策要求；</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③项目立项是否与部门职责范围相符，属于部门履职所需；</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④项目是否属于公共财政支持范围，是否符合中央、地方事权支出责任划分原则；</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立项程序</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规范性</w:t>
            </w:r>
          </w:p>
        </w:tc>
        <w:tc>
          <w:tcPr>
            <w:tcW w:w="1996"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①项目是否按照规定的程序申请设立；</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②审批文件、材料是否符合相关要求；</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绩效目标</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合理性</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（如未设定预算绩效目标，也可考核其他工作任务目标）</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①项目是否有绩效目标；</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②项目绩效目标与实际工作内容是否具有相关性；</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③项目预期产出效益和效果是否符合正常的业绩水平；</w:t>
            </w:r>
          </w:p>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绩效指标</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明确性</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①是否将项目绩效目标细化分解为具体的绩效指标；</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②是否通过清晰、可衡量的指标值予以体现；</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预算编制</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科学性</w:t>
            </w:r>
          </w:p>
        </w:tc>
        <w:tc>
          <w:tcPr>
            <w:tcW w:w="1996"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①预算编制是否经过科学论证；</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②预算内容与项目内容是否匹配；</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③预算额度测算依据是否充分，是否按照标准编制；</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资金分配</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合理性</w:t>
            </w:r>
          </w:p>
        </w:tc>
        <w:tc>
          <w:tcPr>
            <w:tcW w:w="1996"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①预算资金分配依据是否充分；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资金到位率=（实际到位资金/预算资金）×100%。</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实际到位资金：一定时期（本年度或项目期）内落实到具体项目的资金。</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预算执行率</w:t>
            </w:r>
          </w:p>
        </w:tc>
        <w:tc>
          <w:tcPr>
            <w:tcW w:w="1996"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预算执行率=（实际支出资金/实际到位资金）×100%。</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资金使用</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合规性</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①是否符合国家财经法规和财务管理制度以及有关专项资金管理办法的规定；</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②资金的拨付是否有完整的审批程序和手续；</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③是否符合项目预算批复或合同规定的用途；</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管理制度</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健全性</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①是否已制定或具有相应的财务和业务管理制度；</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制度执行</w:t>
            </w:r>
          </w:p>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有效性</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评价标准：</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①是否遵守相关法律法规和相关管理规定；</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②项目调整及支出调整手续是否完备；</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③项目合同书、验收报告、技术鉴定等资料是否齐全并及时归档；</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实际完成率=（实际产出数/计划产出数）×100%。</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实际产出数：一定时期（本年度或项目期）内项目实际产出的产品或提供的服务数量。</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质量达标率=（质量达标产出数/实际产出数）×100%。</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p>
        </w:tc>
        <w:tc>
          <w:tcPr>
            <w:tcW w:w="1196" w:type="dxa"/>
            <w:shd w:val="clear" w:color="auto" w:fill="FFFFFF"/>
            <w:vAlign w:val="center"/>
          </w:tcPr>
          <w:p>
            <w:pPr>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实际完成时间：项目实施单位完成该项目实际所耗用的时间。</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成本节约率=[（计划成本-实际成本）/计划成本]×100%。</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实际成本：项目实施单位如期、保质、保量完成既定工作目标实际所耗费的支出。</w:t>
            </w:r>
          </w:p>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p>
        </w:tc>
        <w:tc>
          <w:tcPr>
            <w:tcW w:w="1050" w:type="dxa"/>
            <w:shd w:val="clear" w:color="auto" w:fill="FFFFFF"/>
            <w:vAlign w:val="center"/>
          </w:tcPr>
          <w:p>
            <w:pPr>
              <w:widowControl/>
              <w:snapToGrid w:val="0"/>
              <w:spacing w:line="240" w:lineRule="auto"/>
              <w:ind w:firstLine="0" w:firstLineChars="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满意度</w:t>
            </w:r>
          </w:p>
        </w:tc>
        <w:tc>
          <w:tcPr>
            <w:tcW w:w="1996"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Times New Roman" w:hAnsi="Times New Roman" w:eastAsia="宋体" w:cs="Times New Roman"/>
          <w:color w:val="000000"/>
        </w:rPr>
      </w:pPr>
      <w:r>
        <w:rPr>
          <w:rFonts w:ascii="Times New Roman" w:hAnsi="Times New Roman" w:eastAsia="宋体" w:cs="Times New Roman"/>
          <w:color w:val="000000"/>
        </w:rPr>
        <w:t>3.评价方法</w:t>
      </w:r>
    </w:p>
    <w:p>
      <w:pPr>
        <w:ind w:firstLine="560"/>
        <w:rPr>
          <w:rFonts w:ascii="Times New Roman" w:hAnsi="Times New Roman" w:cs="Times New Roman"/>
          <w:color w:val="000000"/>
        </w:rPr>
      </w:pPr>
      <w:r>
        <w:rPr>
          <w:rFonts w:ascii="Times New Roman" w:hAnsi="Times New Roman" w:cs="Times New Roman"/>
          <w:color w:val="000000"/>
        </w:rPr>
        <w:t>本次绩效评价采用的方法比较法、因素分析法、公众评判法对项目绩效目标预期指标值与实施情况进行比较，以及采取公众问卷及抽样调查等方式进行评判的方法对</w:t>
      </w:r>
      <w:r>
        <w:rPr>
          <w:rFonts w:hint="eastAsia" w:ascii="Times New Roman" w:hAnsi="Times New Roman" w:cs="Times New Roman"/>
          <w:color w:val="000000"/>
        </w:rPr>
        <w:t>阜康市2022年1万亩高标准农田建设项目</w:t>
      </w:r>
      <w:r>
        <w:rPr>
          <w:rFonts w:ascii="Times New Roman" w:hAnsi="Times New Roman" w:cs="Times New Roman"/>
          <w:color w:val="000000"/>
        </w:rPr>
        <w:t>进行评价。</w:t>
      </w:r>
    </w:p>
    <w:p>
      <w:pPr>
        <w:pStyle w:val="5"/>
        <w:ind w:firstLine="562"/>
        <w:rPr>
          <w:rFonts w:ascii="Times New Roman" w:hAnsi="Times New Roman" w:eastAsia="宋体" w:cs="Times New Roman"/>
          <w:color w:val="000000"/>
        </w:rPr>
      </w:pPr>
      <w:r>
        <w:rPr>
          <w:rFonts w:ascii="Times New Roman" w:hAnsi="Times New Roman" w:eastAsia="宋体" w:cs="Times New Roman"/>
          <w:color w:val="000000"/>
        </w:rPr>
        <w:t>4.评价标准</w:t>
      </w:r>
    </w:p>
    <w:p>
      <w:pPr>
        <w:ind w:firstLine="560"/>
        <w:rPr>
          <w:rFonts w:ascii="Times New Roman" w:hAnsi="Times New Roman" w:cs="Times New Roman"/>
          <w:color w:val="000000"/>
        </w:rPr>
      </w:pPr>
      <w:r>
        <w:rPr>
          <w:rFonts w:ascii="Times New Roman" w:hAnsi="Times New Roman" w:cs="Times New Roman"/>
          <w:color w:val="000000"/>
        </w:rPr>
        <w:t>（1）计划标准。指以预先制定的目标、计划、预算、定额等作为评价标准。</w:t>
      </w:r>
    </w:p>
    <w:p>
      <w:pPr>
        <w:ind w:firstLine="560"/>
        <w:rPr>
          <w:rFonts w:ascii="Times New Roman" w:hAnsi="Times New Roman" w:cs="Times New Roman"/>
          <w:color w:val="000000"/>
        </w:rPr>
      </w:pPr>
      <w:r>
        <w:rPr>
          <w:rFonts w:ascii="Times New Roman" w:hAnsi="Times New Roman" w:cs="Times New Roman"/>
          <w:color w:val="000000"/>
        </w:rPr>
        <w:t>（2）行业标准。指参照国家公布的行业指标数据制定的评价标准。</w:t>
      </w:r>
    </w:p>
    <w:p>
      <w:pPr>
        <w:ind w:firstLine="560"/>
        <w:rPr>
          <w:rFonts w:ascii="Times New Roman" w:hAnsi="Times New Roman" w:cs="Times New Roman"/>
          <w:color w:val="000000"/>
        </w:rPr>
      </w:pPr>
      <w:r>
        <w:rPr>
          <w:rFonts w:ascii="Times New Roman" w:hAnsi="Times New Roman" w:cs="Times New Roman"/>
          <w:color w:val="000000"/>
        </w:rPr>
        <w:t>（3）历史标准。指参照历史数据制定的评价标准，为体现绩效改进的原则，在可实现的条件下应当确定相对较高的评价标准。</w:t>
      </w:r>
    </w:p>
    <w:p>
      <w:pPr>
        <w:ind w:firstLine="560"/>
        <w:rPr>
          <w:rFonts w:ascii="Times New Roman" w:hAnsi="Times New Roman" w:cs="Times New Roman"/>
          <w:color w:val="000000"/>
        </w:rPr>
      </w:pPr>
      <w:r>
        <w:rPr>
          <w:rFonts w:ascii="Times New Roman" w:hAnsi="Times New Roman" w:cs="Times New Roman"/>
          <w:color w:val="000000"/>
        </w:rPr>
        <w:t>（4）财政部门和预算部门确认或认可的其他标准。</w:t>
      </w:r>
    </w:p>
    <w:p>
      <w:pPr>
        <w:pStyle w:val="5"/>
        <w:ind w:firstLine="562"/>
        <w:rPr>
          <w:rFonts w:ascii="Times New Roman" w:hAnsi="Times New Roman" w:eastAsia="宋体" w:cs="Times New Roman"/>
          <w:color w:val="000000"/>
        </w:rPr>
      </w:pPr>
      <w:r>
        <w:rPr>
          <w:rFonts w:ascii="Times New Roman" w:hAnsi="Times New Roman" w:eastAsia="宋体" w:cs="Times New Roman"/>
          <w:color w:val="000000"/>
        </w:rPr>
        <w:t>（三）绩效评价工作过程</w:t>
      </w:r>
    </w:p>
    <w:p>
      <w:pPr>
        <w:ind w:firstLine="560"/>
        <w:rPr>
          <w:rFonts w:ascii="Times New Roman" w:hAnsi="Times New Roman" w:cs="Times New Roman"/>
          <w:color w:val="000000"/>
        </w:rPr>
      </w:pPr>
      <w:r>
        <w:rPr>
          <w:rFonts w:ascii="Times New Roman" w:hAnsi="Times New Roman" w:cs="Times New Roman"/>
          <w:color w:val="000000"/>
        </w:rPr>
        <w:t>1.前期准备</w:t>
      </w:r>
    </w:p>
    <w:p>
      <w:pPr>
        <w:ind w:firstLine="560"/>
        <w:rPr>
          <w:rFonts w:ascii="Times New Roman" w:hAnsi="Times New Roman" w:cs="Times New Roman"/>
          <w:color w:val="000000"/>
        </w:rPr>
      </w:pPr>
      <w:r>
        <w:rPr>
          <w:rFonts w:ascii="Times New Roman" w:hAnsi="Times New Roman" w:cs="Times New Roman"/>
          <w:color w:val="000000"/>
        </w:rPr>
        <w:t>（1）成立绩效评价项目小组</w:t>
      </w:r>
    </w:p>
    <w:p>
      <w:pPr>
        <w:ind w:firstLine="560"/>
        <w:rPr>
          <w:rFonts w:ascii="Times New Roman" w:hAnsi="Times New Roman" w:cs="Times New Roman"/>
          <w:color w:val="000000"/>
        </w:rPr>
      </w:pPr>
      <w:r>
        <w:rPr>
          <w:rFonts w:ascii="Times New Roman" w:hAnsi="Times New Roman" w:cs="Times New Roman"/>
          <w:color w:val="000000"/>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（2）开展前期调研</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绩效评价项目小组依据此次绩效评价受委托内容，对拟评价的项目实施前期调研。通过调研对</w:t>
      </w:r>
      <w:r>
        <w:rPr>
          <w:rFonts w:hint="eastAsia" w:ascii="Times New Roman" w:hAnsi="Times New Roman" w:cs="Times New Roman"/>
          <w:b w:val="0"/>
          <w:bCs w:val="0"/>
          <w:sz w:val="28"/>
          <w:szCs w:val="24"/>
        </w:rPr>
        <w:t>阜康市2021年1万亩高标准农田建设项目</w:t>
      </w:r>
      <w:r>
        <w:rPr>
          <w:rFonts w:ascii="Times New Roman" w:hAnsi="Times New Roman" w:cs="Times New Roman"/>
          <w:b w:val="0"/>
          <w:bCs w:val="0"/>
          <w:color w:val="000000"/>
          <w:sz w:val="28"/>
          <w:szCs w:val="24"/>
        </w:rPr>
        <w:t>实施内容、目标信息、预算信息以及其他的一些项目基本信息，有了初步了解，为制定绩效评价工作方案做好准备。</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（3）制订绩效评价工作方案</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绩效评价项目小组根据有关规定和评价对象的特点以及前期调研收集的一些信息，拟定详细的绩效评价工作方案。</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2.具体实施</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（1）收集基础资料</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根据评价工作的需要和要求，在前期调研的基础上，通过多种渠道全面收集项目基础信息资料，主要包括：</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①被评价单位基本概况，如单位职能、事业发展规划、预决算情况、项目立项依据等；</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②绩效目标及其设立依据和调整情况；</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③管理措施及组织实施情况；</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④被评价单位总结分析的绩效目标完成情况及绩效报告；</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⑤与绩效评价相关的计划标准、行业标准、历史标准等；</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⑥其他必要的相关资料等。</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（2）整理、研读基础资料</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3.分析评价和撰写报告</w:t>
      </w:r>
    </w:p>
    <w:p>
      <w:pPr>
        <w:pStyle w:val="2"/>
        <w:spacing w:before="0" w:after="0"/>
        <w:ind w:firstLine="560"/>
        <w:jc w:val="both"/>
        <w:outlineLvl w:val="9"/>
        <w:rPr>
          <w:rFonts w:ascii="Times New Roman" w:hAnsi="Times New Roman" w:cs="Times New Roman"/>
          <w:b w:val="0"/>
          <w:bCs w:val="0"/>
          <w:color w:val="000000"/>
          <w:sz w:val="28"/>
          <w:szCs w:val="28"/>
        </w:rPr>
      </w:pPr>
      <w:r>
        <w:rPr>
          <w:rFonts w:ascii="Times New Roman" w:hAnsi="Times New Roman" w:cs="Times New Roman"/>
          <w:b w:val="0"/>
          <w:bCs w:val="0"/>
          <w:sz w:val="28"/>
          <w:szCs w:val="28"/>
        </w:rPr>
        <w:t>（</w:t>
      </w:r>
      <w:r>
        <w:rPr>
          <w:rFonts w:ascii="Times New Roman" w:hAnsi="Times New Roman" w:cs="Times New Roman"/>
          <w:b w:val="0"/>
          <w:bCs w:val="0"/>
          <w:color w:val="000000"/>
          <w:sz w:val="28"/>
          <w:szCs w:val="28"/>
        </w:rPr>
        <w:t>1）综合分析评价</w:t>
      </w:r>
    </w:p>
    <w:p>
      <w:pPr>
        <w:pStyle w:val="2"/>
        <w:spacing w:before="0" w:after="0"/>
        <w:ind w:firstLine="560"/>
        <w:jc w:val="both"/>
        <w:outlineLvl w:val="9"/>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①根据所收集的基础资料，结合现场核查的有关情况，整理出绩效评价所需的项目材料和基础数据。</w:t>
      </w:r>
    </w:p>
    <w:p>
      <w:pPr>
        <w:pStyle w:val="2"/>
        <w:spacing w:before="0" w:after="0"/>
        <w:ind w:firstLine="560"/>
        <w:jc w:val="both"/>
        <w:outlineLvl w:val="9"/>
        <w:rPr>
          <w:rFonts w:ascii="Times New Roman" w:hAnsi="Times New Roman" w:cs="Times New Roman"/>
          <w:color w:val="000000"/>
          <w:sz w:val="28"/>
          <w:szCs w:val="24"/>
        </w:rPr>
      </w:pPr>
      <w:r>
        <w:rPr>
          <w:rFonts w:ascii="Times New Roman" w:hAnsi="Times New Roman" w:cs="Times New Roman"/>
          <w:b w:val="0"/>
          <w:bCs w:val="0"/>
          <w:color w:val="000000"/>
          <w:sz w:val="28"/>
          <w:szCs w:val="28"/>
        </w:rPr>
        <w:t>②将初步评价结论、调整</w:t>
      </w:r>
      <w:r>
        <w:rPr>
          <w:rFonts w:ascii="Times New Roman" w:hAnsi="Times New Roman" w:cs="Times New Roman"/>
          <w:b w:val="0"/>
          <w:bCs w:val="0"/>
          <w:color w:val="000000"/>
          <w:sz w:val="28"/>
          <w:szCs w:val="24"/>
        </w:rPr>
        <w:t>事项、专家咨询意见和有关说明等提交单位内部讨论并征求意见。之后，对所征求的意见及时地进行收集和整理。</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（2）撰写报告</w:t>
      </w:r>
    </w:p>
    <w:p>
      <w:pPr>
        <w:pStyle w:val="2"/>
        <w:spacing w:before="0" w:after="0"/>
        <w:ind w:firstLine="560"/>
        <w:jc w:val="both"/>
        <w:outlineLvl w:val="9"/>
        <w:rPr>
          <w:rFonts w:ascii="Times New Roman" w:hAnsi="Times New Roman" w:cs="Times New Roman"/>
          <w:b w:val="0"/>
          <w:bCs w:val="0"/>
          <w:color w:val="000000"/>
          <w:sz w:val="28"/>
          <w:szCs w:val="24"/>
        </w:rPr>
      </w:pPr>
      <w:r>
        <w:rPr>
          <w:rFonts w:ascii="Times New Roman" w:hAnsi="Times New Roman" w:cs="Times New Roman"/>
          <w:b w:val="0"/>
          <w:bCs w:val="0"/>
          <w:color w:val="00000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eastAsia="宋体" w:cs="Times New Roman"/>
          <w:b/>
          <w:bCs/>
          <w:color w:val="000000"/>
        </w:rPr>
      </w:pPr>
      <w:r>
        <w:rPr>
          <w:rFonts w:eastAsia="宋体" w:cs="Times New Roman"/>
          <w:b/>
          <w:bCs/>
          <w:color w:val="000000"/>
        </w:rPr>
        <w:t>综合评价情况及评价结论</w:t>
      </w:r>
    </w:p>
    <w:p>
      <w:pPr>
        <w:ind w:firstLine="560"/>
        <w:rPr>
          <w:rFonts w:ascii="Times New Roman" w:hAnsi="Times New Roman" w:cs="Times New Roman"/>
          <w:lang w:val="zh-TW" w:eastAsia="zh-TW"/>
        </w:rPr>
      </w:pPr>
      <w:r>
        <w:rPr>
          <w:rFonts w:ascii="Times New Roman" w:hAnsi="Times New Roman" w:cs="Times New Roman"/>
          <w:color w:val="000000"/>
        </w:rPr>
        <w:t>此次绩效评价</w:t>
      </w:r>
      <w:r>
        <w:rPr>
          <w:rFonts w:ascii="Times New Roman" w:hAnsi="Times New Roman" w:cs="Times New Roman"/>
          <w:color w:val="000000"/>
          <w:lang w:val="zh-TW" w:eastAsia="zh-TW"/>
        </w:rPr>
        <w:t>通过组论证的评价指标体系及评分标准，</w:t>
      </w:r>
      <w:r>
        <w:rPr>
          <w:rFonts w:ascii="Times New Roman" w:hAnsi="Times New Roman" w:cs="Times New Roman"/>
          <w:color w:val="000000"/>
        </w:rPr>
        <w:t>采用的方法比较法、因素分析法、公众评判法</w:t>
      </w:r>
      <w:r>
        <w:rPr>
          <w:rFonts w:ascii="Times New Roman" w:hAnsi="Times New Roman" w:cs="Times New Roman"/>
          <w:lang w:val="zh-TW"/>
        </w:rPr>
        <w:t>，</w:t>
      </w:r>
      <w:r>
        <w:rPr>
          <w:rFonts w:ascii="Times New Roman" w:hAnsi="Times New Roman" w:cs="Times New Roman"/>
          <w:lang w:val="zh-TW" w:eastAsia="zh-TW"/>
        </w:rPr>
        <w:t>对</w:t>
      </w:r>
      <w:r>
        <w:rPr>
          <w:rFonts w:hint="eastAsia" w:ascii="Times New Roman" w:hAnsi="Times New Roman" w:cs="Times New Roman"/>
        </w:rPr>
        <w:t>阜康市2022年1万亩高标准农田建设项目</w:t>
      </w:r>
      <w:r>
        <w:rPr>
          <w:rFonts w:ascii="Times New Roman" w:hAnsi="Times New Roman" w:cs="Times New Roman"/>
          <w:lang w:val="zh-TW" w:eastAsia="zh-TW"/>
        </w:rPr>
        <w:t>绩效进行客观评价，最终评分结果：总分为</w:t>
      </w:r>
      <w:r>
        <w:rPr>
          <w:rFonts w:hint="eastAsia" w:ascii="Times New Roman" w:hAnsi="Times New Roman" w:cs="Times New Roman"/>
        </w:rPr>
        <w:t>99</w:t>
      </w:r>
      <w:r>
        <w:rPr>
          <w:rFonts w:ascii="Times New Roman" w:hAnsi="Times New Roman" w:cs="Times New Roman"/>
          <w:lang w:val="zh-TW" w:eastAsia="zh-TW"/>
        </w:rPr>
        <w:t>分，绩效评级为“</w:t>
      </w:r>
      <w:r>
        <w:rPr>
          <w:rFonts w:hint="eastAsia" w:ascii="Times New Roman" w:hAnsi="Times New Roman" w:cs="Times New Roman"/>
        </w:rPr>
        <w:t>优</w:t>
      </w:r>
      <w:r>
        <w:rPr>
          <w:rFonts w:ascii="Times New Roman" w:hAnsi="Times New Roman" w:cs="Times New Roman"/>
          <w:lang w:val="zh-TW" w:eastAsia="zh-TW"/>
        </w:rPr>
        <w:t>”。各部分权重和绩效</w:t>
      </w:r>
      <w:r>
        <w:rPr>
          <w:rFonts w:ascii="Times New Roman" w:hAnsi="Times New Roman" w:cs="Times New Roman"/>
        </w:rPr>
        <w:t>汇总</w:t>
      </w:r>
      <w:r>
        <w:rPr>
          <w:rFonts w:ascii="Times New Roman" w:hAnsi="Times New Roman" w:cs="Times New Roman"/>
          <w:lang w:val="zh-TW" w:eastAsia="zh-TW"/>
        </w:rPr>
        <w:t>分值如下表</w:t>
      </w:r>
      <w:r>
        <w:rPr>
          <w:rFonts w:ascii="Times New Roman" w:hAnsi="Times New Roman" w:cs="Times New Roman"/>
        </w:rPr>
        <w:t>3-1</w:t>
      </w:r>
      <w:r>
        <w:rPr>
          <w:rFonts w:ascii="Times New Roman" w:hAnsi="Times New Roman" w:cs="Times New Roman"/>
          <w:lang w:val="zh-TW" w:eastAsia="zh-TW"/>
        </w:rPr>
        <w:t>所示</w:t>
      </w:r>
      <w:r>
        <w:rPr>
          <w:rFonts w:ascii="Times New Roman" w:hAnsi="Times New Roman" w:cs="Times New Roman"/>
          <w:lang w:val="zh-TW"/>
        </w:rPr>
        <w:t>（</w:t>
      </w:r>
      <w:r>
        <w:rPr>
          <w:rFonts w:ascii="Times New Roman" w:hAnsi="Times New Roman" w:cs="Times New Roman"/>
        </w:rPr>
        <w:t>详见</w:t>
      </w:r>
      <w:r>
        <w:rPr>
          <w:rFonts w:ascii="Times New Roman" w:hAnsi="Times New Roman" w:cs="Times New Roman"/>
          <w:b/>
          <w:bCs/>
        </w:rPr>
        <w:t>上传的附件</w:t>
      </w:r>
      <w:r>
        <w:rPr>
          <w:rFonts w:ascii="Times New Roman" w:hAnsi="Times New Roman" w:cs="Times New Roman"/>
          <w:b/>
          <w:bCs/>
          <w:lang w:val="zh-TW"/>
        </w:rPr>
        <w:t>）</w:t>
      </w:r>
      <w:r>
        <w:rPr>
          <w:rFonts w:ascii="Times New Roman" w:hAnsi="Times New Roman" w:cs="Times New Roman"/>
          <w:lang w:val="zh-TW" w:eastAsia="zh-TW"/>
        </w:rPr>
        <w:t>：</w:t>
      </w:r>
    </w:p>
    <w:tbl>
      <w:tblPr>
        <w:tblStyle w:val="9"/>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b/>
                <w:bCs/>
                <w:color w:val="000000"/>
                <w:kern w:val="0"/>
              </w:rPr>
              <w:t>表3-1：</w:t>
            </w:r>
            <w:r>
              <w:rPr>
                <w:rFonts w:hint="eastAsia" w:ascii="Times New Roman" w:hAnsi="Times New Roman" w:cs="Times New Roman"/>
                <w:b/>
                <w:bCs/>
                <w:kern w:val="0"/>
              </w:rPr>
              <w:t>阜康市2022年1万亩高标准农田建设项目</w:t>
            </w:r>
            <w:r>
              <w:rPr>
                <w:rFonts w:ascii="Times New Roman" w:hAnsi="Times New Roman" w:cs="Times New Roman"/>
                <w:b/>
                <w:bCs/>
                <w:color w:val="000000"/>
                <w:kern w:val="0"/>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color w:val="000000"/>
                <w:kern w:val="0"/>
                <w:sz w:val="21"/>
                <w:szCs w:val="21"/>
              </w:rPr>
            </w:pPr>
            <w:r>
              <w:rPr>
                <w:rFonts w:ascii="Times New Roman" w:hAnsi="Times New Roman" w:cs="Times New Roman"/>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color w:val="000000"/>
                <w:kern w:val="0"/>
                <w:sz w:val="21"/>
                <w:szCs w:val="21"/>
              </w:rPr>
            </w:pPr>
            <w:r>
              <w:rPr>
                <w:rFonts w:ascii="Times New Roman" w:hAnsi="Times New Roman" w:cs="Times New Roman"/>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color w:val="000000"/>
                <w:kern w:val="0"/>
                <w:sz w:val="21"/>
                <w:szCs w:val="21"/>
              </w:rPr>
            </w:pPr>
            <w:r>
              <w:rPr>
                <w:rFonts w:ascii="Times New Roman" w:hAnsi="Times New Roman" w:cs="Times New Roman"/>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color w:val="000000"/>
                <w:kern w:val="0"/>
                <w:sz w:val="21"/>
                <w:szCs w:val="21"/>
              </w:rPr>
            </w:pPr>
            <w:r>
              <w:rPr>
                <w:rFonts w:ascii="Times New Roman" w:hAnsi="Times New Roman" w:cs="Times New Roman"/>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color w:val="000000"/>
                <w:kern w:val="0"/>
                <w:sz w:val="21"/>
                <w:szCs w:val="21"/>
              </w:rPr>
            </w:pPr>
            <w:r>
              <w:rPr>
                <w:rFonts w:ascii="Times New Roman" w:hAnsi="Times New Roman" w:cs="Times New Roman"/>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color w:val="000000"/>
                <w:kern w:val="0"/>
                <w:sz w:val="21"/>
                <w:szCs w:val="21"/>
              </w:rPr>
            </w:pPr>
            <w:r>
              <w:rPr>
                <w:rFonts w:ascii="Times New Roman" w:hAnsi="Times New Roman" w:cs="Times New Roman"/>
                <w:b/>
                <w:bCs/>
                <w:kern w:val="0"/>
                <w:sz w:val="21"/>
                <w:szCs w:val="21"/>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hint="eastAsia" w:ascii="Times New Roman" w:hAnsi="Times New Roman" w:cs="Times New Roman"/>
                <w:kern w:val="0"/>
                <w:sz w:val="21"/>
                <w:szCs w:val="21"/>
              </w:rPr>
              <w:t>29</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hint="eastAsia" w:ascii="Times New Roman" w:hAnsi="Times New Roman" w:cs="Times New Roman"/>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hint="eastAsia" w:ascii="Times New Roman" w:hAnsi="Times New Roman" w:cs="Times New Roman"/>
                <w:kern w:val="0"/>
                <w:sz w:val="21"/>
                <w:szCs w:val="21"/>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hint="eastAsia" w:ascii="Times New Roman" w:hAnsi="Times New Roman" w:cs="Times New Roman"/>
                <w:kern w:val="0"/>
                <w:sz w:val="21"/>
                <w:szCs w:val="21"/>
              </w:rPr>
              <w:t>96.67</w:t>
            </w:r>
            <w:r>
              <w:rPr>
                <w:rFonts w:ascii="Times New Roman" w:hAnsi="Times New Roman" w:cs="Times New Roman"/>
                <w:kern w:val="0"/>
                <w:sz w:val="21"/>
                <w:szCs w:val="21"/>
              </w:rPr>
              <w:t>%</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1"/>
                <w:szCs w:val="21"/>
              </w:rPr>
            </w:pPr>
            <w:r>
              <w:rPr>
                <w:rFonts w:ascii="Times New Roman" w:hAnsi="Times New Roman" w:cs="Times New Roman"/>
                <w:kern w:val="0"/>
                <w:sz w:val="21"/>
                <w:szCs w:val="21"/>
              </w:rPr>
              <w:t>9</w:t>
            </w:r>
            <w:r>
              <w:rPr>
                <w:rFonts w:hint="eastAsia" w:ascii="Times New Roman" w:hAnsi="Times New Roman" w:cs="Times New Roman"/>
                <w:kern w:val="0"/>
                <w:sz w:val="21"/>
                <w:szCs w:val="21"/>
              </w:rPr>
              <w:t>9</w:t>
            </w:r>
            <w:r>
              <w:rPr>
                <w:rFonts w:ascii="Times New Roman" w:hAnsi="Times New Roman" w:cs="Times New Roman"/>
                <w:kern w:val="0"/>
                <w:sz w:val="21"/>
                <w:szCs w:val="21"/>
              </w:rPr>
              <w:t>%</w:t>
            </w:r>
          </w:p>
        </w:tc>
      </w:tr>
    </w:tbl>
    <w:p>
      <w:pPr>
        <w:pStyle w:val="3"/>
        <w:spacing w:line="360" w:lineRule="auto"/>
        <w:ind w:firstLine="643"/>
        <w:rPr>
          <w:rFonts w:eastAsia="宋体" w:cs="Times New Roman"/>
          <w:b/>
          <w:bCs/>
          <w:color w:val="000000"/>
        </w:rPr>
      </w:pPr>
      <w:r>
        <w:rPr>
          <w:rFonts w:eastAsia="宋体" w:cs="Times New Roman"/>
          <w:b/>
          <w:bCs/>
          <w:color w:val="000000"/>
        </w:rPr>
        <w:t>四、绩效评价指标分析</w:t>
      </w:r>
    </w:p>
    <w:p>
      <w:pPr>
        <w:pStyle w:val="4"/>
        <w:spacing w:line="360" w:lineRule="auto"/>
        <w:ind w:firstLine="643"/>
        <w:rPr>
          <w:rFonts w:ascii="Times New Roman" w:hAnsi="Times New Roman" w:eastAsia="宋体" w:cs="Times New Roman"/>
          <w:color w:val="000000"/>
        </w:rPr>
      </w:pPr>
      <w:r>
        <w:rPr>
          <w:rFonts w:ascii="Times New Roman" w:hAnsi="Times New Roman" w:eastAsia="宋体" w:cs="Times New Roman"/>
          <w:color w:val="000000"/>
        </w:rPr>
        <w:t>（一）项目决策情况</w:t>
      </w:r>
    </w:p>
    <w:p>
      <w:pPr>
        <w:ind w:firstLine="560"/>
        <w:rPr>
          <w:rFonts w:ascii="Times New Roman" w:hAnsi="Times New Roman" w:cs="Times New Roman"/>
        </w:rPr>
      </w:pPr>
      <w:r>
        <w:rPr>
          <w:rFonts w:ascii="Times New Roman" w:hAnsi="Times New Roman" w:cs="Times New Roman"/>
        </w:rPr>
        <w:t>项目决策由3个二级指标和6个三级指标构成，权重分20分，实际得分20分，</w:t>
      </w:r>
      <w:r>
        <w:rPr>
          <w:rFonts w:ascii="Times New Roman" w:hAnsi="Times New Roman" w:cs="Times New Roman"/>
          <w:u w:color="000000"/>
          <w:lang w:val="zh-TW" w:eastAsia="zh-TW"/>
        </w:rPr>
        <w:t>各指标业绩值和绩效分值如表</w:t>
      </w:r>
      <w:r>
        <w:rPr>
          <w:rFonts w:ascii="Times New Roman" w:hAnsi="Times New Roman" w:cs="Times New Roman"/>
          <w:u w:color="000000"/>
        </w:rPr>
        <w:t>4-1</w:t>
      </w:r>
      <w:r>
        <w:rPr>
          <w:rFonts w:ascii="Times New Roman" w:hAnsi="Times New Roman" w:cs="Times New Roman"/>
          <w:u w:color="000000"/>
          <w:lang w:val="zh-TW" w:eastAsia="zh-TW"/>
        </w:rPr>
        <w:t>所示</w:t>
      </w:r>
      <w:r>
        <w:rPr>
          <w:rFonts w:ascii="Times New Roman" w:hAnsi="Times New Roman" w:cs="Times New Roman"/>
        </w:rPr>
        <w:t>：</w:t>
      </w:r>
    </w:p>
    <w:p>
      <w:pPr>
        <w:widowControl/>
        <w:snapToGrid w:val="0"/>
        <w:ind w:firstLine="0" w:firstLineChars="0"/>
        <w:jc w:val="center"/>
        <w:rPr>
          <w:rFonts w:ascii="Times New Roman" w:hAnsi="Times New Roman" w:cs="Times New Roman"/>
          <w:b/>
          <w:bCs/>
          <w:kern w:val="0"/>
        </w:rPr>
      </w:pPr>
      <w:r>
        <w:rPr>
          <w:rFonts w:ascii="Times New Roman" w:hAnsi="Times New Roman" w:cs="Times New Roman"/>
          <w:b/>
          <w:bCs/>
          <w:kern w:val="0"/>
          <w:lang w:val="zh-TW" w:eastAsia="zh-TW"/>
        </w:rPr>
        <w:t>表</w:t>
      </w:r>
      <w:r>
        <w:rPr>
          <w:rFonts w:ascii="Times New Roman" w:hAnsi="Times New Roman" w:cs="Times New Roman"/>
          <w:b/>
          <w:bCs/>
          <w:kern w:val="0"/>
        </w:rPr>
        <w:t>4-1</w:t>
      </w:r>
      <w:r>
        <w:rPr>
          <w:rFonts w:ascii="Times New Roman" w:hAnsi="Times New Roman" w:cs="Times New Roman"/>
          <w:b/>
          <w:bCs/>
          <w:kern w:val="0"/>
          <w:lang w:val="zh-TW" w:eastAsia="zh-TW"/>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项目决策</w:t>
            </w:r>
          </w:p>
        </w:tc>
        <w:tc>
          <w:tcPr>
            <w:tcW w:w="960"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124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项目立项</w:t>
            </w:r>
          </w:p>
        </w:tc>
        <w:tc>
          <w:tcPr>
            <w:tcW w:w="794"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94"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资金投入</w:t>
            </w:r>
          </w:p>
        </w:tc>
        <w:tc>
          <w:tcPr>
            <w:tcW w:w="794"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60"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94"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r>
    </w:tbl>
    <w:p>
      <w:pPr>
        <w:ind w:firstLine="562"/>
        <w:rPr>
          <w:rFonts w:ascii="Times New Roman" w:hAnsi="Times New Roman" w:cs="Times New Roman"/>
          <w:b/>
          <w:bCs/>
        </w:rPr>
      </w:pPr>
      <w:r>
        <w:rPr>
          <w:rFonts w:ascii="Times New Roman" w:hAnsi="Times New Roman" w:cs="Times New Roman"/>
          <w:b/>
          <w:bCs/>
        </w:rPr>
        <w:t>1.立项依据充分性</w:t>
      </w:r>
    </w:p>
    <w:p>
      <w:pPr>
        <w:ind w:firstLine="560"/>
        <w:rPr>
          <w:rFonts w:ascii="Times New Roman" w:hAnsi="Times New Roman" w:cs="Times New Roman"/>
        </w:rPr>
      </w:pPr>
      <w:r>
        <w:rPr>
          <w:rFonts w:ascii="Times New Roman" w:hAnsi="Times New Roman" w:cs="Times New Roman"/>
        </w:rPr>
        <w:t>①项目立项符合国家法律法规、国民经济发展规划和相关政策；</w:t>
      </w:r>
    </w:p>
    <w:p>
      <w:pPr>
        <w:ind w:firstLine="560"/>
        <w:rPr>
          <w:rFonts w:ascii="Times New Roman" w:hAnsi="Times New Roman" w:cs="Times New Roman"/>
        </w:rPr>
      </w:pPr>
      <w:r>
        <w:rPr>
          <w:rFonts w:ascii="Times New Roman" w:hAnsi="Times New Roman" w:cs="Times New Roman"/>
        </w:rPr>
        <w:t>②项目立项符合行业发展规划和政策要求；</w:t>
      </w:r>
    </w:p>
    <w:p>
      <w:pPr>
        <w:ind w:firstLine="560"/>
        <w:rPr>
          <w:rFonts w:ascii="Times New Roman" w:hAnsi="Times New Roman" w:cs="Times New Roman"/>
        </w:rPr>
      </w:pPr>
      <w:r>
        <w:rPr>
          <w:rFonts w:ascii="Times New Roman" w:hAnsi="Times New Roman" w:cs="Times New Roman"/>
        </w:rPr>
        <w:t>③项目立项与部门职责范围相符，属于部门履职所需；</w:t>
      </w:r>
    </w:p>
    <w:p>
      <w:pPr>
        <w:ind w:firstLine="560"/>
        <w:rPr>
          <w:rFonts w:ascii="Times New Roman" w:hAnsi="Times New Roman" w:cs="Times New Roman"/>
        </w:rPr>
      </w:pPr>
      <w:r>
        <w:rPr>
          <w:rFonts w:ascii="Times New Roman" w:hAnsi="Times New Roman" w:cs="Times New Roman"/>
        </w:rPr>
        <w:t>④项目属于公共财政支持范围，符合中央、地方事权支出责任划分原则；</w:t>
      </w:r>
    </w:p>
    <w:p>
      <w:pPr>
        <w:ind w:firstLine="560"/>
        <w:rPr>
          <w:rFonts w:ascii="Times New Roman" w:hAnsi="Times New Roman" w:cs="Times New Roman"/>
        </w:rPr>
      </w:pPr>
      <w:r>
        <w:rPr>
          <w:rFonts w:ascii="Times New Roman" w:hAnsi="Times New Roman" w:cs="Times New Roman"/>
        </w:rPr>
        <w:t>⑤项目与相关部门同类项目或部门内部相关项目不重复。</w:t>
      </w:r>
    </w:p>
    <w:p>
      <w:pPr>
        <w:ind w:firstLine="562"/>
        <w:rPr>
          <w:rFonts w:ascii="Times New Roman" w:hAnsi="Times New Roman" w:cs="Times New Roman"/>
        </w:rPr>
      </w:pPr>
      <w:r>
        <w:rPr>
          <w:rFonts w:ascii="Times New Roman" w:hAnsi="Times New Roman" w:cs="Times New Roman"/>
          <w:b/>
          <w:bCs/>
        </w:rPr>
        <w:t>综上，该项指标满分2分，扣分0分，得分2分。</w:t>
      </w:r>
    </w:p>
    <w:p>
      <w:pPr>
        <w:ind w:firstLine="562"/>
        <w:rPr>
          <w:rFonts w:ascii="Times New Roman" w:hAnsi="Times New Roman" w:cs="Times New Roman"/>
          <w:b/>
          <w:bCs/>
        </w:rPr>
      </w:pPr>
      <w:r>
        <w:rPr>
          <w:rFonts w:ascii="Times New Roman" w:hAnsi="Times New Roman" w:cs="Times New Roman"/>
          <w:b/>
          <w:bCs/>
        </w:rPr>
        <w:t>2.立项程序规范性</w:t>
      </w:r>
    </w:p>
    <w:p>
      <w:pPr>
        <w:ind w:firstLine="560"/>
        <w:rPr>
          <w:rFonts w:ascii="Times New Roman" w:hAnsi="Times New Roman" w:cs="Times New Roman"/>
        </w:rPr>
      </w:pPr>
      <w:r>
        <w:rPr>
          <w:rFonts w:ascii="Times New Roman" w:hAnsi="Times New Roman" w:cs="Times New Roman"/>
        </w:rPr>
        <w:t>①项目按照规定的程序申请设立；</w:t>
      </w:r>
    </w:p>
    <w:p>
      <w:pPr>
        <w:ind w:firstLine="560"/>
        <w:rPr>
          <w:rFonts w:ascii="Times New Roman" w:hAnsi="Times New Roman" w:cs="Times New Roman"/>
        </w:rPr>
      </w:pPr>
      <w:r>
        <w:rPr>
          <w:rFonts w:ascii="Times New Roman" w:hAnsi="Times New Roman" w:cs="Times New Roman"/>
        </w:rPr>
        <w:t>②审批文件、材料符合相关要求；</w:t>
      </w:r>
    </w:p>
    <w:p>
      <w:pPr>
        <w:ind w:firstLine="560"/>
        <w:rPr>
          <w:rFonts w:ascii="Times New Roman" w:hAnsi="Times New Roman" w:cs="Times New Roman"/>
        </w:rPr>
      </w:pPr>
      <w:r>
        <w:rPr>
          <w:rFonts w:ascii="Times New Roman" w:hAnsi="Times New Roman" w:cs="Times New Roman"/>
        </w:rPr>
        <w:t>③事前已经过必要的可行性研究、专家论证、风险评估、绩效评估、集体决策。</w:t>
      </w:r>
    </w:p>
    <w:p>
      <w:pPr>
        <w:ind w:firstLine="562"/>
        <w:rPr>
          <w:rFonts w:ascii="Times New Roman" w:hAnsi="Times New Roman" w:cs="Times New Roman"/>
        </w:rPr>
      </w:pPr>
      <w:r>
        <w:rPr>
          <w:rFonts w:ascii="Times New Roman" w:hAnsi="Times New Roman" w:cs="Times New Roman"/>
          <w:b/>
          <w:bCs/>
        </w:rPr>
        <w:t>综上，该项指标满分3分，扣分0分，得分3分。</w:t>
      </w:r>
    </w:p>
    <w:p>
      <w:pPr>
        <w:ind w:firstLine="562"/>
        <w:rPr>
          <w:rFonts w:ascii="Times New Roman" w:hAnsi="Times New Roman" w:cs="Times New Roman"/>
          <w:b/>
          <w:bCs/>
        </w:rPr>
      </w:pPr>
      <w:r>
        <w:rPr>
          <w:rFonts w:ascii="Times New Roman" w:hAnsi="Times New Roman" w:cs="Times New Roman"/>
          <w:b/>
          <w:bCs/>
        </w:rPr>
        <w:t>3.绩效目标合理性</w:t>
      </w:r>
    </w:p>
    <w:p>
      <w:pPr>
        <w:ind w:firstLine="560"/>
        <w:rPr>
          <w:rFonts w:ascii="Times New Roman" w:hAnsi="Times New Roman" w:cs="Times New Roman"/>
        </w:rPr>
      </w:pPr>
      <w:r>
        <w:rPr>
          <w:rFonts w:ascii="Times New Roman" w:hAnsi="Times New Roman" w:cs="Times New Roman"/>
        </w:rPr>
        <w:t>①项目有绩效目标；</w:t>
      </w:r>
    </w:p>
    <w:p>
      <w:pPr>
        <w:ind w:firstLine="560"/>
        <w:rPr>
          <w:rFonts w:ascii="Times New Roman" w:hAnsi="Times New Roman" w:cs="Times New Roman"/>
        </w:rPr>
      </w:pPr>
      <w:r>
        <w:rPr>
          <w:rFonts w:ascii="Times New Roman" w:hAnsi="Times New Roman" w:cs="Times New Roman"/>
        </w:rPr>
        <w:t>②项目绩效目标与实际工作内容具有相关性；</w:t>
      </w:r>
    </w:p>
    <w:p>
      <w:pPr>
        <w:ind w:firstLine="560"/>
        <w:rPr>
          <w:rFonts w:ascii="Times New Roman" w:hAnsi="Times New Roman" w:cs="Times New Roman"/>
        </w:rPr>
      </w:pPr>
      <w:r>
        <w:rPr>
          <w:rFonts w:ascii="Times New Roman" w:hAnsi="Times New Roman" w:cs="Times New Roman"/>
        </w:rPr>
        <w:t>③项目预期产出效益和效果符合正常的业绩水平；</w:t>
      </w:r>
    </w:p>
    <w:p>
      <w:pPr>
        <w:ind w:firstLine="560"/>
        <w:rPr>
          <w:rFonts w:ascii="Times New Roman" w:hAnsi="Times New Roman" w:cs="Times New Roman"/>
        </w:rPr>
      </w:pPr>
      <w:r>
        <w:rPr>
          <w:rFonts w:ascii="Times New Roman" w:hAnsi="Times New Roman" w:cs="Times New Roman"/>
        </w:rPr>
        <w:t>④与预算确定的项目投资额或资金量相匹配。</w:t>
      </w:r>
    </w:p>
    <w:p>
      <w:pPr>
        <w:ind w:firstLine="562"/>
        <w:rPr>
          <w:rFonts w:ascii="Times New Roman" w:hAnsi="Times New Roman" w:cs="Times New Roman"/>
        </w:rPr>
      </w:pPr>
      <w:r>
        <w:rPr>
          <w:rFonts w:ascii="Times New Roman" w:hAnsi="Times New Roman" w:cs="Times New Roman"/>
          <w:b/>
          <w:bCs/>
        </w:rPr>
        <w:t>综上，该项指标满分5分，扣分0分，得分5分。</w:t>
      </w:r>
    </w:p>
    <w:p>
      <w:pPr>
        <w:ind w:firstLine="562"/>
        <w:rPr>
          <w:rFonts w:ascii="Times New Roman" w:hAnsi="Times New Roman" w:cs="Times New Roman"/>
          <w:b/>
          <w:bCs/>
        </w:rPr>
      </w:pPr>
      <w:r>
        <w:rPr>
          <w:rFonts w:ascii="Times New Roman" w:hAnsi="Times New Roman" w:cs="Times New Roman"/>
          <w:b/>
          <w:bCs/>
        </w:rPr>
        <w:t>4.绩效指标明确性</w:t>
      </w:r>
    </w:p>
    <w:p>
      <w:pPr>
        <w:ind w:firstLine="560"/>
        <w:rPr>
          <w:rFonts w:ascii="Times New Roman" w:hAnsi="Times New Roman" w:cs="Times New Roman"/>
        </w:rPr>
      </w:pPr>
      <w:r>
        <w:rPr>
          <w:rFonts w:ascii="Times New Roman" w:hAnsi="Times New Roman" w:cs="Times New Roman"/>
        </w:rPr>
        <w:t>①将项目绩效目标细化分解为具体的绩效指标；</w:t>
      </w:r>
    </w:p>
    <w:p>
      <w:pPr>
        <w:ind w:firstLine="560"/>
        <w:rPr>
          <w:rFonts w:ascii="Times New Roman" w:hAnsi="Times New Roman" w:cs="Times New Roman"/>
        </w:rPr>
      </w:pPr>
      <w:r>
        <w:rPr>
          <w:rFonts w:ascii="Times New Roman" w:hAnsi="Times New Roman" w:cs="Times New Roman"/>
        </w:rPr>
        <w:t>②通过清晰、可衡量的指标值予以体现；</w:t>
      </w:r>
    </w:p>
    <w:p>
      <w:pPr>
        <w:ind w:firstLine="560"/>
        <w:rPr>
          <w:rFonts w:ascii="Times New Roman" w:hAnsi="Times New Roman" w:cs="Times New Roman"/>
        </w:rPr>
      </w:pPr>
      <w:r>
        <w:rPr>
          <w:rFonts w:ascii="Times New Roman" w:hAnsi="Times New Roman" w:cs="Times New Roman"/>
        </w:rPr>
        <w:t>③与项目目标任务数或计划数相对应。</w:t>
      </w:r>
    </w:p>
    <w:p>
      <w:pPr>
        <w:ind w:firstLine="562"/>
        <w:rPr>
          <w:rFonts w:ascii="Times New Roman" w:hAnsi="Times New Roman" w:cs="Times New Roman"/>
        </w:rPr>
      </w:pPr>
      <w:r>
        <w:rPr>
          <w:rFonts w:ascii="Times New Roman" w:hAnsi="Times New Roman" w:cs="Times New Roman"/>
          <w:b/>
          <w:bCs/>
        </w:rPr>
        <w:t>综上，该项指标满分5分，扣分0分，得分5分。</w:t>
      </w:r>
    </w:p>
    <w:p>
      <w:pPr>
        <w:ind w:firstLine="562"/>
        <w:rPr>
          <w:rFonts w:ascii="Times New Roman" w:hAnsi="Times New Roman" w:cs="Times New Roman"/>
          <w:b/>
          <w:bCs/>
        </w:rPr>
      </w:pPr>
      <w:r>
        <w:rPr>
          <w:rFonts w:ascii="Times New Roman" w:hAnsi="Times New Roman" w:cs="Times New Roman"/>
          <w:b/>
          <w:bCs/>
        </w:rPr>
        <w:t>5.预算编制科学性</w:t>
      </w:r>
    </w:p>
    <w:p>
      <w:pPr>
        <w:ind w:firstLine="560"/>
        <w:rPr>
          <w:rFonts w:ascii="Times New Roman" w:hAnsi="Times New Roman" w:cs="Times New Roman"/>
        </w:rPr>
      </w:pPr>
      <w:r>
        <w:rPr>
          <w:rFonts w:ascii="Times New Roman" w:hAnsi="Times New Roman" w:cs="Times New Roman"/>
        </w:rPr>
        <w:t>①预算编制经过科学论证；</w:t>
      </w:r>
    </w:p>
    <w:p>
      <w:pPr>
        <w:ind w:firstLine="560"/>
        <w:rPr>
          <w:rFonts w:ascii="Times New Roman" w:hAnsi="Times New Roman" w:cs="Times New Roman"/>
        </w:rPr>
      </w:pPr>
      <w:r>
        <w:rPr>
          <w:rFonts w:ascii="Times New Roman" w:hAnsi="Times New Roman" w:cs="Times New Roman"/>
        </w:rPr>
        <w:t>②预算内容与项目内容匹配；</w:t>
      </w:r>
    </w:p>
    <w:p>
      <w:pPr>
        <w:ind w:firstLine="560"/>
        <w:rPr>
          <w:rFonts w:ascii="Times New Roman" w:hAnsi="Times New Roman" w:cs="Times New Roman"/>
        </w:rPr>
      </w:pPr>
      <w:r>
        <w:rPr>
          <w:rFonts w:ascii="Times New Roman" w:hAnsi="Times New Roman" w:cs="Times New Roman"/>
        </w:rPr>
        <w:t>③预算额度测算依据充分，按照标准编制；</w:t>
      </w:r>
    </w:p>
    <w:p>
      <w:pPr>
        <w:ind w:firstLine="560"/>
        <w:rPr>
          <w:rFonts w:ascii="Times New Roman" w:hAnsi="Times New Roman" w:cs="Times New Roman"/>
        </w:rPr>
      </w:pPr>
      <w:r>
        <w:rPr>
          <w:rFonts w:ascii="Times New Roman" w:hAnsi="Times New Roman" w:cs="Times New Roman"/>
        </w:rPr>
        <w:t>④预算确定的项目投资额或资金量与工作任务相匹配。</w:t>
      </w:r>
    </w:p>
    <w:p>
      <w:pPr>
        <w:ind w:firstLine="562"/>
        <w:rPr>
          <w:rFonts w:ascii="Times New Roman" w:hAnsi="Times New Roman" w:cs="Times New Roman"/>
        </w:rPr>
      </w:pPr>
      <w:r>
        <w:rPr>
          <w:rFonts w:ascii="Times New Roman" w:hAnsi="Times New Roman" w:cs="Times New Roman"/>
          <w:b/>
          <w:bCs/>
        </w:rPr>
        <w:t>综上，该项指标满分2分，扣分0分，得分2分。</w:t>
      </w:r>
    </w:p>
    <w:p>
      <w:pPr>
        <w:ind w:firstLine="562"/>
        <w:rPr>
          <w:rFonts w:ascii="Times New Roman" w:hAnsi="Times New Roman" w:cs="Times New Roman"/>
          <w:b/>
          <w:bCs/>
        </w:rPr>
      </w:pPr>
      <w:r>
        <w:rPr>
          <w:rFonts w:ascii="Times New Roman" w:hAnsi="Times New Roman" w:cs="Times New Roman"/>
          <w:b/>
          <w:bCs/>
        </w:rPr>
        <w:t>6.资金分配合理性</w:t>
      </w:r>
    </w:p>
    <w:p>
      <w:pPr>
        <w:ind w:firstLine="560"/>
        <w:rPr>
          <w:rFonts w:ascii="Times New Roman" w:hAnsi="Times New Roman" w:cs="Times New Roman"/>
        </w:rPr>
      </w:pPr>
      <w:r>
        <w:rPr>
          <w:rFonts w:ascii="Times New Roman" w:hAnsi="Times New Roman" w:cs="Times New Roman"/>
        </w:rPr>
        <w:t>①预算资金分配依据充分；</w:t>
      </w:r>
    </w:p>
    <w:p>
      <w:pPr>
        <w:ind w:firstLine="560"/>
        <w:rPr>
          <w:rFonts w:ascii="Times New Roman" w:hAnsi="Times New Roman" w:cs="Times New Roman"/>
        </w:rPr>
      </w:pPr>
      <w:r>
        <w:rPr>
          <w:rFonts w:ascii="Times New Roman" w:hAnsi="Times New Roman" w:cs="Times New Roman"/>
        </w:rPr>
        <w:t>②资金分配额度合理，与项目单位或地方实际相适应。</w:t>
      </w:r>
    </w:p>
    <w:p>
      <w:pPr>
        <w:pStyle w:val="4"/>
        <w:spacing w:line="360" w:lineRule="auto"/>
        <w:ind w:firstLine="643"/>
        <w:rPr>
          <w:rFonts w:ascii="Times New Roman" w:hAnsi="Times New Roman" w:cs="Times New Roman"/>
          <w:bCs/>
        </w:rPr>
      </w:pPr>
      <w:r>
        <w:rPr>
          <w:rFonts w:ascii="Times New Roman" w:hAnsi="Times New Roman" w:cs="Times New Roman"/>
          <w:bCs/>
        </w:rPr>
        <w:t>综上，该项指标满分3分，扣分0分，得分3分。</w:t>
      </w:r>
    </w:p>
    <w:p>
      <w:pPr>
        <w:pStyle w:val="4"/>
        <w:spacing w:line="360" w:lineRule="auto"/>
        <w:ind w:firstLine="643"/>
        <w:rPr>
          <w:rFonts w:ascii="Times New Roman" w:hAnsi="Times New Roman" w:eastAsia="宋体" w:cs="Times New Roman"/>
          <w:color w:val="000000"/>
        </w:rPr>
      </w:pPr>
      <w:r>
        <w:rPr>
          <w:rFonts w:ascii="Times New Roman" w:hAnsi="Times New Roman" w:eastAsia="宋体" w:cs="Times New Roman"/>
          <w:color w:val="000000"/>
        </w:rPr>
        <w:t>（二）项目过程情况</w:t>
      </w:r>
    </w:p>
    <w:p>
      <w:pPr>
        <w:ind w:firstLine="560"/>
        <w:rPr>
          <w:rFonts w:ascii="Times New Roman" w:hAnsi="Times New Roman" w:cs="Times New Roman"/>
          <w:u w:color="000000"/>
          <w:lang w:val="zh-TW" w:eastAsia="zh-TW"/>
        </w:rPr>
      </w:pPr>
      <w:r>
        <w:rPr>
          <w:rFonts w:ascii="Times New Roman" w:hAnsi="Times New Roman" w:cs="Times New Roman"/>
          <w:u w:color="000000"/>
          <w:lang w:val="zh-TW" w:eastAsia="zh-TW"/>
        </w:rPr>
        <w:t>项目</w:t>
      </w:r>
      <w:r>
        <w:rPr>
          <w:rFonts w:ascii="Times New Roman" w:hAnsi="Times New Roman" w:cs="Times New Roman"/>
        </w:rPr>
        <w:t>过程</w:t>
      </w:r>
      <w:r>
        <w:rPr>
          <w:rFonts w:ascii="Times New Roman" w:hAnsi="Times New Roman" w:cs="Times New Roman"/>
          <w:u w:color="000000"/>
        </w:rPr>
        <w:t>管理</w:t>
      </w:r>
      <w:r>
        <w:rPr>
          <w:rFonts w:ascii="Times New Roman" w:hAnsi="Times New Roman" w:cs="Times New Roman"/>
          <w:u w:color="000000"/>
          <w:lang w:val="zh-TW" w:eastAsia="zh-TW"/>
        </w:rPr>
        <w:t>类指标由</w:t>
      </w:r>
      <w:r>
        <w:rPr>
          <w:rFonts w:ascii="Times New Roman" w:hAnsi="Times New Roman" w:cs="Times New Roman"/>
          <w:u w:color="000000"/>
        </w:rPr>
        <w:t>2</w:t>
      </w:r>
      <w:r>
        <w:rPr>
          <w:rFonts w:ascii="Times New Roman" w:hAnsi="Times New Roman" w:cs="Times New Roman"/>
          <w:u w:color="000000"/>
          <w:lang w:val="zh-TW" w:eastAsia="zh-TW"/>
        </w:rPr>
        <w:t>个</w:t>
      </w:r>
      <w:r>
        <w:rPr>
          <w:rFonts w:ascii="Times New Roman" w:hAnsi="Times New Roman" w:cs="Times New Roman"/>
          <w:u w:color="000000"/>
          <w:lang w:val="zh-TW"/>
        </w:rPr>
        <w:t>二</w:t>
      </w:r>
      <w:r>
        <w:rPr>
          <w:rFonts w:ascii="Times New Roman" w:hAnsi="Times New Roman" w:cs="Times New Roman"/>
          <w:u w:color="000000"/>
          <w:lang w:val="zh-TW" w:eastAsia="zh-TW"/>
        </w:rPr>
        <w:t>级指标和</w:t>
      </w:r>
      <w:r>
        <w:rPr>
          <w:rFonts w:ascii="Times New Roman" w:hAnsi="Times New Roman" w:cs="Times New Roman"/>
          <w:u w:color="000000"/>
        </w:rPr>
        <w:t>5</w:t>
      </w:r>
      <w:r>
        <w:rPr>
          <w:rFonts w:ascii="Times New Roman" w:hAnsi="Times New Roman" w:cs="Times New Roman"/>
          <w:u w:color="000000"/>
          <w:lang w:val="zh-TW" w:eastAsia="zh-TW"/>
        </w:rPr>
        <w:t>个</w:t>
      </w:r>
      <w:r>
        <w:rPr>
          <w:rFonts w:ascii="Times New Roman" w:hAnsi="Times New Roman" w:cs="Times New Roman"/>
          <w:u w:color="000000"/>
        </w:rPr>
        <w:t>三</w:t>
      </w:r>
      <w:r>
        <w:rPr>
          <w:rFonts w:ascii="Times New Roman" w:hAnsi="Times New Roman" w:cs="Times New Roman"/>
          <w:u w:color="000000"/>
          <w:lang w:val="zh-TW" w:eastAsia="zh-TW"/>
        </w:rPr>
        <w:t>级指标构成，权重分</w:t>
      </w:r>
      <w:r>
        <w:rPr>
          <w:rFonts w:ascii="Times New Roman" w:hAnsi="Times New Roman" w:cs="Times New Roman"/>
          <w:u w:color="000000"/>
        </w:rPr>
        <w:t>20</w:t>
      </w:r>
      <w:r>
        <w:rPr>
          <w:rFonts w:ascii="Times New Roman" w:hAnsi="Times New Roman" w:cs="Times New Roman"/>
          <w:u w:color="000000"/>
          <w:lang w:val="zh-TW" w:eastAsia="zh-TW"/>
        </w:rPr>
        <w:t>分，实际得分</w:t>
      </w:r>
      <w:r>
        <w:rPr>
          <w:rFonts w:ascii="Times New Roman" w:hAnsi="Times New Roman" w:cs="Times New Roman"/>
          <w:u w:color="000000"/>
        </w:rPr>
        <w:t>20</w:t>
      </w:r>
      <w:r>
        <w:rPr>
          <w:rFonts w:ascii="Times New Roman" w:hAnsi="Times New Roman" w:cs="Times New Roman"/>
          <w:u w:color="000000"/>
          <w:lang w:val="zh-TW" w:eastAsia="zh-TW"/>
        </w:rPr>
        <w:t>分</w:t>
      </w:r>
      <w:r>
        <w:rPr>
          <w:rFonts w:ascii="Times New Roman" w:hAnsi="Times New Roman" w:cs="Times New Roman"/>
          <w:u w:color="000000"/>
          <w:lang w:val="zh-TW"/>
        </w:rPr>
        <w:t>，</w:t>
      </w:r>
      <w:r>
        <w:rPr>
          <w:rFonts w:ascii="Times New Roman" w:hAnsi="Times New Roman" w:cs="Times New Roman"/>
          <w:u w:color="000000"/>
          <w:lang w:val="zh-TW" w:eastAsia="zh-TW"/>
        </w:rPr>
        <w:t>各指标业绩值和绩效分值如表</w:t>
      </w:r>
      <w:r>
        <w:rPr>
          <w:rFonts w:ascii="Times New Roman" w:hAnsi="Times New Roman" w:cs="Times New Roman"/>
          <w:u w:color="000000"/>
        </w:rPr>
        <w:t>4-2</w:t>
      </w:r>
      <w:r>
        <w:rPr>
          <w:rFonts w:ascii="Times New Roman" w:hAnsi="Times New Roman" w:cs="Times New Roman"/>
          <w:u w:color="000000"/>
          <w:lang w:val="zh-TW" w:eastAsia="zh-TW"/>
        </w:rPr>
        <w:t>所示：</w:t>
      </w:r>
    </w:p>
    <w:p>
      <w:pPr>
        <w:widowControl/>
        <w:snapToGrid w:val="0"/>
        <w:ind w:firstLine="0" w:firstLineChars="0"/>
        <w:jc w:val="center"/>
        <w:rPr>
          <w:rFonts w:ascii="Times New Roman" w:hAnsi="Times New Roman" w:cs="Times New Roman"/>
          <w:b/>
          <w:bCs/>
          <w:kern w:val="0"/>
        </w:rPr>
      </w:pPr>
      <w:r>
        <w:rPr>
          <w:rFonts w:ascii="Times New Roman" w:hAnsi="Times New Roman" w:cs="Times New Roman"/>
          <w:b/>
          <w:bCs/>
          <w:kern w:val="0"/>
          <w:lang w:val="zh-TW" w:eastAsia="zh-TW"/>
        </w:rPr>
        <w:t>表</w:t>
      </w:r>
      <w:r>
        <w:rPr>
          <w:rFonts w:ascii="Times New Roman" w:hAnsi="Times New Roman" w:cs="Times New Roman"/>
          <w:b/>
          <w:bCs/>
          <w:kern w:val="0"/>
        </w:rPr>
        <w:t>4-2</w:t>
      </w:r>
      <w:r>
        <w:rPr>
          <w:rFonts w:ascii="Times New Roman" w:hAnsi="Times New Roman" w:cs="Times New Roman"/>
          <w:b/>
          <w:bCs/>
          <w:kern w:val="0"/>
          <w:lang w:val="zh-TW" w:eastAsia="zh-TW"/>
        </w:rPr>
        <w:t>项目</w:t>
      </w:r>
      <w:r>
        <w:rPr>
          <w:rFonts w:ascii="Times New Roman" w:hAnsi="Times New Roman" w:cs="Times New Roman"/>
          <w:b/>
          <w:bCs/>
          <w:kern w:val="0"/>
          <w:lang w:val="zh-TW"/>
        </w:rPr>
        <w:t>管理</w:t>
      </w:r>
      <w:r>
        <w:rPr>
          <w:rFonts w:ascii="Times New Roman" w:hAnsi="Times New Roman" w:cs="Times New Roman"/>
          <w:b/>
          <w:bCs/>
          <w:kern w:val="0"/>
          <w:lang w:val="zh-TW" w:eastAsia="zh-TW"/>
        </w:rPr>
        <w:t>指标及分值</w:t>
      </w:r>
      <w:r>
        <w:rPr>
          <w:rFonts w:ascii="Times New Roman" w:hAnsi="Times New Roman" w:cs="Times New Roman"/>
          <w:b/>
          <w:bCs/>
          <w:kern w:val="0"/>
        </w:rPr>
        <w:t>情况</w:t>
      </w: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20</w:t>
            </w:r>
          </w:p>
        </w:tc>
      </w:tr>
    </w:tbl>
    <w:p>
      <w:pPr>
        <w:ind w:firstLine="562"/>
        <w:rPr>
          <w:rFonts w:ascii="Times New Roman" w:hAnsi="Times New Roman" w:cs="Times New Roman"/>
          <w:b/>
          <w:bCs/>
        </w:rPr>
      </w:pPr>
      <w:r>
        <w:rPr>
          <w:rFonts w:ascii="Times New Roman" w:hAnsi="Times New Roman" w:cs="Times New Roman"/>
          <w:b/>
          <w:bCs/>
        </w:rPr>
        <w:t>1.资金到位率</w:t>
      </w:r>
    </w:p>
    <w:p>
      <w:pPr>
        <w:ind w:firstLine="560"/>
        <w:rPr>
          <w:rFonts w:ascii="Times New Roman" w:hAnsi="Times New Roman" w:cs="Times New Roman"/>
        </w:rPr>
      </w:pPr>
      <w:r>
        <w:rPr>
          <w:rFonts w:ascii="Times New Roman" w:hAnsi="Times New Roman" w:cs="Times New Roman"/>
        </w:rPr>
        <w:t>资金到位率=（实际到位资金/预算资金）×100%</w:t>
      </w:r>
      <w:r>
        <w:rPr>
          <w:rFonts w:hint="eastAsia" w:ascii="Times New Roman" w:hAnsi="Times New Roman" w:cs="Times New Roman"/>
        </w:rPr>
        <w:t>=100%（2393/2393万元）</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t>经核实，资金到位率100%。</w:t>
      </w:r>
    </w:p>
    <w:p>
      <w:pPr>
        <w:ind w:firstLine="562"/>
        <w:rPr>
          <w:rFonts w:ascii="Times New Roman" w:hAnsi="Times New Roman" w:cs="Times New Roman"/>
        </w:rPr>
      </w:pPr>
      <w:r>
        <w:rPr>
          <w:rFonts w:ascii="Times New Roman" w:hAnsi="Times New Roman" w:cs="Times New Roman"/>
          <w:b/>
          <w:bCs/>
        </w:rPr>
        <w:t>综上，该项指标满分4分，扣分0分，得分4分。</w:t>
      </w:r>
    </w:p>
    <w:p>
      <w:pPr>
        <w:ind w:firstLine="562"/>
        <w:rPr>
          <w:rFonts w:ascii="Times New Roman" w:hAnsi="Times New Roman" w:cs="Times New Roman"/>
          <w:b/>
          <w:bCs/>
        </w:rPr>
      </w:pPr>
      <w:r>
        <w:rPr>
          <w:rFonts w:ascii="Times New Roman" w:hAnsi="Times New Roman" w:cs="Times New Roman"/>
          <w:b/>
          <w:bCs/>
        </w:rPr>
        <w:t>2.预算执行率</w:t>
      </w:r>
    </w:p>
    <w:p>
      <w:pPr>
        <w:ind w:firstLine="560"/>
        <w:rPr>
          <w:rFonts w:ascii="Times New Roman" w:hAnsi="Times New Roman" w:cs="Times New Roman"/>
        </w:rPr>
      </w:pPr>
      <w:r>
        <w:rPr>
          <w:rFonts w:ascii="Times New Roman" w:hAnsi="Times New Roman" w:cs="Times New Roman"/>
        </w:rPr>
        <w:t>预算执行率=（实际支出资金/实际到位资金）×100%。</w:t>
      </w:r>
    </w:p>
    <w:p>
      <w:pPr>
        <w:ind w:firstLine="560"/>
        <w:rPr>
          <w:rFonts w:ascii="Times New Roman" w:hAnsi="Times New Roman" w:cs="Times New Roman"/>
        </w:rPr>
      </w:pPr>
      <w:r>
        <w:rPr>
          <w:rFonts w:ascii="Times New Roman" w:hAnsi="Times New Roman" w:cs="Times New Roman"/>
        </w:rPr>
        <w:t>实际支出资金：一定时期（本年度或项目期）内项目实际拨付的资金。</w:t>
      </w:r>
    </w:p>
    <w:p>
      <w:pPr>
        <w:ind w:firstLine="560"/>
        <w:rPr>
          <w:rFonts w:ascii="Times New Roman" w:hAnsi="Times New Roman" w:cs="Times New Roman"/>
        </w:rPr>
      </w:pPr>
      <w:r>
        <w:rPr>
          <w:rFonts w:ascii="Times New Roman" w:hAnsi="Times New Roman" w:cs="Times New Roman"/>
        </w:rPr>
        <w:t>经核实预算执行率为</w:t>
      </w:r>
      <w:r>
        <w:rPr>
          <w:rFonts w:hint="eastAsia" w:ascii="Times New Roman" w:hAnsi="Times New Roman" w:cs="Times New Roman"/>
        </w:rPr>
        <w:t>72</w:t>
      </w:r>
      <w:r>
        <w:rPr>
          <w:rFonts w:ascii="Times New Roman" w:hAnsi="Times New Roman" w:cs="Times New Roman"/>
        </w:rPr>
        <w:t>%，符合202</w:t>
      </w:r>
      <w:r>
        <w:rPr>
          <w:rFonts w:hint="eastAsia" w:ascii="Times New Roman" w:hAnsi="Times New Roman" w:cs="Times New Roman"/>
        </w:rPr>
        <w:t>2</w:t>
      </w:r>
      <w:r>
        <w:rPr>
          <w:rFonts w:ascii="Times New Roman" w:hAnsi="Times New Roman" w:cs="Times New Roman"/>
        </w:rPr>
        <w:t>年州级绩效考核标准。</w:t>
      </w:r>
    </w:p>
    <w:p>
      <w:pPr>
        <w:ind w:firstLine="562"/>
        <w:rPr>
          <w:rFonts w:ascii="Times New Roman" w:hAnsi="Times New Roman" w:cs="Times New Roman"/>
        </w:rPr>
      </w:pPr>
      <w:r>
        <w:rPr>
          <w:rFonts w:ascii="Times New Roman" w:hAnsi="Times New Roman" w:cs="Times New Roman"/>
          <w:b/>
          <w:bCs/>
        </w:rPr>
        <w:t>综上，该项指标满分4分，扣分0分，得分4分。</w:t>
      </w:r>
    </w:p>
    <w:p>
      <w:pPr>
        <w:ind w:firstLine="562"/>
        <w:rPr>
          <w:rFonts w:ascii="Times New Roman" w:hAnsi="Times New Roman" w:cs="Times New Roman"/>
          <w:b/>
          <w:bCs/>
        </w:rPr>
      </w:pPr>
      <w:r>
        <w:rPr>
          <w:rFonts w:ascii="Times New Roman" w:hAnsi="Times New Roman" w:cs="Times New Roman"/>
          <w:b/>
          <w:bCs/>
        </w:rPr>
        <w:t>3.资金使用合规率</w:t>
      </w:r>
    </w:p>
    <w:p>
      <w:pPr>
        <w:ind w:firstLine="560"/>
        <w:rPr>
          <w:rFonts w:ascii="Times New Roman" w:hAnsi="Times New Roman" w:cs="Times New Roman"/>
        </w:rPr>
      </w:pPr>
      <w:r>
        <w:rPr>
          <w:rFonts w:hint="eastAsia"/>
        </w:rPr>
        <w:t>①我局建立《阜康市农业农村局领导班子集体议事制度》、《阜康市农业农村局内部控制规划方案》、《阜康市农业农村局内控财务联签联批制度》等各项规章制度和工作程序，从制度和程序上严把资金使用、管理、绩效等各环节关口，堵塞漏洞、消除隐患，切实加强资金监管，并严格按照各项规章制度和工作程序支付该项目资金，该项目资金使用符合国家财经法规和财务管理制度以及有关专项资金管理办法的规定；</w:t>
      </w:r>
    </w:p>
    <w:p>
      <w:pPr>
        <w:ind w:firstLine="560"/>
        <w:rPr>
          <w:rFonts w:ascii="Times New Roman" w:hAnsi="Times New Roman" w:cs="Times New Roman"/>
        </w:rPr>
      </w:pPr>
      <w:r>
        <w:rPr>
          <w:rFonts w:ascii="Times New Roman" w:hAnsi="Times New Roman" w:cs="Times New Roman"/>
        </w:rPr>
        <w:t>②</w:t>
      </w:r>
      <w:r>
        <w:rPr>
          <w:rFonts w:hint="eastAsia" w:ascii="Times New Roman" w:hAnsi="Times New Roman" w:cs="Times New Roman"/>
        </w:rPr>
        <w:t>履行局三重一大事项，全部按照局党组会议和局财经领导小组集体审议通过后进行款项结算，</w:t>
      </w:r>
      <w:r>
        <w:rPr>
          <w:rFonts w:ascii="Times New Roman" w:hAnsi="Times New Roman" w:cs="Times New Roman"/>
        </w:rPr>
        <w:t>资金的拨付有完整的审批程序和手续</w:t>
      </w:r>
      <w:r>
        <w:rPr>
          <w:rFonts w:hint="eastAsia" w:ascii="Times New Roman" w:hAnsi="Times New Roman" w:cs="Times New Roman"/>
        </w:rPr>
        <w:t>。</w:t>
      </w:r>
    </w:p>
    <w:p>
      <w:pPr>
        <w:ind w:firstLine="560"/>
        <w:rPr>
          <w:rFonts w:ascii="Times New Roman" w:hAnsi="Times New Roman" w:cs="Times New Roman"/>
        </w:rPr>
      </w:pPr>
      <w:r>
        <w:rPr>
          <w:rFonts w:ascii="Times New Roman" w:hAnsi="Times New Roman" w:cs="Times New Roman"/>
        </w:rPr>
        <w:t>③</w:t>
      </w:r>
      <w:r>
        <w:rPr>
          <w:rFonts w:hint="eastAsia" w:ascii="Times New Roman" w:hAnsi="Times New Roman" w:cs="Times New Roman"/>
        </w:rPr>
        <w:t>该项目完全按照项目管理四制度进行管理，建设1万亩高标准农田，</w:t>
      </w:r>
      <w:r>
        <w:rPr>
          <w:rFonts w:ascii="Times New Roman" w:hAnsi="Times New Roman" w:cs="Times New Roman"/>
        </w:rPr>
        <w:t>符合项目预算批复的用途；</w:t>
      </w:r>
    </w:p>
    <w:p>
      <w:pPr>
        <w:ind w:firstLine="560"/>
        <w:rPr>
          <w:rFonts w:ascii="Times New Roman" w:hAnsi="Times New Roman" w:cs="Times New Roman"/>
        </w:rPr>
      </w:pPr>
      <w:r>
        <w:rPr>
          <w:rFonts w:ascii="Times New Roman" w:hAnsi="Times New Roman" w:cs="Times New Roman"/>
        </w:rPr>
        <w:t>④存在截留、挤占、挪用、虚列支出等情况。</w:t>
      </w:r>
    </w:p>
    <w:p>
      <w:pPr>
        <w:ind w:firstLine="562"/>
        <w:rPr>
          <w:rFonts w:ascii="Times New Roman" w:hAnsi="Times New Roman" w:cs="Times New Roman"/>
        </w:rPr>
      </w:pPr>
      <w:r>
        <w:rPr>
          <w:rFonts w:ascii="Times New Roman" w:hAnsi="Times New Roman" w:cs="Times New Roman"/>
          <w:b/>
          <w:bCs/>
        </w:rPr>
        <w:t>综上，该项指标满分4分，扣分0分，得分4分。</w:t>
      </w:r>
    </w:p>
    <w:p>
      <w:pPr>
        <w:ind w:firstLine="562"/>
        <w:rPr>
          <w:rFonts w:ascii="Times New Roman" w:hAnsi="Times New Roman" w:cs="Times New Roman"/>
          <w:b/>
          <w:bCs/>
        </w:rPr>
      </w:pPr>
      <w:r>
        <w:rPr>
          <w:rFonts w:ascii="Times New Roman" w:hAnsi="Times New Roman" w:cs="Times New Roman"/>
          <w:b/>
          <w:bCs/>
        </w:rPr>
        <w:t>4.管理制度健全性</w:t>
      </w:r>
    </w:p>
    <w:p>
      <w:pPr>
        <w:ind w:firstLine="560"/>
        <w:rPr>
          <w:rFonts w:ascii="Times New Roman" w:hAnsi="Times New Roman" w:cs="Times New Roman"/>
        </w:rPr>
      </w:pPr>
      <w:r>
        <w:rPr>
          <w:rFonts w:ascii="Times New Roman" w:hAnsi="Times New Roman" w:cs="Times New Roman"/>
        </w:rPr>
        <w:t>①我局建立《阜康市农业农村局领导班子集体议事制度》、《阜康市农业农村局内部控制规划方案》、《阜康市农业农村局内控财务联签联批制度》等各项规章制度和工作程序，已制定或具有相应的财务和业务管理制度；</w:t>
      </w:r>
    </w:p>
    <w:p>
      <w:pPr>
        <w:ind w:firstLine="560"/>
        <w:rPr>
          <w:rFonts w:ascii="Times New Roman" w:hAnsi="Times New Roman" w:cs="Times New Roman"/>
        </w:rPr>
      </w:pPr>
      <w:r>
        <w:rPr>
          <w:rFonts w:ascii="Times New Roman" w:hAnsi="Times New Roman" w:cs="Times New Roman"/>
        </w:rPr>
        <w:t>②财务和业务管理制度合法、合规、完整，但有待进一步完善。</w:t>
      </w:r>
    </w:p>
    <w:p>
      <w:pPr>
        <w:ind w:firstLine="562"/>
        <w:rPr>
          <w:rFonts w:ascii="Times New Roman" w:hAnsi="Times New Roman" w:cs="Times New Roman"/>
        </w:rPr>
      </w:pPr>
      <w:r>
        <w:rPr>
          <w:rFonts w:ascii="Times New Roman" w:hAnsi="Times New Roman" w:cs="Times New Roman"/>
          <w:b/>
          <w:bCs/>
        </w:rPr>
        <w:t>综上，该项指标满分4分，扣分0分，得分4分。</w:t>
      </w:r>
    </w:p>
    <w:p>
      <w:pPr>
        <w:ind w:firstLine="562"/>
        <w:rPr>
          <w:rFonts w:ascii="Times New Roman" w:hAnsi="Times New Roman" w:cs="Times New Roman"/>
          <w:b/>
          <w:bCs/>
        </w:rPr>
      </w:pPr>
      <w:r>
        <w:rPr>
          <w:rFonts w:ascii="Times New Roman" w:hAnsi="Times New Roman" w:cs="Times New Roman"/>
          <w:b/>
          <w:bCs/>
        </w:rPr>
        <w:t>5.制度执行有效性</w:t>
      </w:r>
    </w:p>
    <w:p>
      <w:pPr>
        <w:ind w:firstLine="560"/>
        <w:rPr>
          <w:rFonts w:ascii="Times New Roman" w:hAnsi="Times New Roman" w:cs="Times New Roman"/>
        </w:rPr>
      </w:pPr>
      <w:r>
        <w:rPr>
          <w:rFonts w:ascii="Times New Roman" w:hAnsi="Times New Roman" w:cs="Times New Roman"/>
        </w:rPr>
        <w:t>①遵守相关法律法规和相关管理规定；</w:t>
      </w:r>
    </w:p>
    <w:p>
      <w:pPr>
        <w:ind w:firstLine="560"/>
        <w:rPr>
          <w:rFonts w:ascii="Times New Roman" w:hAnsi="Times New Roman" w:cs="Times New Roman"/>
        </w:rPr>
      </w:pPr>
      <w:r>
        <w:rPr>
          <w:rFonts w:ascii="Times New Roman" w:hAnsi="Times New Roman" w:cs="Times New Roman"/>
        </w:rPr>
        <w:t>②项目调整及支出调整手续完备；</w:t>
      </w:r>
    </w:p>
    <w:p>
      <w:pPr>
        <w:ind w:firstLine="560"/>
        <w:rPr>
          <w:rFonts w:ascii="Times New Roman" w:hAnsi="Times New Roman" w:cs="Times New Roman"/>
        </w:rPr>
      </w:pPr>
      <w:r>
        <w:rPr>
          <w:rFonts w:ascii="Times New Roman" w:hAnsi="Times New Roman" w:cs="Times New Roman"/>
        </w:rPr>
        <w:t>③项目合同书、验收报告、技术鉴定等资料齐全并及时归档；</w:t>
      </w:r>
    </w:p>
    <w:p>
      <w:pPr>
        <w:ind w:firstLine="560"/>
        <w:rPr>
          <w:rFonts w:ascii="Times New Roman" w:hAnsi="Times New Roman" w:cs="Times New Roman"/>
        </w:rPr>
      </w:pPr>
      <w:r>
        <w:rPr>
          <w:rFonts w:ascii="Times New Roman" w:hAnsi="Times New Roman" w:cs="Times New Roman"/>
        </w:rPr>
        <w:t>④项目实施的人员条件、场地设备、信息支撑等落实到位。</w:t>
      </w:r>
    </w:p>
    <w:p>
      <w:pPr>
        <w:ind w:firstLine="562"/>
        <w:rPr>
          <w:rFonts w:ascii="Times New Roman" w:hAnsi="Times New Roman" w:cs="Times New Roman"/>
        </w:rPr>
      </w:pPr>
      <w:r>
        <w:rPr>
          <w:rFonts w:ascii="Times New Roman" w:hAnsi="Times New Roman" w:cs="Times New Roman"/>
          <w:b/>
          <w:bCs/>
        </w:rPr>
        <w:t>综上，该项指标满分4分，扣分0分，得分4分。</w:t>
      </w:r>
    </w:p>
    <w:p>
      <w:pPr>
        <w:pStyle w:val="4"/>
        <w:spacing w:line="360" w:lineRule="auto"/>
        <w:ind w:left="560" w:leftChars="200" w:firstLine="0" w:firstLineChars="0"/>
        <w:rPr>
          <w:rFonts w:ascii="Times New Roman" w:hAnsi="Times New Roman" w:eastAsia="宋体" w:cs="Times New Roman"/>
        </w:rPr>
      </w:pPr>
      <w:r>
        <w:rPr>
          <w:rFonts w:ascii="Times New Roman" w:hAnsi="Times New Roman" w:eastAsia="宋体" w:cs="Times New Roman"/>
        </w:rPr>
        <w:t>（三）项目产出情况</w:t>
      </w:r>
    </w:p>
    <w:p>
      <w:pPr>
        <w:ind w:firstLine="560"/>
        <w:rPr>
          <w:rFonts w:ascii="Times New Roman" w:hAnsi="Times New Roman" w:cs="Times New Roman"/>
          <w:u w:color="000000"/>
          <w:lang w:val="zh-TW" w:eastAsia="zh-TW"/>
        </w:rPr>
      </w:pPr>
      <w:r>
        <w:rPr>
          <w:rFonts w:ascii="Times New Roman" w:hAnsi="Times New Roman" w:cs="Times New Roman"/>
          <w:u w:color="000000"/>
          <w:lang w:val="zh-TW" w:eastAsia="zh-TW"/>
        </w:rPr>
        <w:t>项目</w:t>
      </w:r>
      <w:r>
        <w:rPr>
          <w:rFonts w:ascii="Times New Roman" w:hAnsi="Times New Roman" w:cs="Times New Roman"/>
        </w:rPr>
        <w:t>产出</w:t>
      </w:r>
      <w:r>
        <w:rPr>
          <w:rFonts w:ascii="Times New Roman" w:hAnsi="Times New Roman" w:cs="Times New Roman"/>
          <w:u w:color="000000"/>
          <w:lang w:val="zh-TW" w:eastAsia="zh-TW"/>
        </w:rPr>
        <w:t>类指标由</w:t>
      </w:r>
      <w:r>
        <w:rPr>
          <w:rFonts w:ascii="Times New Roman" w:hAnsi="Times New Roman" w:cs="Times New Roman"/>
          <w:u w:color="000000"/>
        </w:rPr>
        <w:t>4</w:t>
      </w:r>
      <w:r>
        <w:rPr>
          <w:rFonts w:ascii="Times New Roman" w:hAnsi="Times New Roman" w:cs="Times New Roman"/>
          <w:u w:color="000000"/>
          <w:lang w:val="zh-TW" w:eastAsia="zh-TW"/>
        </w:rPr>
        <w:t>个</w:t>
      </w:r>
      <w:r>
        <w:rPr>
          <w:rFonts w:ascii="Times New Roman" w:hAnsi="Times New Roman" w:cs="Times New Roman"/>
          <w:u w:color="000000"/>
          <w:lang w:val="zh-TW"/>
        </w:rPr>
        <w:t>二</w:t>
      </w:r>
      <w:r>
        <w:rPr>
          <w:rFonts w:ascii="Times New Roman" w:hAnsi="Times New Roman" w:cs="Times New Roman"/>
          <w:u w:color="000000"/>
          <w:lang w:val="zh-TW" w:eastAsia="zh-TW"/>
        </w:rPr>
        <w:t>级指标和</w:t>
      </w:r>
      <w:r>
        <w:rPr>
          <w:rFonts w:ascii="Times New Roman" w:hAnsi="Times New Roman" w:cs="Times New Roman"/>
          <w:u w:color="000000"/>
        </w:rPr>
        <w:t>5</w:t>
      </w:r>
      <w:r>
        <w:rPr>
          <w:rFonts w:ascii="Times New Roman" w:hAnsi="Times New Roman" w:cs="Times New Roman"/>
          <w:u w:color="000000"/>
          <w:lang w:val="zh-TW" w:eastAsia="zh-TW"/>
        </w:rPr>
        <w:t>个</w:t>
      </w:r>
      <w:r>
        <w:rPr>
          <w:rFonts w:ascii="Times New Roman" w:hAnsi="Times New Roman" w:cs="Times New Roman"/>
          <w:u w:color="000000"/>
        </w:rPr>
        <w:t>三</w:t>
      </w:r>
      <w:r>
        <w:rPr>
          <w:rFonts w:ascii="Times New Roman" w:hAnsi="Times New Roman" w:cs="Times New Roman"/>
          <w:u w:color="000000"/>
          <w:lang w:val="zh-TW" w:eastAsia="zh-TW"/>
        </w:rPr>
        <w:t>级指标构成，权重分</w:t>
      </w:r>
      <w:r>
        <w:rPr>
          <w:rFonts w:ascii="Times New Roman" w:hAnsi="Times New Roman" w:cs="Times New Roman"/>
          <w:u w:color="000000"/>
        </w:rPr>
        <w:t>30</w:t>
      </w:r>
      <w:r>
        <w:rPr>
          <w:rFonts w:ascii="Times New Roman" w:hAnsi="Times New Roman" w:cs="Times New Roman"/>
          <w:u w:color="000000"/>
          <w:lang w:val="zh-TW" w:eastAsia="zh-TW"/>
        </w:rPr>
        <w:t>分，实际得分</w:t>
      </w:r>
      <w:r>
        <w:rPr>
          <w:rFonts w:hint="eastAsia" w:ascii="Times New Roman" w:hAnsi="Times New Roman" w:cs="Times New Roman"/>
          <w:u w:color="000000"/>
        </w:rPr>
        <w:t>30</w:t>
      </w:r>
      <w:r>
        <w:rPr>
          <w:rFonts w:ascii="Times New Roman" w:hAnsi="Times New Roman" w:cs="Times New Roman"/>
          <w:u w:color="000000"/>
          <w:lang w:val="zh-TW" w:eastAsia="zh-TW"/>
        </w:rPr>
        <w:t>分</w:t>
      </w:r>
      <w:r>
        <w:rPr>
          <w:rFonts w:ascii="Times New Roman" w:hAnsi="Times New Roman" w:cs="Times New Roman"/>
          <w:u w:color="000000"/>
          <w:lang w:val="zh-TW"/>
        </w:rPr>
        <w:t>，</w:t>
      </w:r>
      <w:r>
        <w:rPr>
          <w:rFonts w:ascii="Times New Roman" w:hAnsi="Times New Roman" w:cs="Times New Roman"/>
          <w:u w:color="000000"/>
          <w:lang w:val="zh-TW" w:eastAsia="zh-TW"/>
        </w:rPr>
        <w:t>各指标业绩值和绩效分值如表</w:t>
      </w:r>
      <w:r>
        <w:rPr>
          <w:rFonts w:ascii="Times New Roman" w:hAnsi="Times New Roman" w:cs="Times New Roman"/>
          <w:u w:color="000000"/>
        </w:rPr>
        <w:t>4-3</w:t>
      </w:r>
      <w:r>
        <w:rPr>
          <w:rFonts w:ascii="Times New Roman" w:hAnsi="Times New Roman" w:cs="Times New Roman"/>
          <w:u w:color="000000"/>
          <w:lang w:val="zh-TW" w:eastAsia="zh-TW"/>
        </w:rPr>
        <w:t>所示：</w:t>
      </w:r>
    </w:p>
    <w:p>
      <w:pPr>
        <w:widowControl/>
        <w:snapToGrid w:val="0"/>
        <w:ind w:firstLine="0" w:firstLineChars="0"/>
        <w:jc w:val="center"/>
        <w:rPr>
          <w:rFonts w:ascii="Times New Roman" w:hAnsi="Times New Roman" w:cs="Times New Roman"/>
          <w:b/>
          <w:bCs/>
          <w:kern w:val="0"/>
        </w:rPr>
      </w:pPr>
      <w:r>
        <w:rPr>
          <w:rFonts w:ascii="Times New Roman" w:hAnsi="Times New Roman" w:cs="Times New Roman"/>
          <w:b/>
          <w:bCs/>
          <w:kern w:val="0"/>
          <w:lang w:val="zh-TW" w:eastAsia="zh-TW"/>
        </w:rPr>
        <w:t>表</w:t>
      </w:r>
      <w:r>
        <w:rPr>
          <w:rFonts w:ascii="Times New Roman" w:hAnsi="Times New Roman" w:cs="Times New Roman"/>
          <w:b/>
          <w:bCs/>
          <w:kern w:val="0"/>
        </w:rPr>
        <w:t>4-3项目产出</w:t>
      </w:r>
      <w:r>
        <w:rPr>
          <w:rFonts w:ascii="Times New Roman" w:hAnsi="Times New Roman" w:cs="Times New Roman"/>
          <w:b/>
          <w:bCs/>
          <w:kern w:val="0"/>
          <w:lang w:val="zh-TW" w:eastAsia="zh-TW"/>
        </w:rPr>
        <w:t>指标及分值</w:t>
      </w:r>
      <w:r>
        <w:rPr>
          <w:rFonts w:ascii="Times New Roman" w:hAnsi="Times New Roman" w:cs="Times New Roman"/>
          <w:b/>
          <w:bCs/>
          <w:kern w:val="0"/>
        </w:rPr>
        <w:t>情况</w:t>
      </w:r>
    </w:p>
    <w:tbl>
      <w:tblPr>
        <w:tblStyle w:val="9"/>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产出</w:t>
            </w:r>
          </w:p>
        </w:tc>
        <w:tc>
          <w:tcPr>
            <w:tcW w:w="928"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新增高标准农田面积</w:t>
            </w:r>
          </w:p>
        </w:tc>
        <w:tc>
          <w:tcPr>
            <w:tcW w:w="14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2万亩</w:t>
            </w: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7</w:t>
            </w:r>
          </w:p>
        </w:tc>
        <w:tc>
          <w:tcPr>
            <w:tcW w:w="13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2</w:t>
            </w:r>
            <w:r>
              <w:rPr>
                <w:rFonts w:ascii="Times New Roman" w:hAnsi="Times New Roman" w:cs="Times New Roman"/>
                <w:kern w:val="0"/>
                <w:sz w:val="20"/>
                <w:szCs w:val="20"/>
              </w:rPr>
              <w:t>万亩</w:t>
            </w:r>
          </w:p>
        </w:tc>
        <w:tc>
          <w:tcPr>
            <w:tcW w:w="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7</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项目验收合格率</w:t>
            </w:r>
          </w:p>
        </w:tc>
        <w:tc>
          <w:tcPr>
            <w:tcW w:w="14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≧95%</w:t>
            </w: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7</w:t>
            </w:r>
          </w:p>
        </w:tc>
        <w:tc>
          <w:tcPr>
            <w:tcW w:w="13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7</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任务完成及时性</w:t>
            </w:r>
          </w:p>
        </w:tc>
        <w:tc>
          <w:tcPr>
            <w:tcW w:w="14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1-2年</w:t>
            </w: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6</w:t>
            </w:r>
          </w:p>
        </w:tc>
        <w:tc>
          <w:tcPr>
            <w:tcW w:w="13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6</w:t>
            </w:r>
          </w:p>
        </w:tc>
      </w:tr>
      <w:tr>
        <w:tblPrEx>
          <w:tblCellMar>
            <w:top w:w="0" w:type="dxa"/>
            <w:left w:w="0" w:type="dxa"/>
            <w:bottom w:w="0" w:type="dxa"/>
            <w:right w:w="0" w:type="dxa"/>
          </w:tblCellMar>
        </w:tblPrEx>
        <w:trPr>
          <w:trHeight w:val="468" w:hRule="atLeast"/>
        </w:trPr>
        <w:tc>
          <w:tcPr>
            <w:tcW w:w="6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28"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成本指标</w:t>
            </w:r>
          </w:p>
        </w:tc>
        <w:tc>
          <w:tcPr>
            <w:tcW w:w="264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财政资金亩均补助标准</w:t>
            </w:r>
          </w:p>
        </w:tc>
        <w:tc>
          <w:tcPr>
            <w:tcW w:w="143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≧1</w:t>
            </w:r>
            <w:r>
              <w:rPr>
                <w:rFonts w:hint="eastAsia" w:ascii="Times New Roman" w:hAnsi="Times New Roman" w:cs="Times New Roman"/>
                <w:kern w:val="0"/>
                <w:sz w:val="20"/>
                <w:szCs w:val="20"/>
              </w:rPr>
              <w:t>5</w:t>
            </w:r>
            <w:r>
              <w:rPr>
                <w:rFonts w:ascii="Times New Roman" w:hAnsi="Times New Roman" w:cs="Times New Roman"/>
                <w:kern w:val="0"/>
                <w:sz w:val="20"/>
                <w:szCs w:val="20"/>
              </w:rPr>
              <w:t>00元/亩</w:t>
            </w:r>
          </w:p>
        </w:tc>
        <w:tc>
          <w:tcPr>
            <w:tcW w:w="55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c>
          <w:tcPr>
            <w:tcW w:w="136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1442</w:t>
            </w:r>
            <w:r>
              <w:rPr>
                <w:rFonts w:ascii="Times New Roman" w:hAnsi="Times New Roman" w:cs="Times New Roman"/>
                <w:kern w:val="0"/>
                <w:sz w:val="20"/>
                <w:szCs w:val="20"/>
              </w:rPr>
              <w:t>元/亩</w:t>
            </w:r>
          </w:p>
        </w:tc>
        <w:tc>
          <w:tcPr>
            <w:tcW w:w="63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4</w:t>
            </w:r>
          </w:p>
        </w:tc>
      </w:tr>
      <w:tr>
        <w:tblPrEx>
          <w:tblCellMar>
            <w:top w:w="0" w:type="dxa"/>
            <w:left w:w="0" w:type="dxa"/>
            <w:bottom w:w="0" w:type="dxa"/>
            <w:right w:w="0" w:type="dxa"/>
          </w:tblCellMar>
        </w:tblPrEx>
        <w:trPr>
          <w:trHeight w:val="512" w:hRule="atLeast"/>
        </w:trPr>
        <w:tc>
          <w:tcPr>
            <w:tcW w:w="6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928"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2644"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亩均投资</w:t>
            </w:r>
          </w:p>
        </w:tc>
        <w:tc>
          <w:tcPr>
            <w:tcW w:w="1437"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≧1500元</w:t>
            </w:r>
          </w:p>
        </w:tc>
        <w:tc>
          <w:tcPr>
            <w:tcW w:w="558"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c>
          <w:tcPr>
            <w:tcW w:w="1365"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2393元</w:t>
            </w:r>
          </w:p>
        </w:tc>
        <w:tc>
          <w:tcPr>
            <w:tcW w:w="631"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30</w:t>
            </w:r>
          </w:p>
        </w:tc>
      </w:tr>
    </w:tbl>
    <w:p>
      <w:pPr>
        <w:ind w:firstLine="562"/>
        <w:rPr>
          <w:rFonts w:ascii="Times New Roman" w:hAnsi="Times New Roman" w:cs="Times New Roman"/>
          <w:b/>
          <w:bCs/>
        </w:rPr>
      </w:pPr>
      <w:r>
        <w:rPr>
          <w:rFonts w:ascii="Times New Roman" w:hAnsi="Times New Roman" w:cs="Times New Roman"/>
          <w:b/>
          <w:bCs/>
        </w:rPr>
        <w:t>1.项目完成数量</w:t>
      </w:r>
    </w:p>
    <w:p>
      <w:pPr>
        <w:ind w:firstLine="560"/>
        <w:rPr>
          <w:rFonts w:ascii="Times New Roman" w:hAnsi="Times New Roman" w:cs="Times New Roman"/>
        </w:rPr>
      </w:pPr>
      <w:r>
        <w:rPr>
          <w:rFonts w:ascii="Times New Roman" w:hAnsi="Times New Roman" w:cs="Times New Roman"/>
        </w:rPr>
        <w:t>“新增高标准农田”指标，预期指标值为</w:t>
      </w:r>
      <w:r>
        <w:rPr>
          <w:rFonts w:hint="eastAsia" w:ascii="Times New Roman" w:hAnsi="Times New Roman" w:cs="Times New Roman"/>
        </w:rPr>
        <w:t>1</w:t>
      </w:r>
      <w:r>
        <w:rPr>
          <w:rFonts w:ascii="Times New Roman" w:hAnsi="Times New Roman" w:cs="Times New Roman"/>
        </w:rPr>
        <w:t>万亩，实际完成为</w:t>
      </w:r>
      <w:r>
        <w:rPr>
          <w:rFonts w:hint="eastAsia" w:ascii="Times New Roman" w:hAnsi="Times New Roman" w:cs="Times New Roman"/>
        </w:rPr>
        <w:t>1</w:t>
      </w:r>
      <w:r>
        <w:rPr>
          <w:rFonts w:ascii="Times New Roman" w:hAnsi="Times New Roman" w:cs="Times New Roman"/>
        </w:rPr>
        <w:t>万亩。实际完成率=（实际完成/预期完成）×100%=90%。（项目正在施工建设中）</w:t>
      </w:r>
    </w:p>
    <w:p>
      <w:pPr>
        <w:ind w:firstLine="560"/>
        <w:rPr>
          <w:rFonts w:ascii="Times New Roman" w:hAnsi="Times New Roman" w:cs="Times New Roman"/>
        </w:rPr>
      </w:pPr>
      <w:r>
        <w:rPr>
          <w:rFonts w:ascii="Times New Roman" w:hAnsi="Times New Roman" w:cs="Times New Roman"/>
        </w:rPr>
        <w:t>“新增高效节水灌溉面积”指标，预期指标值为0万亩，实际完成为0万亩。</w:t>
      </w:r>
    </w:p>
    <w:p>
      <w:pPr>
        <w:ind w:firstLine="562"/>
        <w:rPr>
          <w:rFonts w:ascii="Times New Roman" w:hAnsi="Times New Roman" w:cs="Times New Roman"/>
        </w:rPr>
      </w:pPr>
      <w:r>
        <w:rPr>
          <w:rFonts w:ascii="Times New Roman" w:hAnsi="Times New Roman" w:cs="Times New Roman"/>
          <w:b/>
          <w:bCs/>
        </w:rPr>
        <w:t>综上，该项指标满分</w:t>
      </w:r>
      <w:r>
        <w:rPr>
          <w:rFonts w:hint="eastAsia" w:ascii="Times New Roman" w:hAnsi="Times New Roman" w:cs="Times New Roman"/>
          <w:b/>
          <w:bCs/>
        </w:rPr>
        <w:t>7</w:t>
      </w:r>
      <w:r>
        <w:rPr>
          <w:rFonts w:ascii="Times New Roman" w:hAnsi="Times New Roman" w:cs="Times New Roman"/>
          <w:b/>
          <w:bCs/>
        </w:rPr>
        <w:t>分，得分</w:t>
      </w:r>
      <w:r>
        <w:rPr>
          <w:rFonts w:hint="eastAsia" w:ascii="Times New Roman" w:hAnsi="Times New Roman" w:cs="Times New Roman"/>
          <w:b/>
          <w:bCs/>
        </w:rPr>
        <w:t>7</w:t>
      </w:r>
      <w:r>
        <w:rPr>
          <w:rFonts w:ascii="Times New Roman" w:hAnsi="Times New Roman" w:cs="Times New Roman"/>
          <w:b/>
          <w:bCs/>
        </w:rPr>
        <w:t>分。</w:t>
      </w:r>
    </w:p>
    <w:p>
      <w:pPr>
        <w:ind w:firstLine="562"/>
        <w:rPr>
          <w:rFonts w:ascii="Times New Roman" w:hAnsi="Times New Roman" w:cs="Times New Roman"/>
          <w:b/>
          <w:bCs/>
        </w:rPr>
      </w:pPr>
      <w:r>
        <w:rPr>
          <w:rFonts w:ascii="Times New Roman" w:hAnsi="Times New Roman" w:cs="Times New Roman"/>
          <w:b/>
          <w:bCs/>
        </w:rPr>
        <w:t>2.项目完成质量</w:t>
      </w:r>
    </w:p>
    <w:p>
      <w:pPr>
        <w:ind w:left="560" w:leftChars="200" w:firstLine="0" w:firstLineChars="0"/>
        <w:rPr>
          <w:rFonts w:ascii="Times New Roman" w:hAnsi="Times New Roman" w:cs="Times New Roman"/>
        </w:rPr>
      </w:pPr>
      <w:r>
        <w:rPr>
          <w:rFonts w:ascii="Times New Roman" w:hAnsi="Times New Roman" w:cs="Times New Roman"/>
        </w:rPr>
        <w:t>“项目验收合格率”指标，预期指标值为≧95%，实际完成为</w:t>
      </w:r>
      <w:r>
        <w:rPr>
          <w:rFonts w:hint="eastAsia" w:ascii="Times New Roman" w:hAnsi="Times New Roman" w:cs="Times New Roman"/>
        </w:rPr>
        <w:t>100</w:t>
      </w:r>
      <w:r>
        <w:rPr>
          <w:rFonts w:ascii="Times New Roman" w:hAnsi="Times New Roman" w:cs="Times New Roman"/>
        </w:rPr>
        <w:t>%</w:t>
      </w:r>
      <w:r>
        <w:rPr>
          <w:rFonts w:ascii="Times New Roman" w:hAnsi="Times New Roman" w:cs="Times New Roman"/>
          <w:b/>
          <w:bCs/>
        </w:rPr>
        <w:t>（按项目管理办法，项目完工年限为1-2年，计划在202</w:t>
      </w:r>
      <w:r>
        <w:rPr>
          <w:rFonts w:hint="eastAsia" w:ascii="Times New Roman" w:hAnsi="Times New Roman" w:cs="Times New Roman"/>
          <w:b/>
          <w:bCs/>
        </w:rPr>
        <w:t>3</w:t>
      </w:r>
      <w:r>
        <w:rPr>
          <w:rFonts w:ascii="Times New Roman" w:hAnsi="Times New Roman" w:cs="Times New Roman"/>
          <w:b/>
          <w:bCs/>
        </w:rPr>
        <w:t>年</w:t>
      </w:r>
      <w:r>
        <w:rPr>
          <w:rFonts w:hint="eastAsia" w:ascii="Times New Roman" w:hAnsi="Times New Roman" w:cs="Times New Roman"/>
          <w:b/>
          <w:bCs/>
        </w:rPr>
        <w:t>6</w:t>
      </w:r>
      <w:r>
        <w:rPr>
          <w:rFonts w:ascii="Times New Roman" w:hAnsi="Times New Roman" w:cs="Times New Roman"/>
          <w:b/>
          <w:bCs/>
        </w:rPr>
        <w:t>月进行竣工验收）</w:t>
      </w:r>
    </w:p>
    <w:p>
      <w:pPr>
        <w:ind w:firstLine="562"/>
        <w:rPr>
          <w:rFonts w:ascii="Times New Roman" w:hAnsi="Times New Roman" w:cs="Times New Roman"/>
        </w:rPr>
      </w:pPr>
      <w:r>
        <w:rPr>
          <w:rFonts w:ascii="Times New Roman" w:hAnsi="Times New Roman" w:cs="Times New Roman"/>
          <w:b/>
          <w:bCs/>
        </w:rPr>
        <w:t>综上，该项指标满分</w:t>
      </w:r>
      <w:r>
        <w:rPr>
          <w:rFonts w:hint="eastAsia" w:ascii="Times New Roman" w:hAnsi="Times New Roman" w:cs="Times New Roman"/>
          <w:b/>
          <w:bCs/>
        </w:rPr>
        <w:t>7</w:t>
      </w:r>
      <w:r>
        <w:rPr>
          <w:rFonts w:ascii="Times New Roman" w:hAnsi="Times New Roman" w:cs="Times New Roman"/>
          <w:b/>
          <w:bCs/>
        </w:rPr>
        <w:t>分，得分</w:t>
      </w:r>
      <w:r>
        <w:rPr>
          <w:rFonts w:hint="eastAsia" w:ascii="Times New Roman" w:hAnsi="Times New Roman" w:cs="Times New Roman"/>
          <w:b/>
          <w:bCs/>
        </w:rPr>
        <w:t>7</w:t>
      </w:r>
      <w:r>
        <w:rPr>
          <w:rFonts w:ascii="Times New Roman" w:hAnsi="Times New Roman" w:cs="Times New Roman"/>
          <w:b/>
          <w:bCs/>
        </w:rPr>
        <w:t>分。</w:t>
      </w:r>
    </w:p>
    <w:p>
      <w:pPr>
        <w:ind w:firstLine="562"/>
        <w:rPr>
          <w:rFonts w:ascii="Times New Roman" w:hAnsi="Times New Roman" w:cs="Times New Roman"/>
          <w:b/>
          <w:bCs/>
        </w:rPr>
      </w:pPr>
      <w:r>
        <w:rPr>
          <w:rFonts w:ascii="Times New Roman" w:hAnsi="Times New Roman" w:cs="Times New Roman"/>
          <w:b/>
          <w:bCs/>
        </w:rPr>
        <w:t>3.项目完成时效</w:t>
      </w:r>
    </w:p>
    <w:p>
      <w:pPr>
        <w:ind w:firstLine="560"/>
        <w:rPr>
          <w:rFonts w:ascii="Times New Roman" w:hAnsi="Times New Roman" w:cs="Times New Roman"/>
        </w:rPr>
      </w:pPr>
      <w:r>
        <w:rPr>
          <w:rFonts w:ascii="Times New Roman" w:hAnsi="Times New Roman" w:cs="Times New Roman"/>
        </w:rPr>
        <w:t>“任务完成及时</w:t>
      </w:r>
      <w:r>
        <w:rPr>
          <w:rFonts w:hint="eastAsia" w:ascii="Times New Roman" w:hAnsi="Times New Roman" w:cs="Times New Roman"/>
        </w:rPr>
        <w:t>率</w:t>
      </w:r>
      <w:r>
        <w:rPr>
          <w:rFonts w:ascii="Times New Roman" w:hAnsi="Times New Roman" w:cs="Times New Roman"/>
        </w:rPr>
        <w:t>”指标，预期指标值为</w:t>
      </w:r>
      <w:r>
        <w:rPr>
          <w:rFonts w:hint="eastAsia" w:ascii="Times New Roman" w:hAnsi="Times New Roman" w:cs="Times New Roman"/>
        </w:rPr>
        <w:t>100%</w:t>
      </w:r>
      <w:r>
        <w:rPr>
          <w:rFonts w:ascii="Times New Roman" w:hAnsi="Times New Roman" w:cs="Times New Roman"/>
        </w:rPr>
        <w:t>，实际完成为</w:t>
      </w:r>
      <w:r>
        <w:rPr>
          <w:rFonts w:hint="eastAsia" w:ascii="Times New Roman" w:hAnsi="Times New Roman" w:cs="Times New Roman"/>
        </w:rPr>
        <w:t>10</w:t>
      </w:r>
      <w:r>
        <w:rPr>
          <w:rFonts w:ascii="Times New Roman" w:hAnsi="Times New Roman" w:cs="Times New Roman"/>
        </w:rPr>
        <w:t>0%。</w:t>
      </w:r>
    </w:p>
    <w:p>
      <w:pPr>
        <w:ind w:firstLine="562"/>
        <w:rPr>
          <w:rFonts w:ascii="Times New Roman" w:hAnsi="Times New Roman" w:cs="Times New Roman"/>
        </w:rPr>
      </w:pPr>
      <w:r>
        <w:rPr>
          <w:rFonts w:ascii="Times New Roman" w:hAnsi="Times New Roman" w:cs="Times New Roman"/>
          <w:b/>
          <w:bCs/>
        </w:rPr>
        <w:t>综上，该项指标满分</w:t>
      </w:r>
      <w:r>
        <w:rPr>
          <w:rFonts w:hint="eastAsia" w:ascii="Times New Roman" w:hAnsi="Times New Roman" w:cs="Times New Roman"/>
          <w:b/>
          <w:bCs/>
        </w:rPr>
        <w:t>6</w:t>
      </w:r>
      <w:r>
        <w:rPr>
          <w:rFonts w:ascii="Times New Roman" w:hAnsi="Times New Roman" w:cs="Times New Roman"/>
          <w:b/>
          <w:bCs/>
        </w:rPr>
        <w:t>分，得分</w:t>
      </w:r>
      <w:r>
        <w:rPr>
          <w:rFonts w:hint="eastAsia" w:ascii="Times New Roman" w:hAnsi="Times New Roman" w:cs="Times New Roman"/>
          <w:b/>
          <w:bCs/>
        </w:rPr>
        <w:t>6</w:t>
      </w:r>
      <w:r>
        <w:rPr>
          <w:rFonts w:ascii="Times New Roman" w:hAnsi="Times New Roman" w:cs="Times New Roman"/>
          <w:b/>
          <w:bCs/>
        </w:rPr>
        <w:t>分。</w:t>
      </w:r>
    </w:p>
    <w:p>
      <w:pPr>
        <w:ind w:firstLine="562"/>
        <w:rPr>
          <w:rFonts w:ascii="Times New Roman" w:hAnsi="Times New Roman" w:cs="Times New Roman"/>
          <w:b/>
          <w:bCs/>
        </w:rPr>
      </w:pPr>
      <w:r>
        <w:rPr>
          <w:rFonts w:ascii="Times New Roman" w:hAnsi="Times New Roman" w:cs="Times New Roman"/>
          <w:b/>
          <w:bCs/>
        </w:rPr>
        <w:t>4.项目完成成本</w:t>
      </w:r>
    </w:p>
    <w:p>
      <w:pPr>
        <w:ind w:firstLine="560"/>
        <w:rPr>
          <w:rFonts w:ascii="Times New Roman" w:hAnsi="Times New Roman" w:cs="Times New Roman"/>
        </w:rPr>
      </w:pPr>
      <w:r>
        <w:rPr>
          <w:rFonts w:ascii="Times New Roman" w:hAnsi="Times New Roman" w:cs="Times New Roman"/>
        </w:rPr>
        <w:t>“财政资金亩均补助标准”指标，预期指标值为≧1500元，实际完成为</w:t>
      </w:r>
      <w:r>
        <w:rPr>
          <w:rFonts w:hint="eastAsia" w:ascii="Times New Roman" w:hAnsi="Times New Roman" w:cs="Times New Roman"/>
        </w:rPr>
        <w:t>1442元/亩</w:t>
      </w:r>
      <w:r>
        <w:rPr>
          <w:rFonts w:ascii="Times New Roman" w:hAnsi="Times New Roman" w:cs="Times New Roman"/>
        </w:rPr>
        <w:t>。实际完成率=（</w:t>
      </w:r>
      <w:r>
        <w:rPr>
          <w:rFonts w:hint="eastAsia" w:ascii="Times New Roman" w:hAnsi="Times New Roman" w:cs="Times New Roman"/>
        </w:rPr>
        <w:t>1442</w:t>
      </w:r>
      <w:r>
        <w:rPr>
          <w:rFonts w:ascii="Times New Roman" w:hAnsi="Times New Roman" w:cs="Times New Roman"/>
        </w:rPr>
        <w:t>/</w:t>
      </w:r>
      <w:r>
        <w:rPr>
          <w:rFonts w:hint="eastAsia" w:ascii="Times New Roman" w:hAnsi="Times New Roman" w:cs="Times New Roman"/>
        </w:rPr>
        <w:t>1500</w:t>
      </w:r>
      <w:r>
        <w:rPr>
          <w:rFonts w:ascii="Times New Roman" w:hAnsi="Times New Roman" w:cs="Times New Roman"/>
        </w:rPr>
        <w:t>）×100%=</w:t>
      </w:r>
      <w:r>
        <w:rPr>
          <w:rFonts w:hint="eastAsia" w:ascii="Times New Roman" w:hAnsi="Times New Roman" w:cs="Times New Roman"/>
        </w:rPr>
        <w:t>89.08</w:t>
      </w:r>
      <w:r>
        <w:rPr>
          <w:rFonts w:ascii="Times New Roman" w:hAnsi="Times New Roman" w:cs="Times New Roman"/>
        </w:rPr>
        <w:t>%。</w:t>
      </w:r>
      <w:r>
        <w:rPr>
          <w:rFonts w:hint="eastAsia" w:ascii="Times New Roman" w:hAnsi="Times New Roman" w:cs="Times New Roman"/>
        </w:rPr>
        <w:t>财政资金亩均补助标准不足，导致扣分。</w:t>
      </w:r>
    </w:p>
    <w:p>
      <w:pPr>
        <w:ind w:firstLine="562"/>
        <w:rPr>
          <w:rFonts w:ascii="Times New Roman" w:hAnsi="Times New Roman" w:cs="Times New Roman"/>
          <w:b/>
          <w:bCs/>
        </w:rPr>
      </w:pPr>
      <w:r>
        <w:rPr>
          <w:rFonts w:ascii="Times New Roman" w:hAnsi="Times New Roman" w:cs="Times New Roman"/>
          <w:b/>
          <w:bCs/>
        </w:rPr>
        <w:t>综上，该项指标满分</w:t>
      </w:r>
      <w:r>
        <w:rPr>
          <w:rFonts w:hint="eastAsia" w:ascii="Times New Roman" w:hAnsi="Times New Roman" w:cs="Times New Roman"/>
          <w:b/>
          <w:bCs/>
        </w:rPr>
        <w:t>5</w:t>
      </w:r>
      <w:r>
        <w:rPr>
          <w:rFonts w:ascii="Times New Roman" w:hAnsi="Times New Roman" w:cs="Times New Roman"/>
          <w:b/>
          <w:bCs/>
        </w:rPr>
        <w:t>分，得分</w:t>
      </w:r>
      <w:r>
        <w:rPr>
          <w:rFonts w:hint="eastAsia" w:ascii="Times New Roman" w:hAnsi="Times New Roman" w:cs="Times New Roman"/>
          <w:b/>
          <w:bCs/>
        </w:rPr>
        <w:t>4</w:t>
      </w:r>
      <w:r>
        <w:rPr>
          <w:rFonts w:ascii="Times New Roman" w:hAnsi="Times New Roman" w:cs="Times New Roman"/>
          <w:b/>
          <w:bCs/>
        </w:rPr>
        <w:t>分。</w:t>
      </w:r>
    </w:p>
    <w:p>
      <w:pPr>
        <w:ind w:firstLine="56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亩均投资</w:t>
      </w:r>
      <w:r>
        <w:rPr>
          <w:rFonts w:ascii="Times New Roman" w:hAnsi="Times New Roman" w:cs="Times New Roman"/>
        </w:rPr>
        <w:t>”指标，预期指标值为≧1500元，实际完成为</w:t>
      </w:r>
      <w:r>
        <w:rPr>
          <w:rFonts w:hint="eastAsia" w:ascii="Times New Roman" w:hAnsi="Times New Roman" w:cs="Times New Roman"/>
        </w:rPr>
        <w:t>2293元/亩</w:t>
      </w:r>
      <w:r>
        <w:rPr>
          <w:rFonts w:ascii="Times New Roman" w:hAnsi="Times New Roman" w:cs="Times New Roman"/>
        </w:rPr>
        <w:t>。实际完成率=（</w:t>
      </w:r>
      <w:r>
        <w:rPr>
          <w:rFonts w:hint="eastAsia" w:ascii="Times New Roman" w:hAnsi="Times New Roman" w:cs="Times New Roman"/>
        </w:rPr>
        <w:t>1500</w:t>
      </w:r>
      <w:r>
        <w:rPr>
          <w:rFonts w:ascii="Times New Roman" w:hAnsi="Times New Roman" w:cs="Times New Roman"/>
        </w:rPr>
        <w:t>/</w:t>
      </w:r>
      <w:r>
        <w:rPr>
          <w:rFonts w:hint="eastAsia" w:ascii="Times New Roman" w:hAnsi="Times New Roman" w:cs="Times New Roman"/>
        </w:rPr>
        <w:t>1500</w:t>
      </w:r>
      <w:r>
        <w:rPr>
          <w:rFonts w:ascii="Times New Roman" w:hAnsi="Times New Roman" w:cs="Times New Roman"/>
        </w:rPr>
        <w:t>）×100%=</w:t>
      </w:r>
      <w:r>
        <w:rPr>
          <w:rFonts w:hint="eastAsia" w:ascii="Times New Roman" w:hAnsi="Times New Roman" w:cs="Times New Roman"/>
        </w:rPr>
        <w:t>100</w:t>
      </w:r>
      <w:r>
        <w:rPr>
          <w:rFonts w:ascii="Times New Roman" w:hAnsi="Times New Roman" w:cs="Times New Roman"/>
        </w:rPr>
        <w:t>%。</w:t>
      </w:r>
      <w:r>
        <w:rPr>
          <w:rFonts w:hint="eastAsia" w:ascii="Times New Roman" w:hAnsi="Times New Roman" w:cs="Times New Roman"/>
        </w:rPr>
        <w:t xml:space="preserve"> </w:t>
      </w:r>
    </w:p>
    <w:p>
      <w:pPr>
        <w:ind w:firstLine="562"/>
        <w:rPr>
          <w:rFonts w:ascii="Times New Roman" w:hAnsi="Times New Roman" w:cs="Times New Roman"/>
        </w:rPr>
      </w:pPr>
      <w:r>
        <w:rPr>
          <w:rFonts w:ascii="Times New Roman" w:hAnsi="Times New Roman" w:cs="Times New Roman"/>
          <w:b/>
          <w:bCs/>
        </w:rPr>
        <w:t>综上，该项指标满分</w:t>
      </w:r>
      <w:r>
        <w:rPr>
          <w:rFonts w:hint="eastAsia" w:ascii="Times New Roman" w:hAnsi="Times New Roman" w:cs="Times New Roman"/>
          <w:b/>
          <w:bCs/>
        </w:rPr>
        <w:t>5</w:t>
      </w:r>
      <w:r>
        <w:rPr>
          <w:rFonts w:ascii="Times New Roman" w:hAnsi="Times New Roman" w:cs="Times New Roman"/>
          <w:b/>
          <w:bCs/>
        </w:rPr>
        <w:t>分，得分</w:t>
      </w:r>
      <w:r>
        <w:rPr>
          <w:rFonts w:hint="eastAsia" w:ascii="Times New Roman" w:hAnsi="Times New Roman" w:cs="Times New Roman"/>
          <w:b/>
          <w:bCs/>
        </w:rPr>
        <w:t>5</w:t>
      </w:r>
      <w:r>
        <w:rPr>
          <w:rFonts w:ascii="Times New Roman" w:hAnsi="Times New Roman" w:cs="Times New Roman"/>
          <w:b/>
          <w:bCs/>
        </w:rPr>
        <w:t>分。</w:t>
      </w:r>
    </w:p>
    <w:p>
      <w:pPr>
        <w:pStyle w:val="4"/>
        <w:spacing w:line="360" w:lineRule="auto"/>
        <w:ind w:firstLine="0" w:firstLineChars="0"/>
        <w:rPr>
          <w:rFonts w:ascii="Times New Roman" w:hAnsi="Times New Roman" w:eastAsia="宋体" w:cs="Times New Roman"/>
        </w:rPr>
      </w:pPr>
      <w:r>
        <w:rPr>
          <w:rFonts w:hint="eastAsia" w:ascii="Times New Roman" w:hAnsi="Times New Roman" w:eastAsia="宋体" w:cs="Times New Roman"/>
        </w:rPr>
        <w:t xml:space="preserve"> </w:t>
      </w:r>
      <w:r>
        <w:rPr>
          <w:rFonts w:ascii="Times New Roman" w:hAnsi="Times New Roman" w:eastAsia="宋体" w:cs="Times New Roman"/>
        </w:rPr>
        <w:t>（四）项目效益情况</w:t>
      </w:r>
    </w:p>
    <w:p>
      <w:pPr>
        <w:ind w:firstLine="560"/>
        <w:jc w:val="center"/>
        <w:rPr>
          <w:rFonts w:ascii="Times New Roman" w:hAnsi="Times New Roman" w:cs="Times New Roman"/>
          <w:b/>
          <w:bCs/>
          <w:kern w:val="0"/>
        </w:rPr>
      </w:pPr>
      <w:r>
        <w:rPr>
          <w:rFonts w:ascii="Times New Roman" w:hAnsi="Times New Roman" w:cs="Times New Roman"/>
          <w:u w:color="000000"/>
          <w:lang w:val="zh-TW" w:eastAsia="zh-TW"/>
        </w:rPr>
        <w:t>项目</w:t>
      </w:r>
      <w:r>
        <w:rPr>
          <w:rFonts w:ascii="Times New Roman" w:hAnsi="Times New Roman" w:cs="Times New Roman"/>
        </w:rPr>
        <w:t>产出</w:t>
      </w:r>
      <w:r>
        <w:rPr>
          <w:rFonts w:ascii="Times New Roman" w:hAnsi="Times New Roman" w:cs="Times New Roman"/>
          <w:u w:color="000000"/>
          <w:lang w:val="zh-TW" w:eastAsia="zh-TW"/>
        </w:rPr>
        <w:t>类指标由</w:t>
      </w:r>
      <w:r>
        <w:rPr>
          <w:rFonts w:ascii="Times New Roman" w:hAnsi="Times New Roman" w:cs="Times New Roman"/>
          <w:u w:color="000000"/>
        </w:rPr>
        <w:t>5</w:t>
      </w:r>
      <w:r>
        <w:rPr>
          <w:rFonts w:ascii="Times New Roman" w:hAnsi="Times New Roman" w:cs="Times New Roman"/>
          <w:u w:color="000000"/>
          <w:lang w:val="zh-TW" w:eastAsia="zh-TW"/>
        </w:rPr>
        <w:t>个</w:t>
      </w:r>
      <w:r>
        <w:rPr>
          <w:rFonts w:ascii="Times New Roman" w:hAnsi="Times New Roman" w:cs="Times New Roman"/>
          <w:u w:color="000000"/>
          <w:lang w:val="zh-TW"/>
        </w:rPr>
        <w:t>二</w:t>
      </w:r>
      <w:r>
        <w:rPr>
          <w:rFonts w:ascii="Times New Roman" w:hAnsi="Times New Roman" w:cs="Times New Roman"/>
          <w:u w:color="000000"/>
          <w:lang w:val="zh-TW" w:eastAsia="zh-TW"/>
        </w:rPr>
        <w:t>级指标和</w:t>
      </w:r>
      <w:r>
        <w:rPr>
          <w:rFonts w:ascii="Times New Roman" w:hAnsi="Times New Roman" w:cs="Times New Roman"/>
          <w:u w:color="000000"/>
        </w:rPr>
        <w:t>6</w:t>
      </w:r>
      <w:r>
        <w:rPr>
          <w:rFonts w:ascii="Times New Roman" w:hAnsi="Times New Roman" w:cs="Times New Roman"/>
          <w:u w:color="000000"/>
          <w:lang w:val="zh-TW" w:eastAsia="zh-TW"/>
        </w:rPr>
        <w:t>个</w:t>
      </w:r>
      <w:r>
        <w:rPr>
          <w:rFonts w:ascii="Times New Roman" w:hAnsi="Times New Roman" w:cs="Times New Roman"/>
          <w:u w:color="000000"/>
        </w:rPr>
        <w:t>三</w:t>
      </w:r>
      <w:r>
        <w:rPr>
          <w:rFonts w:ascii="Times New Roman" w:hAnsi="Times New Roman" w:cs="Times New Roman"/>
          <w:u w:color="000000"/>
          <w:lang w:val="zh-TW" w:eastAsia="zh-TW"/>
        </w:rPr>
        <w:t>级指标构成，权重分</w:t>
      </w:r>
      <w:r>
        <w:rPr>
          <w:rFonts w:hint="eastAsia" w:ascii="Times New Roman" w:hAnsi="Times New Roman" w:cs="Times New Roman"/>
          <w:u w:color="000000"/>
        </w:rPr>
        <w:t>4</w:t>
      </w:r>
      <w:r>
        <w:rPr>
          <w:rFonts w:ascii="Times New Roman" w:hAnsi="Times New Roman" w:cs="Times New Roman"/>
          <w:u w:color="000000"/>
        </w:rPr>
        <w:t>0</w:t>
      </w:r>
      <w:r>
        <w:rPr>
          <w:rFonts w:ascii="Times New Roman" w:hAnsi="Times New Roman" w:cs="Times New Roman"/>
          <w:u w:color="000000"/>
          <w:lang w:val="zh-TW" w:eastAsia="zh-TW"/>
        </w:rPr>
        <w:t>分，实际得分</w:t>
      </w:r>
      <w:r>
        <w:rPr>
          <w:rFonts w:hint="eastAsia" w:ascii="Times New Roman" w:hAnsi="Times New Roman" w:cs="Times New Roman"/>
          <w:u w:color="000000"/>
        </w:rPr>
        <w:t>40</w:t>
      </w:r>
      <w:r>
        <w:rPr>
          <w:rFonts w:ascii="Times New Roman" w:hAnsi="Times New Roman" w:cs="Times New Roman"/>
          <w:u w:color="000000"/>
          <w:lang w:val="zh-TW" w:eastAsia="zh-TW"/>
        </w:rPr>
        <w:t>分</w:t>
      </w:r>
      <w:r>
        <w:rPr>
          <w:rFonts w:ascii="Times New Roman" w:hAnsi="Times New Roman" w:cs="Times New Roman"/>
          <w:u w:color="000000"/>
          <w:lang w:val="zh-TW"/>
        </w:rPr>
        <w:t>，</w:t>
      </w:r>
      <w:r>
        <w:rPr>
          <w:rFonts w:ascii="Times New Roman" w:hAnsi="Times New Roman" w:cs="Times New Roman"/>
          <w:u w:color="000000"/>
          <w:lang w:val="zh-TW" w:eastAsia="zh-TW"/>
        </w:rPr>
        <w:t>各指标业绩值和绩效分值如表</w:t>
      </w:r>
      <w:r>
        <w:rPr>
          <w:rFonts w:ascii="Times New Roman" w:hAnsi="Times New Roman" w:cs="Times New Roman"/>
          <w:u w:color="000000"/>
        </w:rPr>
        <w:t>4-4</w:t>
      </w:r>
      <w:r>
        <w:rPr>
          <w:rFonts w:ascii="Times New Roman" w:hAnsi="Times New Roman" w:cs="Times New Roman"/>
          <w:u w:color="000000"/>
          <w:lang w:val="zh-TW" w:eastAsia="zh-TW"/>
        </w:rPr>
        <w:t>所示：</w:t>
      </w:r>
      <w:r>
        <w:rPr>
          <w:rFonts w:ascii="Times New Roman" w:hAnsi="Times New Roman" w:cs="Times New Roman"/>
          <w:b/>
          <w:bCs/>
          <w:kern w:val="0"/>
          <w:lang w:val="zh-TW" w:eastAsia="zh-TW"/>
        </w:rPr>
        <w:t>表</w:t>
      </w:r>
      <w:r>
        <w:rPr>
          <w:rFonts w:ascii="Times New Roman" w:hAnsi="Times New Roman" w:cs="Times New Roman"/>
          <w:b/>
          <w:bCs/>
          <w:kern w:val="0"/>
        </w:rPr>
        <w:t>4-4项目效益</w:t>
      </w:r>
      <w:r>
        <w:rPr>
          <w:rFonts w:ascii="Times New Roman" w:hAnsi="Times New Roman" w:cs="Times New Roman"/>
          <w:b/>
          <w:bCs/>
          <w:kern w:val="0"/>
          <w:lang w:val="zh-TW" w:eastAsia="zh-TW"/>
        </w:rPr>
        <w:t>指标及分值</w:t>
      </w:r>
      <w:r>
        <w:rPr>
          <w:rFonts w:ascii="Times New Roman" w:hAnsi="Times New Roman" w:cs="Times New Roman"/>
          <w:b/>
          <w:bCs/>
          <w:kern w:val="0"/>
        </w:rPr>
        <w:t>情况</w:t>
      </w:r>
    </w:p>
    <w:tbl>
      <w:tblPr>
        <w:tblStyle w:val="9"/>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一级指标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年度指标值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标杆分值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全年实际完成值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b/>
                <w:bCs/>
                <w:kern w:val="0"/>
                <w:sz w:val="20"/>
                <w:szCs w:val="20"/>
              </w:rPr>
            </w:pPr>
            <w:r>
              <w:rPr>
                <w:rFonts w:ascii="Times New Roman" w:hAnsi="Times New Roman" w:cs="Times New Roman"/>
                <w:b/>
                <w:bCs/>
                <w:kern w:val="0"/>
                <w:sz w:val="20"/>
                <w:szCs w:val="20"/>
              </w:rPr>
              <w:t>指标得分</w:t>
            </w:r>
          </w:p>
        </w:tc>
      </w:tr>
      <w:tr>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效益</w:t>
            </w:r>
          </w:p>
        </w:tc>
        <w:tc>
          <w:tcPr>
            <w:tcW w:w="1725"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粮食综合生产能力</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明显提升</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725" w:type="dxa"/>
            <w:vMerge w:val="continue"/>
            <w:tcBorders>
              <w:left w:val="single" w:color="000000" w:sz="4" w:space="0"/>
              <w:bottom w:val="single" w:color="000000" w:sz="4" w:space="0"/>
              <w:right w:val="single" w:color="auto"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田间道路通达</w:t>
            </w:r>
            <w:r>
              <w:rPr>
                <w:rFonts w:hint="eastAsia" w:ascii="Times New Roman" w:hAnsi="Times New Roman" w:cs="Times New Roman"/>
                <w:kern w:val="0"/>
                <w:sz w:val="20"/>
                <w:szCs w:val="20"/>
              </w:rPr>
              <w:t>率</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5</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725" w:type="dxa"/>
            <w:tcBorders>
              <w:top w:val="single" w:color="000000" w:sz="4" w:space="0"/>
              <w:left w:val="single" w:color="000000" w:sz="4" w:space="0"/>
              <w:right w:val="single" w:color="auto"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生态效益指标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耕地质量与水资源利用率</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逐步提升</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725"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农业种植结构</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持续优化</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受益群众满意率</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≧90%</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100</w:t>
            </w:r>
            <w:r>
              <w:rPr>
                <w:rFonts w:ascii="Times New Roman" w:hAnsi="Times New Roman" w:cs="Times New Roman"/>
                <w:kern w:val="0"/>
                <w:sz w:val="20"/>
                <w:szCs w:val="20"/>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5</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ascii="Times New Roman" w:hAnsi="Times New Roman" w:cs="Times New Roman"/>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spacing w:line="240" w:lineRule="auto"/>
              <w:ind w:firstLine="0" w:firstLineChars="0"/>
              <w:jc w:val="center"/>
              <w:rPr>
                <w:rFonts w:ascii="Times New Roman" w:hAnsi="Times New Roman" w:cs="Times New Roman"/>
                <w:kern w:val="0"/>
                <w:sz w:val="20"/>
                <w:szCs w:val="20"/>
              </w:rPr>
            </w:pPr>
            <w:r>
              <w:rPr>
                <w:rFonts w:hint="eastAsia" w:ascii="Times New Roman" w:hAnsi="Times New Roman" w:cs="Times New Roman"/>
                <w:kern w:val="0"/>
                <w:sz w:val="20"/>
                <w:szCs w:val="20"/>
              </w:rPr>
              <w:t>30</w:t>
            </w:r>
          </w:p>
        </w:tc>
      </w:tr>
    </w:tbl>
    <w:p>
      <w:pPr>
        <w:ind w:firstLine="560"/>
        <w:rPr>
          <w:rFonts w:ascii="Times New Roman" w:hAnsi="Times New Roman" w:cs="Times New Roman"/>
        </w:rPr>
      </w:pPr>
    </w:p>
    <w:p>
      <w:pPr>
        <w:ind w:firstLine="562"/>
        <w:rPr>
          <w:rFonts w:ascii="Times New Roman" w:hAnsi="Times New Roman" w:cs="Times New Roman"/>
          <w:b/>
          <w:bCs/>
        </w:rPr>
      </w:pPr>
      <w:r>
        <w:rPr>
          <w:rFonts w:ascii="Times New Roman" w:hAnsi="Times New Roman" w:cs="Times New Roman"/>
          <w:b/>
          <w:bCs/>
        </w:rPr>
        <w:t>1.社会效益指标</w:t>
      </w:r>
    </w:p>
    <w:p>
      <w:pPr>
        <w:ind w:firstLine="560"/>
        <w:rPr>
          <w:rFonts w:ascii="Times New Roman" w:hAnsi="Times New Roman" w:cs="Times New Roman"/>
        </w:rPr>
      </w:pPr>
      <w:r>
        <w:rPr>
          <w:rFonts w:ascii="Times New Roman" w:hAnsi="Times New Roman" w:cs="Times New Roman"/>
        </w:rPr>
        <w:t>“粮食综合生产能力”指标，预期指标值为明显提升，实际完成为</w:t>
      </w:r>
      <w:r>
        <w:rPr>
          <w:rFonts w:hint="eastAsia" w:ascii="Times New Roman" w:hAnsi="Times New Roman" w:cs="Times New Roman"/>
        </w:rPr>
        <w:t>100</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t>通过项目的实施，粮食产能能稳步提升。</w:t>
      </w:r>
    </w:p>
    <w:p>
      <w:pPr>
        <w:ind w:firstLine="562"/>
        <w:rPr>
          <w:rFonts w:ascii="Times New Roman" w:hAnsi="Times New Roman" w:cs="Times New Roman"/>
        </w:rPr>
      </w:pPr>
      <w:r>
        <w:rPr>
          <w:rFonts w:ascii="Times New Roman" w:hAnsi="Times New Roman" w:cs="Times New Roman"/>
          <w:b/>
          <w:bCs/>
        </w:rPr>
        <w:t>综上，该项指标满分5分，得分5分。</w:t>
      </w:r>
    </w:p>
    <w:p>
      <w:pPr>
        <w:ind w:firstLine="560"/>
        <w:rPr>
          <w:rFonts w:ascii="Times New Roman" w:hAnsi="Times New Roman" w:cs="Times New Roman"/>
        </w:rPr>
      </w:pPr>
      <w:r>
        <w:rPr>
          <w:rFonts w:ascii="Times New Roman" w:hAnsi="Times New Roman" w:cs="Times New Roman"/>
        </w:rPr>
        <w:t>“田间道路通达</w:t>
      </w:r>
      <w:r>
        <w:rPr>
          <w:rFonts w:hint="eastAsia" w:ascii="Times New Roman" w:hAnsi="Times New Roman" w:cs="Times New Roman"/>
        </w:rPr>
        <w:t>率</w:t>
      </w:r>
      <w:r>
        <w:rPr>
          <w:rFonts w:ascii="Times New Roman" w:hAnsi="Times New Roman" w:cs="Times New Roman"/>
        </w:rPr>
        <w:t>”指标，预期指标值为平原区100% 丘陵区≧90%，实际完成为</w:t>
      </w:r>
      <w:r>
        <w:rPr>
          <w:rFonts w:hint="eastAsia" w:ascii="Times New Roman" w:hAnsi="Times New Roman" w:cs="Times New Roman"/>
        </w:rPr>
        <w:t>10</w:t>
      </w:r>
      <w:r>
        <w:rPr>
          <w:rFonts w:ascii="Times New Roman" w:hAnsi="Times New Roman" w:cs="Times New Roman"/>
        </w:rPr>
        <w:t>0%。</w:t>
      </w:r>
    </w:p>
    <w:p>
      <w:pPr>
        <w:ind w:firstLine="560"/>
        <w:rPr>
          <w:rFonts w:ascii="Times New Roman" w:hAnsi="Times New Roman" w:cs="Times New Roman"/>
        </w:rPr>
      </w:pPr>
      <w:r>
        <w:rPr>
          <w:rFonts w:ascii="Times New Roman" w:hAnsi="Times New Roman" w:cs="Times New Roman"/>
        </w:rPr>
        <w:t>通过项目的实施，田间道路通达度能极大改善。</w:t>
      </w:r>
    </w:p>
    <w:p>
      <w:pPr>
        <w:ind w:firstLine="562"/>
        <w:rPr>
          <w:rFonts w:ascii="Times New Roman" w:hAnsi="Times New Roman" w:cs="Times New Roman"/>
          <w:b/>
          <w:bCs/>
        </w:rPr>
      </w:pPr>
      <w:r>
        <w:rPr>
          <w:rFonts w:ascii="Times New Roman" w:hAnsi="Times New Roman" w:cs="Times New Roman"/>
          <w:b/>
          <w:bCs/>
        </w:rPr>
        <w:t>综上，该项指标满分5分，得分</w:t>
      </w:r>
      <w:r>
        <w:rPr>
          <w:rFonts w:hint="eastAsia" w:ascii="Times New Roman" w:hAnsi="Times New Roman" w:cs="Times New Roman"/>
          <w:b/>
          <w:bCs/>
        </w:rPr>
        <w:t>5</w:t>
      </w:r>
      <w:r>
        <w:rPr>
          <w:rFonts w:ascii="Times New Roman" w:hAnsi="Times New Roman" w:cs="Times New Roman"/>
          <w:b/>
          <w:bCs/>
        </w:rPr>
        <w:t>分。</w:t>
      </w:r>
    </w:p>
    <w:p>
      <w:pPr>
        <w:ind w:firstLine="562"/>
        <w:rPr>
          <w:rFonts w:ascii="Times New Roman" w:hAnsi="Times New Roman" w:cs="Times New Roman"/>
        </w:rPr>
      </w:pPr>
      <w:r>
        <w:rPr>
          <w:rFonts w:ascii="Times New Roman" w:hAnsi="Times New Roman" w:cs="Times New Roman"/>
          <w:b/>
          <w:bCs/>
        </w:rPr>
        <w:t>2.生态效益指标</w:t>
      </w:r>
    </w:p>
    <w:p>
      <w:pPr>
        <w:ind w:firstLine="560"/>
        <w:rPr>
          <w:rFonts w:ascii="Times New Roman" w:hAnsi="Times New Roman" w:cs="Times New Roman"/>
        </w:rPr>
      </w:pPr>
      <w:r>
        <w:rPr>
          <w:rFonts w:ascii="Times New Roman" w:hAnsi="Times New Roman" w:cs="Times New Roman"/>
        </w:rPr>
        <w:t>“耕地质量与水资源利用率”指标，预期指标值为逐步提升，实际完成为90%。</w:t>
      </w:r>
    </w:p>
    <w:p>
      <w:pPr>
        <w:ind w:firstLine="560"/>
        <w:rPr>
          <w:rFonts w:ascii="Times New Roman" w:hAnsi="Times New Roman" w:cs="Times New Roman"/>
        </w:rPr>
      </w:pPr>
      <w:r>
        <w:rPr>
          <w:rFonts w:ascii="Times New Roman" w:hAnsi="Times New Roman" w:cs="Times New Roman"/>
        </w:rPr>
        <w:t>通过项目的实施，耕地质量能稳步提升。</w:t>
      </w:r>
    </w:p>
    <w:p>
      <w:pPr>
        <w:ind w:firstLine="562"/>
        <w:rPr>
          <w:rFonts w:ascii="Times New Roman" w:hAnsi="Times New Roman" w:cs="Times New Roman"/>
        </w:rPr>
      </w:pPr>
      <w:r>
        <w:rPr>
          <w:rFonts w:ascii="Times New Roman" w:hAnsi="Times New Roman" w:cs="Times New Roman"/>
          <w:b/>
          <w:bCs/>
        </w:rPr>
        <w:t>综上，该项指标满分</w:t>
      </w:r>
      <w:r>
        <w:rPr>
          <w:rFonts w:hint="eastAsia" w:ascii="Times New Roman" w:hAnsi="Times New Roman" w:cs="Times New Roman"/>
          <w:b/>
          <w:bCs/>
        </w:rPr>
        <w:t>10</w:t>
      </w:r>
      <w:r>
        <w:rPr>
          <w:rFonts w:ascii="Times New Roman" w:hAnsi="Times New Roman" w:cs="Times New Roman"/>
          <w:b/>
          <w:bCs/>
        </w:rPr>
        <w:t>分，得分</w:t>
      </w:r>
      <w:r>
        <w:rPr>
          <w:rFonts w:hint="eastAsia" w:ascii="Times New Roman" w:hAnsi="Times New Roman" w:cs="Times New Roman"/>
          <w:b/>
          <w:bCs/>
        </w:rPr>
        <w:t>10</w:t>
      </w:r>
      <w:r>
        <w:rPr>
          <w:rFonts w:ascii="Times New Roman" w:hAnsi="Times New Roman" w:cs="Times New Roman"/>
          <w:b/>
          <w:bCs/>
        </w:rPr>
        <w:t>分。</w:t>
      </w:r>
    </w:p>
    <w:p>
      <w:pPr>
        <w:ind w:firstLine="562"/>
        <w:rPr>
          <w:rFonts w:ascii="Times New Roman" w:hAnsi="Times New Roman" w:cs="Times New Roman"/>
          <w:b/>
          <w:bCs/>
        </w:rPr>
      </w:pPr>
      <w:r>
        <w:rPr>
          <w:rFonts w:ascii="Times New Roman" w:hAnsi="Times New Roman" w:cs="Times New Roman"/>
          <w:b/>
          <w:bCs/>
        </w:rPr>
        <w:t>3.</w:t>
      </w:r>
      <w:r>
        <w:rPr>
          <w:rFonts w:hint="eastAsia" w:ascii="Times New Roman" w:hAnsi="Times New Roman" w:cs="Times New Roman"/>
          <w:b/>
          <w:bCs/>
        </w:rPr>
        <w:t>经济效益指标</w:t>
      </w:r>
    </w:p>
    <w:p>
      <w:pPr>
        <w:pStyle w:val="2"/>
        <w:ind w:firstLine="482"/>
      </w:pPr>
      <w:r>
        <w:rPr>
          <w:rFonts w:hint="eastAsia"/>
        </w:rPr>
        <w:t>未设定。不做评分。</w:t>
      </w:r>
    </w:p>
    <w:p>
      <w:pPr>
        <w:ind w:firstLine="562"/>
        <w:rPr>
          <w:rFonts w:ascii="Times New Roman" w:hAnsi="Times New Roman" w:cs="Times New Roman"/>
          <w:b/>
          <w:bCs/>
        </w:rPr>
      </w:pPr>
      <w:r>
        <w:rPr>
          <w:rFonts w:hint="eastAsia" w:ascii="Times New Roman" w:hAnsi="Times New Roman" w:cs="Times New Roman"/>
          <w:b/>
          <w:bCs/>
        </w:rPr>
        <w:t>4.</w:t>
      </w:r>
      <w:r>
        <w:rPr>
          <w:rFonts w:ascii="Times New Roman" w:hAnsi="Times New Roman" w:cs="Times New Roman"/>
          <w:b/>
          <w:bCs/>
        </w:rPr>
        <w:t>可持续影响指标</w:t>
      </w:r>
    </w:p>
    <w:p>
      <w:pPr>
        <w:ind w:firstLine="560"/>
        <w:rPr>
          <w:rFonts w:ascii="Times New Roman" w:hAnsi="Times New Roman" w:cs="Times New Roman"/>
        </w:rPr>
      </w:pPr>
      <w:r>
        <w:rPr>
          <w:rFonts w:ascii="Times New Roman" w:hAnsi="Times New Roman" w:cs="Times New Roman"/>
        </w:rPr>
        <w:t>“农业种植结构”指标，预期指标值为进一步优化，实际完成为</w:t>
      </w:r>
      <w:r>
        <w:rPr>
          <w:rFonts w:hint="eastAsia" w:ascii="Times New Roman" w:hAnsi="Times New Roman" w:cs="Times New Roman"/>
        </w:rPr>
        <w:t>100</w:t>
      </w:r>
      <w:r>
        <w:rPr>
          <w:rFonts w:ascii="Times New Roman" w:hAnsi="Times New Roman" w:cs="Times New Roman"/>
        </w:rPr>
        <w:t>%。</w:t>
      </w:r>
    </w:p>
    <w:p>
      <w:pPr>
        <w:ind w:firstLine="560"/>
        <w:rPr>
          <w:rFonts w:ascii="Times New Roman" w:hAnsi="Times New Roman" w:cs="Times New Roman"/>
        </w:rPr>
      </w:pPr>
      <w:r>
        <w:rPr>
          <w:rFonts w:ascii="Times New Roman" w:hAnsi="Times New Roman" w:cs="Times New Roman"/>
        </w:rPr>
        <w:t>通过项目的实施，农业种植结构能进一步得以改善，项目区内高效经济作物种植面积增加，效益提高。</w:t>
      </w:r>
    </w:p>
    <w:p>
      <w:pPr>
        <w:ind w:firstLine="562"/>
        <w:rPr>
          <w:rFonts w:ascii="Times New Roman" w:hAnsi="Times New Roman" w:cs="Times New Roman"/>
        </w:rPr>
      </w:pPr>
      <w:r>
        <w:rPr>
          <w:rFonts w:ascii="Times New Roman" w:hAnsi="Times New Roman" w:cs="Times New Roman"/>
          <w:b/>
          <w:bCs/>
        </w:rPr>
        <w:t>综上，该项指标满分5分，得分5分。</w:t>
      </w:r>
    </w:p>
    <w:p>
      <w:pPr>
        <w:ind w:firstLine="562"/>
        <w:rPr>
          <w:rFonts w:ascii="Times New Roman" w:hAnsi="Times New Roman" w:cs="Times New Roman"/>
          <w:b/>
          <w:bCs/>
        </w:rPr>
      </w:pPr>
      <w:r>
        <w:rPr>
          <w:rFonts w:ascii="Times New Roman" w:hAnsi="Times New Roman" w:cs="Times New Roman"/>
          <w:b/>
          <w:bCs/>
        </w:rPr>
        <w:t>5.满意度指标</w:t>
      </w:r>
    </w:p>
    <w:p>
      <w:pPr>
        <w:ind w:firstLine="560"/>
        <w:rPr>
          <w:rFonts w:ascii="Times New Roman" w:hAnsi="Times New Roman" w:cs="Times New Roman"/>
          <w:b/>
          <w:bCs/>
        </w:rPr>
      </w:pPr>
      <w:r>
        <w:rPr>
          <w:rFonts w:ascii="Times New Roman" w:hAnsi="Times New Roman" w:cs="Times New Roman"/>
        </w:rPr>
        <w:t>“受益群众满意率”指标，预期指标值为≧90%，实际完成为90%。</w:t>
      </w:r>
    </w:p>
    <w:p>
      <w:pPr>
        <w:ind w:firstLine="562"/>
        <w:rPr>
          <w:rFonts w:ascii="Times New Roman" w:hAnsi="Times New Roman" w:cs="Times New Roman"/>
          <w:b/>
          <w:bCs/>
        </w:rPr>
      </w:pPr>
      <w:r>
        <w:rPr>
          <w:rFonts w:ascii="Times New Roman" w:hAnsi="Times New Roman" w:cs="Times New Roman"/>
          <w:b/>
          <w:bCs/>
        </w:rPr>
        <w:t>综上，该项指标满分5分，得分5分。</w:t>
      </w:r>
    </w:p>
    <w:p>
      <w:pPr>
        <w:pStyle w:val="3"/>
        <w:numPr>
          <w:ilvl w:val="0"/>
          <w:numId w:val="4"/>
        </w:numPr>
        <w:spacing w:line="360" w:lineRule="auto"/>
        <w:ind w:firstLine="643"/>
        <w:rPr>
          <w:rFonts w:eastAsia="宋体" w:cs="Times New Roman"/>
          <w:b/>
          <w:color w:val="000000"/>
          <w:kern w:val="2"/>
          <w:szCs w:val="28"/>
        </w:rPr>
      </w:pPr>
      <w:r>
        <w:rPr>
          <w:rFonts w:hint="eastAsia" w:eastAsia="宋体" w:cs="Times New Roman"/>
          <w:b/>
          <w:color w:val="000000"/>
          <w:kern w:val="2"/>
          <w:szCs w:val="28"/>
        </w:rPr>
        <w:t>预算执行进度与绩效指标偏差</w:t>
      </w:r>
    </w:p>
    <w:p>
      <w:pPr>
        <w:ind w:firstLine="560"/>
        <w:rPr>
          <w:rFonts w:ascii="Times New Roman" w:hAnsi="Times New Roman" w:cs="Times New Roman"/>
        </w:rPr>
      </w:pPr>
      <w:r>
        <w:rPr>
          <w:rFonts w:hint="eastAsia" w:ascii="Times New Roman" w:hAnsi="Times New Roman" w:cs="Times New Roman"/>
        </w:rPr>
        <w:t>本项目预算执行率为72%，指标总体完成率为89%，二者之间的偏差为17%。本项目按照目标任务已完成建设内容， 收尾工作结束后，验收合格按照合同支付剩余资金，因此，本项目较好的完成了年度总体目标，财政资金使用效益和效率较高。</w:t>
      </w:r>
    </w:p>
    <w:p>
      <w:pPr>
        <w:pStyle w:val="3"/>
        <w:spacing w:line="360" w:lineRule="auto"/>
        <w:ind w:firstLine="0" w:firstLineChars="0"/>
        <w:rPr>
          <w:rFonts w:eastAsia="宋体" w:cs="Times New Roman"/>
          <w:b/>
          <w:color w:val="000000"/>
          <w:kern w:val="2"/>
          <w:szCs w:val="28"/>
        </w:rPr>
      </w:pPr>
      <w:r>
        <w:rPr>
          <w:rFonts w:hint="eastAsia" w:eastAsia="宋体" w:cs="Times New Roman"/>
          <w:b/>
          <w:color w:val="000000"/>
          <w:kern w:val="2"/>
          <w:szCs w:val="28"/>
        </w:rPr>
        <w:t xml:space="preserve">    六</w:t>
      </w:r>
      <w:r>
        <w:rPr>
          <w:rFonts w:eastAsia="宋体" w:cs="Times New Roman"/>
          <w:b/>
          <w:color w:val="000000"/>
          <w:kern w:val="2"/>
          <w:szCs w:val="28"/>
        </w:rPr>
        <w:t>、主要经验及做法、存在的问题及原因分析</w:t>
      </w:r>
    </w:p>
    <w:p>
      <w:pPr>
        <w:ind w:left="560" w:firstLine="0" w:firstLineChars="0"/>
        <w:rPr>
          <w:rFonts w:ascii="Times New Roman" w:hAnsi="Times New Roman" w:cs="Times New Roman"/>
          <w:b/>
          <w:bCs/>
        </w:rPr>
      </w:pPr>
      <w:bookmarkStart w:id="12" w:name="_Toc28290"/>
      <w:bookmarkStart w:id="13" w:name="_Toc1921"/>
      <w:r>
        <w:rPr>
          <w:rFonts w:ascii="Times New Roman" w:hAnsi="Times New Roman" w:cs="Times New Roman"/>
          <w:b/>
          <w:bCs/>
        </w:rPr>
        <w:t>（一）主要经验及做法</w:t>
      </w:r>
      <w:bookmarkEnd w:id="12"/>
      <w:bookmarkEnd w:id="13"/>
    </w:p>
    <w:p>
      <w:pPr>
        <w:ind w:firstLine="562"/>
        <w:rPr>
          <w:rFonts w:ascii="Times New Roman" w:hAnsi="Times New Roman" w:cs="Times New Roman"/>
        </w:rPr>
      </w:pPr>
      <w:r>
        <w:rPr>
          <w:rFonts w:hint="eastAsia" w:ascii="Times New Roman" w:hAnsi="Times New Roman" w:cs="Times New Roman"/>
          <w:b/>
          <w:bCs/>
        </w:rPr>
        <w:t>一是</w:t>
      </w:r>
      <w:r>
        <w:rPr>
          <w:rFonts w:ascii="Times New Roman" w:hAnsi="Times New Roman" w:cs="Times New Roman"/>
        </w:rPr>
        <w:t>重视前期工作，做好实施方案</w:t>
      </w:r>
      <w:r>
        <w:rPr>
          <w:rFonts w:hint="eastAsia" w:ascii="Times New Roman" w:hAnsi="Times New Roman" w:cs="Times New Roman"/>
        </w:rPr>
        <w:t>。</w:t>
      </w:r>
      <w:r>
        <w:rPr>
          <w:rFonts w:ascii="Times New Roman" w:hAnsi="Times New Roman" w:cs="Times New Roman"/>
        </w:rPr>
        <w:t>高标准农田建设项目的申报工作从实施方案做起。</w:t>
      </w:r>
      <w:r>
        <w:rPr>
          <w:rFonts w:hint="eastAsia" w:ascii="Times New Roman" w:hAnsi="Times New Roman" w:cs="Times New Roman"/>
        </w:rPr>
        <w:t>建设单位通过关口前置，</w:t>
      </w:r>
      <w:r>
        <w:rPr>
          <w:rFonts w:ascii="Times New Roman" w:hAnsi="Times New Roman" w:cs="Times New Roman"/>
        </w:rPr>
        <w:t>把项目单位之所需、项目单位之所想、项目单位之所困作为设计工作的基础，在做设计的过程中让这些因素得到充分考量和体现，细化实化工程任务，协调推进工程建设。建设单位积极配合设计单位呈现实情，设计单位应深入现场，全面把握第一手资料，使实施方案科学合理、切合实际。在进行可行性研究时，强调可行性</w:t>
      </w:r>
      <w:r>
        <w:rPr>
          <w:rFonts w:hint="eastAsia" w:ascii="Times New Roman" w:hAnsi="Times New Roman" w:cs="Times New Roman"/>
        </w:rPr>
        <w:t>和可操作性</w:t>
      </w:r>
      <w:r>
        <w:rPr>
          <w:rFonts w:ascii="Times New Roman" w:hAnsi="Times New Roman" w:cs="Times New Roman"/>
        </w:rPr>
        <w:t>，以实事求是的态度对待可行性研究工作，注重建设地点是否可以落实、项目建设外部条件是否具备、建设内容规模是否科学合理、切合实际等，避免立项后存在先天不足，影响项目实施。</w:t>
      </w:r>
    </w:p>
    <w:p>
      <w:pPr>
        <w:ind w:firstLine="562"/>
        <w:rPr>
          <w:rFonts w:ascii="Times New Roman" w:hAnsi="Times New Roman" w:cs="Times New Roman"/>
        </w:rPr>
      </w:pPr>
      <w:r>
        <w:rPr>
          <w:rFonts w:hint="eastAsia" w:ascii="Times New Roman" w:hAnsi="Times New Roman" w:cs="Times New Roman"/>
          <w:b/>
          <w:bCs/>
        </w:rPr>
        <w:t>二是</w:t>
      </w:r>
      <w:r>
        <w:rPr>
          <w:rFonts w:ascii="Times New Roman" w:hAnsi="Times New Roman" w:cs="Times New Roman"/>
        </w:rPr>
        <w:t>加强施工管理，做好工程管护</w:t>
      </w:r>
      <w:r>
        <w:rPr>
          <w:rFonts w:hint="eastAsia" w:ascii="Times New Roman" w:hAnsi="Times New Roman" w:cs="Times New Roman"/>
        </w:rPr>
        <w:t>。</w:t>
      </w:r>
      <w:r>
        <w:rPr>
          <w:rFonts w:ascii="Times New Roman" w:hAnsi="Times New Roman" w:cs="Times New Roman"/>
        </w:rPr>
        <w:t>高标准农田建设项目的工程投资大、施工任务重、工期短、技术要求高，</w:t>
      </w:r>
      <w:r>
        <w:rPr>
          <w:rFonts w:hint="eastAsia" w:ascii="Times New Roman" w:hAnsi="Times New Roman" w:cs="Times New Roman"/>
        </w:rPr>
        <w:t>建设单位通过严格落实工程建设“四制”，</w:t>
      </w:r>
      <w:r>
        <w:rPr>
          <w:rFonts w:ascii="Times New Roman" w:hAnsi="Times New Roman" w:cs="Times New Roman"/>
        </w:rPr>
        <w:t>加强施工期间的领导和管理，选择具有资质的施工单位进行科学规范系统的工程施工，确保工程质量和工期</w:t>
      </w:r>
      <w:r>
        <w:rPr>
          <w:rFonts w:hint="eastAsia" w:ascii="Times New Roman" w:hAnsi="Times New Roman" w:cs="Times New Roman"/>
        </w:rPr>
        <w:t>，确保工程项目保质保量完成。</w:t>
      </w:r>
    </w:p>
    <w:p>
      <w:pPr>
        <w:ind w:firstLine="562"/>
        <w:rPr>
          <w:rFonts w:ascii="Times New Roman" w:hAnsi="Times New Roman" w:cs="Times New Roman"/>
        </w:rPr>
      </w:pPr>
      <w:r>
        <w:rPr>
          <w:rFonts w:hint="eastAsia" w:ascii="Times New Roman" w:hAnsi="Times New Roman" w:cs="Times New Roman"/>
          <w:b/>
          <w:bCs/>
        </w:rPr>
        <w:t>三是</w:t>
      </w:r>
      <w:r>
        <w:rPr>
          <w:rFonts w:ascii="Times New Roman" w:hAnsi="Times New Roman" w:cs="Times New Roman"/>
        </w:rPr>
        <w:t>高标准农田建设项目建成后建立政府主导、农村集体经济组织管理、农户和专业管护人员实施的管护体系。按照“谁受益谁管护”的原则，明确管护主体、管护责任和管护义务，办理移交手续，签订后期管护合同，确保固定资产不流失。由管护主体对各项农田工程设施进行经常性检查维护，确保工程长久发挥效益，切实改变重建轻管的局面。</w:t>
      </w:r>
    </w:p>
    <w:p>
      <w:pPr>
        <w:ind w:firstLine="560"/>
        <w:rPr>
          <w:rFonts w:ascii="Times New Roman" w:hAnsi="Times New Roman" w:cs="Times New Roman"/>
        </w:rPr>
      </w:pPr>
      <w:r>
        <w:rPr>
          <w:rFonts w:ascii="Times New Roman" w:hAnsi="Times New Roman" w:cs="Times New Roman"/>
        </w:rPr>
        <w:t>（二）存在的问题及原因分析</w:t>
      </w:r>
    </w:p>
    <w:p>
      <w:pPr>
        <w:ind w:firstLine="562"/>
        <w:rPr>
          <w:rFonts w:ascii="Times New Roman" w:hAnsi="Times New Roman" w:cs="Times New Roman"/>
        </w:rPr>
      </w:pPr>
      <w:r>
        <w:rPr>
          <w:rFonts w:hint="eastAsia" w:ascii="Times New Roman" w:hAnsi="Times New Roman" w:cs="Times New Roman"/>
          <w:b/>
          <w:bCs/>
        </w:rPr>
        <w:t>一是</w:t>
      </w:r>
      <w:r>
        <w:rPr>
          <w:rFonts w:ascii="Times New Roman" w:hAnsi="Times New Roman" w:cs="Times New Roman"/>
        </w:rPr>
        <w:t>项目在绩效目标表基础上未进行进一步细化，未制定明确合理可衡量的指标。如：高标准农田建设项目绩效目标表“粮食综合生产能力明显提升”、“水资源利用率逐步提升”、“耕地质量逐步提升”、“农业种植结构进一步优化”。</w:t>
      </w:r>
      <w:r>
        <w:rPr>
          <w:rFonts w:hint="eastAsia" w:ascii="Times New Roman" w:hAnsi="Times New Roman" w:cs="Times New Roman"/>
        </w:rPr>
        <w:t>等指标未完全量化。</w:t>
      </w:r>
    </w:p>
    <w:p>
      <w:pPr>
        <w:ind w:firstLine="562"/>
        <w:rPr>
          <w:rFonts w:ascii="Times New Roman" w:hAnsi="Times New Roman" w:cs="Times New Roman"/>
        </w:rPr>
      </w:pPr>
      <w:r>
        <w:rPr>
          <w:rFonts w:hint="eastAsia" w:ascii="Times New Roman" w:hAnsi="Times New Roman" w:cs="Times New Roman"/>
          <w:b/>
          <w:bCs/>
        </w:rPr>
        <w:t>二是</w:t>
      </w:r>
      <w:r>
        <w:rPr>
          <w:rFonts w:ascii="Times New Roman" w:hAnsi="Times New Roman" w:cs="Times New Roman"/>
        </w:rPr>
        <w:t>项目未针对项目设计、申报、评审、组织实施、验收、管护机制等内容制定明确管理制度</w:t>
      </w:r>
      <w:r>
        <w:rPr>
          <w:rFonts w:hint="eastAsia" w:ascii="Times New Roman" w:hAnsi="Times New Roman" w:cs="Times New Roman"/>
        </w:rPr>
        <w:t>或管理办法</w:t>
      </w:r>
      <w:r>
        <w:rPr>
          <w:rFonts w:ascii="Times New Roman" w:hAnsi="Times New Roman" w:cs="Times New Roman"/>
        </w:rPr>
        <w:t>。</w:t>
      </w:r>
    </w:p>
    <w:p>
      <w:pPr>
        <w:numPr>
          <w:ilvl w:val="0"/>
          <w:numId w:val="5"/>
        </w:numPr>
        <w:ind w:firstLine="562"/>
        <w:rPr>
          <w:rFonts w:ascii="Times New Roman" w:hAnsi="Times New Roman" w:cs="Times New Roman"/>
          <w:b/>
          <w:bCs/>
        </w:rPr>
      </w:pPr>
      <w:r>
        <w:rPr>
          <w:rFonts w:ascii="Times New Roman" w:hAnsi="Times New Roman" w:cs="Times New Roman"/>
          <w:b/>
          <w:bCs/>
        </w:rPr>
        <w:t>有关建议</w:t>
      </w:r>
    </w:p>
    <w:p>
      <w:pPr>
        <w:ind w:firstLine="0" w:firstLineChars="0"/>
        <w:rPr>
          <w:rFonts w:ascii="Times New Roman" w:hAnsi="Times New Roman" w:cs="Times New Roman"/>
        </w:rPr>
      </w:pPr>
      <w:r>
        <w:rPr>
          <w:rFonts w:hint="eastAsia" w:ascii="Times New Roman" w:hAnsi="Times New Roman" w:cs="Times New Roman"/>
          <w:b/>
          <w:bCs/>
        </w:rPr>
        <w:t xml:space="preserve">    </w:t>
      </w:r>
      <w:r>
        <w:rPr>
          <w:rFonts w:ascii="Times New Roman" w:hAnsi="Times New Roman" w:cs="Times New Roman"/>
          <w:b/>
          <w:bCs/>
        </w:rPr>
        <w:t>一是</w:t>
      </w:r>
      <w:r>
        <w:rPr>
          <w:rFonts w:ascii="Times New Roman" w:hAnsi="Times New Roman" w:cs="Times New Roman"/>
        </w:rPr>
        <w:t>项目的实施可进一步完善农田基础设施，改善项目区农业生产条件，但要取得显著的经济效益、社会效益和生态效益，还必须建立一整套科学的经营管理体制。因此，要加大科技投入，努力抓好农民技术培训和农业科技服务体系建设。</w:t>
      </w:r>
    </w:p>
    <w:p>
      <w:pPr>
        <w:pStyle w:val="3"/>
        <w:spacing w:line="360" w:lineRule="auto"/>
        <w:ind w:firstLine="562"/>
        <w:rPr>
          <w:rFonts w:eastAsia="宋体" w:cs="Times New Roman"/>
          <w:kern w:val="2"/>
          <w:sz w:val="28"/>
          <w:szCs w:val="28"/>
        </w:rPr>
      </w:pPr>
      <w:r>
        <w:rPr>
          <w:rFonts w:eastAsia="宋体" w:cs="Times New Roman"/>
          <w:b/>
          <w:bCs/>
          <w:kern w:val="2"/>
          <w:sz w:val="28"/>
          <w:szCs w:val="28"/>
        </w:rPr>
        <w:t>二是</w:t>
      </w:r>
      <w:r>
        <w:rPr>
          <w:rFonts w:eastAsia="宋体" w:cs="Times New Roman"/>
          <w:kern w:val="2"/>
          <w:sz w:val="28"/>
          <w:szCs w:val="28"/>
        </w:rPr>
        <w:t>项目实施后，为提高作物产量，必然会增加投入，农药、化肥等的使用量将增加，为保护环境，大力发展绿色农产品，应广泛使用高效低残留农药和使用复混肥为主，降低对土壤生态环境的污染。</w:t>
      </w:r>
    </w:p>
    <w:p>
      <w:pPr>
        <w:pStyle w:val="3"/>
        <w:spacing w:line="360" w:lineRule="auto"/>
        <w:ind w:firstLine="723"/>
        <w:rPr>
          <w:rFonts w:eastAsia="宋体" w:cs="Times New Roman"/>
          <w:b/>
          <w:bCs/>
        </w:rPr>
      </w:pPr>
      <w:r>
        <w:rPr>
          <w:rFonts w:hint="eastAsia" w:eastAsia="宋体" w:cs="Times New Roman"/>
          <w:b/>
          <w:bCs/>
          <w:sz w:val="36"/>
          <w:szCs w:val="36"/>
        </w:rPr>
        <w:t>八</w:t>
      </w:r>
      <w:r>
        <w:rPr>
          <w:rFonts w:eastAsia="宋体" w:cs="Times New Roman"/>
          <w:b/>
          <w:bCs/>
          <w:sz w:val="36"/>
          <w:szCs w:val="36"/>
        </w:rPr>
        <w:t>、</w:t>
      </w:r>
      <w:r>
        <w:rPr>
          <w:rFonts w:eastAsia="宋体" w:cs="Times New Roman"/>
          <w:b/>
          <w:bCs/>
        </w:rPr>
        <w:t>其他需要说明的问题</w:t>
      </w:r>
    </w:p>
    <w:p>
      <w:pPr>
        <w:ind w:firstLine="560"/>
        <w:rPr>
          <w:rFonts w:ascii="Times New Roman" w:hAnsi="Times New Roman" w:cs="Times New Roman"/>
        </w:rPr>
      </w:pPr>
      <w:r>
        <w:rPr>
          <w:rFonts w:ascii="Times New Roman" w:hAnsi="Times New Roman" w:cs="Times New Roman"/>
        </w:rPr>
        <w:t>无其他需要说明的问题。</w:t>
      </w:r>
    </w:p>
    <w:p>
      <w:pPr>
        <w:ind w:firstLine="560"/>
        <w:rPr>
          <w:rFonts w:ascii="Times New Roman" w:hAnsi="Times New Roman" w:cs="Times New Roman"/>
          <w:color w:val="000000"/>
        </w:rPr>
      </w:pPr>
    </w:p>
    <w:p>
      <w:pPr>
        <w:ind w:firstLine="0" w:firstLineChars="0"/>
        <w:rPr>
          <w:rFonts w:ascii="Times New Roman" w:hAnsi="Times New Roman" w:cs="Times New Roman"/>
        </w:rPr>
      </w:pPr>
    </w:p>
    <w:p>
      <w:pPr>
        <w:pStyle w:val="2"/>
        <w:ind w:firstLine="482"/>
      </w:pPr>
    </w:p>
    <w:tbl>
      <w:tblPr>
        <w:tblStyle w:val="9"/>
        <w:tblW w:w="8330" w:type="dxa"/>
        <w:tblInd w:w="0" w:type="dxa"/>
        <w:tblLayout w:type="fixed"/>
        <w:tblCellMar>
          <w:top w:w="0" w:type="dxa"/>
          <w:left w:w="0" w:type="dxa"/>
          <w:bottom w:w="0" w:type="dxa"/>
          <w:right w:w="0" w:type="dxa"/>
        </w:tblCellMar>
      </w:tblPr>
      <w:tblGrid>
        <w:gridCol w:w="515"/>
        <w:gridCol w:w="516"/>
        <w:gridCol w:w="1215"/>
        <w:gridCol w:w="1047"/>
        <w:gridCol w:w="692"/>
        <w:gridCol w:w="1067"/>
        <w:gridCol w:w="752"/>
        <w:gridCol w:w="582"/>
        <w:gridCol w:w="648"/>
        <w:gridCol w:w="714"/>
        <w:gridCol w:w="582"/>
      </w:tblGrid>
      <w:tr>
        <w:tblPrEx>
          <w:tblCellMar>
            <w:top w:w="0" w:type="dxa"/>
            <w:left w:w="0" w:type="dxa"/>
            <w:bottom w:w="0" w:type="dxa"/>
            <w:right w:w="0" w:type="dxa"/>
          </w:tblCellMar>
        </w:tblPrEx>
        <w:trPr>
          <w:trHeight w:val="222" w:hRule="atLeast"/>
        </w:trPr>
        <w:tc>
          <w:tcPr>
            <w:tcW w:w="1032" w:type="dxa"/>
            <w:gridSpan w:val="2"/>
            <w:tcBorders>
              <w:top w:val="nil"/>
              <w:left w:val="nil"/>
              <w:bottom w:val="nil"/>
              <w:right w:val="nil"/>
            </w:tcBorders>
            <w:tcMar>
              <w:top w:w="12" w:type="dxa"/>
              <w:left w:w="12" w:type="dxa"/>
              <w:right w:w="12" w:type="dxa"/>
            </w:tcMar>
            <w:vAlign w:val="center"/>
          </w:tcPr>
          <w:p>
            <w:pPr>
              <w:widowControl/>
              <w:spacing w:line="200" w:lineRule="exact"/>
              <w:ind w:firstLine="360"/>
              <w:jc w:val="left"/>
              <w:textAlignment w:val="center"/>
              <w:rPr>
                <w:rFonts w:ascii="黑体" w:eastAsia="黑体" w:cs="黑体"/>
                <w:color w:val="000000"/>
                <w:sz w:val="18"/>
                <w:szCs w:val="18"/>
              </w:rPr>
            </w:pPr>
            <w:r>
              <w:rPr>
                <w:rFonts w:hint="eastAsia" w:ascii="黑体" w:eastAsia="黑体" w:cs="黑体"/>
                <w:color w:val="000000"/>
                <w:kern w:val="0"/>
                <w:sz w:val="18"/>
                <w:szCs w:val="18"/>
              </w:rPr>
              <w:t>附件一</w:t>
            </w:r>
          </w:p>
        </w:tc>
        <w:tc>
          <w:tcPr>
            <w:tcW w:w="1215"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1047"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692"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1066"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752"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582"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648"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714"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c>
          <w:tcPr>
            <w:tcW w:w="582" w:type="dxa"/>
            <w:tcBorders>
              <w:top w:val="nil"/>
              <w:left w:val="nil"/>
              <w:bottom w:val="nil"/>
              <w:right w:val="nil"/>
            </w:tcBorders>
            <w:tcMar>
              <w:top w:w="12" w:type="dxa"/>
              <w:left w:w="12" w:type="dxa"/>
              <w:right w:w="12" w:type="dxa"/>
            </w:tcMar>
            <w:vAlign w:val="center"/>
          </w:tcPr>
          <w:p>
            <w:pPr>
              <w:spacing w:line="200" w:lineRule="exact"/>
              <w:ind w:firstLine="360"/>
              <w:rPr>
                <w:color w:val="000000"/>
                <w:sz w:val="18"/>
                <w:szCs w:val="18"/>
              </w:rPr>
            </w:pPr>
          </w:p>
        </w:tc>
      </w:tr>
      <w:tr>
        <w:tblPrEx>
          <w:tblCellMar>
            <w:top w:w="0" w:type="dxa"/>
            <w:left w:w="0" w:type="dxa"/>
            <w:bottom w:w="0" w:type="dxa"/>
            <w:right w:w="0" w:type="dxa"/>
          </w:tblCellMar>
        </w:tblPrEx>
        <w:trPr>
          <w:trHeight w:val="420" w:hRule="atLeast"/>
        </w:trPr>
        <w:tc>
          <w:tcPr>
            <w:tcW w:w="8330" w:type="dxa"/>
            <w:gridSpan w:val="11"/>
            <w:tcBorders>
              <w:top w:val="nil"/>
              <w:left w:val="nil"/>
              <w:bottom w:val="nil"/>
              <w:right w:val="nil"/>
            </w:tcBorders>
            <w:tcMar>
              <w:top w:w="12" w:type="dxa"/>
              <w:left w:w="12" w:type="dxa"/>
              <w:right w:w="12" w:type="dxa"/>
            </w:tcMar>
            <w:vAlign w:val="center"/>
          </w:tcPr>
          <w:p>
            <w:pPr>
              <w:widowControl/>
              <w:spacing w:line="160" w:lineRule="exact"/>
              <w:ind w:firstLine="361"/>
              <w:jc w:val="center"/>
              <w:textAlignment w:val="center"/>
              <w:rPr>
                <w:rFonts w:ascii="黑体" w:eastAsia="黑体" w:cs="黑体"/>
                <w:b/>
                <w:color w:val="000000"/>
                <w:sz w:val="18"/>
                <w:szCs w:val="18"/>
              </w:rPr>
            </w:pPr>
            <w:r>
              <w:rPr>
                <w:rFonts w:hint="eastAsia" w:ascii="黑体" w:eastAsia="黑体" w:cs="黑体"/>
                <w:b/>
                <w:color w:val="000000"/>
                <w:kern w:val="0"/>
                <w:sz w:val="18"/>
                <w:szCs w:val="18"/>
              </w:rPr>
              <w:t>项目支出绩效自评表</w:t>
            </w:r>
          </w:p>
        </w:tc>
      </w:tr>
      <w:tr>
        <w:tblPrEx>
          <w:tblCellMar>
            <w:top w:w="0" w:type="dxa"/>
            <w:left w:w="0" w:type="dxa"/>
            <w:bottom w:w="0" w:type="dxa"/>
            <w:right w:w="0" w:type="dxa"/>
          </w:tblCellMar>
        </w:tblPrEx>
        <w:trPr>
          <w:trHeight w:val="330" w:hRule="atLeast"/>
        </w:trPr>
        <w:tc>
          <w:tcPr>
            <w:tcW w:w="8330" w:type="dxa"/>
            <w:gridSpan w:val="11"/>
            <w:tcBorders>
              <w:top w:val="nil"/>
              <w:left w:val="nil"/>
              <w:bottom w:val="nil"/>
              <w:right w:val="nil"/>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（2022年度）</w:t>
            </w:r>
          </w:p>
        </w:tc>
      </w:tr>
      <w:tr>
        <w:tblPrEx>
          <w:tblCellMar>
            <w:top w:w="0" w:type="dxa"/>
            <w:left w:w="0" w:type="dxa"/>
            <w:bottom w:w="0" w:type="dxa"/>
            <w:right w:w="0" w:type="dxa"/>
          </w:tblCellMar>
        </w:tblPrEx>
        <w:trPr>
          <w:trHeight w:val="324" w:hRule="atLeast"/>
        </w:trPr>
        <w:tc>
          <w:tcPr>
            <w:tcW w:w="103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项目名称</w:t>
            </w:r>
          </w:p>
        </w:tc>
        <w:tc>
          <w:tcPr>
            <w:tcW w:w="7298" w:type="dxa"/>
            <w:gridSpan w:val="9"/>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1"/>
              <w:jc w:val="center"/>
              <w:textAlignment w:val="center"/>
              <w:rPr>
                <w:color w:val="000000"/>
                <w:sz w:val="18"/>
                <w:szCs w:val="18"/>
              </w:rPr>
            </w:pPr>
            <w:r>
              <w:rPr>
                <w:rFonts w:hint="eastAsia"/>
                <w:b/>
                <w:bCs/>
                <w:color w:val="000000"/>
                <w:kern w:val="0"/>
                <w:sz w:val="18"/>
                <w:szCs w:val="18"/>
              </w:rPr>
              <w:t>阜康市2022年1万亩高标准农田建设项目</w:t>
            </w:r>
          </w:p>
        </w:tc>
      </w:tr>
      <w:tr>
        <w:tblPrEx>
          <w:tblCellMar>
            <w:top w:w="0" w:type="dxa"/>
            <w:left w:w="0" w:type="dxa"/>
            <w:bottom w:w="0" w:type="dxa"/>
            <w:right w:w="0" w:type="dxa"/>
          </w:tblCellMar>
        </w:tblPrEx>
        <w:trPr>
          <w:trHeight w:val="432" w:hRule="atLeast"/>
        </w:trPr>
        <w:tc>
          <w:tcPr>
            <w:tcW w:w="103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主管部门</w:t>
            </w:r>
          </w:p>
        </w:tc>
        <w:tc>
          <w:tcPr>
            <w:tcW w:w="4020"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阜康市农业农村局</w:t>
            </w:r>
          </w:p>
        </w:tc>
        <w:tc>
          <w:tcPr>
            <w:tcW w:w="1334"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实施单位</w:t>
            </w:r>
          </w:p>
        </w:tc>
        <w:tc>
          <w:tcPr>
            <w:tcW w:w="1944"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r>
              <w:rPr>
                <w:rFonts w:hint="eastAsia"/>
                <w:color w:val="000000"/>
                <w:kern w:val="0"/>
                <w:sz w:val="18"/>
                <w:szCs w:val="18"/>
              </w:rPr>
              <w:t>阜康市农业农村局</w:t>
            </w:r>
          </w:p>
        </w:tc>
      </w:tr>
      <w:tr>
        <w:tblPrEx>
          <w:tblCellMar>
            <w:top w:w="0" w:type="dxa"/>
            <w:left w:w="0" w:type="dxa"/>
            <w:bottom w:w="0" w:type="dxa"/>
            <w:right w:w="0" w:type="dxa"/>
          </w:tblCellMar>
        </w:tblPrEx>
        <w:trPr>
          <w:trHeight w:val="420" w:hRule="atLeast"/>
        </w:trPr>
        <w:tc>
          <w:tcPr>
            <w:tcW w:w="1032" w:type="dxa"/>
            <w:gridSpan w:val="2"/>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kern w:val="0"/>
                <w:sz w:val="18"/>
                <w:szCs w:val="18"/>
              </w:rPr>
            </w:pPr>
            <w:r>
              <w:rPr>
                <w:rFonts w:hint="eastAsia"/>
                <w:color w:val="000000"/>
                <w:kern w:val="0"/>
                <w:sz w:val="18"/>
                <w:szCs w:val="18"/>
              </w:rPr>
              <w:t>项目资金</w:t>
            </w:r>
          </w:p>
          <w:p>
            <w:pPr>
              <w:widowControl/>
              <w:spacing w:line="160" w:lineRule="exact"/>
              <w:ind w:firstLine="0" w:firstLineChars="0"/>
              <w:textAlignment w:val="center"/>
              <w:rPr>
                <w:color w:val="000000"/>
                <w:sz w:val="18"/>
                <w:szCs w:val="18"/>
              </w:rPr>
            </w:pPr>
            <w:r>
              <w:rPr>
                <w:rFonts w:hint="eastAsia"/>
                <w:color w:val="000000"/>
                <w:kern w:val="0"/>
                <w:sz w:val="18"/>
                <w:szCs w:val="18"/>
              </w:rPr>
              <w:t>（万元）</w:t>
            </w:r>
          </w:p>
        </w:tc>
        <w:tc>
          <w:tcPr>
            <w:tcW w:w="226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年初预算数</w:t>
            </w:r>
          </w:p>
        </w:tc>
        <w:tc>
          <w:tcPr>
            <w:tcW w:w="106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全年预算数</w:t>
            </w:r>
          </w:p>
        </w:tc>
        <w:tc>
          <w:tcPr>
            <w:tcW w:w="1334"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全年执行数</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分值</w:t>
            </w:r>
          </w:p>
        </w:tc>
        <w:tc>
          <w:tcPr>
            <w:tcW w:w="71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执行率</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得分</w:t>
            </w:r>
          </w:p>
        </w:tc>
      </w:tr>
      <w:tr>
        <w:tblPrEx>
          <w:tblCellMar>
            <w:top w:w="0" w:type="dxa"/>
            <w:left w:w="0" w:type="dxa"/>
            <w:bottom w:w="0" w:type="dxa"/>
            <w:right w:w="0" w:type="dxa"/>
          </w:tblCellMar>
        </w:tblPrEx>
        <w:trPr>
          <w:trHeight w:val="762"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226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textAlignment w:val="center"/>
              <w:rPr>
                <w:color w:val="000000"/>
                <w:sz w:val="18"/>
                <w:szCs w:val="18"/>
              </w:rPr>
            </w:pPr>
            <w:r>
              <w:rPr>
                <w:rFonts w:hint="eastAsia"/>
                <w:color w:val="000000"/>
                <w:kern w:val="0"/>
                <w:sz w:val="18"/>
                <w:szCs w:val="18"/>
              </w:rPr>
              <w:t>年度资金总额</w:t>
            </w:r>
          </w:p>
        </w:tc>
        <w:tc>
          <w:tcPr>
            <w:tcW w:w="69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2393</w:t>
            </w:r>
          </w:p>
        </w:tc>
        <w:tc>
          <w:tcPr>
            <w:tcW w:w="106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2393</w:t>
            </w:r>
          </w:p>
        </w:tc>
        <w:tc>
          <w:tcPr>
            <w:tcW w:w="1334"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rFonts w:hint="default" w:eastAsia="宋体"/>
                <w:color w:val="000000"/>
                <w:sz w:val="18"/>
                <w:szCs w:val="18"/>
                <w:lang w:val="en-US" w:eastAsia="zh-CN"/>
              </w:rPr>
            </w:pPr>
            <w:r>
              <w:rPr>
                <w:rFonts w:hint="eastAsia"/>
                <w:color w:val="000000"/>
                <w:sz w:val="18"/>
                <w:szCs w:val="18"/>
              </w:rPr>
              <w:t>1715</w:t>
            </w:r>
            <w:r>
              <w:rPr>
                <w:rFonts w:hint="eastAsia"/>
                <w:color w:val="000000"/>
                <w:sz w:val="18"/>
                <w:szCs w:val="18"/>
                <w:lang w:val="en-US" w:eastAsia="zh-CN"/>
              </w:rPr>
              <w:t>.21</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textAlignment w:val="center"/>
              <w:rPr>
                <w:color w:val="000000"/>
                <w:sz w:val="18"/>
                <w:szCs w:val="18"/>
              </w:rPr>
            </w:pPr>
            <w:r>
              <w:rPr>
                <w:rFonts w:hint="eastAsia"/>
                <w:color w:val="000000"/>
                <w:kern w:val="0"/>
                <w:sz w:val="18"/>
                <w:szCs w:val="18"/>
              </w:rPr>
              <w:t>10</w:t>
            </w:r>
          </w:p>
        </w:tc>
        <w:tc>
          <w:tcPr>
            <w:tcW w:w="71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sz w:val="18"/>
                <w:szCs w:val="18"/>
              </w:rPr>
              <w:t>72</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7.2</w:t>
            </w:r>
          </w:p>
        </w:tc>
      </w:tr>
      <w:tr>
        <w:tblPrEx>
          <w:tblCellMar>
            <w:top w:w="0" w:type="dxa"/>
            <w:left w:w="0" w:type="dxa"/>
            <w:bottom w:w="0" w:type="dxa"/>
            <w:right w:w="0" w:type="dxa"/>
          </w:tblCellMar>
        </w:tblPrEx>
        <w:trPr>
          <w:trHeight w:val="330"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226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其中：当年财政拨款</w:t>
            </w:r>
          </w:p>
        </w:tc>
        <w:tc>
          <w:tcPr>
            <w:tcW w:w="69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1500</w:t>
            </w:r>
          </w:p>
        </w:tc>
        <w:tc>
          <w:tcPr>
            <w:tcW w:w="106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1500</w:t>
            </w:r>
          </w:p>
        </w:tc>
        <w:tc>
          <w:tcPr>
            <w:tcW w:w="1334"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822.21</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c>
          <w:tcPr>
            <w:tcW w:w="71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r>
      <w:tr>
        <w:tblPrEx>
          <w:tblCellMar>
            <w:top w:w="0" w:type="dxa"/>
            <w:left w:w="0" w:type="dxa"/>
            <w:bottom w:w="0" w:type="dxa"/>
            <w:right w:w="0" w:type="dxa"/>
          </w:tblCellMar>
        </w:tblPrEx>
        <w:trPr>
          <w:trHeight w:val="330"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226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 xml:space="preserve">      上年结转资金</w:t>
            </w:r>
          </w:p>
        </w:tc>
        <w:tc>
          <w:tcPr>
            <w:tcW w:w="69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textAlignment w:val="center"/>
              <w:rPr>
                <w:color w:val="000000"/>
                <w:sz w:val="18"/>
                <w:szCs w:val="18"/>
              </w:rPr>
            </w:pPr>
            <w:r>
              <w:rPr>
                <w:rFonts w:hint="eastAsia"/>
                <w:color w:val="000000"/>
                <w:kern w:val="0"/>
                <w:sz w:val="18"/>
                <w:szCs w:val="18"/>
              </w:rPr>
              <w:t>0</w:t>
            </w:r>
          </w:p>
        </w:tc>
        <w:tc>
          <w:tcPr>
            <w:tcW w:w="106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0</w:t>
            </w:r>
          </w:p>
        </w:tc>
        <w:tc>
          <w:tcPr>
            <w:tcW w:w="1334"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c>
          <w:tcPr>
            <w:tcW w:w="71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r>
      <w:tr>
        <w:tblPrEx>
          <w:tblCellMar>
            <w:top w:w="0" w:type="dxa"/>
            <w:left w:w="0" w:type="dxa"/>
            <w:bottom w:w="0" w:type="dxa"/>
            <w:right w:w="0" w:type="dxa"/>
          </w:tblCellMar>
        </w:tblPrEx>
        <w:trPr>
          <w:trHeight w:val="330"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226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 xml:space="preserve">  其他资金</w:t>
            </w:r>
          </w:p>
        </w:tc>
        <w:tc>
          <w:tcPr>
            <w:tcW w:w="69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textAlignment w:val="center"/>
              <w:rPr>
                <w:color w:val="000000"/>
                <w:sz w:val="18"/>
                <w:szCs w:val="18"/>
              </w:rPr>
            </w:pPr>
            <w:r>
              <w:rPr>
                <w:rFonts w:hint="eastAsia"/>
                <w:color w:val="000000"/>
                <w:sz w:val="18"/>
                <w:szCs w:val="18"/>
              </w:rPr>
              <w:t>893</w:t>
            </w:r>
          </w:p>
        </w:tc>
        <w:tc>
          <w:tcPr>
            <w:tcW w:w="106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sz w:val="18"/>
                <w:szCs w:val="18"/>
              </w:rPr>
              <w:t>893</w:t>
            </w:r>
          </w:p>
        </w:tc>
        <w:tc>
          <w:tcPr>
            <w:tcW w:w="1334"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sz w:val="18"/>
                <w:szCs w:val="18"/>
              </w:rPr>
              <w:t>893</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c>
          <w:tcPr>
            <w:tcW w:w="71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rPr>
                <w:color w:val="000000"/>
                <w:sz w:val="18"/>
                <w:szCs w:val="18"/>
              </w:rPr>
            </w:pP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r>
      <w:tr>
        <w:tblPrEx>
          <w:tblCellMar>
            <w:top w:w="0" w:type="dxa"/>
            <w:left w:w="0" w:type="dxa"/>
            <w:bottom w:w="0" w:type="dxa"/>
            <w:right w:w="0" w:type="dxa"/>
          </w:tblCellMar>
        </w:tblPrEx>
        <w:trPr>
          <w:trHeight w:val="330" w:hRule="atLeast"/>
        </w:trPr>
        <w:tc>
          <w:tcPr>
            <w:tcW w:w="51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textAlignment w:val="center"/>
              <w:rPr>
                <w:color w:val="000000"/>
                <w:sz w:val="18"/>
                <w:szCs w:val="18"/>
              </w:rPr>
            </w:pPr>
            <w:r>
              <w:rPr>
                <w:rFonts w:hint="eastAsia"/>
                <w:color w:val="000000"/>
                <w:kern w:val="0"/>
                <w:sz w:val="18"/>
                <w:szCs w:val="18"/>
              </w:rPr>
              <w:t>年度总体目标</w:t>
            </w:r>
          </w:p>
        </w:tc>
        <w:tc>
          <w:tcPr>
            <w:tcW w:w="4536" w:type="dxa"/>
            <w:gridSpan w:val="5"/>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预期目标</w:t>
            </w:r>
          </w:p>
        </w:tc>
        <w:tc>
          <w:tcPr>
            <w:tcW w:w="3278" w:type="dxa"/>
            <w:gridSpan w:val="5"/>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实际完成情况</w:t>
            </w:r>
          </w:p>
        </w:tc>
      </w:tr>
      <w:tr>
        <w:tblPrEx>
          <w:tblCellMar>
            <w:top w:w="0" w:type="dxa"/>
            <w:left w:w="0" w:type="dxa"/>
            <w:bottom w:w="0" w:type="dxa"/>
            <w:right w:w="0" w:type="dxa"/>
          </w:tblCellMar>
        </w:tblPrEx>
        <w:trPr>
          <w:trHeight w:val="923" w:hRule="atLeast"/>
        </w:trPr>
        <w:tc>
          <w:tcPr>
            <w:tcW w:w="51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c>
          <w:tcPr>
            <w:tcW w:w="4536" w:type="dxa"/>
            <w:gridSpan w:val="5"/>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00"/>
              <w:jc w:val="left"/>
              <w:textAlignment w:val="center"/>
              <w:rPr>
                <w:color w:val="000000"/>
                <w:sz w:val="18"/>
                <w:szCs w:val="18"/>
              </w:rPr>
            </w:pPr>
            <w:r>
              <w:rPr>
                <w:rFonts w:hint="eastAsia"/>
                <w:color w:val="000000"/>
                <w:kern w:val="0"/>
                <w:sz w:val="15"/>
                <w:szCs w:val="15"/>
              </w:rPr>
              <w:t>1：新建1万亩高标准农田面积，提升农田灌溉排水和节水能力。</w:t>
            </w:r>
            <w:r>
              <w:rPr>
                <w:rFonts w:hint="eastAsia"/>
                <w:color w:val="000000"/>
                <w:kern w:val="0"/>
                <w:sz w:val="15"/>
                <w:szCs w:val="15"/>
              </w:rPr>
              <w:br w:type="textWrapping"/>
            </w:r>
            <w:r>
              <w:rPr>
                <w:rFonts w:hint="eastAsia"/>
                <w:color w:val="000000"/>
                <w:kern w:val="0"/>
                <w:sz w:val="15"/>
                <w:szCs w:val="15"/>
              </w:rPr>
              <w:t>2：通过项目建设，有效改善项目区农田基础设施条件，提升耕地质量，提高粮食综合生产能力。</w:t>
            </w:r>
          </w:p>
        </w:tc>
        <w:tc>
          <w:tcPr>
            <w:tcW w:w="3278" w:type="dxa"/>
            <w:gridSpan w:val="5"/>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00"/>
              <w:jc w:val="left"/>
              <w:textAlignment w:val="center"/>
              <w:rPr>
                <w:color w:val="000000"/>
                <w:sz w:val="18"/>
                <w:szCs w:val="18"/>
              </w:rPr>
            </w:pPr>
            <w:r>
              <w:rPr>
                <w:rFonts w:hint="eastAsia"/>
                <w:color w:val="000000"/>
                <w:kern w:val="0"/>
                <w:sz w:val="15"/>
                <w:szCs w:val="15"/>
              </w:rPr>
              <w:t>已完成1万亩滴灌工程供水管网，首部枢纽、计量设施、输配水管网、田间灌溉设施等。剩余款项为项目施工费和业主管理费用，结转至2023年继续使用。</w:t>
            </w:r>
          </w:p>
        </w:tc>
      </w:tr>
      <w:tr>
        <w:tblPrEx>
          <w:tblCellMar>
            <w:top w:w="0" w:type="dxa"/>
            <w:left w:w="0" w:type="dxa"/>
            <w:bottom w:w="0" w:type="dxa"/>
            <w:right w:w="0" w:type="dxa"/>
          </w:tblCellMar>
        </w:tblPrEx>
        <w:trPr>
          <w:trHeight w:val="559" w:hRule="atLeast"/>
        </w:trPr>
        <w:tc>
          <w:tcPr>
            <w:tcW w:w="516" w:type="dxa"/>
            <w:vMerge w:val="restart"/>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绩 效 指 标</w:t>
            </w:r>
          </w:p>
        </w:tc>
        <w:tc>
          <w:tcPr>
            <w:tcW w:w="51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一级指标</w:t>
            </w:r>
          </w:p>
        </w:tc>
        <w:tc>
          <w:tcPr>
            <w:tcW w:w="121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二级指标</w:t>
            </w:r>
          </w:p>
        </w:tc>
        <w:tc>
          <w:tcPr>
            <w:tcW w:w="1739"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三级指标</w:t>
            </w:r>
          </w:p>
        </w:tc>
        <w:tc>
          <w:tcPr>
            <w:tcW w:w="1066"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年度指标值</w:t>
            </w:r>
          </w:p>
        </w:tc>
        <w:tc>
          <w:tcPr>
            <w:tcW w:w="75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实际完成值</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分值</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得分</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偏差原因分析及改进措施</w:t>
            </w: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产出指标</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数量指标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新增高标准农田面积</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≧1万亩</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1万亩</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质量指标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项目验收合格率</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w:t>
            </w:r>
            <w:r>
              <w:rPr>
                <w:rFonts w:ascii="Calibri" w:hAnsi="Calibri" w:cs="Calibri"/>
                <w:color w:val="000000"/>
                <w:kern w:val="0"/>
                <w:sz w:val="18"/>
                <w:szCs w:val="18"/>
              </w:rPr>
              <w:t>95%</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rFonts w:ascii="Calibri" w:hAnsi="Calibri" w:cs="Calibri"/>
                <w:color w:val="000000"/>
                <w:sz w:val="18"/>
                <w:szCs w:val="18"/>
              </w:rPr>
            </w:pPr>
            <w:r>
              <w:rPr>
                <w:rFonts w:ascii="Calibri" w:hAnsi="Calibri" w:cs="Calibri"/>
                <w:color w:val="000000"/>
                <w:kern w:val="0"/>
                <w:sz w:val="18"/>
                <w:szCs w:val="18"/>
              </w:rPr>
              <w:t>95%</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时效指标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项目完成及时率</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100%</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rFonts w:ascii="Calibri" w:hAnsi="Calibri" w:cs="Calibri"/>
                <w:color w:val="000000"/>
                <w:sz w:val="18"/>
                <w:szCs w:val="18"/>
              </w:rPr>
            </w:pPr>
            <w:r>
              <w:rPr>
                <w:rFonts w:ascii="Calibri" w:hAnsi="Calibri" w:cs="Calibri"/>
                <w:color w:val="000000"/>
                <w:kern w:val="0"/>
                <w:sz w:val="18"/>
                <w:szCs w:val="18"/>
              </w:rPr>
              <w:t>100%</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成本指标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财政资金亩均补助标准</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≧1500元</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1442.3元</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9</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518"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亩均投资</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≧1500元</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rFonts w:ascii="Calibri" w:hAnsi="Calibri" w:cs="Calibri"/>
                <w:color w:val="000000"/>
                <w:sz w:val="18"/>
                <w:szCs w:val="18"/>
              </w:rPr>
            </w:pPr>
            <w:r>
              <w:rPr>
                <w:rFonts w:hint="eastAsia" w:ascii="Calibri" w:hAnsi="Calibri" w:cs="Calibri"/>
                <w:color w:val="000000"/>
                <w:kern w:val="0"/>
                <w:sz w:val="18"/>
                <w:szCs w:val="18"/>
              </w:rPr>
              <w:t>2393</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效益指标</w:t>
            </w:r>
          </w:p>
        </w:tc>
        <w:tc>
          <w:tcPr>
            <w:tcW w:w="121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社会效益指标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粮食综合生产能力</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明显提升</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ascii="Calibri" w:hAnsi="Calibri" w:cs="Calibri"/>
                <w:color w:val="000000"/>
                <w:kern w:val="0"/>
                <w:sz w:val="18"/>
                <w:szCs w:val="18"/>
              </w:rPr>
              <w:t>100%</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5</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5</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501"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田间道路通达率</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100%</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rFonts w:ascii="Calibri" w:hAnsi="Calibri" w:cs="Calibri"/>
                <w:color w:val="000000"/>
                <w:sz w:val="18"/>
                <w:szCs w:val="18"/>
              </w:rPr>
            </w:pPr>
            <w:r>
              <w:rPr>
                <w:rFonts w:ascii="Calibri" w:hAnsi="Calibri" w:cs="Calibri"/>
                <w:color w:val="000000"/>
                <w:kern w:val="0"/>
                <w:sz w:val="18"/>
                <w:szCs w:val="18"/>
              </w:rPr>
              <w:t>100%</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5</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5</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466"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经济效益指标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sz w:val="18"/>
                <w:szCs w:val="18"/>
              </w:rPr>
              <w:t>/</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rFonts w:ascii="Calibri" w:hAnsi="Calibri" w:cs="Calibri"/>
                <w:color w:val="000000"/>
                <w:sz w:val="18"/>
                <w:szCs w:val="18"/>
              </w:rPr>
            </w:pPr>
            <w:r>
              <w:rPr>
                <w:rFonts w:ascii="Calibri" w:hAnsi="Calibri" w:cs="Calibri"/>
                <w:color w:val="000000"/>
                <w:kern w:val="0"/>
                <w:sz w:val="18"/>
                <w:szCs w:val="18"/>
              </w:rPr>
              <w:t>/</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w:t>
            </w:r>
          </w:p>
        </w:tc>
        <w:tc>
          <w:tcPr>
            <w:tcW w:w="1296"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生态效益指标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耕地质量与水资源利用率</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逐步提升</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rFonts w:ascii="Calibri" w:hAnsi="Calibri" w:cs="Calibri"/>
                <w:color w:val="000000"/>
                <w:sz w:val="18"/>
                <w:szCs w:val="18"/>
              </w:rPr>
            </w:pPr>
            <w:r>
              <w:rPr>
                <w:rFonts w:ascii="Calibri" w:hAnsi="Calibri" w:cs="Calibri"/>
                <w:color w:val="000000"/>
                <w:kern w:val="0"/>
                <w:sz w:val="18"/>
                <w:szCs w:val="18"/>
              </w:rPr>
              <w:t>100%</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660"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可持续影响指标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农业种植结构</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持续优化</w:t>
            </w:r>
          </w:p>
        </w:tc>
        <w:tc>
          <w:tcPr>
            <w:tcW w:w="75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0" w:firstLineChars="0"/>
              <w:jc w:val="center"/>
              <w:textAlignment w:val="center"/>
              <w:rPr>
                <w:rFonts w:ascii="Calibri" w:hAnsi="Calibri" w:cs="Calibri"/>
                <w:color w:val="000000"/>
                <w:sz w:val="18"/>
                <w:szCs w:val="18"/>
              </w:rPr>
            </w:pPr>
            <w:r>
              <w:rPr>
                <w:rFonts w:ascii="Calibri" w:hAnsi="Calibri" w:cs="Calibri"/>
                <w:color w:val="000000"/>
                <w:kern w:val="0"/>
                <w:sz w:val="18"/>
                <w:szCs w:val="18"/>
              </w:rPr>
              <w:t>100%</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1114" w:hRule="atLeast"/>
        </w:trPr>
        <w:tc>
          <w:tcPr>
            <w:tcW w:w="51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spacing w:line="160" w:lineRule="exact"/>
              <w:ind w:firstLine="360"/>
              <w:jc w:val="center"/>
              <w:rPr>
                <w:color w:val="000000"/>
                <w:sz w:val="18"/>
                <w:szCs w:val="18"/>
              </w:rPr>
            </w:pPr>
          </w:p>
        </w:tc>
        <w:tc>
          <w:tcPr>
            <w:tcW w:w="51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满意度指标</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服务对象满意度指标</w:t>
            </w:r>
          </w:p>
        </w:tc>
        <w:tc>
          <w:tcPr>
            <w:tcW w:w="173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受益群众满意率</w:t>
            </w:r>
          </w:p>
        </w:tc>
        <w:tc>
          <w:tcPr>
            <w:tcW w:w="106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≧90%</w:t>
            </w:r>
          </w:p>
        </w:tc>
        <w:tc>
          <w:tcPr>
            <w:tcW w:w="75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90%</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10</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r>
        <w:tblPrEx>
          <w:tblCellMar>
            <w:top w:w="0" w:type="dxa"/>
            <w:left w:w="0" w:type="dxa"/>
            <w:bottom w:w="0" w:type="dxa"/>
            <w:right w:w="0" w:type="dxa"/>
          </w:tblCellMar>
        </w:tblPrEx>
        <w:trPr>
          <w:trHeight w:val="420" w:hRule="atLeast"/>
        </w:trPr>
        <w:tc>
          <w:tcPr>
            <w:tcW w:w="5804" w:type="dxa"/>
            <w:gridSpan w:val="7"/>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360"/>
              <w:jc w:val="center"/>
              <w:textAlignment w:val="center"/>
              <w:rPr>
                <w:color w:val="000000"/>
                <w:sz w:val="18"/>
                <w:szCs w:val="18"/>
              </w:rPr>
            </w:pPr>
            <w:r>
              <w:rPr>
                <w:rFonts w:hint="eastAsia"/>
                <w:color w:val="000000"/>
                <w:kern w:val="0"/>
                <w:sz w:val="18"/>
                <w:szCs w:val="18"/>
              </w:rPr>
              <w:t>总分</w:t>
            </w:r>
          </w:p>
        </w:tc>
        <w:tc>
          <w:tcPr>
            <w:tcW w:w="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100</w:t>
            </w:r>
          </w:p>
        </w:tc>
        <w:tc>
          <w:tcPr>
            <w:tcW w:w="6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160" w:lineRule="exact"/>
              <w:ind w:firstLine="0" w:firstLineChars="0"/>
              <w:jc w:val="center"/>
              <w:textAlignment w:val="center"/>
              <w:rPr>
                <w:color w:val="000000"/>
                <w:sz w:val="18"/>
                <w:szCs w:val="18"/>
              </w:rPr>
            </w:pPr>
            <w:r>
              <w:rPr>
                <w:rFonts w:hint="eastAsia"/>
                <w:color w:val="000000"/>
                <w:kern w:val="0"/>
                <w:sz w:val="18"/>
                <w:szCs w:val="18"/>
              </w:rPr>
              <w:t>96.2</w:t>
            </w:r>
          </w:p>
        </w:tc>
        <w:tc>
          <w:tcPr>
            <w:tcW w:w="1296"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160" w:lineRule="exact"/>
              <w:ind w:firstLine="360"/>
              <w:jc w:val="center"/>
              <w:rPr>
                <w:color w:val="000000"/>
                <w:sz w:val="18"/>
                <w:szCs w:val="18"/>
              </w:rPr>
            </w:pPr>
          </w:p>
        </w:tc>
      </w:tr>
    </w:tbl>
    <w:p>
      <w:pPr>
        <w:ind w:firstLine="560"/>
        <w:sectPr>
          <w:footerReference r:id="rId5"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7</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7</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4549" w:type="dxa"/>
            <w:gridSpan w:val="4"/>
            <w:shd w:val="clear" w:color="auto" w:fill="FFFFFF"/>
            <w:vAlign w:val="center"/>
          </w:tcPr>
          <w:p>
            <w:pPr>
              <w:widowControl/>
              <w:spacing w:line="0" w:lineRule="atLeast"/>
              <w:ind w:firstLine="0" w:firstLineChars="0"/>
              <w:jc w:val="center"/>
              <w:rPr>
                <w:kern w:val="0"/>
                <w:sz w:val="22"/>
                <w:szCs w:val="22"/>
              </w:rPr>
            </w:pPr>
          </w:p>
        </w:tc>
        <w:tc>
          <w:tcPr>
            <w:tcW w:w="7821" w:type="dxa"/>
            <w:shd w:val="clear" w:color="000000" w:fill="FFFFFF"/>
            <w:vAlign w:val="center"/>
          </w:tcPr>
          <w:p>
            <w:pPr>
              <w:widowControl/>
              <w:spacing w:line="0" w:lineRule="atLeast"/>
              <w:ind w:firstLine="0" w:firstLineChars="0"/>
              <w:rPr>
                <w:kern w:val="0"/>
                <w:sz w:val="22"/>
                <w:szCs w:val="22"/>
              </w:rPr>
            </w:pPr>
          </w:p>
        </w:tc>
        <w:tc>
          <w:tcPr>
            <w:tcW w:w="785" w:type="dxa"/>
            <w:shd w:val="clear" w:color="000000" w:fill="FFFFFF"/>
            <w:vAlign w:val="center"/>
          </w:tcPr>
          <w:p>
            <w:pPr>
              <w:widowControl/>
              <w:spacing w:line="0" w:lineRule="atLeast"/>
              <w:ind w:firstLine="0" w:firstLineChars="0"/>
              <w:rPr>
                <w:kern w:val="0"/>
                <w:sz w:val="22"/>
                <w:szCs w:val="22"/>
              </w:rPr>
            </w:pPr>
          </w:p>
        </w:tc>
        <w:tc>
          <w:tcPr>
            <w:tcW w:w="769" w:type="dxa"/>
            <w:shd w:val="clear" w:color="000000" w:fill="FFFFFF"/>
            <w:vAlign w:val="center"/>
          </w:tcPr>
          <w:p>
            <w:pPr>
              <w:widowControl/>
              <w:spacing w:line="0" w:lineRule="atLeast"/>
              <w:ind w:firstLine="0" w:firstLineChars="0"/>
              <w:rPr>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4549" w:type="dxa"/>
            <w:gridSpan w:val="4"/>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合计</w:t>
            </w:r>
          </w:p>
        </w:tc>
        <w:tc>
          <w:tcPr>
            <w:tcW w:w="7821" w:type="dxa"/>
            <w:shd w:val="clear" w:color="000000" w:fill="FFFFFF"/>
            <w:vAlign w:val="center"/>
          </w:tcPr>
          <w:p>
            <w:pPr>
              <w:widowControl/>
              <w:spacing w:line="0" w:lineRule="atLeast"/>
              <w:ind w:firstLine="0" w:firstLineChars="0"/>
              <w:rPr>
                <w:kern w:val="0"/>
                <w:sz w:val="22"/>
                <w:szCs w:val="22"/>
              </w:rPr>
            </w:pP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99</w:t>
            </w:r>
          </w:p>
        </w:tc>
      </w:tr>
    </w:tbl>
    <w:p>
      <w:pPr>
        <w:spacing w:line="240" w:lineRule="auto"/>
        <w:ind w:firstLine="0" w:firstLineChars="0"/>
        <w:rPr>
          <w:rFonts w:ascii="Times New Roman" w:hAnsi="Times New Roman" w:eastAsia="仿宋_GB2312" w:cs="Times New Roman"/>
          <w:sz w:val="30"/>
          <w:szCs w:val="24"/>
        </w:rPr>
      </w:pPr>
    </w:p>
    <w:p>
      <w:pPr>
        <w:ind w:firstLine="560"/>
        <w:rPr>
          <w:rFonts w:ascii="Times New Roman" w:hAnsi="Times New Roman" w:cs="Times New Roman"/>
        </w:rPr>
      </w:pPr>
    </w:p>
    <w:sectPr>
      <w:footerReference r:id="rId6" w:type="default"/>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Sans Serif">
    <w:altName w:val="Arial"/>
    <w:panose1 w:val="020B0500000000000000"/>
    <w:charset w:val="00"/>
    <w:family w:val="auto"/>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rect id="文本框 2" o:spid="_x0000_s3073" o:spt="1" style="position:absolute;left:0pt;margin-left:337.8pt;margin-top:-11.2pt;height:39.1pt;width:144pt;mso-position-horizontal-relative:margin;mso-wrap-style:none;z-index:251659264;mso-width-relative:page;mso-height-relative:page;" filled="f" o:preferrelative="t" stroked="f" coordsize="21600,21600">
          <v:path/>
          <v:fill on="f" focussize="0,0"/>
          <v:stroke on="f"/>
          <v:imagedata o:title=""/>
          <o:lock v:ext="edit"/>
          <v:textbox inset="0mm,0mm,0mm,0mm">
            <w:txbxContent>
              <w:p>
                <w:pPr>
                  <w:pStyle w:val="7"/>
                  <w:ind w:firstLine="560"/>
                  <w:rPr>
                    <w:sz w:val="28"/>
                  </w:rPr>
                </w:pPr>
                <w:r>
                  <w:rPr>
                    <w:rFonts w:hint="eastAsia"/>
                    <w:sz w:val="28"/>
                  </w:rPr>
                  <w:t xml:space="preserve">— </w:t>
                </w:r>
                <w:r>
                  <w:rPr>
                    <w:rFonts w:hint="eastAsia"/>
                    <w:sz w:val="28"/>
                  </w:rPr>
                  <w:fldChar w:fldCharType="begin"/>
                </w:r>
                <w:r>
                  <w:rPr>
                    <w:rFonts w:hint="eastAsia"/>
                    <w:sz w:val="28"/>
                  </w:rPr>
                  <w:instrText xml:space="preserve"> PAGE  \* MERGEFORMAT </w:instrText>
                </w:r>
                <w:r>
                  <w:rPr>
                    <w:rFonts w:hint="eastAsia"/>
                    <w:sz w:val="28"/>
                  </w:rPr>
                  <w:fldChar w:fldCharType="separate"/>
                </w:r>
                <w:r>
                  <w:rPr>
                    <w:sz w:val="28"/>
                  </w:rPr>
                  <w:t>21</w:t>
                </w:r>
                <w:r>
                  <w:rPr>
                    <w:rFonts w:hint="eastAsia"/>
                    <w:sz w:val="28"/>
                  </w:rPr>
                  <w:fldChar w:fldCharType="end"/>
                </w:r>
                <w:r>
                  <w:rPr>
                    <w:rFonts w:hint="eastAsia"/>
                    <w:sz w:val="28"/>
                  </w:rPr>
                  <w:t xml:space="preserve"> —</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rect id="文本框 1" o:spid="_x0000_s3074" o:spt="1" style="position:absolute;left:0pt;margin-left:364.75pt;margin-top:-37.35pt;height:65.25pt;width:144pt;mso-position-horizontal-relative:margin;mso-wrap-style:none;z-index:251659264;mso-width-relative:page;mso-height-relative:page;" filled="f" o:preferrelative="t" stroked="f" coordsize="21600,21600">
          <v:path/>
          <v:fill on="f" focussize="0,0"/>
          <v:stroke on="f"/>
          <v:imagedata o:title=""/>
          <o:lock v:ext="edit"/>
          <v:textbox inset="0mm,0mm,0mm,0mm">
            <w:txbxContent>
              <w:p>
                <w:pPr>
                  <w:pStyle w:val="7"/>
                  <w:ind w:firstLine="560"/>
                  <w:rPr>
                    <w:sz w:val="28"/>
                  </w:rPr>
                </w:pPr>
                <w:r>
                  <w:rPr>
                    <w:rFonts w:hint="eastAsia"/>
                    <w:sz w:val="28"/>
                  </w:rPr>
                  <w:t xml:space="preserve">— </w:t>
                </w:r>
                <w:r>
                  <w:rPr>
                    <w:rFonts w:hint="eastAsia"/>
                    <w:sz w:val="28"/>
                  </w:rPr>
                  <w:fldChar w:fldCharType="begin"/>
                </w:r>
                <w:r>
                  <w:rPr>
                    <w:rFonts w:hint="eastAsia"/>
                    <w:sz w:val="28"/>
                  </w:rPr>
                  <w:instrText xml:space="preserve"> PAGE  \* MERGEFORMAT </w:instrText>
                </w:r>
                <w:r>
                  <w:rPr>
                    <w:rFonts w:hint="eastAsia"/>
                    <w:sz w:val="28"/>
                  </w:rPr>
                  <w:fldChar w:fldCharType="separate"/>
                </w:r>
                <w:r>
                  <w:rPr>
                    <w:sz w:val="28"/>
                  </w:rPr>
                  <w:t>24</w:t>
                </w:r>
                <w:r>
                  <w:rPr>
                    <w:rFonts w:hint="eastAsia"/>
                    <w:sz w:val="28"/>
                  </w:rPr>
                  <w:fldChar w:fldCharType="end"/>
                </w:r>
                <w:r>
                  <w:rPr>
                    <w:rFonts w:hint="eastAsia"/>
                    <w:sz w:val="28"/>
                  </w:rPr>
                  <w:t xml:space="preserve"> —</w:t>
                </w:r>
              </w:p>
            </w:txbxContent>
          </v:textbox>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3"/>
      <w:numFmt w:val="chineseCounting"/>
      <w:suff w:val="nothing"/>
      <w:lvlText w:val="%1、"/>
      <w:lvlJc w:val="left"/>
      <w:rPr>
        <w:rFonts w:hint="eastAsia"/>
      </w:rPr>
    </w:lvl>
  </w:abstractNum>
  <w:abstractNum w:abstractNumId="1">
    <w:nsid w:val="00000009"/>
    <w:multiLevelType w:val="singleLevel"/>
    <w:tmpl w:val="00000009"/>
    <w:lvl w:ilvl="0" w:tentative="0">
      <w:start w:val="2"/>
      <w:numFmt w:val="chineseCounting"/>
      <w:suff w:val="nothing"/>
      <w:lvlText w:val="（%1）"/>
      <w:lvlJc w:val="left"/>
      <w:rPr>
        <w:rFonts w:hint="eastAsia"/>
      </w:rPr>
    </w:lvl>
  </w:abstractNum>
  <w:abstractNum w:abstractNumId="2">
    <w:nsid w:val="0000000A"/>
    <w:multiLevelType w:val="singleLevel"/>
    <w:tmpl w:val="0000000A"/>
    <w:lvl w:ilvl="0" w:tentative="0">
      <w:start w:val="1"/>
      <w:numFmt w:val="chineseCounting"/>
      <w:suff w:val="nothing"/>
      <w:lvlText w:val="（%1）"/>
      <w:lvlJc w:val="left"/>
      <w:pPr>
        <w:ind w:left="0" w:firstLine="420"/>
      </w:pPr>
      <w:rPr>
        <w:rFonts w:hint="eastAsia"/>
      </w:rPr>
    </w:lvl>
  </w:abstractNum>
  <w:abstractNum w:abstractNumId="3">
    <w:nsid w:val="0000000E"/>
    <w:multiLevelType w:val="singleLevel"/>
    <w:tmpl w:val="0000000E"/>
    <w:lvl w:ilvl="0" w:tentative="0">
      <w:start w:val="5"/>
      <w:numFmt w:val="chineseCounting"/>
      <w:suff w:val="nothing"/>
      <w:lvlText w:val="%1、"/>
      <w:lvlJc w:val="left"/>
    </w:lvl>
  </w:abstractNum>
  <w:abstractNum w:abstractNumId="4">
    <w:nsid w:val="0053208E"/>
    <w:multiLevelType w:val="singleLevel"/>
    <w:tmpl w:val="0053208E"/>
    <w:lvl w:ilvl="0" w:tentative="0">
      <w:start w:val="7"/>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TrackMoves/>
  <w:documentProtection w:enforcement="0"/>
  <w:defaultTabStop w:val="420"/>
  <w:drawingGridVerticalSpacing w:val="156"/>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AwYTY1Mjg5YTkwYTQzODE5MGVlMDdjY2YxMTFmODYifQ=="/>
  </w:docVars>
  <w:rsids>
    <w:rsidRoot w:val="00F85C0E"/>
    <w:rsid w:val="00143E76"/>
    <w:rsid w:val="00651632"/>
    <w:rsid w:val="00C634FF"/>
    <w:rsid w:val="00F85C0E"/>
    <w:rsid w:val="02946189"/>
    <w:rsid w:val="07904C67"/>
    <w:rsid w:val="10D44B59"/>
    <w:rsid w:val="1C677F20"/>
    <w:rsid w:val="26970ECD"/>
    <w:rsid w:val="3E316031"/>
    <w:rsid w:val="4159182C"/>
    <w:rsid w:val="5E5050CE"/>
    <w:rsid w:val="65BB4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1"/>
    <w:uiPriority w:val="0"/>
    <w:pPr>
      <w:keepNext/>
      <w:keepLines/>
      <w:spacing w:line="560" w:lineRule="exact"/>
      <w:ind w:firstLine="964"/>
      <w:outlineLvl w:val="1"/>
    </w:pPr>
    <w:rPr>
      <w:rFonts w:ascii="Arial" w:hAnsi="Arial" w:eastAsia="楷体"/>
      <w:b/>
      <w:sz w:val="32"/>
    </w:rPr>
  </w:style>
  <w:style w:type="paragraph" w:styleId="5">
    <w:name w:val="heading 3"/>
    <w:basedOn w:val="1"/>
    <w:next w:val="1"/>
    <w:uiPriority w:val="0"/>
    <w:pPr>
      <w:keepNext/>
      <w:keepLines/>
      <w:spacing w:line="560" w:lineRule="exact"/>
      <w:ind w:firstLine="883"/>
      <w:outlineLvl w:val="2"/>
    </w:pPr>
    <w:rPr>
      <w:rFonts w:ascii="仿宋_GB2312" w:hAnsi="仿宋_GB2312" w:eastAsia="仿宋_GB2312"/>
      <w:b/>
      <w:bCs/>
      <w:kern w:val="0"/>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itle"/>
    <w:basedOn w:val="1"/>
    <w:next w:val="1"/>
    <w:uiPriority w:val="0"/>
    <w:pPr>
      <w:spacing w:before="240" w:after="60"/>
      <w:jc w:val="left"/>
      <w:outlineLvl w:val="0"/>
    </w:pPr>
    <w:rPr>
      <w:rFonts w:ascii="MS Sans Serif" w:hAnsi="MS Sans Serif" w:cs="MS Sans Serif"/>
      <w:b/>
      <w:bCs/>
      <w:sz w:val="24"/>
      <w:szCs w:val="32"/>
    </w:rPr>
  </w:style>
  <w:style w:type="paragraph" w:styleId="6">
    <w:name w:val="annotation text"/>
    <w:basedOn w:val="1"/>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customStyle="1" w:styleId="11">
    <w:name w:val="标题 2 Char"/>
    <w:link w:val="4"/>
    <w:semiHidden/>
    <w:uiPriority w:val="0"/>
    <w:rPr>
      <w:rFonts w:ascii="Arial" w:hAnsi="Arial" w:eastAsia="楷体"/>
      <w:b/>
      <w:sz w:val="32"/>
    </w:rPr>
  </w:style>
  <w:style w:type="paragraph" w:customStyle="1" w:styleId="12">
    <w:name w:val="正文 A"/>
    <w:uiPriority w:val="0"/>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27</Pages>
  <Words>2177</Words>
  <Characters>12412</Characters>
  <Lines>103</Lines>
  <Paragraphs>29</Paragraphs>
  <TotalTime>3</TotalTime>
  <ScaleCrop>false</ScaleCrop>
  <LinksUpToDate>false</LinksUpToDate>
  <CharactersWithSpaces>14560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2020-04-02T19:28:00Z</dcterms:created>
  <dc:creator>驰远天合-柴万顺-18690160103</dc:creator>
  <cp:lastModifiedBy>WPS_1591167138</cp:lastModifiedBy>
  <dcterms:modified xsi:type="dcterms:W3CDTF">2023-11-20T03:29:51Z</dcterms:modified>
  <dc:title>杨江</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04AA9079B8E54CA08917484A653528D0</vt:lpwstr>
  </property>
</Properties>
</file>