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cs="宋体"/>
          <w:b/>
          <w:bCs/>
          <w:color w:val="000000" w:themeColor="text1"/>
          <w:sz w:val="40"/>
          <w:szCs w:val="40"/>
          <w:highlight w:val="none"/>
          <w:shd w:val="clear" w:color="auto" w:fill="auto"/>
          <w:lang w:val="en-US" w:eastAsia="zh-CN"/>
          <w14:textFill>
            <w14:solidFill>
              <w14:schemeClr w14:val="tx1"/>
            </w14:solidFill>
          </w14:textFill>
        </w:rPr>
      </w:pPr>
      <w:r>
        <w:rPr>
          <w:rFonts w:hint="eastAsia" w:cs="宋体"/>
          <w:b/>
          <w:bCs/>
          <w:color w:val="000000" w:themeColor="text1"/>
          <w:sz w:val="40"/>
          <w:szCs w:val="40"/>
          <w:highlight w:val="none"/>
          <w:shd w:val="clear" w:color="auto" w:fill="auto"/>
          <w:lang w:val="en-US" w:eastAsia="zh-CN"/>
          <w14:textFill>
            <w14:solidFill>
              <w14:schemeClr w14:val="tx1"/>
            </w14:solidFill>
          </w14:textFill>
        </w:rPr>
        <w:t>阜康市水源地输水管网建设工程</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pPr>
      <w:r>
        <w:rPr>
          <w:rFonts w:hint="eastAsia" w:ascii="宋体" w:hAnsi="宋体" w:eastAsia="宋体" w:cs="宋体"/>
          <w:b/>
          <w:bCs/>
          <w:color w:val="000000" w:themeColor="text1"/>
          <w:sz w:val="40"/>
          <w:szCs w:val="40"/>
          <w:highlight w:val="none"/>
          <w:shd w:val="clear" w:color="auto" w:fill="auto"/>
          <w:lang w:val="en-US" w:eastAsia="zh-CN"/>
          <w14:textFill>
            <w14:solidFill>
              <w14:schemeClr w14:val="tx1"/>
            </w14:solidFill>
          </w14:textFill>
        </w:rPr>
        <w:t>项目</w:t>
      </w:r>
      <w:r>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t>支出绩效评价报告</w:t>
      </w: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项目名称：</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阜康市水源地输水管网建设工程</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实施单位：</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阜康市水利局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主管部门：</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阜康市水利局</w:t>
      </w:r>
    </w:p>
    <w:p>
      <w:pPr>
        <w:pStyle w:val="8"/>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p>
    <w:p>
      <w:pPr>
        <w:rPr>
          <w:rFonts w:hint="eastAsia"/>
          <w:lang w:val="en-US" w:eastAsia="zh-CN"/>
        </w:rPr>
        <w:sectPr>
          <w:pgSz w:w="11906" w:h="16838"/>
          <w:pgMar w:top="1928" w:right="1531" w:bottom="1701" w:left="1531" w:header="737" w:footer="851" w:gutter="0"/>
          <w:cols w:space="720" w:num="1"/>
          <w:docGrid w:type="lines" w:linePitch="408" w:charSpace="0"/>
        </w:sect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cs="宋体"/>
          <w:b/>
          <w:bCs/>
          <w:color w:val="auto"/>
          <w:sz w:val="36"/>
          <w:szCs w:val="36"/>
          <w:highlight w:val="none"/>
          <w:shd w:val="clear" w:color="auto" w:fill="auto"/>
          <w:lang w:val="en-US" w:eastAsia="zh-CN"/>
        </w:rPr>
      </w:pPr>
      <w:r>
        <w:rPr>
          <w:rFonts w:hint="eastAsia" w:cs="宋体"/>
          <w:b/>
          <w:bCs/>
          <w:color w:val="auto"/>
          <w:sz w:val="36"/>
          <w:szCs w:val="36"/>
          <w:highlight w:val="none"/>
          <w:shd w:val="clear" w:color="auto" w:fill="auto"/>
          <w:lang w:val="en-US" w:eastAsia="zh-CN"/>
        </w:rPr>
        <w:t>阜康市水源地输水管网建设工程</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highlight w:val="none"/>
          <w:shd w:val="clear" w:color="auto" w:fill="auto"/>
        </w:rPr>
      </w:pPr>
      <w:r>
        <w:rPr>
          <w:rFonts w:hint="eastAsia" w:ascii="宋体" w:hAnsi="宋体" w:eastAsia="宋体" w:cs="宋体"/>
          <w:b/>
          <w:bCs/>
          <w:color w:val="auto"/>
          <w:sz w:val="36"/>
          <w:szCs w:val="36"/>
          <w:highlight w:val="none"/>
          <w:shd w:val="clear" w:color="auto" w:fill="auto"/>
          <w:lang w:val="en-US" w:eastAsia="zh-CN"/>
        </w:rPr>
        <w:t>项目</w:t>
      </w:r>
      <w:r>
        <w:rPr>
          <w:rFonts w:hint="eastAsia" w:ascii="宋体" w:hAnsi="宋体" w:eastAsia="宋体" w:cs="宋体"/>
          <w:b/>
          <w:bCs/>
          <w:color w:val="auto"/>
          <w:sz w:val="36"/>
          <w:szCs w:val="36"/>
          <w:highlight w:val="none"/>
          <w:shd w:val="clear" w:color="auto" w:fill="auto"/>
        </w:rPr>
        <w:t>支出绩效评价报告</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r>
        <w:rPr>
          <w:rFonts w:hint="eastAsia" w:ascii="宋体" w:hAnsi="宋体" w:eastAsia="宋体" w:cs="宋体"/>
          <w:b/>
          <w:bCs/>
          <w:color w:val="000000" w:themeColor="text1"/>
          <w:highlight w:val="none"/>
          <w:shd w:val="clear" w:color="auto" w:fill="auto"/>
          <w14:textFill>
            <w14:solidFill>
              <w14:schemeClr w14:val="tx1"/>
            </w14:solidFill>
          </w14:textFill>
        </w:rPr>
        <w:t>一、基本情况</w:t>
      </w:r>
    </w:p>
    <w:p>
      <w:pPr>
        <w:pStyle w:val="2"/>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（一）项目概况</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项目背景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eastAsia="仿宋_GB2312"/>
          <w:sz w:val="32"/>
          <w:szCs w:val="32"/>
          <w:lang w:val="en-US" w:eastAsia="zh-CN"/>
        </w:rPr>
        <w:t>昌吉州阜康市水源地输水管网建设工程，取水水源为已建的“500”水库，工程起点接和润水业有限责任公司拟建输水管道，末端接入已建的阜康市第二水厂，工程供水对象为阜康市城镇生活和工业用水，其中近期为“引水入城”，即将水引入阜康市，承担阜康市城区生活及置换地下水超采；远期为“引水入园”，即将水引入阜康市产业园，承担阜康市产业园供水任务，通过新建输水管线至阜康产业园，置换阜康产业园现有供水水源。工程设计年供水量5000m³，设计流量1.90m³/s；沿线在准东生活基地南侧设一分水口，分水对象为新建的第三水厂，其承担阜康市准东生活基地、阜康高新区以及阜康市乌奇公路以北城区的生活供水，分水量1200万m³，分水流量0.5m³/s；分水后管道设计输水量为4000万m³，设计流量为1.65m³/s。</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14:textFill>
            <w14:solidFill>
              <w14:schemeClr w14:val="tx1"/>
            </w14:solidFill>
          </w14:textFill>
        </w:rPr>
        <w:t>主要内容及实施情况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宋体" w:eastAsia="仿宋_GB2312" w:cs="宋体"/>
          <w:sz w:val="32"/>
          <w:szCs w:val="32"/>
          <w:lang w:val="en-US" w:eastAsia="zh-CN"/>
        </w:rPr>
      </w:pPr>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r>
        <w:rPr>
          <w:rFonts w:hint="eastAsia" w:ascii="仿宋_GB2312" w:hAnsi="宋体" w:eastAsia="仿宋_GB2312" w:cs="宋体"/>
          <w:sz w:val="32"/>
          <w:szCs w:val="32"/>
          <w:lang w:val="en-US" w:eastAsia="zh-CN"/>
        </w:rPr>
        <w:t>新建23km输水管道，新建扬水泵站一座、新建跨越NGQ托管桥一座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3.资金投入和使用情况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阜康市水源地输水管网建设工程</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3000</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金3000</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2022</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3000</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截止2022年12月31日，阜康市水源地输水管网建设工程</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3002</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项目前期费用等方面。</w:t>
      </w:r>
    </w:p>
    <w:p>
      <w:pPr>
        <w:pStyle w:val="2"/>
        <w:pageBreakBefore w:val="0"/>
        <w:numPr>
          <w:ilvl w:val="0"/>
          <w:numId w:val="1"/>
        </w:numPr>
        <w:kinsoku/>
        <w:wordWrap/>
        <w:overflowPunct/>
        <w:topLinePunct w:val="0"/>
        <w:autoSpaceDE/>
        <w:autoSpaceDN/>
        <w:bidi w:val="0"/>
        <w:adjustRightIn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项目绩效目标</w:t>
      </w:r>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1.总体目标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阜康市水源地输水管网建设工程绩效总体目标为：</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完成本工程地面附着物补偿费、移民征地及补偿工作，并有效改善周边生态环境等项目前期工作。</w:t>
      </w:r>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2.阶段性目标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000000" w:themeColor="text1"/>
          <w:highlight w:val="none"/>
          <w:shd w:val="clear" w:color="auto" w:fill="auto"/>
          <w:lang w:eastAsia="zh-CN"/>
          <w14:textFill>
            <w14:solidFill>
              <w14:schemeClr w14:val="tx1"/>
            </w14:solidFill>
          </w14:textFill>
        </w:rPr>
      </w:pP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根据《预算法》、《财政支出绩效评价管理暂行办法》（财预〔20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号）、《自治区党委自治区人民政府关于全面实施预算绩效管理的实施意见》（新党发〔2018〕30号）、</w:t>
      </w:r>
      <w:r>
        <w:rPr>
          <w:rFonts w:hint="eastAsia" w:ascii="宋体" w:hAnsi="宋体" w:eastAsia="宋体" w:cs="宋体"/>
          <w:color w:val="000000" w:themeColor="text1"/>
          <w:highlight w:val="none"/>
          <w:shd w:val="clear" w:color="auto" w:fill="auto"/>
          <w14:textFill>
            <w14:solidFill>
              <w14:schemeClr w14:val="tx1"/>
            </w14:solidFill>
          </w14:textFill>
        </w:rPr>
        <w:t>《自治区财政支出绩效评价管理暂行办法》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新财预〔2018〕189号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等文件</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的规定，结合项目实施单位的规章制度以及财务相关资料，评价小组对项目绩效目标进行了进一步的完善，完善</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后</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绩效目标如下：</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项目产出</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tbl>
      <w:tblPr>
        <w:tblStyle w:val="9"/>
        <w:tblW w:w="772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9"/>
        <w:gridCol w:w="1844"/>
        <w:gridCol w:w="3177"/>
        <w:gridCol w:w="16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080" w:type="dxa"/>
            <w:vMerge w:val="restart"/>
            <w:tcBorders>
              <w:top w:val="single" w:color="auto" w:sz="4" w:space="0"/>
              <w:left w:val="single" w:color="auto"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845" w:type="dxa"/>
            <w:tcBorders>
              <w:top w:val="single" w:color="auto" w:sz="4" w:space="0"/>
              <w:left w:val="single" w:color="000000" w:sz="4" w:space="0"/>
              <w:bottom w:val="nil"/>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18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新建输水管道</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5" w:type="dxa"/>
            <w:tcBorders>
              <w:top w:val="single" w:color="000000" w:sz="4" w:space="0"/>
              <w:left w:val="single" w:color="000000" w:sz="4" w:space="0"/>
              <w:bottom w:val="nil"/>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18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项目设计变更率</w:t>
            </w:r>
          </w:p>
        </w:tc>
        <w:tc>
          <w:tcPr>
            <w:tcW w:w="162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5" w:type="dxa"/>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180" w:type="dxa"/>
            <w:tcBorders>
              <w:top w:val="single" w:color="000000" w:sz="4" w:space="0"/>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开工及时率</w:t>
            </w:r>
          </w:p>
        </w:tc>
        <w:tc>
          <w:tcPr>
            <w:tcW w:w="1620" w:type="dxa"/>
            <w:tcBorders>
              <w:top w:val="single" w:color="auto" w:sz="4" w:space="0"/>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auto"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9"/>
                <w:szCs w:val="19"/>
                <w:u w:val="none"/>
              </w:rPr>
            </w:pPr>
            <w:r>
              <w:rPr>
                <w:rFonts w:hint="eastAsia" w:ascii="宋体" w:hAnsi="宋体" w:eastAsia="宋体" w:cs="宋体"/>
                <w:i w:val="0"/>
                <w:iCs w:val="0"/>
                <w:color w:val="000000"/>
                <w:kern w:val="0"/>
                <w:sz w:val="19"/>
                <w:szCs w:val="19"/>
                <w:u w:val="none"/>
                <w:lang w:val="en-US" w:eastAsia="zh-CN" w:bidi="ar"/>
              </w:rPr>
              <w:t>开工时间</w:t>
            </w:r>
          </w:p>
        </w:tc>
        <w:tc>
          <w:tcPr>
            <w:tcW w:w="1620" w:type="dxa"/>
            <w:tcBorders>
              <w:top w:val="single" w:color="000000"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2022年7月30日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vMerge w:val="continue"/>
            <w:tcBorders>
              <w:top w:val="single" w:color="000000" w:sz="4" w:space="0"/>
              <w:left w:val="single" w:color="auto"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5" w:type="dxa"/>
            <w:tcBorders>
              <w:top w:val="nil"/>
              <w:left w:val="single" w:color="000000"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18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项目前期费</w:t>
            </w:r>
          </w:p>
        </w:tc>
        <w:tc>
          <w:tcPr>
            <w:tcW w:w="162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宋体" w:cs="Arial"/>
                <w:i w:val="0"/>
                <w:iCs w:val="0"/>
                <w:color w:val="000000"/>
                <w:sz w:val="20"/>
                <w:szCs w:val="20"/>
                <w:u w:val="none"/>
              </w:rPr>
            </w:pPr>
            <w:r>
              <w:rPr>
                <w:rStyle w:val="17"/>
                <w:rFonts w:eastAsia="宋体"/>
                <w:lang w:val="en-US" w:eastAsia="zh-CN" w:bidi="ar"/>
              </w:rPr>
              <w:t>≤3000</w:t>
            </w:r>
            <w:r>
              <w:rPr>
                <w:rFonts w:hint="eastAsia" w:ascii="宋体" w:hAnsi="宋体" w:eastAsia="宋体" w:cs="宋体"/>
                <w:i w:val="0"/>
                <w:iCs w:val="0"/>
                <w:color w:val="000000"/>
                <w:kern w:val="0"/>
                <w:sz w:val="20"/>
                <w:szCs w:val="20"/>
                <w:u w:val="none"/>
                <w:lang w:val="en-US" w:eastAsia="zh-CN" w:bidi="ar"/>
              </w:rPr>
              <w:t>万元</w:t>
            </w:r>
          </w:p>
        </w:tc>
      </w:tr>
    </w:tbl>
    <w:p>
      <w:pPr>
        <w:pStyle w:val="2"/>
        <w:numPr>
          <w:ilvl w:val="0"/>
          <w:numId w:val="0"/>
        </w:numPr>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“新建输水管道”指标，预期指标值为23km；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项目设计变更率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w:t>
      </w:r>
      <w:r>
        <w:rPr>
          <w:rFonts w:hint="eastAsia" w:cs="宋体"/>
          <w:color w:val="000000" w:themeColor="text1"/>
          <w:highlight w:val="none"/>
          <w:shd w:val="clear" w:color="auto" w:fill="auto"/>
          <w:lang w:val="en-US" w:eastAsia="zh-CN"/>
          <w14:textFill>
            <w14:solidFill>
              <w14:schemeClr w14:val="tx1"/>
            </w14:solidFill>
          </w14:textFill>
        </w:rPr>
        <w:t>时效</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p>
    <w:p>
      <w:pPr>
        <w:pStyle w:val="2"/>
        <w:rPr>
          <w:rFonts w:hint="eastAsia" w:ascii="宋体" w:hAnsi="宋体" w:eastAsia="宋体" w:cs="宋体"/>
          <w:color w:val="auto"/>
          <w:highlight w:val="none"/>
          <w:shd w:val="clear" w:color="auto" w:fill="auto"/>
          <w:lang w:eastAsia="zh-CN"/>
        </w:rPr>
      </w:pPr>
      <w:r>
        <w:rPr>
          <w:rFonts w:hint="eastAsia" w:ascii="宋体" w:hAnsi="宋体" w:eastAsia="宋体" w:cs="宋体"/>
          <w:b w:val="0"/>
          <w:color w:val="auto"/>
          <w:kern w:val="2"/>
          <w:sz w:val="28"/>
          <w:szCs w:val="28"/>
          <w:highlight w:val="none"/>
          <w:shd w:val="clear" w:color="auto" w:fill="auto"/>
          <w:lang w:val="en-US" w:eastAsia="zh-CN" w:bidi="ar-SA"/>
        </w:rPr>
        <w:t>“项目开工及时率”指标，预期指标值为100%；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工程</w:t>
      </w:r>
      <w:r>
        <w:rPr>
          <w:rFonts w:hint="eastAsia" w:cs="宋体"/>
          <w:color w:val="auto"/>
          <w:highlight w:val="none"/>
          <w:shd w:val="clear" w:color="auto" w:fill="auto"/>
          <w:lang w:val="en-US" w:eastAsia="zh-CN"/>
        </w:rPr>
        <w:t>开工时间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2022年7月30日</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lang w:val="en-US" w:eastAsia="zh-CN"/>
        </w:rPr>
      </w:pPr>
      <w:r>
        <w:rPr>
          <w:rFonts w:hint="eastAsia" w:ascii="宋体" w:hAnsi="宋体" w:eastAsia="宋体" w:cs="宋体"/>
          <w:color w:val="auto"/>
          <w:highlight w:val="none"/>
          <w:shd w:val="clear" w:color="auto" w:fill="auto"/>
          <w:lang w:eastAsia="zh-CN"/>
        </w:rPr>
        <w:t>“项目前期费”</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3000</w:t>
      </w:r>
      <w:r>
        <w:rPr>
          <w:rFonts w:hint="eastAsia" w:ascii="宋体" w:hAnsi="宋体" w:eastAsia="宋体" w:cs="宋体"/>
          <w:color w:val="auto"/>
          <w:highlight w:val="none"/>
          <w:shd w:val="clear" w:color="auto" w:fill="auto"/>
          <w:lang w:val="en-US" w:eastAsia="zh-CN"/>
        </w:rPr>
        <w:t>万元；</w:t>
      </w:r>
    </w:p>
    <w:p>
      <w:pPr>
        <w:pageBreakBefore w:val="0"/>
        <w:widowControl w:val="0"/>
        <w:numPr>
          <w:ilvl w:val="0"/>
          <w:numId w:val="2"/>
        </w:numPr>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项目效益</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tbl>
      <w:tblPr>
        <w:tblStyle w:val="9"/>
        <w:tblW w:w="7725"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9"/>
        <w:gridCol w:w="2189"/>
        <w:gridCol w:w="2832"/>
        <w:gridCol w:w="4"/>
        <w:gridCol w:w="1616"/>
        <w:gridCol w:w="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300" w:hRule="atLeast"/>
        </w:trPr>
        <w:tc>
          <w:tcPr>
            <w:tcW w:w="10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218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300" w:hRule="atLeast"/>
        </w:trPr>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8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受益人口数</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≥9万人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300" w:hRule="atLeast"/>
        </w:trPr>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8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有效改善周边生态环境</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300" w:hRule="atLeast"/>
        </w:trPr>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079"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189"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836"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受益对象满意度（%）</w:t>
            </w:r>
          </w:p>
        </w:tc>
        <w:tc>
          <w:tcPr>
            <w:tcW w:w="1621" w:type="dxa"/>
            <w:gridSpan w:val="2"/>
            <w:tcBorders>
              <w:top w:val="single" w:color="auto" w:sz="4" w:space="0"/>
              <w:left w:val="single" w:color="000000"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bl>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无</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“受益人口数”</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9万人</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w:t>
      </w:r>
      <w:r>
        <w:rPr>
          <w:rFonts w:hint="eastAsia" w:cs="宋体"/>
          <w:color w:val="000000" w:themeColor="text1"/>
          <w:highlight w:val="none"/>
          <w:shd w:val="clear" w:color="auto" w:fill="auto"/>
          <w:lang w:val="en-US" w:eastAsia="zh-CN"/>
          <w14:textFill>
            <w14:solidFill>
              <w14:schemeClr w14:val="tx1"/>
            </w14:solidFill>
          </w14:textFill>
        </w:rPr>
        <w:t>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改善城区周边绿化面积，有效的改善生态环境</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有效改善</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④可持续影响</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有效提升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有效</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⑤</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FF0000"/>
          <w:highlight w:val="none"/>
          <w:shd w:val="clear" w:color="auto" w:fill="auto"/>
          <w:lang w:val="en-US" w:eastAsia="zh-CN"/>
        </w:rPr>
      </w:pPr>
      <w:r>
        <w:rPr>
          <w:rFonts w:hint="eastAsia" w:ascii="宋体" w:hAnsi="宋体" w:eastAsia="宋体" w:cs="宋体"/>
          <w:color w:val="auto"/>
          <w:highlight w:val="none"/>
          <w:shd w:val="clear" w:color="auto" w:fill="auto"/>
          <w:lang w:eastAsia="zh-CN"/>
        </w:rPr>
        <w:t>“受益人员的满意度”</w:t>
      </w:r>
      <w:r>
        <w:rPr>
          <w:rFonts w:hint="eastAsia" w:ascii="宋体" w:hAnsi="宋体" w:eastAsia="宋体" w:cs="宋体"/>
          <w:color w:val="auto"/>
          <w:highlight w:val="none"/>
          <w:shd w:val="clear" w:color="auto" w:fill="auto"/>
          <w:lang w:val="en-US" w:eastAsia="zh-CN"/>
        </w:rPr>
        <w:t>指标，预期指标值为≥9</w:t>
      </w:r>
      <w:r>
        <w:rPr>
          <w:rFonts w:hint="eastAsia" w:cs="宋体"/>
          <w:color w:val="auto"/>
          <w:highlight w:val="none"/>
          <w:shd w:val="clear" w:color="auto" w:fill="auto"/>
          <w:lang w:val="en-US" w:eastAsia="zh-CN"/>
        </w:rPr>
        <w:t>5</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w:t>
      </w:r>
    </w:p>
    <w:p>
      <w:pPr>
        <w:pStyle w:val="3"/>
        <w:bidi w:val="0"/>
        <w:rPr>
          <w:rFonts w:hint="eastAsia" w:ascii="宋体" w:hAnsi="宋体" w:eastAsia="宋体" w:cs="宋体"/>
          <w:b/>
          <w:bCs/>
          <w:lang w:val="en-US" w:eastAsia="zh-CN"/>
        </w:rPr>
      </w:pPr>
      <w:r>
        <w:rPr>
          <w:rFonts w:hint="eastAsia" w:ascii="宋体" w:hAnsi="宋体" w:eastAsia="宋体" w:cs="宋体"/>
          <w:b/>
          <w:bCs/>
        </w:rPr>
        <w:t>二、绩效评价工作开展情况</w:t>
      </w:r>
    </w:p>
    <w:p>
      <w:pPr>
        <w:pStyle w:val="2"/>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pPr>
      <w:bookmarkStart w:id="0" w:name="_Toc22169_WPSOffice_Level2"/>
      <w:bookmarkStart w:id="1" w:name="_Toc22922"/>
      <w:bookmarkStart w:id="2" w:name="_Toc480473081"/>
      <w:bookmarkStart w:id="3" w:name="_Toc5258"/>
      <w:bookmarkStart w:id="4" w:name="_Toc12868"/>
      <w:bookmarkStart w:id="5" w:name="_Toc21664"/>
      <w:bookmarkStart w:id="6" w:name="_Toc5462343"/>
      <w:bookmarkStart w:id="7" w:name="_Toc26632"/>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0"/>
      <w:bookmarkEnd w:id="1"/>
      <w:bookmarkEnd w:id="2"/>
      <w:bookmarkEnd w:id="3"/>
      <w:bookmarkEnd w:id="4"/>
      <w:bookmarkEnd w:id="5"/>
      <w:bookmarkEnd w:id="6"/>
      <w:bookmarkEnd w:id="7"/>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、对象和范围</w:t>
      </w:r>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为全面了解</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该</w:t>
      </w:r>
      <w:r>
        <w:rPr>
          <w:rFonts w:hint="eastAsia" w:ascii="宋体" w:hAnsi="宋体" w:eastAsia="宋体" w:cs="宋体"/>
          <w:color w:val="000000" w:themeColor="text1"/>
          <w:highlight w:val="none"/>
          <w:shd w:val="clear" w:color="auto" w:fill="auto"/>
          <w:lang w:eastAsia="zh-CN"/>
          <w14:textFill>
            <w14:solidFill>
              <w14:schemeClr w14:val="tx1"/>
            </w14:solidFill>
          </w14:textFill>
        </w:rPr>
        <w:t>项目预算编制合理性、资金使用合规性、项目管理的规范性、</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绩效</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目标的实现情况、服务对象的满意度等，通过本次</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部门</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绩效评价来总结经验和教训，促进项目成果转化和应用，为今后类似项目的长效管理，提供可行性参考建议。</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2.绩效评价的对象和范围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2022</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阜康市水源地输水管网建设工程</w:t>
      </w:r>
      <w:r>
        <w:rPr>
          <w:rFonts w:hint="eastAsia" w:ascii="宋体" w:hAnsi="宋体" w:eastAsia="宋体" w:cs="宋体"/>
          <w:color w:val="auto"/>
          <w:highlight w:val="none"/>
          <w:shd w:val="clear" w:color="auto" w:fill="auto"/>
          <w:lang w:val="en-US" w:eastAsia="zh-CN"/>
        </w:rPr>
        <w:t>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2"/>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t>绩效评价原则、评价指标体系（附表说明）、评价方法、评价标准</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绩效评价原则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依据</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本次绩效评价秉承科学规范、公正公开、分级分类、绩效相关等原则，按照从</w:t>
      </w:r>
      <w:r>
        <w:rPr>
          <w:rFonts w:hint="eastAsia" w:ascii="宋体" w:hAnsi="宋体" w:eastAsia="宋体" w:cs="宋体"/>
          <w:color w:val="auto"/>
          <w:highlight w:val="none"/>
          <w:shd w:val="clear" w:color="auto" w:fill="auto"/>
          <w:lang w:eastAsia="zh-CN"/>
        </w:rPr>
        <w:t>投入、过程到产出效果和影响的绩效逻辑路径，结合</w:t>
      </w:r>
      <w:r>
        <w:rPr>
          <w:rFonts w:hint="eastAsia" w:cs="宋体"/>
          <w:color w:val="auto"/>
          <w:highlight w:val="none"/>
          <w:shd w:val="clear" w:color="auto" w:fill="auto"/>
          <w:lang w:val="en-US" w:eastAsia="zh-CN"/>
        </w:rPr>
        <w:t>阜康市水源地输水管网建设工程</w:t>
      </w:r>
      <w:r>
        <w:rPr>
          <w:rFonts w:hint="eastAsia" w:ascii="宋体" w:hAnsi="宋体" w:eastAsia="宋体" w:cs="宋体"/>
          <w:color w:val="auto"/>
          <w:highlight w:val="none"/>
          <w:shd w:val="clear" w:color="auto" w:fill="auto"/>
          <w:lang w:eastAsia="zh-CN"/>
        </w:rPr>
        <w:t>实际开展情况，运用定量和定性分析相结合的方法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1</w:t>
      </w:r>
      <w:r>
        <w:rPr>
          <w:rFonts w:hint="eastAsia"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4</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）公开透明。绩效评价结果应依法依规公开，并自觉接受社会监督。</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8" w:name="_Toc1913"/>
      <w:bookmarkStart w:id="9" w:name="_Toc26131"/>
      <w:bookmarkStart w:id="10" w:name="_Toc428278230"/>
      <w:bookmarkStart w:id="11" w:name="_Toc41998472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绩效评价指标体系及绩效评价</w:t>
      </w:r>
      <w:bookmarkEnd w:id="8"/>
      <w:bookmarkEnd w:id="9"/>
      <w:bookmarkEnd w:id="10"/>
      <w:bookmarkEnd w:id="1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标准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我单位</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根据项目的</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实施</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资料研读及前期调研，结合项目的实际开展情况，最终形成了项目绩效评价指标体系</w:t>
      </w:r>
      <w:r>
        <w:rPr>
          <w:rFonts w:hint="eastAsia" w:ascii="宋体" w:hAnsi="宋体" w:eastAsia="宋体" w:cs="宋体"/>
          <w:color w:val="000000" w:themeColor="text1"/>
          <w:highlight w:val="none"/>
          <w:shd w:val="clear" w:color="auto" w:fill="auto"/>
          <w:lang w:val="zh-TW"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指标体系结构如下</w:t>
      </w:r>
      <w:r>
        <w:rPr>
          <w:rFonts w:hint="eastAsia" w:cs="宋体"/>
          <w:b/>
          <w:bCs/>
          <w:color w:val="000000" w:themeColor="text1"/>
          <w:highlight w:val="none"/>
          <w:shd w:val="clear" w:color="auto" w:fill="auto"/>
          <w:lang w:val="en-US" w:eastAsia="zh-CN"/>
          <w14:textFill>
            <w14:solidFill>
              <w14:schemeClr w14:val="tx1"/>
            </w14:solidFill>
          </w14:textFill>
        </w:rPr>
        <w:t>（详见上传的附件）</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pPr>
        <w:pStyle w:val="2"/>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p>
    <w:p>
      <w:pP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p>
    <w:p>
      <w:pPr>
        <w:pStyle w:val="2"/>
        <w:rPr>
          <w:rFonts w:hint="eastAsia"/>
          <w:lang w:val="en-US" w:eastAsia="zh-CN"/>
        </w:rPr>
      </w:pPr>
    </w:p>
    <w:p>
      <w:pPr>
        <w:jc w:val="center"/>
        <w:rPr>
          <w:rFonts w:hint="default"/>
          <w:b/>
          <w:bCs/>
          <w:sz w:val="28"/>
          <w:szCs w:val="28"/>
          <w:lang w:val="en-US" w:eastAsia="zh-CN"/>
        </w:rPr>
      </w:pPr>
      <w:r>
        <w:rPr>
          <w:rFonts w:hint="eastAsia"/>
          <w:b/>
          <w:bCs/>
          <w:sz w:val="28"/>
          <w:szCs w:val="28"/>
          <w:lang w:val="zh-TW" w:eastAsia="zh-TW"/>
        </w:rPr>
        <w:t>项目绩效评价指标体系</w:t>
      </w:r>
    </w:p>
    <w:tbl>
      <w:tblPr>
        <w:tblStyle w:val="9"/>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70" w:hRule="atLeast"/>
          <w:tblHeader/>
          <w:jc w:val="center"/>
        </w:trPr>
        <w:tc>
          <w:tcPr>
            <w:tcW w:w="642"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一级指标</w:t>
            </w:r>
          </w:p>
        </w:tc>
        <w:tc>
          <w:tcPr>
            <w:tcW w:w="11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二级指标</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三级指标</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指标解释</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jc w:val="center"/>
        </w:trPr>
        <w:tc>
          <w:tcPr>
            <w:tcW w:w="642"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决策</w:t>
            </w: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充分性</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项目立项是否符合法律法规、相关政策、发展规划以及部门职责，用以反映和考核项目立项依据情况。</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94"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规范性</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项目申请、设立过程是否符合相关要求，用以反映和考核项目立项的规范情况。</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68"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项目所设定的绩效目标是否依据充分，是否符合客观实际，用以反映和考核项目绩效目标与项目实施的相符情况。</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明确性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依据绩效目标设定的绩效指标是否清晰、细化、可衡量等，用以反映和考核项目绩效目标的明细化情况。</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资金投入</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科学性</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过程</w:t>
            </w: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资金管理</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实际到位资金与预算资金的比率，用以反映和考核资金落实情况对项目实施的总体保障程度。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0"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项目预算资金是否按照计划执行，用以反映或考核项目预算执行情况。</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合规性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项目资金使用是否符合相关的财务管理制度规定，用以反映和考核项目资金的规范运行情况。</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组织实施</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健全性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项目实施单位的财务和业务管理制度是否健全，用以反映和考核财务和业务管理制度对项目顺利实施的保障情况。</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有效性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项目实施是否符合相关管理规定，用以反映和考核相关管理制度的有效执行情况。</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w:t>
            </w:r>
          </w:p>
        </w:tc>
        <w:tc>
          <w:tcPr>
            <w:tcW w:w="11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产出数量</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项目实施的实际产出数与计划产出数的比率，用以反映和考核项目产出数量目标的实现程度。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产出质量</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项目完成的质量达标产出数与实际产出数的比率，用以反映和考核项目产出质量目标的实现程度。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产出时效</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完成及时性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项目实际完成时间与计划完成时间的比较，用以反映和考核项目产出时效目标的实现程度。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产出成本</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完成项目计划工作目标的实际节约成本与计划成本的比率，用以反映和考核项目的成本节约程度。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效益</w:t>
            </w: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项目效益</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实施效益</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项目实施所产生的效益。</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满意度</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社会公众或服务对象对项目实施效果的满意程度。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社会公众或服务对象是指因该项目实施而受到影响的部门（单位）、群体或个人。一般采取社会调查的方式。</w:t>
            </w:r>
          </w:p>
        </w:tc>
      </w:tr>
    </w:tbl>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评价</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方法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本次绩效评价采用的方法比较法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对项目绩效目标预期指标值与实施情况进行比较，以及采取公众问卷及抽样调查等方式进行评判的方法对</w:t>
      </w:r>
      <w:r>
        <w:rPr>
          <w:rFonts w:hint="eastAsia" w:cs="宋体"/>
          <w:color w:val="000000" w:themeColor="text1"/>
          <w:highlight w:val="none"/>
          <w:shd w:val="clear" w:color="auto" w:fill="auto"/>
          <w:lang w:val="en-US" w:eastAsia="zh-CN"/>
          <w14:textFill>
            <w14:solidFill>
              <w14:schemeClr w14:val="tx1"/>
            </w14:solidFill>
          </w14:textFill>
        </w:rPr>
        <w:t>阜康市水源地输水管网建设工程</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进行评价。</w:t>
      </w:r>
    </w:p>
    <w:p>
      <w:pPr>
        <w:pStyle w:val="4"/>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（3）历史标准。指参照历史数据制定的评价标准，为体现绩效改进的原则，在可实现的条件下应当确定相对较高的评价标准。</w:t>
      </w:r>
    </w:p>
    <w:p>
      <w:pP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（4）财政部门和预算部门确认或认可的其他标准。</w:t>
      </w:r>
    </w:p>
    <w:p>
      <w:pPr>
        <w:pStyle w:val="4"/>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（三）绩效评价工作过程</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1.前期准备</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为确保该项目绩效评价的顺利实施，评价机构组建了绩效评价项目小组。项目小组负责建立联络制度、明确评价责任人、制定评价方案、实施具体评价等工作。</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（2）开展前期调研</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绩效评价项目小组依据此次绩效评价受委托内容，对拟评价的项目实施前期调研。通过调研对</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阜康市水源地输水管网建设工程</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实施内容、目标信息、预算信息以及其他的一些项目基本信息，有了初步了解，为制定绩效评价工作方案做好准备。</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（3）制订绩效评价工作方案</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绩效评价项目小组根据有关规定和评价对象的特点以及前期调研收集的一些信息，拟定详细的绩效评价工作方案</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2.具体实施</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（1）收集基础资料</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根据评价工作的需要和要求，在前期调研的基础上，通过多种渠道全面收集项目基础信息资料，主要包括：</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①被评价单位基本概况，如单位职能、事业发展规划、预决算情况、项目立项依据等；</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②绩效目标及其设立依据和调整情况；</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③管理措施及组织实施情况；</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④被评价单位总结分析的绩效目标完成情况及绩效报告；</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⑤与绩效评价相关的计划标准、行业标准、历史标准等；</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⑥</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其他必要的相关资料等。</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（2）整理、研读基础资料</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default"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分析评价和撰写报告</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b w:val="0"/>
          <w:bCs w:val="0"/>
          <w:sz w:val="28"/>
          <w:szCs w:val="28"/>
        </w:rPr>
        <w:t>（</w:t>
      </w:r>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）综合分析评价</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①根据所收集的基础资料，结合现场核查的有关情况，整理出绩效评价所需的项目材料和基础数据。</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②将初步评价结论、调整</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事项、专家咨询意见和有关说明等</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提交单位内部讨论</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并征求意见。之后，对所征求的意见及时地进行收集和整理。</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）撰写报告</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最终</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形成评价结果。</w:t>
      </w:r>
    </w:p>
    <w:p>
      <w:pPr>
        <w:pStyle w:val="3"/>
        <w:pageBreakBefore w:val="0"/>
        <w:numPr>
          <w:ilvl w:val="0"/>
          <w:numId w:val="4"/>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r>
        <w:rPr>
          <w:rFonts w:hint="eastAsia" w:ascii="宋体" w:hAnsi="宋体" w:eastAsia="宋体" w:cs="宋体"/>
          <w:b/>
          <w:bCs/>
          <w:color w:val="000000" w:themeColor="text1"/>
          <w:highlight w:val="none"/>
          <w:shd w:val="clear" w:color="auto" w:fill="auto"/>
          <w14:textFill>
            <w14:solidFill>
              <w14:schemeClr w14:val="tx1"/>
            </w14:solidFill>
          </w14:textFill>
        </w:rPr>
        <w:t>综合评价情况及评价结论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此次绩效评价</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通过组论证的评价指标体系及评分标准，</w:t>
      </w:r>
      <w:r>
        <w:rPr>
          <w:rFonts w:hint="eastAsia" w:ascii="宋体" w:hAnsi="宋体" w:eastAsia="宋体" w:cs="宋体"/>
          <w:color w:val="000000" w:themeColor="text1"/>
          <w:highlight w:val="none"/>
          <w:shd w:val="clear" w:color="auto" w:fill="auto"/>
          <w14:textFill>
            <w14:solidFill>
              <w14:schemeClr w14:val="tx1"/>
            </w14:solidFill>
          </w14:textFill>
        </w:rPr>
        <w:t>采用的方法比较法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阜康市水源地输水管网建设工程</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98</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9"/>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4"/>
                <w:szCs w:val="24"/>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表3-1：</w:t>
            </w:r>
            <w:r>
              <w:rPr>
                <w:rFonts w:hint="eastAsia" w:cs="宋体"/>
                <w:b/>
                <w:bCs/>
                <w:color w:val="000000" w:themeColor="text1"/>
                <w:kern w:val="0"/>
                <w:sz w:val="28"/>
                <w:szCs w:val="28"/>
                <w:highlight w:val="none"/>
                <w:shd w:val="clear" w:color="auto" w:fill="auto"/>
                <w:lang w:val="en-US" w:eastAsia="zh-CN"/>
                <w14:textFill>
                  <w14:solidFill>
                    <w14:schemeClr w14:val="tx1"/>
                  </w14:solidFill>
                </w14:textFill>
              </w:rPr>
              <w:t>阜康市水源地输水管网建设工程</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得分表</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合计</w:t>
            </w:r>
          </w:p>
        </w:tc>
      </w:tr>
      <w:tr>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28</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w:t>
            </w:r>
          </w:p>
        </w:tc>
      </w:tr>
      <w:tr>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93</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w:t>
            </w:r>
            <w:r>
              <w:rPr>
                <w:rFonts w:hint="eastAsia" w:ascii="宋体" w:hAnsi="宋体" w:eastAsia="宋体" w:cs="宋体"/>
                <w:color w:val="auto"/>
                <w:kern w:val="0"/>
                <w:sz w:val="21"/>
                <w:szCs w:val="21"/>
                <w:highlight w:val="none"/>
                <w:shd w:val="clear" w:color="auto" w:fill="auto"/>
                <w:lang w:val="en-US" w:eastAsia="zh-CN"/>
              </w:rPr>
              <w:t>%</w:t>
            </w:r>
          </w:p>
        </w:tc>
      </w:tr>
    </w:tbl>
    <w:p>
      <w:pPr>
        <w:pStyle w:val="3"/>
        <w:keepNext/>
        <w:keepLines/>
        <w:pageBreakBefore w:val="0"/>
        <w:widowControl w:val="0"/>
        <w:numPr>
          <w:ilvl w:val="0"/>
          <w:numId w:val="4"/>
        </w:numPr>
        <w:kinsoku/>
        <w:wordWrap/>
        <w:overflowPunct/>
        <w:topLinePunct w:val="0"/>
        <w:autoSpaceDE/>
        <w:autoSpaceDN/>
        <w:bidi w:val="0"/>
        <w:adjustRightInd/>
        <w:snapToGrid/>
        <w:spacing w:beforeLines="0" w:afterLines="0" w:line="360" w:lineRule="auto"/>
        <w:ind w:left="0" w:leftChars="0" w:firstLine="643" w:firstLineChars="200"/>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r>
        <w:rPr>
          <w:rFonts w:hint="eastAsia" w:ascii="宋体" w:hAnsi="宋体" w:eastAsia="宋体" w:cs="宋体"/>
          <w:b/>
          <w:bCs/>
          <w:color w:val="000000" w:themeColor="text1"/>
          <w:highlight w:val="none"/>
          <w:shd w:val="clear" w:color="auto" w:fill="auto"/>
          <w14:textFill>
            <w14:solidFill>
              <w14:schemeClr w14:val="tx1"/>
            </w14:solidFill>
          </w14:textFill>
        </w:rPr>
        <w:t>绩效评价指标分析</w:t>
      </w:r>
    </w:p>
    <w:p>
      <w:pPr>
        <w:pStyle w:val="3"/>
        <w:keepNext/>
        <w:keepLines/>
        <w:pageBreakBefore w:val="0"/>
        <w:widowControl w:val="0"/>
        <w:numPr>
          <w:ilvl w:val="0"/>
          <w:numId w:val="0"/>
        </w:numPr>
        <w:kinsoku/>
        <w:wordWrap/>
        <w:overflowPunct/>
        <w:topLinePunct w:val="0"/>
        <w:autoSpaceDE/>
        <w:autoSpaceDN/>
        <w:bidi w:val="0"/>
        <w:adjustRightInd/>
        <w:snapToGrid/>
        <w:spacing w:beforeLines="0" w:afterLines="0" w:line="360" w:lineRule="auto"/>
        <w:ind w:firstLine="640" w:firstLine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（一）项目决策情况</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4-1</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项目决策指标及分值</w:t>
      </w:r>
    </w:p>
    <w:tbl>
      <w:tblPr>
        <w:tblStyle w:val="9"/>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bidi w:val="0"/>
        <w:rPr>
          <w:rFonts w:hint="default"/>
          <w:b/>
          <w:bCs/>
          <w:lang w:val="en-US" w:eastAsia="zh-CN"/>
        </w:rPr>
      </w:pPr>
      <w:r>
        <w:rPr>
          <w:rFonts w:hint="eastAsia"/>
          <w:b/>
          <w:bCs/>
          <w:lang w:val="en-US" w:eastAsia="zh-CN"/>
        </w:rPr>
        <w:t>1.立项依据充分性</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lang w:eastAsia="zh-CN"/>
        </w:rPr>
      </w:pPr>
      <w:r>
        <w:rPr>
          <w:rFonts w:hint="eastAsia"/>
          <w:lang w:eastAsia="zh-CN"/>
        </w:rPr>
        <w:t>①项目立项符合国家法律法规、国民经济发展规划和相关政策</w:t>
      </w:r>
      <w:r>
        <w:rPr>
          <w:rFonts w:hint="eastAsia" w:ascii="宋体" w:hAnsi="宋体" w:eastAsia="宋体" w:cs="宋体"/>
          <w:lang w:eastAsia="zh-CN"/>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lang w:eastAsia="zh-CN"/>
        </w:rPr>
      </w:pPr>
      <w:r>
        <w:rPr>
          <w:rFonts w:hint="eastAsia"/>
          <w:lang w:eastAsia="zh-CN"/>
        </w:rPr>
        <w:t>②项目立项符合行业发展规划和政策要求；</w:t>
      </w:r>
      <w:r>
        <w:rPr>
          <w:rFonts w:hint="eastAsia" w:ascii="宋体" w:hAnsi="宋体" w:eastAsia="宋体" w:cs="宋体"/>
          <w:lang w:val="en-US" w:eastAsia="zh-CN"/>
        </w:rPr>
        <w:t>因此，依托引额济乌调水工程缓解阜康市用水紧缺局面，是保障阜康市用水安全的需要，也是保障阜康市社会经济高质量发展的需要。</w:t>
      </w:r>
    </w:p>
    <w:p>
      <w:pPr>
        <w:bidi w:val="0"/>
        <w:rPr>
          <w:rFonts w:hint="eastAsia"/>
          <w:lang w:eastAsia="zh-CN"/>
        </w:rPr>
      </w:pPr>
      <w:r>
        <w:rPr>
          <w:rFonts w:hint="eastAsia"/>
          <w:lang w:eastAsia="zh-CN"/>
        </w:rPr>
        <w:t>③项目立项与部门职责范围相符，属于部门履职所需；</w:t>
      </w:r>
    </w:p>
    <w:p>
      <w:pPr>
        <w:bidi w:val="0"/>
        <w:rPr>
          <w:rFonts w:hint="eastAsia"/>
          <w:lang w:eastAsia="zh-CN"/>
        </w:rPr>
      </w:pPr>
      <w:r>
        <w:rPr>
          <w:rFonts w:hint="eastAsia"/>
          <w:lang w:eastAsia="zh-CN"/>
        </w:rPr>
        <w:t>④项目属于公共财政支持范围，符合中央、地方事权支出责任划分原则；</w:t>
      </w:r>
    </w:p>
    <w:p>
      <w:pPr>
        <w:bidi w:val="0"/>
        <w:rPr>
          <w:rFonts w:hint="eastAsia"/>
          <w:lang w:eastAsia="zh-CN"/>
        </w:rPr>
      </w:pPr>
      <w:r>
        <w:rPr>
          <w:rFonts w:hint="eastAsia"/>
          <w:lang w:eastAsia="zh-CN"/>
        </w:rPr>
        <w:t>⑤项目与相关部门同类项目或部门内部相关项目</w:t>
      </w:r>
      <w:r>
        <w:rPr>
          <w:rFonts w:hint="eastAsia"/>
          <w:lang w:val="en-US" w:eastAsia="zh-CN"/>
        </w:rPr>
        <w:t>不</w:t>
      </w:r>
      <w:r>
        <w:rPr>
          <w:rFonts w:hint="eastAsia"/>
          <w:lang w:eastAsia="zh-CN"/>
        </w:rPr>
        <w:t>重复。</w:t>
      </w:r>
    </w:p>
    <w:p>
      <w:pPr>
        <w:bidi w:val="0"/>
        <w:rPr>
          <w:rFonts w:hint="default"/>
          <w:lang w:val="en-US" w:eastAsia="zh-CN"/>
        </w:rPr>
      </w:pPr>
      <w:r>
        <w:rPr>
          <w:rFonts w:hint="eastAsia"/>
          <w:b/>
          <w:bCs/>
          <w:color w:val="auto"/>
          <w:lang w:val="en-US" w:eastAsia="zh-CN"/>
        </w:rPr>
        <w:t>综上，该项指标满分2分，得分2分。</w:t>
      </w:r>
    </w:p>
    <w:p>
      <w:pPr>
        <w:bidi w:val="0"/>
        <w:rPr>
          <w:rFonts w:hint="default"/>
          <w:b/>
          <w:bCs/>
          <w:color w:val="auto"/>
          <w:lang w:val="en-US" w:eastAsia="zh-CN"/>
        </w:rPr>
      </w:pPr>
      <w:r>
        <w:rPr>
          <w:rFonts w:hint="eastAsia"/>
          <w:b/>
          <w:bCs/>
          <w:color w:val="auto"/>
          <w:lang w:val="en-US" w:eastAsia="zh-CN"/>
        </w:rPr>
        <w:t>2.立项程序规范性</w:t>
      </w:r>
    </w:p>
    <w:p>
      <w:pPr>
        <w:bidi w:val="0"/>
        <w:rPr>
          <w:rFonts w:hint="eastAsia"/>
          <w:lang w:eastAsia="zh-CN"/>
        </w:rPr>
      </w:pPr>
      <w:r>
        <w:rPr>
          <w:rFonts w:hint="eastAsia"/>
          <w:lang w:eastAsia="zh-CN"/>
        </w:rPr>
        <w:t>①项目按照规定的程序申请设立；</w:t>
      </w:r>
    </w:p>
    <w:p>
      <w:pPr>
        <w:bidi w:val="0"/>
        <w:rPr>
          <w:rFonts w:hint="eastAsia"/>
          <w:lang w:eastAsia="zh-CN"/>
        </w:rPr>
      </w:pPr>
      <w:r>
        <w:rPr>
          <w:rFonts w:hint="eastAsia"/>
          <w:lang w:eastAsia="zh-CN"/>
        </w:rPr>
        <w:t>②审批文件、材料符合相关要求；</w:t>
      </w:r>
    </w:p>
    <w:p>
      <w:pPr>
        <w:bidi w:val="0"/>
        <w:rPr>
          <w:rFonts w:hint="eastAsia"/>
          <w:highlight w:val="none"/>
          <w:lang w:eastAsia="zh-CN"/>
        </w:rPr>
      </w:pPr>
      <w:r>
        <w:rPr>
          <w:rFonts w:hint="eastAsia"/>
          <w:highlight w:val="none"/>
          <w:lang w:eastAsia="zh-CN"/>
        </w:rPr>
        <w:t>③事前</w:t>
      </w:r>
      <w:r>
        <w:rPr>
          <w:rFonts w:hint="eastAsia"/>
          <w:highlight w:val="none"/>
          <w:lang w:val="en-US" w:eastAsia="zh-CN"/>
        </w:rPr>
        <w:t>已</w:t>
      </w:r>
      <w:r>
        <w:rPr>
          <w:rFonts w:hint="eastAsia"/>
          <w:highlight w:val="none"/>
          <w:lang w:eastAsia="zh-CN"/>
        </w:rPr>
        <w:t>经过必要的可行性研究、专家论证。</w:t>
      </w:r>
    </w:p>
    <w:p>
      <w:pPr>
        <w:bidi w:val="0"/>
        <w:rPr>
          <w:rFonts w:hint="eastAsia"/>
          <w:color w:val="auto"/>
          <w:lang w:eastAsia="zh-CN"/>
        </w:rPr>
      </w:pPr>
      <w:r>
        <w:rPr>
          <w:rFonts w:hint="eastAsia"/>
          <w:b/>
          <w:bCs/>
          <w:color w:val="auto"/>
          <w:lang w:val="en-US" w:eastAsia="zh-CN"/>
        </w:rPr>
        <w:t>综上，该项指标满分3分，得分3分。</w:t>
      </w:r>
    </w:p>
    <w:p>
      <w:pPr>
        <w:bidi w:val="0"/>
        <w:rPr>
          <w:rFonts w:hint="default"/>
          <w:b/>
          <w:bCs/>
          <w:lang w:val="en-US" w:eastAsia="zh-CN"/>
        </w:rPr>
      </w:pPr>
      <w:r>
        <w:rPr>
          <w:rFonts w:hint="eastAsia"/>
          <w:b/>
          <w:bCs/>
          <w:lang w:val="en-US" w:eastAsia="zh-CN"/>
        </w:rPr>
        <w:t>3.绩效目标合理性</w:t>
      </w:r>
    </w:p>
    <w:p>
      <w:pPr>
        <w:bidi w:val="0"/>
        <w:rPr>
          <w:rFonts w:hint="eastAsia"/>
          <w:lang w:eastAsia="zh-CN"/>
        </w:rPr>
      </w:pPr>
      <w:r>
        <w:rPr>
          <w:rFonts w:hint="eastAsia"/>
          <w:lang w:eastAsia="zh-CN"/>
        </w:rPr>
        <w:t>①项目有绩效目标；</w:t>
      </w:r>
    </w:p>
    <w:p>
      <w:pPr>
        <w:bidi w:val="0"/>
        <w:rPr>
          <w:rFonts w:hint="eastAsia"/>
          <w:lang w:eastAsia="zh-CN"/>
        </w:rPr>
      </w:pPr>
      <w:r>
        <w:rPr>
          <w:rFonts w:hint="eastAsia"/>
          <w:lang w:eastAsia="zh-CN"/>
        </w:rPr>
        <w:t>②项目绩效目标与实际工作内容具有相关性；</w:t>
      </w:r>
    </w:p>
    <w:p>
      <w:pPr>
        <w:bidi w:val="0"/>
        <w:rPr>
          <w:rFonts w:hint="eastAsia"/>
          <w:lang w:eastAsia="zh-CN"/>
        </w:rPr>
      </w:pPr>
      <w:r>
        <w:rPr>
          <w:rFonts w:hint="eastAsia"/>
          <w:lang w:eastAsia="zh-CN"/>
        </w:rPr>
        <w:t>③项目预期产出效益和效果符合正常的业绩水平；</w:t>
      </w:r>
    </w:p>
    <w:p>
      <w:pPr>
        <w:bidi w:val="0"/>
        <w:rPr>
          <w:rFonts w:hint="eastAsia"/>
          <w:lang w:eastAsia="zh-CN"/>
        </w:rPr>
      </w:pPr>
      <w:r>
        <w:rPr>
          <w:rFonts w:hint="eastAsia"/>
          <w:lang w:eastAsia="zh-CN"/>
        </w:rPr>
        <w:t>④与预算确定的项目投资额或资金量相匹配。</w:t>
      </w:r>
    </w:p>
    <w:p>
      <w:pPr>
        <w:bidi w:val="0"/>
        <w:rPr>
          <w:rFonts w:hint="eastAsia"/>
          <w:color w:val="auto"/>
          <w:lang w:eastAsia="zh-CN"/>
        </w:rPr>
      </w:pPr>
      <w:r>
        <w:rPr>
          <w:rFonts w:hint="eastAsia"/>
          <w:b/>
          <w:bCs/>
          <w:color w:val="auto"/>
          <w:lang w:val="en-US" w:eastAsia="zh-CN"/>
        </w:rPr>
        <w:t>综上，该项指标满分5分，得分5分。</w:t>
      </w:r>
    </w:p>
    <w:p>
      <w:pPr>
        <w:bidi w:val="0"/>
        <w:rPr>
          <w:rFonts w:hint="default"/>
          <w:b/>
          <w:bCs/>
          <w:color w:val="auto"/>
          <w:lang w:val="en-US" w:eastAsia="zh-CN"/>
        </w:rPr>
      </w:pPr>
      <w:r>
        <w:rPr>
          <w:rFonts w:hint="eastAsia"/>
          <w:b/>
          <w:bCs/>
          <w:color w:val="auto"/>
          <w:lang w:val="en-US" w:eastAsia="zh-CN"/>
        </w:rPr>
        <w:t>4.绩效指标明确性</w:t>
      </w:r>
    </w:p>
    <w:p>
      <w:pPr>
        <w:bidi w:val="0"/>
        <w:rPr>
          <w:rFonts w:hint="eastAsia"/>
          <w:color w:val="auto"/>
          <w:lang w:eastAsia="zh-CN"/>
        </w:rPr>
      </w:pPr>
      <w:r>
        <w:rPr>
          <w:rFonts w:hint="eastAsia"/>
          <w:color w:val="auto"/>
          <w:lang w:eastAsia="zh-CN"/>
        </w:rPr>
        <w:t>①将项目绩效目标细化分解为具体的绩效指标；</w:t>
      </w:r>
    </w:p>
    <w:p>
      <w:pPr>
        <w:bidi w:val="0"/>
        <w:rPr>
          <w:rFonts w:hint="eastAsia"/>
          <w:color w:val="auto"/>
          <w:lang w:eastAsia="zh-CN"/>
        </w:rPr>
      </w:pPr>
      <w:r>
        <w:rPr>
          <w:rFonts w:hint="eastAsia"/>
          <w:color w:val="auto"/>
          <w:lang w:eastAsia="zh-CN"/>
        </w:rPr>
        <w:t>②通过清晰、可衡量的指标值予以体现；</w:t>
      </w:r>
    </w:p>
    <w:p>
      <w:pPr>
        <w:bidi w:val="0"/>
        <w:rPr>
          <w:rFonts w:hint="eastAsia"/>
          <w:color w:val="auto"/>
          <w:lang w:eastAsia="zh-CN"/>
        </w:rPr>
      </w:pPr>
      <w:r>
        <w:rPr>
          <w:rFonts w:hint="eastAsia"/>
          <w:color w:val="auto"/>
          <w:lang w:eastAsia="zh-CN"/>
        </w:rPr>
        <w:t>③与项目目标任务数或计划数相对应。</w:t>
      </w:r>
    </w:p>
    <w:p>
      <w:pPr>
        <w:bidi w:val="0"/>
        <w:rPr>
          <w:rFonts w:hint="eastAsia"/>
          <w:color w:val="auto"/>
          <w:lang w:eastAsia="zh-CN"/>
        </w:rPr>
      </w:pPr>
      <w:r>
        <w:rPr>
          <w:rFonts w:hint="eastAsia"/>
          <w:b/>
          <w:bCs/>
          <w:color w:val="auto"/>
          <w:lang w:val="en-US" w:eastAsia="zh-CN"/>
        </w:rPr>
        <w:t>综上，该项指标满分5分，得分5分。</w:t>
      </w:r>
    </w:p>
    <w:p>
      <w:pPr>
        <w:bidi w:val="0"/>
        <w:rPr>
          <w:rFonts w:hint="default"/>
          <w:b/>
          <w:bCs/>
          <w:color w:val="auto"/>
          <w:lang w:val="en-US" w:eastAsia="zh-CN"/>
        </w:rPr>
      </w:pPr>
      <w:r>
        <w:rPr>
          <w:rFonts w:hint="eastAsia"/>
          <w:b/>
          <w:bCs/>
          <w:color w:val="auto"/>
          <w:lang w:val="en-US" w:eastAsia="zh-CN"/>
        </w:rPr>
        <w:t>5.预算编制科学性</w:t>
      </w:r>
    </w:p>
    <w:p>
      <w:pPr>
        <w:bidi w:val="0"/>
        <w:rPr>
          <w:rFonts w:hint="eastAsia"/>
          <w:color w:val="auto"/>
          <w:lang w:eastAsia="zh-CN"/>
        </w:rPr>
      </w:pPr>
      <w:r>
        <w:rPr>
          <w:rFonts w:hint="eastAsia"/>
          <w:color w:val="auto"/>
          <w:lang w:eastAsia="zh-CN"/>
        </w:rPr>
        <w:t>①预算编制经过科学论证；</w:t>
      </w:r>
    </w:p>
    <w:p>
      <w:pPr>
        <w:bidi w:val="0"/>
        <w:rPr>
          <w:rFonts w:hint="eastAsia"/>
          <w:color w:val="auto"/>
          <w:lang w:eastAsia="zh-CN"/>
        </w:rPr>
      </w:pPr>
      <w:r>
        <w:rPr>
          <w:rFonts w:hint="eastAsia"/>
          <w:color w:val="auto"/>
          <w:lang w:eastAsia="zh-CN"/>
        </w:rPr>
        <w:t>②预算内容与项目内容匹配；</w:t>
      </w:r>
    </w:p>
    <w:p>
      <w:pPr>
        <w:bidi w:val="0"/>
        <w:rPr>
          <w:rFonts w:hint="eastAsia"/>
          <w:color w:val="auto"/>
          <w:lang w:eastAsia="zh-CN"/>
        </w:rPr>
      </w:pPr>
      <w:r>
        <w:rPr>
          <w:rFonts w:hint="eastAsia"/>
          <w:color w:val="auto"/>
          <w:lang w:eastAsia="zh-CN"/>
        </w:rPr>
        <w:t>③预算额度测算依据充分，按照标准编制；</w:t>
      </w:r>
    </w:p>
    <w:p>
      <w:pPr>
        <w:bidi w:val="0"/>
        <w:rPr>
          <w:rFonts w:hint="eastAsia"/>
          <w:color w:val="auto"/>
          <w:lang w:eastAsia="zh-CN"/>
        </w:rPr>
      </w:pPr>
      <w:r>
        <w:rPr>
          <w:rFonts w:hint="eastAsia"/>
          <w:color w:val="auto"/>
          <w:lang w:eastAsia="zh-CN"/>
        </w:rPr>
        <w:t>④预算确定的项目投资额或资金量与工作任务相匹配。</w:t>
      </w:r>
    </w:p>
    <w:p>
      <w:pPr>
        <w:bidi w:val="0"/>
        <w:rPr>
          <w:rFonts w:hint="eastAsia"/>
          <w:color w:val="auto"/>
          <w:lang w:eastAsia="zh-CN"/>
        </w:rPr>
      </w:pPr>
      <w:r>
        <w:rPr>
          <w:rFonts w:hint="eastAsia"/>
          <w:b/>
          <w:bCs/>
          <w:color w:val="auto"/>
          <w:lang w:val="en-US" w:eastAsia="zh-CN"/>
        </w:rPr>
        <w:t>综上，该项指标满分2分，得分2分。</w:t>
      </w:r>
    </w:p>
    <w:p>
      <w:pPr>
        <w:bidi w:val="0"/>
        <w:rPr>
          <w:rFonts w:hint="default"/>
          <w:b/>
          <w:bCs/>
          <w:color w:val="auto"/>
          <w:lang w:val="en-US" w:eastAsia="zh-CN"/>
        </w:rPr>
      </w:pPr>
      <w:r>
        <w:rPr>
          <w:rFonts w:hint="eastAsia"/>
          <w:b/>
          <w:bCs/>
          <w:color w:val="auto"/>
          <w:lang w:val="en-US" w:eastAsia="zh-CN"/>
        </w:rPr>
        <w:t>6.资金分配合理性</w:t>
      </w:r>
    </w:p>
    <w:p>
      <w:pPr>
        <w:bidi w:val="0"/>
        <w:rPr>
          <w:rFonts w:hint="eastAsia"/>
          <w:color w:val="auto"/>
          <w:lang w:eastAsia="zh-CN"/>
        </w:rPr>
      </w:pPr>
      <w:r>
        <w:rPr>
          <w:rFonts w:hint="eastAsia"/>
          <w:color w:val="auto"/>
          <w:lang w:eastAsia="zh-CN"/>
        </w:rPr>
        <w:t>①预算资金分配依据充分；</w:t>
      </w:r>
    </w:p>
    <w:p>
      <w:pPr>
        <w:bidi w:val="0"/>
        <w:rPr>
          <w:rFonts w:hint="eastAsia"/>
          <w:color w:val="auto"/>
          <w:lang w:eastAsia="zh-CN"/>
        </w:rPr>
      </w:pPr>
      <w:r>
        <w:rPr>
          <w:rFonts w:hint="eastAsia"/>
          <w:color w:val="auto"/>
          <w:lang w:eastAsia="zh-CN"/>
        </w:rPr>
        <w:t>②资金分配额度合理，与项目单位或地方实际相适应。</w:t>
      </w:r>
    </w:p>
    <w:p>
      <w:pPr>
        <w:bidi w:val="0"/>
        <w:rPr>
          <w:rFonts w:hint="eastAsia"/>
          <w:color w:val="auto"/>
          <w:lang w:eastAsia="zh-CN"/>
        </w:rPr>
      </w:pPr>
      <w:r>
        <w:rPr>
          <w:rFonts w:hint="eastAsia"/>
          <w:b/>
          <w:bCs/>
          <w:color w:val="auto"/>
          <w:lang w:val="en-US" w:eastAsia="zh-CN"/>
        </w:rPr>
        <w:t>综上，该项指标满分3分，得分3分。</w:t>
      </w:r>
    </w:p>
    <w:p>
      <w:pPr>
        <w:pStyle w:val="2"/>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9"/>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bidi w:val="0"/>
        <w:rPr>
          <w:rFonts w:hint="default"/>
          <w:b/>
          <w:bCs/>
          <w:color w:val="auto"/>
          <w:lang w:val="en-US" w:eastAsia="zh-CN"/>
        </w:rPr>
      </w:pPr>
      <w:r>
        <w:rPr>
          <w:rFonts w:hint="eastAsia"/>
          <w:b/>
          <w:bCs/>
          <w:color w:val="auto"/>
          <w:lang w:val="en-US" w:eastAsia="zh-CN"/>
        </w:rPr>
        <w:t>1.资金到位率</w:t>
      </w:r>
    </w:p>
    <w:p>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3000万元</w:t>
      </w:r>
      <w:r>
        <w:rPr>
          <w:rFonts w:hint="eastAsia"/>
          <w:color w:val="auto"/>
          <w:highlight w:val="none"/>
          <w:lang w:eastAsia="zh-CN"/>
        </w:rPr>
        <w:t>/</w:t>
      </w:r>
      <w:r>
        <w:rPr>
          <w:rFonts w:hint="eastAsia"/>
          <w:color w:val="auto"/>
          <w:highlight w:val="none"/>
          <w:lang w:val="en-US" w:eastAsia="zh-CN"/>
        </w:rPr>
        <w:t>3000万元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rPr>
          <w:rFonts w:hint="default"/>
          <w:b/>
          <w:bCs/>
          <w:color w:val="auto"/>
          <w:highlight w:val="none"/>
          <w:lang w:val="en-US" w:eastAsia="zh-CN"/>
        </w:rPr>
      </w:pPr>
      <w:r>
        <w:rPr>
          <w:rFonts w:hint="eastAsia"/>
          <w:b/>
          <w:bCs/>
          <w:color w:val="auto"/>
          <w:highlight w:val="none"/>
          <w:lang w:val="en-US" w:eastAsia="zh-CN"/>
        </w:rPr>
        <w:t>2.预算执行率</w:t>
      </w:r>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3002万元</w:t>
      </w:r>
      <w:r>
        <w:rPr>
          <w:rFonts w:hint="eastAsia"/>
          <w:color w:val="auto"/>
          <w:highlight w:val="none"/>
          <w:lang w:eastAsia="zh-CN"/>
        </w:rPr>
        <w:t>/</w:t>
      </w:r>
      <w:r>
        <w:rPr>
          <w:rFonts w:hint="eastAsia"/>
          <w:color w:val="auto"/>
          <w:highlight w:val="none"/>
          <w:lang w:val="en-US" w:eastAsia="zh-CN"/>
        </w:rPr>
        <w:t>3000万元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综上，该项指标满分20分，得分20分。</w:t>
      </w:r>
    </w:p>
    <w:p>
      <w:pPr>
        <w:bidi w:val="0"/>
        <w:rPr>
          <w:rFonts w:hint="default"/>
          <w:b/>
          <w:bCs/>
          <w:lang w:val="en-US" w:eastAsia="zh-CN"/>
        </w:rPr>
      </w:pPr>
      <w:r>
        <w:rPr>
          <w:rFonts w:hint="eastAsia"/>
          <w:b/>
          <w:bCs/>
          <w:lang w:val="en-US" w:eastAsia="zh-CN"/>
        </w:rPr>
        <w:t>3.资金使用合规性</w:t>
      </w:r>
    </w:p>
    <w:p>
      <w:pPr>
        <w:numPr>
          <w:ilvl w:val="0"/>
          <w:numId w:val="0"/>
        </w:numPr>
        <w:bidi w:val="0"/>
        <w:ind w:firstLine="560" w:firstLineChars="200"/>
        <w:rPr>
          <w:rFonts w:hint="eastAsia"/>
          <w:highlight w:val="none"/>
          <w:lang w:eastAsia="zh-CN"/>
        </w:rPr>
      </w:pPr>
      <w:r>
        <w:rPr>
          <w:rFonts w:hint="eastAsia"/>
          <w:lang w:eastAsia="zh-CN"/>
        </w:rPr>
        <w:t>①符合</w:t>
      </w:r>
      <w:r>
        <w:rPr>
          <w:rFonts w:hint="eastAsia"/>
          <w:highlight w:val="none"/>
          <w:lang w:eastAsia="zh-CN"/>
        </w:rPr>
        <w:t>《</w:t>
      </w:r>
      <w:r>
        <w:rPr>
          <w:rFonts w:hint="eastAsia"/>
          <w:highlight w:val="none"/>
          <w:lang w:val="en-US" w:eastAsia="zh-CN"/>
        </w:rPr>
        <w:t>阜康市水利局财务执行规范准则</w:t>
      </w:r>
      <w:r>
        <w:rPr>
          <w:rFonts w:hint="eastAsia"/>
          <w:highlight w:val="none"/>
          <w:lang w:eastAsia="zh-CN"/>
        </w:rPr>
        <w:t>》；</w:t>
      </w:r>
    </w:p>
    <w:p>
      <w:pPr>
        <w:bidi w:val="0"/>
        <w:rPr>
          <w:rFonts w:hint="eastAsia"/>
          <w:lang w:eastAsia="zh-CN"/>
        </w:rPr>
      </w:pPr>
      <w:r>
        <w:rPr>
          <w:rFonts w:hint="eastAsia"/>
          <w:lang w:eastAsia="zh-CN"/>
        </w:rPr>
        <w:t>②资金的拨付有完整的审批程序和手续；</w:t>
      </w:r>
    </w:p>
    <w:p>
      <w:pPr>
        <w:bidi w:val="0"/>
        <w:rPr>
          <w:rFonts w:hint="eastAsia"/>
          <w:lang w:eastAsia="zh-CN"/>
        </w:rPr>
      </w:pPr>
      <w:r>
        <w:rPr>
          <w:rFonts w:hint="eastAsia"/>
          <w:lang w:eastAsia="zh-CN"/>
        </w:rPr>
        <w:t>③符合项目预算批复或合同规定的用途；</w:t>
      </w:r>
    </w:p>
    <w:p>
      <w:pPr>
        <w:bidi w:val="0"/>
        <w:rPr>
          <w:rFonts w:hint="eastAsia"/>
          <w:lang w:eastAsia="zh-CN"/>
        </w:rPr>
      </w:pPr>
      <w:r>
        <w:rPr>
          <w:rFonts w:hint="eastAsia"/>
          <w:lang w:eastAsia="zh-CN"/>
        </w:rPr>
        <w:t>④</w:t>
      </w:r>
      <w:r>
        <w:rPr>
          <w:rFonts w:hint="eastAsia"/>
          <w:lang w:val="en-US" w:eastAsia="zh-CN"/>
        </w:rPr>
        <w:t>不</w:t>
      </w:r>
      <w:r>
        <w:rPr>
          <w:rFonts w:hint="eastAsia"/>
          <w:lang w:eastAsia="zh-CN"/>
        </w:rPr>
        <w:t>存在截留、挤占、挪用、虚列支出等情况。</w:t>
      </w:r>
    </w:p>
    <w:p>
      <w:pPr>
        <w:bidi w:val="0"/>
        <w:rPr>
          <w:rFonts w:hint="eastAsia"/>
          <w:b/>
          <w:bCs/>
          <w:color w:val="auto"/>
          <w:lang w:val="en-US" w:eastAsia="zh-CN"/>
        </w:rPr>
      </w:pPr>
      <w:r>
        <w:rPr>
          <w:rFonts w:hint="eastAsia"/>
          <w:b/>
          <w:bCs/>
          <w:color w:val="auto"/>
          <w:lang w:val="en-US" w:eastAsia="zh-CN"/>
        </w:rPr>
        <w:t>综上，该项指标满分4分，得分4分。</w:t>
      </w:r>
    </w:p>
    <w:p>
      <w:pPr>
        <w:bidi w:val="0"/>
        <w:rPr>
          <w:rFonts w:hint="eastAsia"/>
          <w:b/>
          <w:bCs/>
          <w:lang w:val="en-US" w:eastAsia="zh-CN"/>
        </w:rPr>
      </w:pPr>
      <w:r>
        <w:rPr>
          <w:rFonts w:hint="eastAsia"/>
          <w:b/>
          <w:bCs/>
          <w:lang w:val="en-US" w:eastAsia="zh-CN"/>
        </w:rPr>
        <w:t>4.管理制度健全性</w:t>
      </w:r>
    </w:p>
    <w:p>
      <w:pPr>
        <w:numPr>
          <w:ilvl w:val="0"/>
          <w:numId w:val="0"/>
        </w:numPr>
        <w:bidi w:val="0"/>
        <w:ind w:firstLine="560" w:firstLineChars="200"/>
        <w:rPr>
          <w:rFonts w:hint="eastAsia"/>
          <w:highlight w:val="none"/>
          <w:lang w:eastAsia="zh-CN"/>
        </w:rPr>
      </w:pPr>
      <w:r>
        <w:rPr>
          <w:rFonts w:hint="eastAsia"/>
          <w:highlight w:val="none"/>
          <w:lang w:eastAsia="zh-CN"/>
        </w:rPr>
        <w:t>①具有《</w:t>
      </w:r>
      <w:r>
        <w:rPr>
          <w:rFonts w:hint="eastAsia"/>
          <w:highlight w:val="none"/>
          <w:lang w:val="en-US" w:eastAsia="zh-CN"/>
        </w:rPr>
        <w:t>阜康市水利局财务执行规范准则</w:t>
      </w:r>
      <w:r>
        <w:rPr>
          <w:rFonts w:hint="eastAsia"/>
          <w:highlight w:val="none"/>
          <w:lang w:eastAsia="zh-CN"/>
        </w:rPr>
        <w:t>》</w:t>
      </w:r>
    </w:p>
    <w:p>
      <w:pPr>
        <w:bidi w:val="0"/>
        <w:rPr>
          <w:rFonts w:hint="eastAsia"/>
          <w:highlight w:val="none"/>
          <w:lang w:eastAsia="zh-CN"/>
        </w:rPr>
      </w:pPr>
      <w:r>
        <w:rPr>
          <w:rFonts w:hint="eastAsia"/>
          <w:highlight w:val="none"/>
          <w:lang w:eastAsia="zh-CN"/>
        </w:rPr>
        <w:t>②财务和业务管理制度合法、合规、完整。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rPr>
          <w:rFonts w:hint="eastAsia"/>
          <w:b/>
          <w:bCs/>
          <w:lang w:val="en-US" w:eastAsia="zh-CN"/>
        </w:rPr>
      </w:pPr>
      <w:r>
        <w:rPr>
          <w:rFonts w:hint="eastAsia"/>
          <w:b/>
          <w:bCs/>
          <w:lang w:val="en-US" w:eastAsia="zh-CN"/>
        </w:rPr>
        <w:t>5.制度执行有效性</w:t>
      </w:r>
    </w:p>
    <w:p>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①遵守</w:t>
      </w:r>
      <w:r>
        <w:rPr>
          <w:rFonts w:hint="eastAsia"/>
          <w:highlight w:val="none"/>
          <w:lang w:eastAsia="zh-CN"/>
        </w:rPr>
        <w:t>《</w:t>
      </w:r>
      <w:r>
        <w:rPr>
          <w:rFonts w:hint="eastAsia"/>
          <w:highlight w:val="none"/>
          <w:lang w:val="en-US" w:eastAsia="zh-CN"/>
        </w:rPr>
        <w:t>阜康市水利局财务执行规范准则</w:t>
      </w:r>
      <w:r>
        <w:rPr>
          <w:rFonts w:hint="eastAsia"/>
          <w:highlight w:val="none"/>
          <w:lang w:eastAsia="zh-CN"/>
        </w:rPr>
        <w:t>》</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②项目调整及支出调整手续完备；</w:t>
      </w:r>
    </w:p>
    <w:p>
      <w:pPr>
        <w:bidi w:val="0"/>
        <w:rPr>
          <w:rFonts w:hint="eastAsia"/>
          <w:color w:val="auto"/>
          <w:highlight w:val="none"/>
          <w:lang w:eastAsia="zh-CN"/>
        </w:rPr>
      </w:pPr>
      <w:r>
        <w:rPr>
          <w:rFonts w:hint="eastAsia"/>
          <w:color w:val="auto"/>
          <w:highlight w:val="none"/>
          <w:lang w:eastAsia="zh-CN"/>
        </w:rPr>
        <w:t>③项目合同书、验收报告、技术鉴定等资料齐全并及时归档；</w:t>
      </w:r>
    </w:p>
    <w:p>
      <w:pPr>
        <w:bidi w:val="0"/>
        <w:rPr>
          <w:rFonts w:hint="eastAsia"/>
          <w:color w:val="auto"/>
          <w:highlight w:val="none"/>
          <w:lang w:eastAsia="zh-CN"/>
        </w:rPr>
      </w:pPr>
      <w:r>
        <w:rPr>
          <w:rFonts w:hint="eastAsia"/>
          <w:color w:val="auto"/>
          <w:highlight w:val="none"/>
          <w:lang w:eastAsia="zh-CN"/>
        </w:rPr>
        <w:t>④项目实施的人员条件、场地设备、信息支撑等落实到位。</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2"/>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项目产出情况</w:t>
      </w:r>
    </w:p>
    <w:p>
      <w:pPr>
        <w:pageBreakBefore w:val="0"/>
        <w:widowControl w:val="0"/>
        <w:kinsoku/>
        <w:wordWrap/>
        <w:overflowPunct/>
        <w:topLinePunct w:val="0"/>
        <w:autoSpaceDE/>
        <w:autoSpaceDN/>
        <w:bidi w:val="0"/>
        <w:adjustRightInd/>
        <w:spacing w:line="360" w:lineRule="auto"/>
        <w:ind w:firstLine="560"/>
        <w:textAlignment w:val="auto"/>
        <w:rPr>
          <w:rFonts w:hint="eastAsia"/>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28</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lang w:val="en-US" w:eastAsia="zh-CN"/>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4-3项目产出</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9"/>
        <w:tblW w:w="9071"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78"/>
        <w:gridCol w:w="765"/>
        <w:gridCol w:w="1937"/>
        <w:gridCol w:w="1402"/>
        <w:gridCol w:w="1383"/>
        <w:gridCol w:w="1320"/>
        <w:gridCol w:w="16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7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6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937"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ind w:left="0" w:leftChars="0"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40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200" w:firstLineChars="1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578" w:type="dxa"/>
            <w:vMerge w:val="restart"/>
            <w:tcBorders>
              <w:top w:val="single" w:color="auto" w:sz="4" w:space="0"/>
              <w:left w:val="single" w:color="auto" w:sz="4" w:space="0"/>
              <w:bottom w:val="nil"/>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65" w:type="dxa"/>
            <w:tcBorders>
              <w:top w:val="single" w:color="auto" w:sz="4" w:space="0"/>
              <w:left w:val="single" w:color="000000" w:sz="4" w:space="0"/>
              <w:bottom w:val="nil"/>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937" w:type="dxa"/>
            <w:tcBorders>
              <w:top w:val="single" w:color="auto"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新建输水管道</w:t>
            </w:r>
          </w:p>
        </w:tc>
        <w:tc>
          <w:tcPr>
            <w:tcW w:w="1402"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23km</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19km</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cs="宋体"/>
                <w:i w:val="0"/>
                <w:iCs w:val="0"/>
                <w:color w:val="000000"/>
                <w:kern w:val="0"/>
                <w:sz w:val="20"/>
                <w:szCs w:val="20"/>
                <w:highlight w:val="none"/>
                <w:u w:val="none"/>
                <w:lang w:val="en-US" w:eastAsia="zh-CN" w:bidi="ar"/>
              </w:rPr>
              <w:t>5</w:t>
            </w: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cs="宋体"/>
                <w:i w:val="0"/>
                <w:iCs w:val="0"/>
                <w:color w:val="000000"/>
                <w:kern w:val="0"/>
                <w:sz w:val="20"/>
                <w:szCs w:val="20"/>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78" w:type="dxa"/>
            <w:vMerge w:val="continue"/>
            <w:tcBorders>
              <w:top w:val="single" w:color="000000" w:sz="4" w:space="0"/>
              <w:left w:val="single" w:color="auto"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937"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项目设计变更率</w:t>
            </w:r>
          </w:p>
        </w:tc>
        <w:tc>
          <w:tcPr>
            <w:tcW w:w="1402"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cs="宋体"/>
                <w:i w:val="0"/>
                <w:iCs w:val="0"/>
                <w:color w:val="000000"/>
                <w:kern w:val="0"/>
                <w:sz w:val="20"/>
                <w:szCs w:val="20"/>
                <w:highlight w:val="none"/>
                <w:u w:val="none"/>
                <w:lang w:val="en-US" w:eastAsia="zh-CN" w:bidi="ar"/>
              </w:rPr>
              <w:t>5</w:t>
            </w: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cs="宋体"/>
                <w:i w:val="0"/>
                <w:iCs w:val="0"/>
                <w:color w:val="000000"/>
                <w:kern w:val="0"/>
                <w:sz w:val="20"/>
                <w:szCs w:val="20"/>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78" w:type="dxa"/>
            <w:vMerge w:val="continue"/>
            <w:tcBorders>
              <w:top w:val="single" w:color="000000" w:sz="4" w:space="0"/>
              <w:left w:val="single" w:color="auto"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937"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开工及时率</w:t>
            </w:r>
          </w:p>
        </w:tc>
        <w:tc>
          <w:tcPr>
            <w:tcW w:w="1402" w:type="dxa"/>
            <w:tcBorders>
              <w:top w:val="single" w:color="000000" w:sz="4" w:space="0"/>
              <w:left w:val="single" w:color="auto"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highlight w:val="none"/>
                <w:u w:val="none"/>
                <w:lang w:val="en-US" w:eastAsia="zh-CN"/>
              </w:rPr>
            </w:pPr>
            <w:r>
              <w:rPr>
                <w:rFonts w:hint="eastAsia" w:cs="宋体"/>
                <w:i w:val="0"/>
                <w:iCs w:val="0"/>
                <w:color w:val="000000"/>
                <w:sz w:val="20"/>
                <w:szCs w:val="20"/>
                <w:highlight w:val="none"/>
                <w:u w:val="none"/>
                <w:lang w:val="en-US" w:eastAsia="zh-CN"/>
              </w:rPr>
              <w:t>5</w:t>
            </w: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highlight w:val="none"/>
                <w:u w:val="none"/>
                <w:lang w:val="en-US"/>
              </w:rPr>
            </w:pPr>
            <w:r>
              <w:rPr>
                <w:rFonts w:hint="eastAsia" w:cs="宋体"/>
                <w:i w:val="0"/>
                <w:iCs w:val="0"/>
                <w:color w:val="000000"/>
                <w:kern w:val="0"/>
                <w:sz w:val="20"/>
                <w:szCs w:val="20"/>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78" w:type="dxa"/>
            <w:vMerge w:val="continue"/>
            <w:tcBorders>
              <w:top w:val="single" w:color="000000" w:sz="4" w:space="0"/>
              <w:left w:val="single" w:color="auto"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37"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9"/>
                <w:szCs w:val="19"/>
                <w:u w:val="none"/>
              </w:rPr>
            </w:pPr>
            <w:r>
              <w:rPr>
                <w:rFonts w:hint="eastAsia" w:ascii="宋体" w:hAnsi="宋体" w:eastAsia="宋体" w:cs="宋体"/>
                <w:i w:val="0"/>
                <w:iCs w:val="0"/>
                <w:color w:val="000000"/>
                <w:kern w:val="0"/>
                <w:sz w:val="19"/>
                <w:szCs w:val="19"/>
                <w:u w:val="none"/>
                <w:lang w:val="en-US" w:eastAsia="zh-CN" w:bidi="ar"/>
              </w:rPr>
              <w:t>开工时间</w:t>
            </w:r>
          </w:p>
        </w:tc>
        <w:tc>
          <w:tcPr>
            <w:tcW w:w="1402" w:type="dxa"/>
            <w:tcBorders>
              <w:top w:val="single" w:color="000000" w:sz="4" w:space="0"/>
              <w:left w:val="single" w:color="auto"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2022年7月30日</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2022年7月20日</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highlight w:val="none"/>
                <w:u w:val="none"/>
                <w:lang w:val="en-US"/>
              </w:rPr>
            </w:pPr>
            <w:r>
              <w:rPr>
                <w:rFonts w:hint="eastAsia" w:ascii="宋体" w:hAnsi="宋体" w:eastAsia="宋体" w:cs="宋体"/>
                <w:i w:val="0"/>
                <w:iCs w:val="0"/>
                <w:color w:val="000000"/>
                <w:kern w:val="0"/>
                <w:sz w:val="20"/>
                <w:szCs w:val="20"/>
                <w:highlight w:val="none"/>
                <w:u w:val="none"/>
                <w:lang w:val="en-US" w:eastAsia="zh-CN" w:bidi="ar"/>
              </w:rPr>
              <w:t>10</w:t>
            </w: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highlight w:val="none"/>
                <w:u w:val="none"/>
                <w:lang w:val="en-US"/>
              </w:rPr>
            </w:pPr>
            <w:r>
              <w:rPr>
                <w:rFonts w:hint="eastAsia" w:ascii="宋体" w:hAnsi="宋体" w:eastAsia="宋体" w:cs="宋体"/>
                <w:i w:val="0"/>
                <w:iCs w:val="0"/>
                <w:color w:val="000000"/>
                <w:kern w:val="0"/>
                <w:sz w:val="20"/>
                <w:szCs w:val="20"/>
                <w:highlight w:val="none"/>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78" w:type="dxa"/>
            <w:vMerge w:val="continue"/>
            <w:tcBorders>
              <w:top w:val="single" w:color="000000" w:sz="4" w:space="0"/>
              <w:left w:val="single" w:color="auto"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65" w:type="dxa"/>
            <w:tcBorders>
              <w:top w:val="nil"/>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937" w:type="dxa"/>
            <w:tcBorders>
              <w:top w:val="single" w:color="000000" w:sz="4" w:space="0"/>
              <w:left w:val="single" w:color="000000"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项目前期费</w:t>
            </w:r>
          </w:p>
        </w:tc>
        <w:tc>
          <w:tcPr>
            <w:tcW w:w="1402"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宋体"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≤3000</w:t>
            </w:r>
            <w:r>
              <w:rPr>
                <w:rFonts w:hint="eastAsia" w:ascii="宋体" w:hAnsi="宋体" w:eastAsia="宋体" w:cs="宋体"/>
                <w:i w:val="0"/>
                <w:iCs w:val="0"/>
                <w:color w:val="000000"/>
                <w:kern w:val="0"/>
                <w:sz w:val="20"/>
                <w:szCs w:val="20"/>
                <w:u w:val="none"/>
                <w:lang w:val="en-US" w:eastAsia="zh-CN" w:bidi="ar"/>
              </w:rPr>
              <w:t>万元</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3002万元</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cs="宋体"/>
                <w:i w:val="0"/>
                <w:iCs w:val="0"/>
                <w:color w:val="000000"/>
                <w:kern w:val="0"/>
                <w:sz w:val="20"/>
                <w:szCs w:val="20"/>
                <w:highlight w:val="none"/>
                <w:u w:val="none"/>
                <w:lang w:val="en-US" w:eastAsia="zh-CN" w:bidi="ar"/>
              </w:rPr>
              <w:t>5</w:t>
            </w: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lang w:val="en-US" w:eastAsia="zh-CN"/>
              </w:rPr>
            </w:pPr>
            <w:r>
              <w:rPr>
                <w:rFonts w:hint="eastAsia" w:cs="宋体"/>
                <w:i w:val="0"/>
                <w:iCs w:val="0"/>
                <w:color w:val="000000"/>
                <w:sz w:val="20"/>
                <w:szCs w:val="20"/>
                <w:highlight w:val="none"/>
                <w:u w:val="none"/>
                <w:lang w:val="en-US" w:eastAsia="zh-CN"/>
              </w:rPr>
              <w:t>5</w:t>
            </w:r>
          </w:p>
        </w:tc>
      </w:tr>
    </w:tbl>
    <w:p>
      <w:pPr>
        <w:pStyle w:val="2"/>
        <w:ind w:left="0" w:leftChars="0" w:firstLine="0" w:firstLineChars="0"/>
        <w:rPr>
          <w:rFonts w:hint="eastAsia"/>
          <w:lang w:val="en-US" w:eastAsia="zh-CN"/>
        </w:rPr>
      </w:pPr>
    </w:p>
    <w:p>
      <w:pPr>
        <w:bidi w:val="0"/>
        <w:rPr>
          <w:rFonts w:hint="eastAsia"/>
          <w:b/>
          <w:bCs/>
          <w:lang w:val="en-US" w:eastAsia="zh-CN"/>
        </w:rPr>
      </w:pPr>
      <w:r>
        <w:rPr>
          <w:rFonts w:hint="eastAsia"/>
          <w:b/>
          <w:bCs/>
          <w:lang w:val="en-US" w:eastAsia="zh-CN"/>
        </w:rPr>
        <w:t>1.项目完成数量</w:t>
      </w:r>
    </w:p>
    <w:p>
      <w:pPr>
        <w:bidi w:val="0"/>
        <w:rPr>
          <w:rFonts w:hint="eastAsia"/>
          <w:color w:val="auto"/>
          <w:lang w:val="en-US" w:eastAsia="zh-CN"/>
        </w:rPr>
      </w:pPr>
      <w:r>
        <w:rPr>
          <w:rFonts w:hint="eastAsia"/>
          <w:color w:val="auto"/>
          <w:lang w:eastAsia="zh-CN"/>
        </w:rPr>
        <w:t>“</w:t>
      </w:r>
      <w:r>
        <w:rPr>
          <w:rFonts w:hint="eastAsia"/>
          <w:color w:val="auto"/>
          <w:lang w:val="en-US" w:eastAsia="zh-CN"/>
        </w:rPr>
        <w:t>新建输水管道</w:t>
      </w:r>
      <w:r>
        <w:rPr>
          <w:rFonts w:hint="eastAsia"/>
          <w:color w:val="auto"/>
          <w:lang w:eastAsia="zh-CN"/>
        </w:rPr>
        <w:t>”</w:t>
      </w:r>
      <w:r>
        <w:rPr>
          <w:rFonts w:hint="eastAsia"/>
          <w:color w:val="auto"/>
          <w:lang w:val="en-US" w:eastAsia="zh-CN"/>
        </w:rPr>
        <w:t>指标，预期指标值为23km，实际完成为19km。实际完成率=82%。原因：在计划范围内。</w:t>
      </w:r>
    </w:p>
    <w:p>
      <w:pPr>
        <w:bidi w:val="0"/>
        <w:rPr>
          <w:rFonts w:hint="eastAsia"/>
          <w:color w:val="auto"/>
          <w:lang w:eastAsia="zh-CN"/>
        </w:rPr>
      </w:pPr>
      <w:r>
        <w:rPr>
          <w:rFonts w:hint="eastAsia"/>
          <w:b/>
          <w:bCs/>
          <w:color w:val="auto"/>
          <w:lang w:val="en-US" w:eastAsia="zh-CN"/>
        </w:rPr>
        <w:t>综上，该项指标满分5分，得分4分。</w:t>
      </w:r>
    </w:p>
    <w:p>
      <w:pPr>
        <w:bidi w:val="0"/>
        <w:rPr>
          <w:rFonts w:hint="default"/>
          <w:b/>
          <w:bCs/>
          <w:color w:val="auto"/>
          <w:lang w:val="en-US" w:eastAsia="zh-CN"/>
        </w:rPr>
      </w:pPr>
      <w:r>
        <w:rPr>
          <w:rFonts w:hint="eastAsia"/>
          <w:b/>
          <w:bCs/>
          <w:color w:val="auto"/>
          <w:lang w:val="en-US" w:eastAsia="zh-CN"/>
        </w:rPr>
        <w:t>2.项目完成质量</w:t>
      </w:r>
    </w:p>
    <w:p>
      <w:pPr>
        <w:bidi w:val="0"/>
        <w:rPr>
          <w:rFonts w:hint="eastAsia"/>
          <w:color w:val="auto"/>
          <w:lang w:eastAsia="zh-CN"/>
        </w:rPr>
      </w:pPr>
      <w:r>
        <w:rPr>
          <w:rFonts w:hint="eastAsia"/>
          <w:color w:val="auto"/>
          <w:lang w:eastAsia="zh-CN"/>
        </w:rPr>
        <w:t>“</w:t>
      </w:r>
      <w:r>
        <w:rPr>
          <w:rFonts w:hint="eastAsia"/>
          <w:color w:val="auto"/>
          <w:lang w:val="en-US" w:eastAsia="zh-CN"/>
        </w:rPr>
        <w:t>项目设计变更率</w:t>
      </w:r>
      <w:r>
        <w:rPr>
          <w:rFonts w:hint="eastAsia"/>
          <w:color w:val="auto"/>
          <w:lang w:eastAsia="zh-CN"/>
        </w:rPr>
        <w:t>”</w:t>
      </w:r>
      <w:r>
        <w:rPr>
          <w:rFonts w:hint="eastAsia"/>
          <w:color w:val="auto"/>
          <w:lang w:val="en-US" w:eastAsia="zh-CN"/>
        </w:rPr>
        <w:t>指标，预期指标值为≤15%，实际完成为0%。</w:t>
      </w:r>
    </w:p>
    <w:p>
      <w:pPr>
        <w:bidi w:val="0"/>
        <w:rPr>
          <w:rFonts w:hint="eastAsia"/>
          <w:color w:val="auto"/>
          <w:lang w:eastAsia="zh-CN"/>
        </w:rPr>
      </w:pPr>
      <w:r>
        <w:rPr>
          <w:rFonts w:hint="eastAsia"/>
          <w:b/>
          <w:bCs/>
          <w:color w:val="auto"/>
          <w:lang w:val="en-US" w:eastAsia="zh-CN"/>
        </w:rPr>
        <w:t>综上，该项指标满分5分，得分5分。</w:t>
      </w:r>
    </w:p>
    <w:p>
      <w:pPr>
        <w:bidi w:val="0"/>
        <w:rPr>
          <w:rFonts w:hint="default"/>
          <w:b/>
          <w:bCs/>
          <w:color w:val="auto"/>
          <w:lang w:val="en-US" w:eastAsia="zh-CN"/>
        </w:rPr>
      </w:pPr>
      <w:r>
        <w:rPr>
          <w:rFonts w:hint="eastAsia"/>
          <w:b/>
          <w:bCs/>
          <w:color w:val="auto"/>
          <w:lang w:val="en-US" w:eastAsia="zh-CN"/>
        </w:rPr>
        <w:t>3.项目完成时效</w:t>
      </w:r>
    </w:p>
    <w:p>
      <w:pPr>
        <w:bidi w:val="0"/>
        <w:rPr>
          <w:rFonts w:hint="eastAsia"/>
          <w:color w:val="auto"/>
          <w:lang w:val="en-US" w:eastAsia="zh-CN"/>
        </w:rPr>
      </w:pPr>
      <w:r>
        <w:rPr>
          <w:rFonts w:hint="eastAsia"/>
          <w:color w:val="auto"/>
          <w:lang w:eastAsia="zh-CN"/>
        </w:rPr>
        <w:t>“</w:t>
      </w:r>
      <w:r>
        <w:rPr>
          <w:rFonts w:hint="eastAsia"/>
          <w:color w:val="auto"/>
          <w:lang w:val="en-US" w:eastAsia="zh-CN"/>
        </w:rPr>
        <w:t>工程开工日期</w:t>
      </w:r>
      <w:r>
        <w:rPr>
          <w:rFonts w:hint="eastAsia"/>
          <w:color w:val="auto"/>
          <w:lang w:eastAsia="zh-CN"/>
        </w:rPr>
        <w:t>”</w:t>
      </w:r>
      <w:r>
        <w:rPr>
          <w:rFonts w:hint="eastAsia"/>
          <w:color w:val="auto"/>
          <w:lang w:val="en-US" w:eastAsia="zh-CN"/>
        </w:rPr>
        <w:t>指标，预期指标值为2022年7月30日，实际完成为2022年7月20日。</w:t>
      </w:r>
    </w:p>
    <w:p>
      <w:pPr>
        <w:bidi w:val="0"/>
        <w:rPr>
          <w:rFonts w:hint="eastAsia"/>
          <w:color w:val="auto"/>
          <w:lang w:eastAsia="zh-CN"/>
        </w:rPr>
      </w:pPr>
      <w:r>
        <w:rPr>
          <w:rFonts w:hint="eastAsia"/>
          <w:color w:val="auto"/>
          <w:lang w:eastAsia="zh-CN"/>
        </w:rPr>
        <w:t>“项目</w:t>
      </w:r>
      <w:r>
        <w:rPr>
          <w:rFonts w:hint="eastAsia"/>
          <w:color w:val="auto"/>
          <w:lang w:val="en-US" w:eastAsia="zh-CN"/>
        </w:rPr>
        <w:t>开工</w:t>
      </w:r>
      <w:r>
        <w:rPr>
          <w:rFonts w:hint="eastAsia"/>
          <w:color w:val="auto"/>
          <w:lang w:eastAsia="zh-CN"/>
        </w:rPr>
        <w:t>及时率”</w:t>
      </w:r>
      <w:r>
        <w:rPr>
          <w:rFonts w:hint="eastAsia"/>
          <w:color w:val="auto"/>
          <w:lang w:val="en-US" w:eastAsia="zh-CN"/>
        </w:rPr>
        <w:t>指标，预期指标值为100%，实际完成为已开工建设。</w:t>
      </w:r>
    </w:p>
    <w:p>
      <w:pPr>
        <w:bidi w:val="0"/>
        <w:rPr>
          <w:rFonts w:hint="eastAsia"/>
          <w:color w:val="auto"/>
          <w:lang w:eastAsia="zh-CN"/>
        </w:rPr>
      </w:pPr>
      <w:r>
        <w:rPr>
          <w:rFonts w:hint="eastAsia"/>
          <w:b/>
          <w:bCs/>
          <w:color w:val="auto"/>
          <w:lang w:val="en-US" w:eastAsia="zh-CN"/>
        </w:rPr>
        <w:t>综上，该项指标满分15分，得分15分。</w:t>
      </w:r>
    </w:p>
    <w:p>
      <w:pPr>
        <w:bidi w:val="0"/>
        <w:rPr>
          <w:rFonts w:hint="default"/>
          <w:b/>
          <w:bCs/>
          <w:color w:val="auto"/>
          <w:lang w:val="en-US" w:eastAsia="zh-CN"/>
        </w:rPr>
      </w:pPr>
      <w:r>
        <w:rPr>
          <w:rFonts w:hint="eastAsia"/>
          <w:b/>
          <w:bCs/>
          <w:color w:val="auto"/>
          <w:lang w:val="en-US" w:eastAsia="zh-CN"/>
        </w:rPr>
        <w:t>4.项目完成成本</w:t>
      </w:r>
    </w:p>
    <w:p>
      <w:pPr>
        <w:bidi w:val="0"/>
        <w:rPr>
          <w:rFonts w:hint="eastAsia"/>
          <w:color w:val="auto"/>
          <w:lang w:eastAsia="zh-CN"/>
        </w:rPr>
      </w:pPr>
      <w:r>
        <w:rPr>
          <w:rFonts w:hint="eastAsia"/>
          <w:color w:val="auto"/>
          <w:lang w:eastAsia="zh-CN"/>
        </w:rPr>
        <w:t>“</w:t>
      </w:r>
      <w:r>
        <w:rPr>
          <w:rFonts w:hint="eastAsia"/>
          <w:color w:val="auto"/>
          <w:lang w:val="en-US" w:eastAsia="zh-CN"/>
        </w:rPr>
        <w:t>项目前期费</w:t>
      </w:r>
      <w:r>
        <w:rPr>
          <w:rFonts w:hint="eastAsia"/>
          <w:color w:val="auto"/>
          <w:lang w:eastAsia="zh-CN"/>
        </w:rPr>
        <w:t>”</w:t>
      </w:r>
      <w:r>
        <w:rPr>
          <w:rFonts w:hint="eastAsia"/>
          <w:color w:val="auto"/>
          <w:lang w:val="en-US" w:eastAsia="zh-CN"/>
        </w:rPr>
        <w:t>指标，预期指标值为≦3000万元，实际完成为3002万元。实际完成率=100%。</w:t>
      </w:r>
    </w:p>
    <w:p>
      <w:pPr>
        <w:bidi w:val="0"/>
        <w:rPr>
          <w:rFonts w:hint="eastAsia"/>
          <w:color w:val="auto"/>
          <w:lang w:eastAsia="zh-CN"/>
        </w:rPr>
      </w:pPr>
      <w:r>
        <w:rPr>
          <w:rFonts w:hint="eastAsia"/>
          <w:b/>
          <w:bCs/>
          <w:color w:val="auto"/>
          <w:lang w:val="en-US" w:eastAsia="zh-CN"/>
        </w:rPr>
        <w:t>综上，该项指标满分10分，得分9分。</w:t>
      </w:r>
    </w:p>
    <w:p>
      <w:pPr>
        <w:pStyle w:val="2"/>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Style w:val="2"/>
        <w:rPr>
          <w:rFonts w:hint="eastAsia" w:ascii="宋体" w:hAnsi="宋体" w:eastAsia="宋体" w:cs="宋体"/>
          <w:color w:val="auto"/>
          <w:kern w:val="2"/>
          <w:highlight w:val="none"/>
          <w:u w:color="000000"/>
          <w:shd w:val="clear" w:color="auto" w:fill="auto"/>
          <w:lang w:val="zh-TW" w:eastAsia="zh-TW"/>
        </w:rPr>
      </w:pPr>
    </w:p>
    <w:p>
      <w:pPr>
        <w:rPr>
          <w:rFonts w:hint="eastAsia" w:ascii="宋体" w:hAnsi="宋体" w:eastAsia="宋体" w:cs="宋体"/>
          <w:color w:val="auto"/>
          <w:kern w:val="2"/>
          <w:highlight w:val="none"/>
          <w:u w:color="000000"/>
          <w:shd w:val="clear" w:color="auto" w:fill="auto"/>
          <w:lang w:val="zh-TW" w:eastAsia="zh-TW"/>
        </w:rPr>
      </w:pPr>
    </w:p>
    <w:p>
      <w:pPr>
        <w:pStyle w:val="2"/>
        <w:rPr>
          <w:rFonts w:hint="eastAsia" w:ascii="宋体" w:hAnsi="宋体" w:eastAsia="宋体" w:cs="宋体"/>
          <w:color w:val="auto"/>
          <w:kern w:val="2"/>
          <w:highlight w:val="none"/>
          <w:u w:color="000000"/>
          <w:shd w:val="clear" w:color="auto" w:fill="auto"/>
          <w:lang w:val="zh-TW" w:eastAsia="zh-TW"/>
        </w:rPr>
      </w:pPr>
    </w:p>
    <w:p>
      <w:pPr>
        <w:rPr>
          <w:rFonts w:hint="eastAsia"/>
          <w:lang w:val="zh-TW" w:eastAsia="zh-TW"/>
        </w:rPr>
      </w:pPr>
    </w:p>
    <w:p>
      <w:pPr>
        <w:pStyle w:val="2"/>
        <w:rPr>
          <w:rFonts w:hint="eastAsia"/>
          <w:lang w:val="zh-TW" w:eastAsia="zh-TW"/>
        </w:rPr>
      </w:pPr>
      <w:bookmarkStart w:id="14" w:name="_GoBack"/>
      <w:bookmarkEnd w:id="14"/>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4-4项目效益</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9"/>
        <w:tblW w:w="9071"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3"/>
        <w:gridCol w:w="1125"/>
        <w:gridCol w:w="1355"/>
        <w:gridCol w:w="1620"/>
        <w:gridCol w:w="1322"/>
        <w:gridCol w:w="1218"/>
        <w:gridCol w:w="14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993"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12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35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ind w:left="0" w:leftChars="0"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6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993" w:type="dxa"/>
            <w:vMerge w:val="restart"/>
            <w:tcBorders>
              <w:top w:val="single" w:color="000000" w:sz="4" w:space="0"/>
              <w:left w:val="single" w:color="000000" w:sz="4" w:space="0"/>
              <w:right w:val="single" w:color="000000" w:sz="4" w:space="0"/>
            </w:tcBorders>
            <w:shd w:val="clear" w:color="auto" w:fill="auto"/>
            <w:vAlign w:val="center"/>
          </w:tcPr>
          <w:p>
            <w:pPr>
              <w:ind w:left="0" w:leftChars="0" w:firstLine="0" w:firstLineChars="0"/>
              <w:jc w:val="both"/>
              <w:rPr>
                <w:rFonts w:hint="default" w:ascii="宋体" w:hAnsi="宋体" w:eastAsia="宋体" w:cs="宋体"/>
                <w:i w:val="0"/>
                <w:iCs w:val="0"/>
                <w:color w:val="000000"/>
                <w:sz w:val="20"/>
                <w:szCs w:val="20"/>
                <w:u w:val="none"/>
                <w:lang w:val="en-US" w:eastAsia="zh-CN"/>
              </w:rPr>
            </w:pPr>
            <w:r>
              <w:rPr>
                <w:rFonts w:hint="eastAsia" w:cs="宋体"/>
                <w:i w:val="0"/>
                <w:iCs w:val="0"/>
                <w:color w:val="000000"/>
                <w:sz w:val="20"/>
                <w:szCs w:val="20"/>
                <w:u w:val="none"/>
                <w:lang w:val="en-US" w:eastAsia="zh-CN"/>
              </w:rPr>
              <w:t>产出指标</w:t>
            </w:r>
          </w:p>
        </w:tc>
        <w:tc>
          <w:tcPr>
            <w:tcW w:w="11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受益人口数</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≥9万人</w:t>
            </w:r>
          </w:p>
        </w:tc>
        <w:tc>
          <w:tcPr>
            <w:tcW w:w="1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9万人</w:t>
            </w: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default" w:ascii="宋体" w:hAnsi="宋体" w:eastAsia="宋体" w:cs="宋体"/>
                <w:i w:val="0"/>
                <w:iCs w:val="0"/>
                <w:color w:val="000000"/>
                <w:sz w:val="20"/>
                <w:szCs w:val="20"/>
                <w:u w:val="none"/>
                <w:lang w:val="en-US" w:eastAsia="zh-CN"/>
              </w:rPr>
            </w:pPr>
            <w:r>
              <w:rPr>
                <w:rFonts w:hint="eastAsia" w:cs="宋体"/>
                <w:i w:val="0"/>
                <w:iCs w:val="0"/>
                <w:color w:val="000000"/>
                <w:sz w:val="20"/>
                <w:szCs w:val="20"/>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有效改善周边生态环境</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w:t>
            </w:r>
          </w:p>
        </w:tc>
        <w:tc>
          <w:tcPr>
            <w:tcW w:w="1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default" w:ascii="宋体" w:hAnsi="宋体" w:eastAsia="宋体" w:cs="宋体"/>
                <w:i w:val="0"/>
                <w:iCs w:val="0"/>
                <w:color w:val="000000"/>
                <w:sz w:val="20"/>
                <w:szCs w:val="20"/>
                <w:u w:val="none"/>
                <w:lang w:val="en-US" w:eastAsia="zh-CN"/>
              </w:rPr>
            </w:pPr>
            <w:r>
              <w:rPr>
                <w:rFonts w:hint="eastAsia" w:cs="宋体"/>
                <w:i w:val="0"/>
                <w:iCs w:val="0"/>
                <w:color w:val="000000"/>
                <w:sz w:val="20"/>
                <w:szCs w:val="20"/>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w:t>
            </w:r>
          </w:p>
        </w:tc>
        <w:tc>
          <w:tcPr>
            <w:tcW w:w="1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left" w:pos="564"/>
              </w:tabs>
              <w:ind w:left="0" w:leftChars="0" w:firstLine="0" w:firstLineChars="0"/>
              <w:jc w:val="both"/>
              <w:textAlignment w:val="center"/>
              <w:rPr>
                <w:rFonts w:hint="default" w:ascii="宋体" w:hAnsi="宋体" w:eastAsia="宋体" w:cs="宋体"/>
                <w:i w:val="0"/>
                <w:iCs w:val="0"/>
                <w:color w:val="000000"/>
                <w:sz w:val="20"/>
                <w:szCs w:val="20"/>
                <w:u w:val="none"/>
                <w:lang w:val="en-US" w:eastAsia="zh-CN"/>
              </w:rPr>
            </w:pPr>
            <w:r>
              <w:rPr>
                <w:rFonts w:hint="eastAsia" w:cs="宋体"/>
                <w:i w:val="0"/>
                <w:iCs w:val="0"/>
                <w:color w:val="000000"/>
                <w:sz w:val="20"/>
                <w:szCs w:val="20"/>
                <w:u w:val="none"/>
                <w:lang w:val="en-US" w:eastAsia="zh-CN"/>
              </w:rPr>
              <w:t>10</w:t>
            </w:r>
          </w:p>
        </w:tc>
      </w:tr>
    </w:tbl>
    <w:p>
      <w:pPr>
        <w:bidi w:val="0"/>
        <w:rPr>
          <w:rFonts w:hint="eastAsia"/>
          <w:b/>
          <w:bCs/>
          <w:color w:val="auto"/>
          <w:lang w:val="en-US" w:eastAsia="zh-CN"/>
        </w:rPr>
      </w:pPr>
      <w:r>
        <w:rPr>
          <w:rFonts w:hint="eastAsia"/>
          <w:b/>
          <w:bCs/>
          <w:color w:val="auto"/>
          <w:lang w:val="en-US" w:eastAsia="zh-CN"/>
        </w:rPr>
        <w:t>1.社会效益指标</w:t>
      </w:r>
    </w:p>
    <w:p>
      <w:pPr>
        <w:bidi w:val="0"/>
        <w:rPr>
          <w:rFonts w:hint="eastAsia"/>
          <w:b w:val="0"/>
          <w:bCs w:val="0"/>
          <w:color w:val="auto"/>
          <w:lang w:val="en-US" w:eastAsia="zh-CN"/>
        </w:rPr>
      </w:pPr>
      <w:r>
        <w:rPr>
          <w:rFonts w:hint="eastAsia"/>
          <w:color w:val="auto"/>
          <w:lang w:eastAsia="zh-CN"/>
        </w:rPr>
        <w:t>“</w:t>
      </w:r>
      <w:r>
        <w:rPr>
          <w:rFonts w:hint="eastAsia"/>
          <w:color w:val="auto"/>
          <w:lang w:val="en-US" w:eastAsia="zh-CN"/>
        </w:rPr>
        <w:t>受益人口数</w:t>
      </w:r>
      <w:r>
        <w:rPr>
          <w:rFonts w:hint="eastAsia"/>
          <w:color w:val="auto"/>
          <w:lang w:eastAsia="zh-CN"/>
        </w:rPr>
        <w:t>”</w:t>
      </w:r>
      <w:r>
        <w:rPr>
          <w:rFonts w:hint="eastAsia"/>
          <w:color w:val="auto"/>
          <w:lang w:val="en-US" w:eastAsia="zh-CN"/>
        </w:rPr>
        <w:t>指标，预期指标值为9万人，实际完成为待完工。</w:t>
      </w:r>
    </w:p>
    <w:p>
      <w:pPr>
        <w:bidi w:val="0"/>
        <w:rPr>
          <w:rFonts w:hint="eastAsia"/>
          <w:color w:val="auto"/>
          <w:lang w:val="en-US" w:eastAsia="zh-CN"/>
        </w:rPr>
      </w:pPr>
      <w:r>
        <w:rPr>
          <w:rFonts w:hint="eastAsia"/>
          <w:b/>
          <w:bCs/>
          <w:color w:val="auto"/>
          <w:lang w:val="en-US" w:eastAsia="zh-CN"/>
        </w:rPr>
        <w:t>综上，该项指标满分10分，得分10分。</w:t>
      </w:r>
    </w:p>
    <w:p>
      <w:pPr>
        <w:bidi w:val="0"/>
        <w:rPr>
          <w:rFonts w:hint="eastAsia"/>
          <w:color w:val="auto"/>
          <w:lang w:val="en-US" w:eastAsia="zh-CN"/>
        </w:rPr>
      </w:pPr>
      <w:r>
        <w:rPr>
          <w:rFonts w:hint="eastAsia"/>
          <w:b/>
          <w:bCs/>
          <w:color w:val="auto"/>
          <w:lang w:val="en-US" w:eastAsia="zh-CN"/>
        </w:rPr>
        <w:t>2.生态效益指标</w:t>
      </w:r>
    </w:p>
    <w:p>
      <w:pPr>
        <w:bidi w:val="0"/>
        <w:rPr>
          <w:rFonts w:hint="eastAsia"/>
          <w:b w:val="0"/>
          <w:bCs w:val="0"/>
          <w:color w:val="auto"/>
          <w:lang w:val="en-US" w:eastAsia="zh-CN"/>
        </w:rPr>
      </w:pPr>
      <w:r>
        <w:rPr>
          <w:rFonts w:hint="eastAsia"/>
          <w:color w:val="auto"/>
          <w:lang w:eastAsia="zh-CN"/>
        </w:rPr>
        <w:t>“</w:t>
      </w:r>
      <w:r>
        <w:rPr>
          <w:rFonts w:hint="eastAsia"/>
          <w:color w:val="auto"/>
          <w:lang w:val="en-US" w:eastAsia="zh-CN"/>
        </w:rPr>
        <w:t>改善城区周边绿化面积，有效的改善生态环境</w:t>
      </w:r>
      <w:r>
        <w:rPr>
          <w:rFonts w:hint="eastAsia"/>
          <w:color w:val="auto"/>
          <w:lang w:eastAsia="zh-CN"/>
        </w:rPr>
        <w:t>”</w:t>
      </w:r>
      <w:r>
        <w:rPr>
          <w:rFonts w:hint="eastAsia"/>
          <w:color w:val="auto"/>
          <w:lang w:val="en-US" w:eastAsia="zh-CN"/>
        </w:rPr>
        <w:t>指标，预期指标值为有效改善，实际完成为待完工。</w:t>
      </w:r>
    </w:p>
    <w:p>
      <w:pPr>
        <w:bidi w:val="0"/>
        <w:rPr>
          <w:rFonts w:hint="eastAsia"/>
          <w:color w:val="auto"/>
          <w:lang w:val="en-US" w:eastAsia="zh-CN"/>
        </w:rPr>
      </w:pPr>
      <w:r>
        <w:rPr>
          <w:rFonts w:hint="eastAsia"/>
          <w:b/>
          <w:bCs/>
          <w:color w:val="auto"/>
          <w:lang w:val="en-US" w:eastAsia="zh-CN"/>
        </w:rPr>
        <w:t>综上，该项指标满分10分，得分10分。</w:t>
      </w:r>
    </w:p>
    <w:p>
      <w:pPr>
        <w:bidi w:val="0"/>
        <w:rPr>
          <w:rFonts w:hint="eastAsia"/>
          <w:b/>
          <w:bCs/>
          <w:color w:val="auto"/>
          <w:lang w:val="en-US" w:eastAsia="zh-CN"/>
        </w:rPr>
      </w:pPr>
      <w:r>
        <w:rPr>
          <w:rFonts w:hint="eastAsia"/>
          <w:b/>
          <w:bCs/>
          <w:color w:val="auto"/>
          <w:lang w:val="en-US" w:eastAsia="zh-CN"/>
        </w:rPr>
        <w:t>3.可持续影响指标</w:t>
      </w:r>
    </w:p>
    <w:p>
      <w:pPr>
        <w:bidi w:val="0"/>
        <w:rPr>
          <w:rFonts w:hint="eastAsia"/>
          <w:b w:val="0"/>
          <w:bCs w:val="0"/>
          <w:color w:val="auto"/>
          <w:lang w:val="en-US" w:eastAsia="zh-CN"/>
        </w:rPr>
      </w:pPr>
      <w:r>
        <w:rPr>
          <w:rFonts w:hint="eastAsia"/>
          <w:color w:val="auto"/>
          <w:lang w:eastAsia="zh-CN"/>
        </w:rPr>
        <w:t>“</w:t>
      </w:r>
      <w:r>
        <w:rPr>
          <w:rFonts w:hint="eastAsia"/>
          <w:color w:val="auto"/>
          <w:lang w:val="en-US" w:eastAsia="zh-CN"/>
        </w:rPr>
        <w:t>有效提升</w:t>
      </w:r>
      <w:r>
        <w:rPr>
          <w:rFonts w:hint="eastAsia"/>
          <w:color w:val="auto"/>
          <w:lang w:eastAsia="zh-CN"/>
        </w:rPr>
        <w:t>”</w:t>
      </w:r>
      <w:r>
        <w:rPr>
          <w:rFonts w:hint="eastAsia"/>
          <w:color w:val="auto"/>
          <w:lang w:val="en-US" w:eastAsia="zh-CN"/>
        </w:rPr>
        <w:t>指标，预期指标值为有效，实际完成为待完工。</w:t>
      </w:r>
    </w:p>
    <w:p>
      <w:pPr>
        <w:bidi w:val="0"/>
        <w:rPr>
          <w:rFonts w:hint="eastAsia"/>
          <w:color w:val="auto"/>
          <w:lang w:val="en-US" w:eastAsia="zh-CN"/>
        </w:rPr>
      </w:pPr>
      <w:r>
        <w:rPr>
          <w:rFonts w:hint="eastAsia"/>
          <w:b/>
          <w:bCs/>
          <w:color w:val="auto"/>
          <w:lang w:val="en-US" w:eastAsia="zh-CN"/>
        </w:rPr>
        <w:t>综上，该项指标满分10分，得分10分。</w:t>
      </w:r>
    </w:p>
    <w:p>
      <w:pPr>
        <w:bidi w:val="0"/>
        <w:rPr>
          <w:rFonts w:hint="eastAsia"/>
          <w:b/>
          <w:bCs/>
          <w:color w:val="auto"/>
          <w:lang w:val="en-US" w:eastAsia="zh-CN"/>
        </w:rPr>
      </w:pPr>
      <w:r>
        <w:rPr>
          <w:rFonts w:hint="eastAsia"/>
          <w:b/>
          <w:bCs/>
          <w:color w:val="auto"/>
          <w:lang w:val="en-US" w:eastAsia="zh-CN"/>
        </w:rPr>
        <w:t>4.满意度指标</w:t>
      </w:r>
    </w:p>
    <w:p>
      <w:pPr>
        <w:bidi w:val="0"/>
        <w:rPr>
          <w:rFonts w:hint="eastAsia"/>
          <w:b/>
          <w:bCs/>
          <w:color w:val="auto"/>
          <w:lang w:val="en-US" w:eastAsia="zh-CN"/>
        </w:rPr>
      </w:pPr>
      <w:r>
        <w:rPr>
          <w:rFonts w:hint="eastAsia"/>
          <w:color w:val="auto"/>
          <w:lang w:eastAsia="zh-CN"/>
        </w:rPr>
        <w:t>“</w:t>
      </w:r>
      <w:r>
        <w:rPr>
          <w:rFonts w:hint="eastAsia"/>
          <w:color w:val="auto"/>
          <w:lang w:val="en-US" w:eastAsia="zh-CN"/>
        </w:rPr>
        <w:t>受益人员的满意度</w:t>
      </w:r>
      <w:r>
        <w:rPr>
          <w:rFonts w:hint="eastAsia"/>
          <w:color w:val="auto"/>
          <w:lang w:eastAsia="zh-CN"/>
        </w:rPr>
        <w:t>”</w:t>
      </w:r>
      <w:r>
        <w:rPr>
          <w:rFonts w:hint="eastAsia"/>
          <w:color w:val="auto"/>
          <w:lang w:val="en-US" w:eastAsia="zh-CN"/>
        </w:rPr>
        <w:t>指标，预期指标值为≥90%，实际完成为待完工。</w:t>
      </w:r>
    </w:p>
    <w:p>
      <w:pPr>
        <w:bidi w:val="0"/>
        <w:rPr>
          <w:rFonts w:hint="eastAsia"/>
          <w:b/>
          <w:bCs/>
          <w:color w:val="auto"/>
          <w:lang w:val="en-US" w:eastAsia="zh-CN"/>
        </w:rPr>
      </w:pPr>
      <w:r>
        <w:rPr>
          <w:rFonts w:hint="eastAsia"/>
          <w:b/>
          <w:bCs/>
          <w:color w:val="auto"/>
          <w:lang w:val="en-US" w:eastAsia="zh-CN"/>
        </w:rPr>
        <w:t>综上，该项指标满分10分，得分10分。</w:t>
      </w:r>
    </w:p>
    <w:p>
      <w:pPr>
        <w:pStyle w:val="3"/>
        <w:pageBreakBefore w:val="0"/>
        <w:numPr>
          <w:ilvl w:val="0"/>
          <w:numId w:val="4"/>
        </w:numPr>
        <w:kinsoku/>
        <w:wordWrap/>
        <w:overflowPunct/>
        <w:topLinePunct w:val="0"/>
        <w:autoSpaceDE/>
        <w:autoSpaceDN/>
        <w:bidi w:val="0"/>
        <w:adjustRightInd/>
        <w:spacing w:beforeLines="0" w:afterLines="0" w:line="360" w:lineRule="auto"/>
        <w:ind w:left="0" w:leftChars="0" w:firstLine="643" w:firstLineChars="200"/>
        <w:textAlignment w:val="auto"/>
        <w:rPr>
          <w:rFonts w:hint="default"/>
          <w:lang w:val="en-US" w:eastAsia="zh-CN"/>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预算执行进度与指标偏差</w:t>
      </w:r>
    </w:p>
    <w:p>
      <w:pPr>
        <w:pStyle w:val="3"/>
        <w:pageBreakBefore w:val="0"/>
        <w:numPr>
          <w:ilvl w:val="0"/>
          <w:numId w:val="0"/>
        </w:numPr>
        <w:kinsoku/>
        <w:wordWrap/>
        <w:overflowPunct/>
        <w:topLinePunct w:val="0"/>
        <w:autoSpaceDE/>
        <w:autoSpaceDN/>
        <w:bidi w:val="0"/>
        <w:adjustRightInd/>
        <w:spacing w:beforeLines="0" w:afterLines="0" w:line="360" w:lineRule="auto"/>
        <w:ind w:firstLine="560" w:firstLineChars="200"/>
        <w:textAlignment w:val="auto"/>
        <w:rPr>
          <w:rFonts w:hint="default"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该项目预算资金总额为3000万元，全年执行数为3002万元，预算执行率为100%，总体完成率为100</w:t>
      </w:r>
      <w:r>
        <w:rPr>
          <w:rFonts w:hint="eastAsia" w:ascii="宋体" w:hAnsi="宋体" w:eastAsia="宋体" w:cs="宋体"/>
          <w:color w:val="auto"/>
          <w:kern w:val="2"/>
          <w:sz w:val="28"/>
          <w:szCs w:val="28"/>
          <w:highlight w:val="none"/>
          <w:lang w:val="zh-TW" w:eastAsia="zh-TW" w:bidi="ar-SA"/>
        </w:rPr>
        <w:t>%。</w:t>
      </w:r>
      <w:r>
        <w:rPr>
          <w:rFonts w:hint="eastAsia" w:ascii="宋体" w:hAnsi="宋体" w:eastAsia="宋体" w:cs="宋体"/>
          <w:color w:val="auto"/>
          <w:kern w:val="2"/>
          <w:sz w:val="28"/>
          <w:szCs w:val="28"/>
          <w:highlight w:val="none"/>
          <w:lang w:val="en-US" w:eastAsia="zh-CN" w:bidi="ar-SA"/>
        </w:rPr>
        <w:t>预算执行率与总体完成率之间的偏差为0%，无偏差。</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六、</w:t>
      </w:r>
      <w:r>
        <w:rPr>
          <w:rFonts w:hint="eastAsia" w:ascii="宋体" w:hAnsi="宋体" w:eastAsia="宋体" w:cs="宋体"/>
          <w:b/>
          <w:bCs/>
          <w:color w:val="000000" w:themeColor="text1"/>
          <w:highlight w:val="none"/>
          <w:shd w:val="clear" w:color="auto" w:fill="auto"/>
          <w14:textFill>
            <w14:solidFill>
              <w14:schemeClr w14:val="tx1"/>
            </w14:solidFill>
          </w14:textFill>
        </w:rPr>
        <w:t>主要经验及做法、存在的问题及原因分析</w:t>
      </w:r>
    </w:p>
    <w:p>
      <w:pPr>
        <w:numPr>
          <w:ilvl w:val="0"/>
          <w:numId w:val="0"/>
        </w:numPr>
        <w:bidi w:val="0"/>
        <w:ind w:left="560" w:leftChars="0"/>
        <w:rPr>
          <w:rFonts w:hint="eastAsia"/>
          <w:b/>
          <w:bCs/>
          <w:lang w:eastAsia="zh-CN"/>
        </w:rPr>
      </w:pPr>
      <w:bookmarkStart w:id="12" w:name="_Toc28290"/>
      <w:bookmarkStart w:id="13" w:name="_Toc1921"/>
      <w:r>
        <w:rPr>
          <w:rFonts w:hint="eastAsia"/>
          <w:b/>
          <w:bCs/>
          <w:lang w:eastAsia="zh-CN"/>
        </w:rPr>
        <w:t>（</w:t>
      </w:r>
      <w:r>
        <w:rPr>
          <w:rFonts w:hint="eastAsia"/>
          <w:b/>
          <w:bCs/>
          <w:lang w:val="en-US" w:eastAsia="zh-CN"/>
        </w:rPr>
        <w:t>一</w:t>
      </w:r>
      <w:r>
        <w:rPr>
          <w:rFonts w:hint="eastAsia"/>
          <w:b/>
          <w:bCs/>
          <w:lang w:eastAsia="zh-CN"/>
        </w:rPr>
        <w:t>）</w:t>
      </w:r>
      <w:r>
        <w:rPr>
          <w:rFonts w:hint="eastAsia"/>
          <w:b/>
          <w:bCs/>
        </w:rPr>
        <w:t>主要经验及做法</w:t>
      </w:r>
    </w:p>
    <w:p>
      <w:pPr>
        <w:bidi w:val="0"/>
        <w:rPr>
          <w:rFonts w:hint="eastAsia"/>
          <w:color w:val="auto"/>
          <w:highlight w:val="none"/>
          <w:lang w:eastAsia="zh-CN"/>
        </w:rPr>
      </w:pPr>
      <w:r>
        <w:rPr>
          <w:rFonts w:hint="eastAsia"/>
          <w:color w:val="auto"/>
          <w:highlight w:val="none"/>
          <w:lang w:val="en-US" w:eastAsia="zh-CN"/>
        </w:rPr>
        <w:t>阜康市水源地输水管网建设工程</w:t>
      </w:r>
      <w:r>
        <w:rPr>
          <w:rFonts w:hint="eastAsia"/>
          <w:color w:val="auto"/>
          <w:highlight w:val="none"/>
          <w:lang w:eastAsia="zh-CN"/>
        </w:rPr>
        <w:t>20</w:t>
      </w:r>
      <w:r>
        <w:rPr>
          <w:rFonts w:hint="eastAsia"/>
          <w:color w:val="auto"/>
          <w:highlight w:val="none"/>
          <w:lang w:val="en-US" w:eastAsia="zh-CN"/>
        </w:rPr>
        <w:t>22</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3000</w:t>
      </w:r>
      <w:r>
        <w:rPr>
          <w:rFonts w:hint="eastAsia"/>
          <w:color w:val="auto"/>
          <w:highlight w:val="none"/>
          <w:lang w:eastAsia="zh-CN"/>
        </w:rPr>
        <w:t>万元，</w:t>
      </w:r>
      <w:r>
        <w:rPr>
          <w:rFonts w:hint="eastAsia"/>
          <w:color w:val="auto"/>
          <w:highlight w:val="none"/>
          <w:lang w:val="en-US" w:eastAsia="zh-CN"/>
        </w:rPr>
        <w:t>截至2022年12月31日共</w:t>
      </w:r>
      <w:r>
        <w:rPr>
          <w:rFonts w:hint="eastAsia"/>
          <w:color w:val="auto"/>
          <w:highlight w:val="none"/>
          <w:lang w:eastAsia="zh-CN"/>
        </w:rPr>
        <w:t>支出</w:t>
      </w:r>
      <w:r>
        <w:rPr>
          <w:rFonts w:hint="eastAsia"/>
          <w:color w:val="auto"/>
          <w:highlight w:val="none"/>
          <w:lang w:val="en-US" w:eastAsia="zh-CN"/>
        </w:rPr>
        <w:t>3002</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val="en-US" w:eastAsia="zh-CN"/>
        </w:rPr>
        <w:t>阜康市水利局</w:t>
      </w:r>
      <w:r>
        <w:rPr>
          <w:rFonts w:hint="eastAsia"/>
          <w:color w:val="auto"/>
          <w:highlight w:val="none"/>
          <w:lang w:eastAsia="zh-CN"/>
        </w:rPr>
        <w:t>建立健全了预算管理规章制度，各部门严格按预算编制的原则和要求做好当年预算编制工作，在预算绩效管理工作中，做到合理安排各项资金，重点保障基本支出，按轻重缓急顺序原则，优先安排了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阜康市水利局</w:t>
      </w:r>
      <w:r>
        <w:rPr>
          <w:rFonts w:hint="eastAsia"/>
          <w:color w:val="auto"/>
          <w:highlight w:val="none"/>
          <w:lang w:eastAsia="zh-CN"/>
        </w:rPr>
        <w:t>事业发展中关系民生与稳定的项目，切实优化资源配置，提高了资金使用的效率和效果。</w:t>
      </w:r>
    </w:p>
    <w:bookmarkEnd w:id="12"/>
    <w:bookmarkEnd w:id="13"/>
    <w:p>
      <w:pPr>
        <w:bidi w:val="0"/>
        <w:rPr>
          <w:rFonts w:hint="eastAsia"/>
          <w:b/>
          <w:bCs/>
          <w:color w:val="auto"/>
          <w:highlight w:val="none"/>
          <w:lang w:eastAsia="zh-CN"/>
        </w:rPr>
      </w:pPr>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p>
    <w:p>
      <w:pPr>
        <w:bidi w:val="0"/>
        <w:ind w:left="0" w:leftChars="0" w:firstLine="560" w:firstLineChars="200"/>
        <w:rPr>
          <w:rFonts w:hint="default" w:ascii="宋体" w:hAnsi="宋体" w:eastAsia="宋体" w:cs="宋体"/>
          <w:color w:val="auto"/>
          <w:highlight w:val="none"/>
          <w:lang w:eastAsia="zh-CN"/>
        </w:rPr>
      </w:pPr>
      <w:r>
        <w:rPr>
          <w:rFonts w:hint="eastAsia" w:ascii="宋体" w:hAnsi="宋体" w:eastAsia="宋体" w:cs="宋体"/>
          <w:color w:val="auto"/>
          <w:highlight w:val="none"/>
          <w:lang w:val="en-US" w:eastAsia="zh-CN"/>
        </w:rPr>
        <w:t>阜康市水源地输水管网建设工程于2022年7月开工建设，项目管理费100万元，项目监理费456万元、审计费166万元、检测费122.4万元，至今未纳入财政预算，需协调及时纳入预算，保障项目顺利实施</w:t>
      </w:r>
      <w:r>
        <w:rPr>
          <w:rFonts w:hint="default" w:ascii="宋体" w:hAnsi="宋体" w:eastAsia="宋体" w:cs="宋体"/>
          <w:color w:val="auto"/>
          <w:highlight w:val="none"/>
          <w:lang w:eastAsia="zh-CN"/>
        </w:rPr>
        <w:t>。</w:t>
      </w:r>
    </w:p>
    <w:p>
      <w:pPr>
        <w:pStyle w:val="3"/>
        <w:pageBreakBefore w:val="0"/>
        <w:numPr>
          <w:ilvl w:val="0"/>
          <w:numId w:val="0"/>
        </w:numPr>
        <w:kinsoku/>
        <w:wordWrap/>
        <w:overflowPunct/>
        <w:topLinePunct w:val="0"/>
        <w:autoSpaceDE/>
        <w:autoSpaceDN/>
        <w:bidi w:val="0"/>
        <w:adjustRightInd/>
        <w:spacing w:beforeLines="0" w:afterLines="0" w:line="360" w:lineRule="auto"/>
        <w:ind w:left="560" w:leftChars="0"/>
        <w:textAlignment w:val="auto"/>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lang w:val="en-US" w:eastAsia="zh-CN"/>
        </w:rPr>
        <w:t>七、</w:t>
      </w:r>
      <w:r>
        <w:rPr>
          <w:rFonts w:hint="eastAsia" w:ascii="宋体" w:hAnsi="宋体" w:eastAsia="宋体" w:cs="宋体"/>
          <w:b/>
          <w:bCs/>
          <w:color w:val="auto"/>
          <w:highlight w:val="none"/>
          <w:shd w:val="clear" w:color="auto" w:fill="auto"/>
        </w:rPr>
        <w:t>有关建议</w:t>
      </w:r>
    </w:p>
    <w:p>
      <w:pPr>
        <w:numPr>
          <w:ilvl w:val="0"/>
          <w:numId w:val="0"/>
        </w:numPr>
        <w:ind w:firstLine="560" w:firstLineChars="200"/>
        <w:rPr>
          <w:rFonts w:hint="eastAsia" w:eastAsia="宋体"/>
          <w:color w:val="auto"/>
          <w:highlight w:val="none"/>
          <w:lang w:val="en-US" w:eastAsia="zh-CN"/>
        </w:rPr>
      </w:pPr>
      <w:r>
        <w:rPr>
          <w:rFonts w:hint="eastAsia"/>
          <w:color w:val="auto"/>
          <w:highlight w:val="none"/>
          <w:lang w:val="en-US" w:eastAsia="zh-CN"/>
        </w:rPr>
        <w:t>无</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lang w:val="en-US" w:eastAsia="zh-CN"/>
        </w:rPr>
        <w:t>八</w:t>
      </w:r>
      <w:r>
        <w:rPr>
          <w:rFonts w:hint="eastAsia" w:ascii="宋体" w:hAnsi="宋体" w:eastAsia="宋体" w:cs="宋体"/>
          <w:b/>
          <w:bCs/>
          <w:color w:val="auto"/>
          <w:highlight w:val="none"/>
          <w:shd w:val="clear" w:color="auto" w:fill="auto"/>
        </w:rPr>
        <w:t>、其他需要说明的问题</w:t>
      </w:r>
    </w:p>
    <w:p>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pPr>
        <w:ind w:left="0" w:leftChars="0" w:firstLine="0" w:firstLineChars="0"/>
        <w:rPr>
          <w:rFonts w:hint="eastAsia"/>
          <w:color w:val="auto"/>
          <w:highlight w:val="none"/>
          <w:lang w:val="en-US" w:eastAsia="zh-CN"/>
        </w:rPr>
      </w:pPr>
      <w:r>
        <w:rPr>
          <w:rFonts w:hint="eastAsia"/>
          <w:color w:val="auto"/>
          <w:highlight w:val="none"/>
          <w:lang w:val="en-US" w:eastAsia="zh-CN"/>
        </w:rPr>
        <w:br w:type="page"/>
      </w:r>
    </w:p>
    <w:tbl>
      <w:tblPr>
        <w:tblStyle w:val="9"/>
        <w:tblW w:w="793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39"/>
        <w:gridCol w:w="739"/>
        <w:gridCol w:w="1337"/>
        <w:gridCol w:w="1161"/>
        <w:gridCol w:w="1161"/>
        <w:gridCol w:w="1182"/>
        <w:gridCol w:w="1461"/>
        <w:gridCol w:w="1709"/>
        <w:gridCol w:w="2741"/>
        <w:gridCol w:w="924"/>
        <w:gridCol w:w="9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exact"/>
        </w:trPr>
        <w:tc>
          <w:tcPr>
            <w:tcW w:w="1530" w:type="dxa"/>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附1</w:t>
            </w:r>
          </w:p>
        </w:tc>
        <w:tc>
          <w:tcPr>
            <w:tcW w:w="184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159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159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162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202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238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388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124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124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exact"/>
        </w:trPr>
        <w:tc>
          <w:tcPr>
            <w:tcW w:w="18960" w:type="dxa"/>
            <w:gridSpan w:val="11"/>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2"/>
                <w:szCs w:val="32"/>
                <w:u w:val="none"/>
              </w:rPr>
            </w:pPr>
            <w:r>
              <w:rPr>
                <w:rFonts w:hint="eastAsia" w:ascii="黑体" w:hAnsi="宋体" w:eastAsia="黑体" w:cs="黑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exact"/>
        </w:trPr>
        <w:tc>
          <w:tcPr>
            <w:tcW w:w="18960" w:type="dxa"/>
            <w:gridSpan w:val="11"/>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exact"/>
        </w:trPr>
        <w:tc>
          <w:tcPr>
            <w:tcW w:w="15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743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昌吉州阜康市水源地输水管网建设工程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exact"/>
        </w:trPr>
        <w:tc>
          <w:tcPr>
            <w:tcW w:w="15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66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阜康市水利局</w:t>
            </w:r>
          </w:p>
        </w:tc>
        <w:tc>
          <w:tcPr>
            <w:tcW w:w="4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63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阜康市水利局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exact"/>
        </w:trPr>
        <w:tc>
          <w:tcPr>
            <w:tcW w:w="15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3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4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exact"/>
        </w:trPr>
        <w:tc>
          <w:tcPr>
            <w:tcW w:w="15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w:t>
            </w:r>
          </w:p>
        </w:tc>
        <w:tc>
          <w:tcPr>
            <w:tcW w:w="4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exact"/>
        </w:trPr>
        <w:tc>
          <w:tcPr>
            <w:tcW w:w="15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w:t>
            </w:r>
          </w:p>
        </w:tc>
        <w:tc>
          <w:tcPr>
            <w:tcW w:w="4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exact"/>
        </w:trPr>
        <w:tc>
          <w:tcPr>
            <w:tcW w:w="15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4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exact"/>
        </w:trPr>
        <w:tc>
          <w:tcPr>
            <w:tcW w:w="15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4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exact"/>
        </w:trPr>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7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107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exact"/>
        </w:trPr>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水利局主要职能为管理地域水资源、负责防汛抗旱工作、组织协调农田水利基本建设等。本工程预期总体目标为完成地面附着物补偿费、移民征地及补偿工作，并有效改善周边生态环境等项目前期工作。</w:t>
            </w:r>
          </w:p>
        </w:tc>
        <w:tc>
          <w:tcPr>
            <w:tcW w:w="107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截止2022年12月底，本单位完成已完成地面附着物补偿费、移民征地及补偿工作，有效改善周边生态环境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exact"/>
        </w:trPr>
        <w:tc>
          <w:tcPr>
            <w:tcW w:w="45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 效 指 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31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6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4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exact"/>
        </w:trPr>
        <w:tc>
          <w:tcPr>
            <w:tcW w:w="4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8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1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新建输水管道</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23km</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19km</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4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exact"/>
        </w:trPr>
        <w:tc>
          <w:tcPr>
            <w:tcW w:w="4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1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项目设计变更率</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4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exact"/>
        </w:trPr>
        <w:tc>
          <w:tcPr>
            <w:tcW w:w="4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1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开工及时率</w:t>
            </w:r>
          </w:p>
        </w:tc>
        <w:tc>
          <w:tcPr>
            <w:tcW w:w="162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4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exact"/>
        </w:trPr>
        <w:tc>
          <w:tcPr>
            <w:tcW w:w="4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9"/>
                <w:szCs w:val="19"/>
                <w:u w:val="none"/>
              </w:rPr>
            </w:pPr>
            <w:r>
              <w:rPr>
                <w:rFonts w:hint="eastAsia" w:ascii="宋体" w:hAnsi="宋体" w:eastAsia="宋体" w:cs="宋体"/>
                <w:i w:val="0"/>
                <w:iCs w:val="0"/>
                <w:color w:val="000000"/>
                <w:kern w:val="0"/>
                <w:sz w:val="19"/>
                <w:szCs w:val="19"/>
                <w:u w:val="none"/>
                <w:lang w:val="en-US" w:eastAsia="zh-CN" w:bidi="ar"/>
              </w:rPr>
              <w:t>开工时间</w:t>
            </w:r>
          </w:p>
        </w:tc>
        <w:tc>
          <w:tcPr>
            <w:tcW w:w="162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2022年7月30日</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2022年7月20日</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4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exact"/>
        </w:trPr>
        <w:tc>
          <w:tcPr>
            <w:tcW w:w="4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5"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1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项目前期费</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宋体" w:cs="Arial"/>
                <w:i w:val="0"/>
                <w:iCs w:val="0"/>
                <w:color w:val="000000"/>
                <w:sz w:val="20"/>
                <w:szCs w:val="20"/>
                <w:u w:val="none"/>
              </w:rPr>
            </w:pPr>
            <w:r>
              <w:rPr>
                <w:rStyle w:val="18"/>
                <w:rFonts w:eastAsia="宋体"/>
                <w:lang w:val="en-US" w:eastAsia="zh-CN" w:bidi="ar"/>
              </w:rPr>
              <w:t>≤3000</w:t>
            </w:r>
            <w:r>
              <w:rPr>
                <w:rFonts w:hint="eastAsia" w:ascii="宋体" w:hAnsi="宋体" w:eastAsia="宋体" w:cs="宋体"/>
                <w:i w:val="0"/>
                <w:iCs w:val="0"/>
                <w:color w:val="000000"/>
                <w:kern w:val="0"/>
                <w:sz w:val="20"/>
                <w:szCs w:val="20"/>
                <w:u w:val="none"/>
                <w:lang w:val="en-US" w:eastAsia="zh-CN" w:bidi="ar"/>
              </w:rPr>
              <w:t>万元</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3002万元</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4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exact"/>
        </w:trPr>
        <w:tc>
          <w:tcPr>
            <w:tcW w:w="4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8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31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exact"/>
        </w:trPr>
        <w:tc>
          <w:tcPr>
            <w:tcW w:w="4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31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受益人口数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≥9万人</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9万人</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4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exact"/>
        </w:trPr>
        <w:tc>
          <w:tcPr>
            <w:tcW w:w="4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31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有效改善周边生态环境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4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exact"/>
        </w:trPr>
        <w:tc>
          <w:tcPr>
            <w:tcW w:w="4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31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4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exact"/>
        </w:trPr>
        <w:tc>
          <w:tcPr>
            <w:tcW w:w="4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31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受益对象满意度（%）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4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exact"/>
        </w:trPr>
        <w:tc>
          <w:tcPr>
            <w:tcW w:w="1020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bl>
    <w:p>
      <w:pPr>
        <w:keepNext/>
        <w:keepLines/>
        <w:widowControl w:val="0"/>
        <w:spacing w:before="0" w:beforeLines="0" w:beforeAutospacing="0" w:after="0" w:afterLines="0" w:afterAutospacing="0" w:line="240" w:lineRule="auto"/>
        <w:ind w:left="0" w:leftChars="0" w:firstLine="0" w:firstLineChars="0"/>
        <w:jc w:val="left"/>
        <w:outlineLvl w:val="1"/>
        <w:rPr>
          <w:rFonts w:hint="eastAsia" w:cs="宋体"/>
          <w:b/>
          <w:bCs/>
          <w:color w:val="000000"/>
          <w:kern w:val="2"/>
          <w:sz w:val="36"/>
          <w:szCs w:val="28"/>
          <w:lang w:val="en-US" w:eastAsia="zh-CN" w:bidi="ar-SA"/>
        </w:rPr>
      </w:pPr>
    </w:p>
    <w:p>
      <w:pPr>
        <w:rPr>
          <w:rFonts w:hint="eastAsia"/>
          <w:lang w:val="en-US" w:eastAsia="zh-CN"/>
        </w:rPr>
      </w:pPr>
      <w:r>
        <w:rPr>
          <w:rFonts w:hint="eastAsia"/>
          <w:lang w:val="en-US" w:eastAsia="zh-CN"/>
        </w:rPr>
        <w:br w:type="page"/>
      </w:r>
    </w:p>
    <w:p>
      <w:pPr>
        <w:keepNext/>
        <w:keepLines/>
        <w:widowControl w:val="0"/>
        <w:spacing w:before="0" w:beforeLines="0" w:beforeAutospacing="0" w:after="0" w:afterLines="0" w:afterAutospacing="0" w:line="240" w:lineRule="auto"/>
        <w:ind w:left="0" w:leftChars="0" w:firstLine="0" w:firstLineChars="0"/>
        <w:jc w:val="left"/>
        <w:outlineLvl w:val="1"/>
        <w:rPr>
          <w:rFonts w:hint="eastAsia" w:ascii="Arial" w:hAnsi="Arial" w:eastAsia="宋体" w:cs="Times New Roman"/>
          <w:b/>
          <w:bCs/>
          <w:color w:val="000000"/>
          <w:kern w:val="2"/>
          <w:sz w:val="32"/>
          <w:szCs w:val="24"/>
          <w:lang w:val="en-US" w:eastAsia="zh-CN" w:bidi="ar-SA"/>
        </w:rPr>
      </w:pPr>
      <w:r>
        <w:rPr>
          <w:rFonts w:hint="eastAsia" w:cs="宋体"/>
          <w:b/>
          <w:bCs/>
          <w:color w:val="000000"/>
          <w:kern w:val="2"/>
          <w:sz w:val="36"/>
          <w:szCs w:val="28"/>
          <w:lang w:val="en-US" w:eastAsia="zh-CN" w:bidi="ar-SA"/>
        </w:rPr>
        <w:t xml:space="preserve">附件二              </w:t>
      </w:r>
      <w:r>
        <w:rPr>
          <w:rFonts w:hint="eastAsia" w:ascii="宋体" w:hAnsi="宋体" w:eastAsia="宋体" w:cs="宋体"/>
          <w:b/>
          <w:bCs/>
          <w:color w:val="000000"/>
          <w:kern w:val="2"/>
          <w:sz w:val="36"/>
          <w:szCs w:val="28"/>
          <w:lang w:val="en-US" w:eastAsia="zh-CN" w:bidi="ar-SA"/>
        </w:rPr>
        <w:t>项目支出绩效评价指标体系打分表</w:t>
      </w:r>
    </w:p>
    <w:tbl>
      <w:tblPr>
        <w:tblStyle w:val="9"/>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FFFFFF"/>
            <w:noWrap w:val="0"/>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141" w:type="dxa"/>
            <w:shd w:val="clear" w:color="auto" w:fill="FFFFFF"/>
            <w:noWrap w:val="0"/>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821" w:type="dxa"/>
            <w:shd w:val="clear" w:color="auto" w:fill="FFFFFF"/>
            <w:noWrap w:val="0"/>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785" w:type="dxa"/>
            <w:shd w:val="clear" w:color="auto" w:fill="FFFFFF"/>
            <w:noWrap w:val="0"/>
            <w:vAlign w:val="center"/>
          </w:tcPr>
          <w:p>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分值</w:t>
            </w:r>
          </w:p>
        </w:tc>
        <w:tc>
          <w:tcPr>
            <w:tcW w:w="769" w:type="dxa"/>
            <w:shd w:val="clear" w:color="auto" w:fill="FFFFFF"/>
            <w:noWrap w:val="0"/>
            <w:vAlign w:val="center"/>
          </w:tcPr>
          <w:p>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　</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141" w:type="dxa"/>
            <w:shd w:val="clear" w:color="auto"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821" w:type="dxa"/>
            <w:shd w:val="clear" w:color="auto" w:fill="FFFFFF"/>
            <w:noWrap w:val="0"/>
            <w:vAlign w:val="center"/>
          </w:tcPr>
          <w:p>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FFFFFF"/>
            <w:noWrap w:val="0"/>
            <w:vAlign w:val="center"/>
          </w:tcPr>
          <w:p>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141" w:type="dxa"/>
            <w:shd w:val="clear" w:color="auto"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821" w:type="dxa"/>
            <w:shd w:val="clear" w:color="auto" w:fill="FFFFFF"/>
            <w:noWrap w:val="0"/>
            <w:vAlign w:val="center"/>
          </w:tcPr>
          <w:p>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FFFFFF"/>
            <w:noWrap w:val="0"/>
            <w:vAlign w:val="center"/>
          </w:tcPr>
          <w:p>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000000"/>
                <w:kern w:val="0"/>
                <w:sz w:val="22"/>
                <w:szCs w:val="22"/>
              </w:rPr>
            </w:pP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　</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821" w:type="dxa"/>
            <w:shd w:val="clear" w:color="000000" w:fill="FFFFFF"/>
            <w:noWrap w:val="0"/>
            <w:vAlign w:val="center"/>
          </w:tcPr>
          <w:p>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000000" w:fill="FFFFFF"/>
            <w:noWrap w:val="0"/>
            <w:vAlign w:val="center"/>
          </w:tcPr>
          <w:p>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tc>
        <w:tc>
          <w:tcPr>
            <w:tcW w:w="727"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821"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p>
          <w:p>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141" w:type="dxa"/>
            <w:shd w:val="clear" w:color="auto"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FFFFFF"/>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shd w:val="clear" w:color="auto"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FFFFFF"/>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FFFFFF"/>
            <w:noWrap w:val="0"/>
            <w:vAlign w:val="center"/>
          </w:tcPr>
          <w:p>
            <w:pPr>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过程</w:t>
            </w:r>
          </w:p>
        </w:tc>
        <w:tc>
          <w:tcPr>
            <w:tcW w:w="727" w:type="dxa"/>
            <w:vMerge w:val="restart"/>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FFFFFF"/>
            <w:noWrap w:val="0"/>
            <w:vAlign w:val="center"/>
          </w:tcPr>
          <w:p>
            <w:pPr>
              <w:spacing w:line="0" w:lineRule="atLeast"/>
              <w:ind w:firstLine="0" w:firstLineChars="0"/>
              <w:jc w:val="center"/>
              <w:rPr>
                <w:rFonts w:hint="eastAsia" w:ascii="宋体" w:hAnsi="宋体" w:eastAsia="宋体" w:cs="宋体"/>
                <w:color w:val="000000"/>
                <w:kern w:val="0"/>
                <w:sz w:val="22"/>
                <w:szCs w:val="22"/>
              </w:rPr>
            </w:pPr>
          </w:p>
        </w:tc>
        <w:tc>
          <w:tcPr>
            <w:tcW w:w="727" w:type="dxa"/>
            <w:vMerge w:val="continue"/>
            <w:shd w:val="clear" w:color="auto" w:fill="FFFFFF"/>
            <w:noWrap w:val="0"/>
            <w:vAlign w:val="center"/>
          </w:tcPr>
          <w:p>
            <w:pPr>
              <w:spacing w:line="0" w:lineRule="atLeast"/>
              <w:ind w:firstLine="0" w:firstLineChars="0"/>
              <w:jc w:val="center"/>
              <w:rPr>
                <w:rFonts w:hint="eastAsia" w:ascii="宋体" w:hAnsi="宋体" w:eastAsia="宋体" w:cs="宋体"/>
                <w:color w:val="000000"/>
                <w:kern w:val="0"/>
                <w:sz w:val="22"/>
                <w:szCs w:val="22"/>
              </w:rPr>
            </w:pP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141" w:type="dxa"/>
            <w:shd w:val="clear" w:color="auto"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821" w:type="dxa"/>
            <w:shd w:val="clear" w:color="auto"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FFFFFF"/>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　</w:t>
            </w: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821"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p>
          <w:p>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821"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821"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w:t>
            </w: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821"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000000"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c>
          <w:tcPr>
            <w:tcW w:w="769" w:type="dxa"/>
            <w:shd w:val="clear" w:color="000000"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w:t>
            </w: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c>
          <w:tcPr>
            <w:tcW w:w="769" w:type="dxa"/>
            <w:shd w:val="clear" w:color="000000"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000000"/>
                <w:kern w:val="0"/>
                <w:sz w:val="22"/>
                <w:szCs w:val="22"/>
              </w:rPr>
            </w:pPr>
          </w:p>
        </w:tc>
        <w:tc>
          <w:tcPr>
            <w:tcW w:w="727" w:type="dxa"/>
            <w:shd w:val="clear" w:color="auto" w:fill="FFFFFF"/>
            <w:noWrap w:val="0"/>
            <w:vAlign w:val="center"/>
          </w:tcPr>
          <w:p>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821"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785" w:type="dxa"/>
            <w:shd w:val="clear" w:color="000000" w:fill="FFFFFF"/>
            <w:noWrap w:val="0"/>
            <w:vAlign w:val="center"/>
          </w:tcPr>
          <w:p>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15</w:t>
            </w:r>
          </w:p>
        </w:tc>
        <w:tc>
          <w:tcPr>
            <w:tcW w:w="769" w:type="dxa"/>
            <w:shd w:val="clear" w:color="000000" w:fill="FFFFFF"/>
            <w:noWrap w:val="0"/>
            <w:vAlign w:val="center"/>
          </w:tcPr>
          <w:p>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821"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shd w:val="clear" w:color="000000"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c>
          <w:tcPr>
            <w:tcW w:w="769" w:type="dxa"/>
            <w:shd w:val="clear" w:color="000000" w:fill="FFFFFF"/>
            <w:noWrap w:val="0"/>
            <w:vAlign w:val="center"/>
          </w:tcPr>
          <w:p>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　</w:t>
            </w: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　</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141" w:type="dxa"/>
            <w:shd w:val="clear" w:color="auto" w:fill="FFFFFF"/>
            <w:noWrap w:val="0"/>
            <w:vAlign w:val="center"/>
          </w:tcPr>
          <w:p>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821" w:type="dxa"/>
            <w:shd w:val="clear" w:color="auto"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785" w:type="dxa"/>
            <w:shd w:val="clear" w:color="auto" w:fill="FFFFFF"/>
            <w:noWrap w:val="0"/>
            <w:vAlign w:val="center"/>
          </w:tcPr>
          <w:p>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20</w:t>
            </w:r>
          </w:p>
        </w:tc>
        <w:tc>
          <w:tcPr>
            <w:tcW w:w="769" w:type="dxa"/>
            <w:shd w:val="clear" w:color="auto" w:fill="FFFFFF"/>
            <w:noWrap w:val="0"/>
            <w:vAlign w:val="center"/>
          </w:tcPr>
          <w:p>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821"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785" w:type="dxa"/>
            <w:shd w:val="clear" w:color="000000" w:fill="FFFFFF"/>
            <w:noWrap w:val="0"/>
            <w:vAlign w:val="center"/>
          </w:tcPr>
          <w:p>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c>
          <w:tcPr>
            <w:tcW w:w="769" w:type="dxa"/>
            <w:shd w:val="clear" w:color="000000" w:fill="FFFFFF"/>
            <w:noWrap w:val="0"/>
            <w:vAlign w:val="center"/>
          </w:tcPr>
          <w:p>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r>
    </w:tbl>
    <w:p>
      <w:pPr>
        <w:spacing w:line="240" w:lineRule="auto"/>
        <w:ind w:firstLine="0" w:firstLineChars="0"/>
        <w:rPr>
          <w:rFonts w:ascii="Times New Roman" w:hAnsi="Times New Roman" w:eastAsia="仿宋_GB2312" w:cs="Times New Roman"/>
          <w:sz w:val="30"/>
          <w:szCs w:val="24"/>
        </w:rPr>
      </w:pPr>
    </w:p>
    <w:p>
      <w:pPr>
        <w:rPr>
          <w:rFonts w:hint="default"/>
          <w:lang w:val="en-US" w:eastAsia="zh-CN"/>
        </w:rPr>
      </w:pPr>
    </w:p>
    <w:sectPr>
      <w:footerReference r:id="rId5" w:type="default"/>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5FA3DDD5"/>
    <w:multiLevelType w:val="singleLevel"/>
    <w:tmpl w:val="5FA3DDD5"/>
    <w:lvl w:ilvl="0" w:tentative="0">
      <w:start w:val="1"/>
      <w:numFmt w:val="decimal"/>
      <w:suff w:val="nothing"/>
      <w:lvlText w:val="（%1）"/>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68291A1A"/>
    <w:rsid w:val="01470C4C"/>
    <w:rsid w:val="02200440"/>
    <w:rsid w:val="02284B43"/>
    <w:rsid w:val="02B015E2"/>
    <w:rsid w:val="039C3BA0"/>
    <w:rsid w:val="03A845BB"/>
    <w:rsid w:val="04D63993"/>
    <w:rsid w:val="053E33E3"/>
    <w:rsid w:val="07890F4F"/>
    <w:rsid w:val="09781BD6"/>
    <w:rsid w:val="09D771D4"/>
    <w:rsid w:val="0B2F1483"/>
    <w:rsid w:val="0D4452F3"/>
    <w:rsid w:val="0F5E5042"/>
    <w:rsid w:val="10510571"/>
    <w:rsid w:val="11FA6155"/>
    <w:rsid w:val="12CF0947"/>
    <w:rsid w:val="12F1313F"/>
    <w:rsid w:val="136C678E"/>
    <w:rsid w:val="13EB2FF5"/>
    <w:rsid w:val="151A4868"/>
    <w:rsid w:val="165825BC"/>
    <w:rsid w:val="176F36D7"/>
    <w:rsid w:val="17987922"/>
    <w:rsid w:val="18456B1E"/>
    <w:rsid w:val="1C1171C5"/>
    <w:rsid w:val="1DA41A79"/>
    <w:rsid w:val="1DF53469"/>
    <w:rsid w:val="1E58492F"/>
    <w:rsid w:val="1E5B6757"/>
    <w:rsid w:val="1ED10AC6"/>
    <w:rsid w:val="1FC0575D"/>
    <w:rsid w:val="21B00C1D"/>
    <w:rsid w:val="23031BEB"/>
    <w:rsid w:val="23917691"/>
    <w:rsid w:val="244D65B8"/>
    <w:rsid w:val="245E1E24"/>
    <w:rsid w:val="27661469"/>
    <w:rsid w:val="27900EAD"/>
    <w:rsid w:val="279B538A"/>
    <w:rsid w:val="286F545C"/>
    <w:rsid w:val="29314FBC"/>
    <w:rsid w:val="2C927671"/>
    <w:rsid w:val="2D7C5CD6"/>
    <w:rsid w:val="2E483E7E"/>
    <w:rsid w:val="2F454B19"/>
    <w:rsid w:val="31E3230A"/>
    <w:rsid w:val="33356F64"/>
    <w:rsid w:val="33944516"/>
    <w:rsid w:val="34B62907"/>
    <w:rsid w:val="38782EDD"/>
    <w:rsid w:val="3B42664A"/>
    <w:rsid w:val="3D836A4E"/>
    <w:rsid w:val="3FBE0BC5"/>
    <w:rsid w:val="4048103A"/>
    <w:rsid w:val="435241E2"/>
    <w:rsid w:val="439E3FA7"/>
    <w:rsid w:val="44B32266"/>
    <w:rsid w:val="44FC64F4"/>
    <w:rsid w:val="467F4585"/>
    <w:rsid w:val="470628CB"/>
    <w:rsid w:val="47555BD4"/>
    <w:rsid w:val="48CC02D4"/>
    <w:rsid w:val="48E12B50"/>
    <w:rsid w:val="499441BE"/>
    <w:rsid w:val="4A2138F0"/>
    <w:rsid w:val="4A583887"/>
    <w:rsid w:val="4B9F6E02"/>
    <w:rsid w:val="4E6E48A8"/>
    <w:rsid w:val="4EEC036B"/>
    <w:rsid w:val="4F0C1443"/>
    <w:rsid w:val="501D2673"/>
    <w:rsid w:val="51852833"/>
    <w:rsid w:val="530D012E"/>
    <w:rsid w:val="53555F0F"/>
    <w:rsid w:val="583C7AE0"/>
    <w:rsid w:val="59216F96"/>
    <w:rsid w:val="5B9D2CCD"/>
    <w:rsid w:val="5E8E347A"/>
    <w:rsid w:val="61835FB7"/>
    <w:rsid w:val="67394C7D"/>
    <w:rsid w:val="674E45F0"/>
    <w:rsid w:val="68126B38"/>
    <w:rsid w:val="68291A1A"/>
    <w:rsid w:val="691B1594"/>
    <w:rsid w:val="6A17429C"/>
    <w:rsid w:val="6A567EA3"/>
    <w:rsid w:val="6B4B4368"/>
    <w:rsid w:val="6E557973"/>
    <w:rsid w:val="6EA641C8"/>
    <w:rsid w:val="6F0D6C22"/>
    <w:rsid w:val="6F47657F"/>
    <w:rsid w:val="70670707"/>
    <w:rsid w:val="720E3691"/>
    <w:rsid w:val="732764B3"/>
    <w:rsid w:val="75E5007C"/>
    <w:rsid w:val="77861774"/>
    <w:rsid w:val="791B1956"/>
    <w:rsid w:val="79300B45"/>
    <w:rsid w:val="794D3E18"/>
    <w:rsid w:val="79F3729A"/>
    <w:rsid w:val="7ACB0498"/>
    <w:rsid w:val="7AED0B4D"/>
    <w:rsid w:val="7C1E4487"/>
    <w:rsid w:val="7C215E02"/>
    <w:rsid w:val="7CB36955"/>
    <w:rsid w:val="7CF23764"/>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2">
    <w:name w:val="heading 2"/>
    <w:basedOn w:val="1"/>
    <w:next w:val="1"/>
    <w:link w:val="12"/>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1">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2">
    <w:name w:val="标题 2 Char"/>
    <w:link w:val="2"/>
    <w:qFormat/>
    <w:uiPriority w:val="0"/>
    <w:rPr>
      <w:rFonts w:ascii="Arial" w:hAnsi="Arial" w:eastAsia="楷体"/>
      <w:b/>
      <w:sz w:val="32"/>
    </w:rPr>
  </w:style>
  <w:style w:type="character" w:customStyle="1" w:styleId="13">
    <w:name w:val="font61"/>
    <w:basedOn w:val="10"/>
    <w:qFormat/>
    <w:uiPriority w:val="0"/>
    <w:rPr>
      <w:rFonts w:hint="default" w:ascii="Arial" w:hAnsi="Arial" w:cs="Arial"/>
      <w:color w:val="000000"/>
      <w:sz w:val="20"/>
      <w:szCs w:val="20"/>
      <w:u w:val="none"/>
    </w:rPr>
  </w:style>
  <w:style w:type="character" w:customStyle="1" w:styleId="14">
    <w:name w:val="font41"/>
    <w:basedOn w:val="10"/>
    <w:qFormat/>
    <w:uiPriority w:val="0"/>
    <w:rPr>
      <w:rFonts w:hint="eastAsia" w:ascii="宋体" w:hAnsi="宋体" w:eastAsia="宋体" w:cs="宋体"/>
      <w:color w:val="000000"/>
      <w:sz w:val="20"/>
      <w:szCs w:val="20"/>
      <w:u w:val="none"/>
    </w:rPr>
  </w:style>
  <w:style w:type="character" w:customStyle="1" w:styleId="15">
    <w:name w:val="font51"/>
    <w:basedOn w:val="10"/>
    <w:uiPriority w:val="0"/>
    <w:rPr>
      <w:rFonts w:hint="default" w:ascii="Arial" w:hAnsi="Arial" w:cs="Arial"/>
      <w:color w:val="000000"/>
      <w:sz w:val="20"/>
      <w:szCs w:val="20"/>
      <w:u w:val="none"/>
    </w:rPr>
  </w:style>
  <w:style w:type="character" w:customStyle="1" w:styleId="16">
    <w:name w:val="font31"/>
    <w:basedOn w:val="10"/>
    <w:qFormat/>
    <w:uiPriority w:val="0"/>
    <w:rPr>
      <w:rFonts w:hint="eastAsia" w:ascii="宋体" w:hAnsi="宋体" w:eastAsia="宋体" w:cs="宋体"/>
      <w:color w:val="000000"/>
      <w:sz w:val="20"/>
      <w:szCs w:val="20"/>
      <w:u w:val="none"/>
    </w:rPr>
  </w:style>
  <w:style w:type="character" w:customStyle="1" w:styleId="17">
    <w:name w:val="font01"/>
    <w:basedOn w:val="10"/>
    <w:qFormat/>
    <w:uiPriority w:val="0"/>
    <w:rPr>
      <w:rFonts w:hint="default" w:ascii="Arial" w:hAnsi="Arial" w:cs="Arial"/>
      <w:color w:val="000000"/>
      <w:sz w:val="20"/>
      <w:szCs w:val="20"/>
      <w:u w:val="none"/>
    </w:rPr>
  </w:style>
  <w:style w:type="character" w:customStyle="1" w:styleId="18">
    <w:name w:val="font81"/>
    <w:basedOn w:val="10"/>
    <w:qFormat/>
    <w:uiPriority w:val="0"/>
    <w:rPr>
      <w:rFonts w:hint="default" w:ascii="Arial" w:hAnsi="Arial" w:cs="Arial"/>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10797</Words>
  <Characters>11265</Characters>
  <Lines>0</Lines>
  <Paragraphs>0</Paragraphs>
  <TotalTime>27</TotalTime>
  <ScaleCrop>false</ScaleCrop>
  <LinksUpToDate>false</LinksUpToDate>
  <CharactersWithSpaces>11316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王瑞</cp:lastModifiedBy>
  <dcterms:modified xsi:type="dcterms:W3CDTF">2023-11-13T09:15:42Z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E3C4EBBD9A7D42E6B8A8F4246353B1B4_13</vt:lpwstr>
  </property>
</Properties>
</file>