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国有林管理局三工河谷及花儿沟区域绿化管护项目支出绩效评价报告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项目名称：国有林管理局三工河谷及花儿沟区域绿化管护项目</w:t>
      </w:r>
    </w:p>
    <w:p>
      <w:pPr>
        <w:ind w:firstLine="562"/>
        <w:rPr>
          <w:b/>
        </w:rPr>
      </w:pPr>
      <w:r>
        <w:rPr>
          <w:rFonts w:hint="eastAsia"/>
          <w:b/>
        </w:rPr>
        <w:t>实施单位：阜康国有林管理局</w:t>
      </w:r>
    </w:p>
    <w:p>
      <w:pPr>
        <w:ind w:firstLine="562"/>
        <w:rPr>
          <w:b/>
        </w:rPr>
      </w:pPr>
      <w:r>
        <w:rPr>
          <w:rFonts w:hint="eastAsia"/>
          <w:b/>
        </w:rPr>
        <w:t>主管部门：阜康国有林管理局</w:t>
      </w:r>
      <w:bookmarkStart w:id="14" w:name="_GoBack"/>
      <w:bookmarkEnd w:id="14"/>
    </w:p>
    <w:p>
      <w:pPr>
        <w:pStyle w:val="10"/>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ind w:firstLine="0" w:firstLineChars="0"/>
        <w:jc w:val="center"/>
        <w:rPr>
          <w:b/>
          <w:bCs/>
        </w:rPr>
      </w:pPr>
      <w:r>
        <w:rPr>
          <w:rFonts w:hint="eastAsia"/>
          <w:b/>
          <w:bCs/>
          <w:sz w:val="36"/>
          <w:szCs w:val="36"/>
        </w:rPr>
        <w:t>国有林管理局三工河谷及花儿沟区域绿化管护项目支出绩效评价报告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2"/>
        <w:spacing w:line="360" w:lineRule="auto"/>
        <w:ind w:firstLine="643"/>
        <w:rPr>
          <w:rFonts w:ascii="宋体" w:hAnsi="宋体" w:eastAsia="宋体"/>
        </w:rPr>
      </w:pPr>
      <w:r>
        <w:rPr>
          <w:rFonts w:hint="eastAsia" w:ascii="宋体" w:hAnsi="宋体" w:eastAsia="宋体"/>
        </w:rPr>
        <w:t>（一）项目概况</w:t>
      </w:r>
    </w:p>
    <w:p>
      <w:pPr>
        <w:pStyle w:val="4"/>
        <w:spacing w:line="360" w:lineRule="auto"/>
        <w:ind w:firstLine="562"/>
        <w:rPr>
          <w:rFonts w:ascii="宋体" w:hAnsi="宋体" w:eastAsia="宋体"/>
        </w:rPr>
      </w:pPr>
      <w:r>
        <w:rPr>
          <w:rFonts w:hint="eastAsia" w:ascii="宋体" w:hAnsi="宋体" w:eastAsia="宋体"/>
        </w:rPr>
        <w:t>1.项目背景</w:t>
      </w:r>
    </w:p>
    <w:p>
      <w:pPr>
        <w:spacing w:line="560" w:lineRule="exact"/>
        <w:ind w:firstLine="640"/>
        <w:rPr>
          <w:sz w:val="32"/>
          <w:szCs w:val="32"/>
        </w:rPr>
      </w:pPr>
      <w:r>
        <w:rPr>
          <w:rFonts w:hint="eastAsia" w:ascii="仿宋_GB2312" w:hAnsi="仿宋_GB2312" w:eastAsia="仿宋_GB2312" w:cs="仿宋_GB2312"/>
          <w:sz w:val="32"/>
          <w:szCs w:val="32"/>
        </w:rPr>
        <w:t>2017年，阜康国有林管理局在三工河谷和花尔沟村区域两侧完成了天然林资源保护工程二期及阜康抽水蓄能电站异地植树造林工作，造林总面积6876亩（其中天然林资源保护工程二期2176亩、阜康抽水蓄能电站异地植树造林4700亩）。为保障苗木成活率，实施该绿化管护项目。</w:t>
      </w:r>
    </w:p>
    <w:p>
      <w:pPr>
        <w:pStyle w:val="4"/>
        <w:spacing w:line="360" w:lineRule="auto"/>
        <w:ind w:firstLine="562"/>
        <w:rPr>
          <w:rFonts w:ascii="宋体" w:hAnsi="宋体" w:eastAsia="宋体"/>
        </w:rPr>
      </w:pPr>
      <w:r>
        <w:rPr>
          <w:rFonts w:hint="eastAsia" w:ascii="宋体" w:hAnsi="宋体" w:eastAsia="宋体"/>
        </w:rPr>
        <w:t>2.主要内容及实施情况</w:t>
      </w:r>
    </w:p>
    <w:p>
      <w:pPr>
        <w:spacing w:line="560" w:lineRule="exact"/>
        <w:ind w:firstLine="560"/>
        <w:rPr>
          <w:rFonts w:ascii="仿宋_GB2312" w:hAnsi="仿宋_GB2312" w:eastAsia="仿宋_GB2312" w:cs="仿宋_GB2312"/>
          <w:sz w:val="32"/>
          <w:szCs w:val="32"/>
        </w:rPr>
      </w:pPr>
      <w:r>
        <w:rPr>
          <w:rFonts w:hint="eastAsia"/>
        </w:rPr>
        <w:t>主要内容：</w:t>
      </w:r>
      <w:r>
        <w:rPr>
          <w:rFonts w:hint="eastAsia" w:ascii="仿宋_GB2312" w:hAnsi="仿宋_GB2312" w:eastAsia="仿宋_GB2312" w:cs="仿宋_GB2312"/>
          <w:sz w:val="32"/>
          <w:szCs w:val="32"/>
        </w:rPr>
        <w:t>养护期主要进行灌溉、修剪、施肥、除草、病虫害防治等；休眠期主要承担围栏围护、牲畜驱赶、防寒、设施设备安全看护等。</w:t>
      </w:r>
    </w:p>
    <w:p>
      <w:pPr>
        <w:ind w:firstLine="560"/>
      </w:pPr>
      <w:r>
        <w:rPr>
          <w:rFonts w:hint="eastAsia"/>
        </w:rPr>
        <w:t>组织实施：</w:t>
      </w:r>
    </w:p>
    <w:p>
      <w:pPr>
        <w:pStyle w:val="4"/>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国有林管理局三工河谷及花儿沟区域绿化管护项目预算安排总额为146.5万元，其中财政资金146.5万元，其他资金0万元，2022年实际收到预算资金0万元，预算资金到位率为0%。</w:t>
      </w:r>
    </w:p>
    <w:p>
      <w:pPr>
        <w:ind w:firstLine="544"/>
        <w:rPr>
          <w:bCs/>
          <w:spacing w:val="-4"/>
        </w:rPr>
      </w:pPr>
      <w:r>
        <w:rPr>
          <w:rFonts w:hint="eastAsia"/>
          <w:bCs/>
          <w:spacing w:val="-4"/>
        </w:rPr>
        <w:t>（2）项目资金实际使用情况分析</w:t>
      </w:r>
    </w:p>
    <w:p>
      <w:pPr>
        <w:ind w:firstLine="560"/>
      </w:pPr>
      <w:r>
        <w:rPr>
          <w:rFonts w:hint="eastAsia"/>
        </w:rPr>
        <w:t>截止2022年12月31日，国有林管理局三工河谷及花儿沟区域绿化管护项目实际支付资金146.5万元，预算执行率100%。</w:t>
      </w:r>
    </w:p>
    <w:p>
      <w:pPr>
        <w:pStyle w:val="2"/>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4"/>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国有林管理局三工河谷及花儿沟区域绿化管护项目绩效总体目标为：阜康国有林管理局三工河谷及花儿沟区域绿化管护项目，工程内容为：对该区域6876亩林木进行浇灌病虫害防治，围栏维护，管线维修，渠道修复，苗木修枝，清理林带内杂草，按照占一补一，异地恢复确保恢复到位。</w:t>
      </w:r>
    </w:p>
    <w:p>
      <w:pPr>
        <w:pStyle w:val="4"/>
        <w:spacing w:line="360" w:lineRule="auto"/>
        <w:ind w:firstLine="562"/>
        <w:rPr>
          <w:rFonts w:ascii="宋体" w:hAnsi="宋体" w:eastAsia="宋体"/>
        </w:rPr>
      </w:pPr>
      <w:r>
        <w:rPr>
          <w:rFonts w:hint="eastAsia" w:ascii="宋体" w:hAnsi="宋体" w:eastAsia="宋体"/>
        </w:rPr>
        <w:t>2.阶段性目标</w:t>
      </w:r>
    </w:p>
    <w:p>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“绿化管护面积”指标，预期指标值为6876亩；</w:t>
      </w:r>
    </w:p>
    <w:p>
      <w:pPr>
        <w:ind w:firstLine="560"/>
      </w:pPr>
      <w:r>
        <w:rPr>
          <w:rFonts w:hint="eastAsia"/>
        </w:rPr>
        <w:t>②质量指标</w:t>
      </w:r>
    </w:p>
    <w:p>
      <w:pPr>
        <w:ind w:firstLine="560"/>
      </w:pPr>
      <w:r>
        <w:rPr>
          <w:rFonts w:hint="eastAsia"/>
        </w:rPr>
        <w:t>“苗木成活率”指标，预期指标值为≥90%；</w:t>
      </w:r>
    </w:p>
    <w:p>
      <w:pPr>
        <w:ind w:firstLine="560"/>
      </w:pPr>
      <w:r>
        <w:rPr>
          <w:rFonts w:hint="eastAsia"/>
        </w:rPr>
        <w:t>③时效指标</w:t>
      </w:r>
    </w:p>
    <w:p>
      <w:pPr>
        <w:ind w:firstLine="560"/>
      </w:pPr>
      <w:r>
        <w:rPr>
          <w:rFonts w:hint="eastAsia"/>
        </w:rPr>
        <w:t>“管护及时率”指标，预期指标值为≥95%；</w:t>
      </w:r>
    </w:p>
    <w:p>
      <w:pPr>
        <w:ind w:firstLine="560"/>
      </w:pPr>
      <w:r>
        <w:rPr>
          <w:rFonts w:hint="eastAsia"/>
        </w:rPr>
        <w:t>“时间截止期限”指标，预期指标值为2022年1月1日；</w:t>
      </w:r>
    </w:p>
    <w:p>
      <w:pPr>
        <w:ind w:firstLine="560"/>
      </w:pPr>
      <w:r>
        <w:rPr>
          <w:rFonts w:hint="eastAsia"/>
        </w:rPr>
        <w:t>④成本指标</w:t>
      </w:r>
    </w:p>
    <w:p>
      <w:pPr>
        <w:ind w:firstLine="560"/>
      </w:pPr>
      <w:r>
        <w:rPr>
          <w:rFonts w:hint="eastAsia"/>
        </w:rPr>
        <w:t>“病虫害防治及涂白”指标，预期指标值为≤22.35万元；</w:t>
      </w:r>
    </w:p>
    <w:p>
      <w:pPr>
        <w:ind w:firstLine="560"/>
      </w:pPr>
      <w:r>
        <w:rPr>
          <w:rFonts w:hint="eastAsia"/>
        </w:rPr>
        <w:t>“苗木补植、松土除草”指标，预期指标值为≤20.63万元；</w:t>
      </w:r>
    </w:p>
    <w:p>
      <w:pPr>
        <w:ind w:firstLine="560"/>
      </w:pPr>
      <w:r>
        <w:rPr>
          <w:rFonts w:hint="eastAsia"/>
        </w:rPr>
        <w:t>“苗木施肥”指标，预期指标值为≤22.35万元；</w:t>
      </w:r>
    </w:p>
    <w:p>
      <w:pPr>
        <w:ind w:firstLine="560"/>
      </w:pPr>
      <w:r>
        <w:rPr>
          <w:rFonts w:hint="eastAsia"/>
        </w:rPr>
        <w:t>“喷管系统安装维护”指标，预期指标值为≤7.72万元；</w:t>
      </w:r>
    </w:p>
    <w:p>
      <w:pPr>
        <w:ind w:firstLine="560"/>
      </w:pPr>
      <w:r>
        <w:rPr>
          <w:rFonts w:hint="eastAsia"/>
        </w:rPr>
        <w:t>“人工费”指标，预期指标值为≤52.82万元；</w:t>
      </w:r>
    </w:p>
    <w:p>
      <w:pPr>
        <w:ind w:firstLine="560"/>
      </w:pPr>
      <w:r>
        <w:rPr>
          <w:rFonts w:hint="eastAsia"/>
        </w:rPr>
        <w:t>“机械费”指标，预期指标值为≤20.63万元；</w:t>
      </w:r>
    </w:p>
    <w:p>
      <w:pPr>
        <w:ind w:firstLine="560"/>
      </w:pPr>
      <w:r>
        <w:rPr>
          <w:rFonts w:hint="eastAsia"/>
        </w:rPr>
        <w:t>（2）项目效益目标</w:t>
      </w:r>
    </w:p>
    <w:p>
      <w:pPr>
        <w:ind w:firstLine="560"/>
      </w:pPr>
      <w:r>
        <w:rPr>
          <w:rFonts w:hint="eastAsia"/>
        </w:rPr>
        <w:t>①经济效益指标</w:t>
      </w:r>
    </w:p>
    <w:p>
      <w:pPr>
        <w:ind w:firstLine="560"/>
      </w:pPr>
      <w:r>
        <w:rPr>
          <w:rFonts w:hint="eastAsia"/>
        </w:rPr>
        <w:t>本项目不存在经济效益</w:t>
      </w:r>
    </w:p>
    <w:p>
      <w:pPr>
        <w:ind w:firstLine="560"/>
      </w:pPr>
      <w:r>
        <w:rPr>
          <w:rFonts w:hint="eastAsia"/>
        </w:rPr>
        <w:t>②社会效益指标</w:t>
      </w:r>
    </w:p>
    <w:p>
      <w:pPr>
        <w:ind w:firstLine="560"/>
      </w:pPr>
      <w:r>
        <w:rPr>
          <w:rFonts w:hint="eastAsia"/>
        </w:rPr>
        <w:t>“增加三工河谷及周边森林资”指标，预期指标值为增加；</w:t>
      </w:r>
    </w:p>
    <w:p>
      <w:pPr>
        <w:ind w:firstLine="560"/>
      </w:pPr>
      <w:r>
        <w:rPr>
          <w:rFonts w:hint="eastAsia"/>
        </w:rPr>
        <w:t>③生态效益指标</w:t>
      </w:r>
    </w:p>
    <w:p>
      <w:pPr>
        <w:ind w:firstLine="560"/>
      </w:pPr>
      <w:r>
        <w:rPr>
          <w:rFonts w:hint="eastAsia"/>
        </w:rPr>
        <w:t>“调解气候，改善周边生态环境”指标，预期指标值为改善；</w:t>
      </w:r>
    </w:p>
    <w:p>
      <w:pPr>
        <w:ind w:firstLine="560"/>
      </w:pPr>
      <w:r>
        <w:rPr>
          <w:rFonts w:hint="eastAsia"/>
        </w:rPr>
        <w:t>④可持续影响</w:t>
      </w:r>
    </w:p>
    <w:p>
      <w:pPr>
        <w:ind w:firstLine="560"/>
      </w:pPr>
      <w:r>
        <w:rPr>
          <w:rFonts w:hint="eastAsia"/>
        </w:rPr>
        <w:t>“改善生态环境、旅游经济高质量发展提供重要资源优势，提高牧民就业和经济收入”指标，预期指标值为长期；</w:t>
      </w:r>
    </w:p>
    <w:p>
      <w:pPr>
        <w:ind w:firstLine="560"/>
      </w:pPr>
      <w:r>
        <w:rPr>
          <w:rFonts w:hint="eastAsia"/>
        </w:rPr>
        <w:t>⑤满意度指标</w:t>
      </w:r>
    </w:p>
    <w:p>
      <w:pPr>
        <w:ind w:firstLine="560"/>
      </w:pPr>
      <w:r>
        <w:rPr>
          <w:rFonts w:hint="eastAsia"/>
        </w:rPr>
        <w:t>“享受绿化群众满意度”指标，预期指标值为≥90%。</w:t>
      </w:r>
    </w:p>
    <w:p>
      <w:pPr>
        <w:pStyle w:val="3"/>
        <w:ind w:firstLine="643"/>
        <w:rPr>
          <w:rFonts w:ascii="宋体" w:hAnsi="宋体" w:eastAsia="宋体"/>
          <w:b/>
          <w:bCs/>
        </w:rPr>
      </w:pPr>
      <w:r>
        <w:rPr>
          <w:rFonts w:hint="eastAsia" w:ascii="宋体" w:hAnsi="宋体" w:eastAsia="宋体"/>
          <w:b/>
          <w:bCs/>
        </w:rPr>
        <w:t>二、绩效评价工作开展情况</w:t>
      </w:r>
    </w:p>
    <w:p>
      <w:pPr>
        <w:pStyle w:val="2"/>
        <w:numPr>
          <w:ilvl w:val="0"/>
          <w:numId w:val="2"/>
        </w:numPr>
        <w:spacing w:line="360" w:lineRule="auto"/>
        <w:ind w:firstLine="643"/>
        <w:rPr>
          <w:rFonts w:ascii="宋体" w:hAnsi="宋体" w:eastAsia="宋体"/>
          <w:szCs w:val="32"/>
        </w:rPr>
      </w:pPr>
      <w:bookmarkStart w:id="0" w:name="_Toc12868"/>
      <w:bookmarkStart w:id="1" w:name="_Toc22922"/>
      <w:bookmarkStart w:id="2" w:name="_Toc480473081"/>
      <w:bookmarkStart w:id="3" w:name="_Toc22169_WPSOffice_Level2"/>
      <w:bookmarkStart w:id="4" w:name="_Toc5258"/>
      <w:bookmarkStart w:id="5" w:name="_Toc5462343"/>
      <w:bookmarkStart w:id="6" w:name="_Toc21664"/>
      <w:bookmarkStart w:id="7" w:name="_Toc26632"/>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4"/>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4"/>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此次我单位根据《财政支出绩效评价管理暂行办法》（财预〔2020〕10号）文件要求对2022年度我单位实施的国有林管理局三工河谷及花儿沟区域绿化管护项目开展部门绩效评价。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2"/>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4"/>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国有林管理局三工河谷及花儿沟区域绿化管护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4"/>
        <w:spacing w:line="360" w:lineRule="auto"/>
        <w:ind w:firstLine="562"/>
        <w:rPr>
          <w:rFonts w:ascii="宋体" w:hAnsi="宋体" w:eastAsia="宋体"/>
        </w:rPr>
      </w:pPr>
      <w:bookmarkStart w:id="8" w:name="_Toc26131"/>
      <w:bookmarkStart w:id="9" w:name="_Toc419984722"/>
      <w:bookmarkStart w:id="10" w:name="_Toc1913"/>
      <w:bookmarkStart w:id="11" w:name="_Toc428278230"/>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4"/>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国有林管理局三工河谷及花儿沟区域绿化管护项目进行评价。</w:t>
      </w:r>
    </w:p>
    <w:p>
      <w:pPr>
        <w:pStyle w:val="4"/>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4"/>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国有林管理局三工河谷及花儿沟区域绿化管护项目实施内容、目标信息、预算信息以及其他的一些项目基本信息，有了初步了解，为制定绩效评价工作方案做好准备。</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10"/>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10"/>
        <w:spacing w:before="0" w:after="0"/>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10"/>
        <w:spacing w:before="0" w:after="0"/>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国有林管理局三工河谷及花儿沟区域绿化管护项目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1"/>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4"/>
                <w:szCs w:val="24"/>
              </w:rPr>
            </w:pPr>
            <w:r>
              <w:rPr>
                <w:rFonts w:hint="eastAsia"/>
                <w:b/>
                <w:bCs/>
                <w:kern w:val="0"/>
              </w:rPr>
              <w:t>表3-1：国有林管理局三工河谷及花儿沟区域绿化管护项目项目得分表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2"/>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项目决策由3个二级指标和6个三级指标构成，权重分20分，实际得分20分，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1.立项依据充分性</w:t>
      </w:r>
    </w:p>
    <w:p>
      <w:pPr>
        <w:ind w:firstLine="560"/>
      </w:pPr>
      <w:r>
        <w:rPr>
          <w:rFonts w:hint="eastAsia"/>
        </w:rPr>
        <w:t>①项目立项符合国家法律法规、国民经济发展规划和相关政策；</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③事前经过必要的集体决策。</w:t>
      </w:r>
    </w:p>
    <w:p>
      <w:pPr>
        <w:ind w:firstLine="562"/>
      </w:pPr>
      <w:r>
        <w:rPr>
          <w:rFonts w:hint="eastAsia"/>
          <w:b/>
          <w:bCs/>
        </w:rPr>
        <w:t>综上，该项指标满分3分，得分3分。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2"/>
        <w:spacing w:line="360" w:lineRule="auto"/>
        <w:ind w:firstLine="643"/>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ind w:firstLine="560"/>
        <w:rPr>
          <w:b/>
          <w:bCs/>
        </w:rPr>
      </w:pPr>
      <w:r>
        <w:rPr>
          <w:rFonts w:hint="eastAsia"/>
        </w:rPr>
        <w:t>资金到位率=（146.5/146.5）×100%。</w:t>
      </w:r>
      <w:r>
        <w:rPr>
          <w:rFonts w:hint="eastAsia"/>
          <w:b/>
          <w:bCs/>
        </w:rPr>
        <w:t>=</w:t>
      </w:r>
      <w:r>
        <w:rPr>
          <w:rFonts w:hint="eastAsia"/>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预算执行率=（146.5/146.5）×100%。</w:t>
      </w:r>
      <w:r>
        <w:rPr>
          <w:rFonts w:hint="eastAsia"/>
          <w:b/>
          <w:bCs/>
        </w:rPr>
        <w:t>=</w:t>
      </w:r>
      <w:r>
        <w:rPr>
          <w:rFonts w:hint="eastAsia"/>
        </w:rPr>
        <w:t>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①已制定或具有相应的财务和业务管理制度；为加强我单位预算管理、规范财务行为我单位制定了《新疆天池管理委员会内部控制规范》《新疆天池管理委员会项目管理规范》等资金管理制度，</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②项目合同书、验收报告等资料齐全并及时归档；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2"/>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10</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1"/>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绿化管护面积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=6876亩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=6876亩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苗木成活率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管护及时率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时间截止期限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2022年11月1日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2022年11月1日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病虫害防治及涂白</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≤22.35万元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≤22.35万元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苗木补植、松土除草</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≤20.63万元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≤20.63万元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苗木施肥</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≤22.35万元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≤22.35万元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喷管系统安装维护</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≤7.72万元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≤7.72万元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人工费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≤52.82万元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≤52.82万元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03"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机械费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≤20.63万元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≤20.63万元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1.项目完成数量</w:t>
      </w:r>
    </w:p>
    <w:p>
      <w:pPr>
        <w:ind w:firstLine="560"/>
      </w:pPr>
      <w:r>
        <w:rPr>
          <w:rFonts w:hint="eastAsia"/>
        </w:rPr>
        <w:t>“绿化管护面积”指标，预期指标值为6876亩，实际完成为6876亩。实际完成率=（6876/6876）×100%=100%。</w:t>
      </w:r>
    </w:p>
    <w:p>
      <w:pPr>
        <w:ind w:firstLine="562"/>
      </w:pPr>
      <w:r>
        <w:rPr>
          <w:rFonts w:hint="eastAsia"/>
          <w:b/>
          <w:bCs/>
        </w:rPr>
        <w:t>综上，该项指标满分3分，得分3分。</w:t>
      </w:r>
    </w:p>
    <w:p>
      <w:pPr>
        <w:numPr>
          <w:ilvl w:val="0"/>
          <w:numId w:val="4"/>
        </w:numPr>
        <w:ind w:firstLine="562"/>
        <w:rPr>
          <w:b/>
          <w:bCs/>
        </w:rPr>
      </w:pPr>
      <w:r>
        <w:rPr>
          <w:rFonts w:hint="eastAsia"/>
          <w:b/>
          <w:bCs/>
        </w:rPr>
        <w:t>项目完成质量</w:t>
      </w:r>
    </w:p>
    <w:p>
      <w:pPr>
        <w:ind w:firstLine="560"/>
      </w:pPr>
      <w:r>
        <w:rPr>
          <w:rFonts w:hint="eastAsia"/>
        </w:rPr>
        <w:t>“</w:t>
      </w:r>
      <w:r>
        <w:rPr>
          <w:rFonts w:hint="eastAsia"/>
          <w:kern w:val="0"/>
        </w:rPr>
        <w:t>苗木成活率</w:t>
      </w:r>
      <w:r>
        <w:rPr>
          <w:rFonts w:hint="eastAsia"/>
        </w:rPr>
        <w:t>”指标，预期指标值为</w:t>
      </w:r>
      <w:r>
        <w:rPr>
          <w:rFonts w:hint="eastAsia"/>
          <w:kern w:val="0"/>
        </w:rPr>
        <w:t>≥90%</w:t>
      </w:r>
      <w:r>
        <w:rPr>
          <w:rFonts w:hint="eastAsia"/>
        </w:rPr>
        <w:t>，实际完成为</w:t>
      </w:r>
      <w:r>
        <w:rPr>
          <w:rFonts w:hint="eastAsia"/>
          <w:kern w:val="0"/>
        </w:rPr>
        <w:t>90%</w:t>
      </w:r>
      <w:r>
        <w:rPr>
          <w:rFonts w:hint="eastAsia"/>
        </w:rPr>
        <w:t>。</w:t>
      </w:r>
    </w:p>
    <w:p>
      <w:pPr>
        <w:ind w:firstLine="562"/>
      </w:pPr>
      <w:r>
        <w:rPr>
          <w:rFonts w:hint="eastAsia"/>
          <w:b/>
          <w:bCs/>
        </w:rPr>
        <w:t>综上，该项指标满分3分，得分3分。</w:t>
      </w:r>
    </w:p>
    <w:p>
      <w:pPr>
        <w:numPr>
          <w:ilvl w:val="0"/>
          <w:numId w:val="4"/>
        </w:numPr>
        <w:ind w:firstLine="562"/>
        <w:rPr>
          <w:b/>
          <w:bCs/>
        </w:rPr>
      </w:pPr>
      <w:r>
        <w:rPr>
          <w:rFonts w:hint="eastAsia"/>
          <w:b/>
          <w:bCs/>
        </w:rPr>
        <w:t>项目完成时效</w:t>
      </w:r>
    </w:p>
    <w:p>
      <w:pPr>
        <w:ind w:left="560" w:leftChars="200" w:firstLine="0" w:firstLineChars="0"/>
      </w:pPr>
      <w:r>
        <w:rPr>
          <w:rFonts w:hint="eastAsia"/>
        </w:rPr>
        <w:t>“</w:t>
      </w:r>
      <w:r>
        <w:rPr>
          <w:rFonts w:hint="eastAsia"/>
          <w:kern w:val="0"/>
        </w:rPr>
        <w:t>管护及时率</w:t>
      </w:r>
      <w:r>
        <w:rPr>
          <w:rFonts w:hint="eastAsia"/>
        </w:rPr>
        <w:t>”指标，预期指标值为</w:t>
      </w:r>
      <w:r>
        <w:rPr>
          <w:rFonts w:hint="eastAsia"/>
          <w:kern w:val="0"/>
        </w:rPr>
        <w:t>≥90%</w:t>
      </w:r>
      <w:r>
        <w:rPr>
          <w:rFonts w:hint="eastAsia"/>
        </w:rPr>
        <w:t>，实际完成为</w:t>
      </w:r>
      <w:r>
        <w:rPr>
          <w:rFonts w:hint="eastAsia"/>
          <w:kern w:val="0"/>
        </w:rPr>
        <w:t>90%</w:t>
      </w:r>
      <w:r>
        <w:rPr>
          <w:rFonts w:hint="eastAsia"/>
        </w:rPr>
        <w:t>。</w:t>
      </w:r>
    </w:p>
    <w:p>
      <w:pPr>
        <w:ind w:left="560" w:leftChars="200" w:firstLine="0" w:firstLineChars="0"/>
      </w:pPr>
      <w:r>
        <w:rPr>
          <w:rFonts w:hint="eastAsia"/>
        </w:rPr>
        <w:t>“</w:t>
      </w:r>
      <w:r>
        <w:rPr>
          <w:rFonts w:hint="eastAsia"/>
          <w:kern w:val="0"/>
        </w:rPr>
        <w:t>时间截止期限</w:t>
      </w:r>
      <w:r>
        <w:rPr>
          <w:rFonts w:hint="eastAsia"/>
        </w:rPr>
        <w:t>”指标，预期指标值为</w:t>
      </w:r>
      <w:r>
        <w:rPr>
          <w:rFonts w:hint="eastAsia"/>
          <w:kern w:val="0"/>
        </w:rPr>
        <w:t>2022年11月1日</w:t>
      </w:r>
      <w:r>
        <w:rPr>
          <w:rFonts w:hint="eastAsia"/>
        </w:rPr>
        <w:t>，实际完成为</w:t>
      </w:r>
      <w:r>
        <w:rPr>
          <w:rFonts w:hint="eastAsia"/>
          <w:kern w:val="0"/>
        </w:rPr>
        <w:t>2022年11月1日</w:t>
      </w:r>
      <w:r>
        <w:rPr>
          <w:rFonts w:hint="eastAsia"/>
        </w:rPr>
        <w:t>。</w:t>
      </w:r>
    </w:p>
    <w:p>
      <w:pPr>
        <w:ind w:firstLine="562"/>
        <w:rPr>
          <w:highlight w:val="yellow"/>
        </w:rPr>
      </w:pPr>
      <w:r>
        <w:rPr>
          <w:rFonts w:hint="eastAsia"/>
          <w:b/>
          <w:bCs/>
        </w:rPr>
        <w:t>综上，该项指标满分6分，得分6分。</w:t>
      </w:r>
    </w:p>
    <w:p>
      <w:pPr>
        <w:numPr>
          <w:ilvl w:val="0"/>
          <w:numId w:val="4"/>
        </w:numPr>
        <w:ind w:firstLine="562"/>
        <w:rPr>
          <w:b/>
          <w:bCs/>
        </w:rPr>
      </w:pPr>
      <w:r>
        <w:rPr>
          <w:rFonts w:hint="eastAsia"/>
          <w:b/>
          <w:bCs/>
        </w:rPr>
        <w:t>项目完成成本</w:t>
      </w:r>
    </w:p>
    <w:p>
      <w:pPr>
        <w:pStyle w:val="10"/>
        <w:ind w:firstLine="560"/>
        <w:jc w:val="both"/>
        <w:rPr>
          <w:b w:val="0"/>
          <w:bCs w:val="0"/>
          <w:sz w:val="28"/>
          <w:szCs w:val="28"/>
        </w:rPr>
      </w:pPr>
      <w:r>
        <w:rPr>
          <w:rFonts w:hint="eastAsia" w:ascii="宋体" w:hAnsi="宋体" w:cs="宋体"/>
          <w:b w:val="0"/>
          <w:bCs w:val="0"/>
          <w:sz w:val="28"/>
          <w:szCs w:val="28"/>
        </w:rPr>
        <w:t>“病虫害防治及涂白”</w:t>
      </w:r>
      <w:r>
        <w:rPr>
          <w:rFonts w:hint="eastAsia"/>
          <w:b w:val="0"/>
          <w:bCs w:val="0"/>
          <w:sz w:val="28"/>
          <w:szCs w:val="28"/>
        </w:rPr>
        <w:t>指标，预期指标值为</w:t>
      </w:r>
      <w:r>
        <w:rPr>
          <w:rFonts w:hint="eastAsia" w:ascii="宋体" w:hAnsi="宋体" w:cs="宋体"/>
          <w:b w:val="0"/>
          <w:bCs w:val="0"/>
          <w:kern w:val="0"/>
          <w:sz w:val="28"/>
          <w:szCs w:val="28"/>
        </w:rPr>
        <w:t>≤22.35万元</w:t>
      </w:r>
      <w:r>
        <w:rPr>
          <w:rFonts w:hint="eastAsia"/>
          <w:b w:val="0"/>
          <w:bCs w:val="0"/>
          <w:sz w:val="28"/>
          <w:szCs w:val="28"/>
        </w:rPr>
        <w:t>，实际完成为</w:t>
      </w:r>
      <w:r>
        <w:rPr>
          <w:rFonts w:hint="eastAsia" w:ascii="宋体" w:hAnsi="宋体" w:cs="宋体"/>
          <w:b w:val="0"/>
          <w:bCs w:val="0"/>
          <w:kern w:val="0"/>
          <w:sz w:val="28"/>
          <w:szCs w:val="28"/>
        </w:rPr>
        <w:t>≤22.35万元</w:t>
      </w:r>
      <w:r>
        <w:rPr>
          <w:rFonts w:hint="eastAsia"/>
          <w:b w:val="0"/>
          <w:bCs w:val="0"/>
          <w:sz w:val="28"/>
          <w:szCs w:val="28"/>
        </w:rPr>
        <w:t>。实际完成率=（22.35/22.35）×100%=100%。</w:t>
      </w:r>
    </w:p>
    <w:p>
      <w:pPr>
        <w:pStyle w:val="10"/>
        <w:ind w:firstLine="560"/>
        <w:jc w:val="both"/>
        <w:rPr>
          <w:b w:val="0"/>
          <w:bCs w:val="0"/>
          <w:sz w:val="28"/>
          <w:szCs w:val="28"/>
        </w:rPr>
      </w:pPr>
      <w:r>
        <w:rPr>
          <w:rFonts w:hint="eastAsia" w:ascii="宋体" w:hAnsi="宋体" w:cs="宋体"/>
          <w:b w:val="0"/>
          <w:bCs w:val="0"/>
          <w:sz w:val="28"/>
          <w:szCs w:val="28"/>
        </w:rPr>
        <w:t>“苗木补植、松土除草”</w:t>
      </w:r>
      <w:r>
        <w:rPr>
          <w:rFonts w:hint="eastAsia"/>
          <w:b w:val="0"/>
          <w:bCs w:val="0"/>
          <w:sz w:val="28"/>
          <w:szCs w:val="28"/>
        </w:rPr>
        <w:t>指标，预期指标值为</w:t>
      </w:r>
      <w:r>
        <w:rPr>
          <w:rFonts w:hint="eastAsia" w:ascii="宋体" w:hAnsi="宋体" w:cs="宋体"/>
          <w:b w:val="0"/>
          <w:bCs w:val="0"/>
          <w:kern w:val="0"/>
          <w:sz w:val="28"/>
          <w:szCs w:val="28"/>
        </w:rPr>
        <w:t>≤20.63万元</w:t>
      </w:r>
      <w:r>
        <w:rPr>
          <w:rFonts w:hint="eastAsia"/>
          <w:b w:val="0"/>
          <w:bCs w:val="0"/>
          <w:sz w:val="28"/>
          <w:szCs w:val="28"/>
        </w:rPr>
        <w:t>，实际完成为</w:t>
      </w:r>
      <w:r>
        <w:rPr>
          <w:rFonts w:hint="eastAsia" w:ascii="宋体" w:hAnsi="宋体" w:cs="宋体"/>
          <w:b w:val="0"/>
          <w:bCs w:val="0"/>
          <w:kern w:val="0"/>
          <w:sz w:val="28"/>
          <w:szCs w:val="28"/>
        </w:rPr>
        <w:t>≤20.63万元</w:t>
      </w:r>
      <w:r>
        <w:rPr>
          <w:rFonts w:hint="eastAsia"/>
          <w:b w:val="0"/>
          <w:bCs w:val="0"/>
          <w:sz w:val="28"/>
          <w:szCs w:val="28"/>
        </w:rPr>
        <w:t>。实际完成率=（20.63/20.63）×100%=100%。</w:t>
      </w:r>
    </w:p>
    <w:p>
      <w:pPr>
        <w:pStyle w:val="10"/>
        <w:ind w:firstLine="560"/>
        <w:jc w:val="both"/>
        <w:rPr>
          <w:b w:val="0"/>
          <w:bCs w:val="0"/>
          <w:sz w:val="28"/>
          <w:szCs w:val="28"/>
        </w:rPr>
      </w:pPr>
      <w:r>
        <w:rPr>
          <w:rFonts w:hint="eastAsia" w:ascii="宋体" w:hAnsi="宋体" w:cs="宋体"/>
          <w:b w:val="0"/>
          <w:bCs w:val="0"/>
          <w:sz w:val="28"/>
          <w:szCs w:val="28"/>
        </w:rPr>
        <w:t>“苗木施肥”</w:t>
      </w:r>
      <w:r>
        <w:rPr>
          <w:rFonts w:hint="eastAsia"/>
          <w:b w:val="0"/>
          <w:bCs w:val="0"/>
          <w:sz w:val="28"/>
          <w:szCs w:val="28"/>
        </w:rPr>
        <w:t>指标，预期指标值为</w:t>
      </w:r>
      <w:r>
        <w:rPr>
          <w:rFonts w:hint="eastAsia" w:ascii="宋体" w:hAnsi="宋体" w:cs="宋体"/>
          <w:b w:val="0"/>
          <w:bCs w:val="0"/>
          <w:kern w:val="0"/>
          <w:sz w:val="28"/>
          <w:szCs w:val="28"/>
        </w:rPr>
        <w:t>≤22.35万元</w:t>
      </w:r>
      <w:r>
        <w:rPr>
          <w:rFonts w:hint="eastAsia"/>
          <w:b w:val="0"/>
          <w:bCs w:val="0"/>
          <w:sz w:val="28"/>
          <w:szCs w:val="28"/>
        </w:rPr>
        <w:t>，实际完成为</w:t>
      </w:r>
      <w:r>
        <w:rPr>
          <w:rFonts w:hint="eastAsia" w:ascii="宋体" w:hAnsi="宋体" w:cs="宋体"/>
          <w:b w:val="0"/>
          <w:bCs w:val="0"/>
          <w:kern w:val="0"/>
          <w:sz w:val="28"/>
          <w:szCs w:val="28"/>
        </w:rPr>
        <w:t>≤22.35万元</w:t>
      </w:r>
      <w:r>
        <w:rPr>
          <w:rFonts w:hint="eastAsia"/>
          <w:b w:val="0"/>
          <w:bCs w:val="0"/>
          <w:sz w:val="28"/>
          <w:szCs w:val="28"/>
        </w:rPr>
        <w:t>。实际完成率=（22.35/22.35）×100%=100%。</w:t>
      </w:r>
    </w:p>
    <w:p>
      <w:pPr>
        <w:pStyle w:val="10"/>
        <w:ind w:firstLine="560"/>
        <w:jc w:val="both"/>
        <w:rPr>
          <w:b w:val="0"/>
          <w:bCs w:val="0"/>
          <w:sz w:val="28"/>
          <w:szCs w:val="28"/>
        </w:rPr>
      </w:pPr>
      <w:r>
        <w:rPr>
          <w:rFonts w:hint="eastAsia" w:ascii="宋体" w:hAnsi="宋体" w:cs="宋体"/>
          <w:b w:val="0"/>
          <w:bCs w:val="0"/>
          <w:sz w:val="28"/>
          <w:szCs w:val="28"/>
        </w:rPr>
        <w:t>“喷管系统安装维护”</w:t>
      </w:r>
      <w:r>
        <w:rPr>
          <w:rFonts w:hint="eastAsia"/>
          <w:b w:val="0"/>
          <w:bCs w:val="0"/>
          <w:sz w:val="28"/>
          <w:szCs w:val="28"/>
        </w:rPr>
        <w:t>指标，预期指标值为</w:t>
      </w:r>
      <w:r>
        <w:rPr>
          <w:rFonts w:hint="eastAsia" w:ascii="宋体" w:hAnsi="宋体" w:cs="宋体"/>
          <w:b w:val="0"/>
          <w:bCs w:val="0"/>
          <w:kern w:val="0"/>
          <w:sz w:val="28"/>
          <w:szCs w:val="28"/>
        </w:rPr>
        <w:t>≤7.72万元</w:t>
      </w:r>
      <w:r>
        <w:rPr>
          <w:rFonts w:hint="eastAsia"/>
          <w:b w:val="0"/>
          <w:bCs w:val="0"/>
          <w:sz w:val="28"/>
          <w:szCs w:val="28"/>
        </w:rPr>
        <w:t>，实际完成为</w:t>
      </w:r>
      <w:r>
        <w:rPr>
          <w:rFonts w:hint="eastAsia" w:ascii="宋体" w:hAnsi="宋体" w:cs="宋体"/>
          <w:b w:val="0"/>
          <w:bCs w:val="0"/>
          <w:kern w:val="0"/>
          <w:sz w:val="28"/>
          <w:szCs w:val="28"/>
        </w:rPr>
        <w:t>≤7.72万元</w:t>
      </w:r>
      <w:r>
        <w:rPr>
          <w:rFonts w:hint="eastAsia"/>
          <w:b w:val="0"/>
          <w:bCs w:val="0"/>
          <w:sz w:val="28"/>
          <w:szCs w:val="28"/>
        </w:rPr>
        <w:t>。实际完成率=（7.72/7.72）×100%=100%。</w:t>
      </w:r>
    </w:p>
    <w:p>
      <w:pPr>
        <w:pStyle w:val="10"/>
        <w:ind w:firstLine="560"/>
        <w:jc w:val="both"/>
        <w:rPr>
          <w:b w:val="0"/>
          <w:bCs w:val="0"/>
          <w:sz w:val="28"/>
          <w:szCs w:val="28"/>
        </w:rPr>
      </w:pPr>
      <w:r>
        <w:rPr>
          <w:rFonts w:hint="eastAsia" w:ascii="宋体" w:hAnsi="宋体" w:cs="宋体"/>
          <w:b w:val="0"/>
          <w:bCs w:val="0"/>
          <w:sz w:val="28"/>
          <w:szCs w:val="28"/>
        </w:rPr>
        <w:t>“人工费”</w:t>
      </w:r>
      <w:r>
        <w:rPr>
          <w:rFonts w:hint="eastAsia"/>
          <w:b w:val="0"/>
          <w:bCs w:val="0"/>
          <w:sz w:val="28"/>
          <w:szCs w:val="28"/>
        </w:rPr>
        <w:t>指标，预期指标值为</w:t>
      </w:r>
      <w:r>
        <w:rPr>
          <w:rFonts w:hint="eastAsia" w:ascii="宋体" w:hAnsi="宋体" w:cs="宋体"/>
          <w:b w:val="0"/>
          <w:bCs w:val="0"/>
          <w:kern w:val="0"/>
          <w:sz w:val="28"/>
          <w:szCs w:val="28"/>
        </w:rPr>
        <w:t>≤52.82万元</w:t>
      </w:r>
      <w:r>
        <w:rPr>
          <w:rFonts w:hint="eastAsia"/>
          <w:b w:val="0"/>
          <w:bCs w:val="0"/>
          <w:sz w:val="28"/>
          <w:szCs w:val="28"/>
        </w:rPr>
        <w:t>，实际完成为</w:t>
      </w:r>
      <w:r>
        <w:rPr>
          <w:rFonts w:hint="eastAsia" w:ascii="宋体" w:hAnsi="宋体" w:cs="宋体"/>
          <w:b w:val="0"/>
          <w:bCs w:val="0"/>
          <w:kern w:val="0"/>
          <w:sz w:val="28"/>
          <w:szCs w:val="28"/>
        </w:rPr>
        <w:t>≤52.82万元</w:t>
      </w:r>
      <w:r>
        <w:rPr>
          <w:rFonts w:hint="eastAsia"/>
          <w:b w:val="0"/>
          <w:bCs w:val="0"/>
          <w:sz w:val="28"/>
          <w:szCs w:val="28"/>
        </w:rPr>
        <w:t>。实际完成率=（52.82/52.82）×100%=100%。</w:t>
      </w:r>
    </w:p>
    <w:p>
      <w:pPr>
        <w:pStyle w:val="10"/>
        <w:ind w:firstLine="560"/>
        <w:jc w:val="both"/>
        <w:rPr>
          <w:sz w:val="28"/>
          <w:szCs w:val="28"/>
        </w:rPr>
      </w:pPr>
      <w:r>
        <w:rPr>
          <w:rFonts w:hint="eastAsia" w:ascii="宋体" w:hAnsi="宋体" w:cs="宋体"/>
          <w:b w:val="0"/>
          <w:bCs w:val="0"/>
          <w:sz w:val="28"/>
          <w:szCs w:val="28"/>
        </w:rPr>
        <w:t>“机械费”</w:t>
      </w:r>
      <w:r>
        <w:rPr>
          <w:rFonts w:hint="eastAsia"/>
          <w:b w:val="0"/>
          <w:bCs w:val="0"/>
          <w:sz w:val="28"/>
          <w:szCs w:val="28"/>
        </w:rPr>
        <w:t>指标，预期指标值为</w:t>
      </w:r>
      <w:r>
        <w:rPr>
          <w:rFonts w:hint="eastAsia" w:ascii="宋体" w:hAnsi="宋体" w:cs="宋体"/>
          <w:b w:val="0"/>
          <w:bCs w:val="0"/>
          <w:kern w:val="0"/>
          <w:sz w:val="28"/>
          <w:szCs w:val="28"/>
        </w:rPr>
        <w:t>≤20.63万元</w:t>
      </w:r>
      <w:r>
        <w:rPr>
          <w:rFonts w:hint="eastAsia"/>
          <w:b w:val="0"/>
          <w:bCs w:val="0"/>
          <w:sz w:val="28"/>
          <w:szCs w:val="28"/>
        </w:rPr>
        <w:t>，实际完成为</w:t>
      </w:r>
      <w:r>
        <w:rPr>
          <w:rFonts w:hint="eastAsia" w:ascii="宋体" w:hAnsi="宋体" w:cs="宋体"/>
          <w:b w:val="0"/>
          <w:bCs w:val="0"/>
          <w:kern w:val="0"/>
          <w:sz w:val="28"/>
          <w:szCs w:val="28"/>
        </w:rPr>
        <w:t>≤20.63万元</w:t>
      </w:r>
      <w:r>
        <w:rPr>
          <w:rFonts w:hint="eastAsia"/>
          <w:b w:val="0"/>
          <w:bCs w:val="0"/>
          <w:sz w:val="28"/>
          <w:szCs w:val="28"/>
        </w:rPr>
        <w:t>。实际完成率=（20.63/20.63）×100%=100%。</w:t>
      </w:r>
    </w:p>
    <w:p>
      <w:pPr>
        <w:ind w:firstLine="562"/>
      </w:pPr>
      <w:r>
        <w:rPr>
          <w:rFonts w:hint="eastAsia"/>
          <w:b/>
          <w:bCs/>
        </w:rPr>
        <w:t>综上，该项指标满分18分，得分18分。</w:t>
      </w:r>
    </w:p>
    <w:p>
      <w:pPr>
        <w:pStyle w:val="2"/>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效益</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4</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1"/>
        <w:tblW w:w="8372" w:type="dxa"/>
        <w:jc w:val="center"/>
        <w:tblLayout w:type="fixed"/>
        <w:tblCellMar>
          <w:top w:w="0" w:type="dxa"/>
          <w:left w:w="0" w:type="dxa"/>
          <w:bottom w:w="0" w:type="dxa"/>
          <w:right w:w="0" w:type="dxa"/>
        </w:tblCellMar>
      </w:tblPr>
      <w:tblGrid>
        <w:gridCol w:w="685"/>
        <w:gridCol w:w="1725"/>
        <w:gridCol w:w="2744"/>
        <w:gridCol w:w="870"/>
        <w:gridCol w:w="487"/>
        <w:gridCol w:w="1208"/>
        <w:gridCol w:w="653"/>
      </w:tblGrid>
      <w:tr>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48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0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增加三工河谷及周边森林资源覆盖面积和生态环境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增加</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调解气候，改善周边生态环境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改善</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改善生态环境、旅游经济高质量发展提供重要资源优势，提高牧民就业和经济收入</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长期</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享受绿化群众满意度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1.社会效益指标</w:t>
      </w:r>
    </w:p>
    <w:p>
      <w:pPr>
        <w:ind w:firstLine="560"/>
      </w:pPr>
      <w:r>
        <w:rPr>
          <w:rFonts w:hint="eastAsia"/>
        </w:rPr>
        <w:t>“</w:t>
      </w:r>
      <w:r>
        <w:rPr>
          <w:rFonts w:hint="eastAsia"/>
          <w:kern w:val="0"/>
        </w:rPr>
        <w:t>增加三工河谷及周边森林资源覆盖面积和生态环境</w:t>
      </w:r>
      <w:r>
        <w:rPr>
          <w:rFonts w:hint="eastAsia"/>
        </w:rPr>
        <w:t>”指标，预期指标值为</w:t>
      </w:r>
      <w:r>
        <w:rPr>
          <w:rFonts w:hint="eastAsia"/>
          <w:kern w:val="0"/>
        </w:rPr>
        <w:t>增加</w:t>
      </w:r>
      <w:r>
        <w:rPr>
          <w:rFonts w:hint="eastAsia"/>
        </w:rPr>
        <w:t>，实际完成为100%。通过项目的实施，</w:t>
      </w:r>
      <w:r>
        <w:rPr>
          <w:rFonts w:hint="eastAsia"/>
          <w:kern w:val="0"/>
        </w:rPr>
        <w:t>增加三工河谷及周边森林资源覆盖面积和生态环境</w:t>
      </w:r>
    </w:p>
    <w:p>
      <w:pPr>
        <w:ind w:firstLine="562"/>
      </w:pPr>
      <w:r>
        <w:rPr>
          <w:rFonts w:hint="eastAsia"/>
          <w:b/>
          <w:bCs/>
        </w:rPr>
        <w:t>综上，该项指标满分10分，得分10分。</w:t>
      </w:r>
    </w:p>
    <w:p>
      <w:pPr>
        <w:ind w:firstLine="562"/>
      </w:pPr>
      <w:r>
        <w:rPr>
          <w:rFonts w:hint="eastAsia"/>
          <w:b/>
          <w:bCs/>
        </w:rPr>
        <w:t>2.生态效益指标</w:t>
      </w:r>
    </w:p>
    <w:p>
      <w:pPr>
        <w:ind w:firstLine="560"/>
      </w:pPr>
      <w:r>
        <w:rPr>
          <w:rFonts w:hint="eastAsia"/>
        </w:rPr>
        <w:t>“</w:t>
      </w:r>
      <w:r>
        <w:rPr>
          <w:rFonts w:hint="eastAsia"/>
          <w:kern w:val="0"/>
        </w:rPr>
        <w:t>调解气候，改善周边生态环境</w:t>
      </w:r>
      <w:r>
        <w:rPr>
          <w:rFonts w:hint="eastAsia"/>
        </w:rPr>
        <w:t>”指标，预期指标值为改善，实际完成为100%。</w:t>
      </w:r>
    </w:p>
    <w:p>
      <w:pPr>
        <w:ind w:firstLine="560"/>
        <w:rPr>
          <w:kern w:val="0"/>
        </w:rPr>
      </w:pPr>
      <w:r>
        <w:rPr>
          <w:rFonts w:hint="eastAsia"/>
        </w:rPr>
        <w:t>通过项目的实施，</w:t>
      </w:r>
      <w:r>
        <w:rPr>
          <w:rFonts w:hint="eastAsia"/>
          <w:kern w:val="0"/>
        </w:rPr>
        <w:t>调解气候，改善周边生态环境</w:t>
      </w:r>
    </w:p>
    <w:p>
      <w:pPr>
        <w:ind w:firstLine="562"/>
      </w:pPr>
      <w:r>
        <w:rPr>
          <w:rFonts w:hint="eastAsia"/>
          <w:b/>
          <w:bCs/>
        </w:rPr>
        <w:t>综上，该项指标满分10分，得分10分。</w:t>
      </w:r>
    </w:p>
    <w:p>
      <w:pPr>
        <w:ind w:firstLine="562"/>
        <w:rPr>
          <w:b/>
          <w:bCs/>
        </w:rPr>
      </w:pPr>
      <w:r>
        <w:rPr>
          <w:rFonts w:hint="eastAsia"/>
          <w:b/>
          <w:bCs/>
        </w:rPr>
        <w:t>3.可持续影响指标</w:t>
      </w:r>
    </w:p>
    <w:p>
      <w:pPr>
        <w:ind w:firstLine="560"/>
      </w:pPr>
      <w:r>
        <w:rPr>
          <w:rFonts w:hint="eastAsia"/>
        </w:rPr>
        <w:t>“</w:t>
      </w:r>
      <w:r>
        <w:rPr>
          <w:rFonts w:hint="eastAsia"/>
          <w:kern w:val="0"/>
        </w:rPr>
        <w:t>改善生态环境、旅游经济高质量发展提供重要资源优势，提高牧民就业和经济收入</w:t>
      </w:r>
      <w:r>
        <w:rPr>
          <w:rFonts w:hint="eastAsia"/>
        </w:rPr>
        <w:t>”指标，预期指标值为长期，实际完成为100%。</w:t>
      </w:r>
    </w:p>
    <w:p>
      <w:pPr>
        <w:ind w:firstLine="560"/>
      </w:pPr>
      <w:r>
        <w:rPr>
          <w:rFonts w:hint="eastAsia"/>
        </w:rPr>
        <w:t>通过项目的实施，</w:t>
      </w:r>
      <w:r>
        <w:rPr>
          <w:rFonts w:hint="eastAsia"/>
          <w:kern w:val="0"/>
        </w:rPr>
        <w:t>改善生态环境、旅游经济高质量发展提供重要资源优势，提高牧民就业和经济收入</w:t>
      </w:r>
    </w:p>
    <w:p>
      <w:pPr>
        <w:ind w:firstLine="562"/>
      </w:pPr>
      <w:r>
        <w:rPr>
          <w:rFonts w:hint="eastAsia"/>
          <w:b/>
          <w:bCs/>
        </w:rPr>
        <w:t>综上，该项指标满分5分，得分5分。</w:t>
      </w:r>
    </w:p>
    <w:p>
      <w:pPr>
        <w:ind w:firstLine="562"/>
        <w:rPr>
          <w:b/>
          <w:bCs/>
        </w:rPr>
      </w:pPr>
      <w:r>
        <w:rPr>
          <w:rFonts w:hint="eastAsia"/>
          <w:b/>
          <w:bCs/>
        </w:rPr>
        <w:t>4.满意度指标</w:t>
      </w:r>
    </w:p>
    <w:p>
      <w:pPr>
        <w:ind w:firstLine="560"/>
        <w:rPr>
          <w:b/>
          <w:bCs/>
        </w:rPr>
      </w:pPr>
      <w:r>
        <w:rPr>
          <w:rFonts w:hint="eastAsia"/>
        </w:rPr>
        <w:t>“</w:t>
      </w:r>
      <w:r>
        <w:rPr>
          <w:rFonts w:hint="eastAsia"/>
          <w:kern w:val="0"/>
        </w:rPr>
        <w:t>享受绿化群众满意度</w:t>
      </w:r>
      <w:r>
        <w:rPr>
          <w:rFonts w:hint="eastAsia"/>
        </w:rPr>
        <w:t>”指标，预期指标值为</w:t>
      </w:r>
      <w:r>
        <w:rPr>
          <w:rFonts w:hint="eastAsia"/>
          <w:kern w:val="0"/>
        </w:rPr>
        <w:t>≥90%</w:t>
      </w:r>
      <w:r>
        <w:rPr>
          <w:rFonts w:hint="eastAsia"/>
        </w:rPr>
        <w:t>，实际完成为100%。</w:t>
      </w:r>
    </w:p>
    <w:p>
      <w:pPr>
        <w:ind w:firstLine="562"/>
        <w:rPr>
          <w:b/>
          <w:bCs/>
        </w:rPr>
      </w:pPr>
      <w:r>
        <w:rPr>
          <w:rFonts w:hint="eastAsia"/>
          <w:b/>
          <w:bCs/>
        </w:rPr>
        <w:t>综上，该项指标满分5分，得分5分。</w:t>
      </w:r>
    </w:p>
    <w:p>
      <w:pPr>
        <w:adjustRightInd w:val="0"/>
        <w:snapToGrid w:val="0"/>
        <w:ind w:left="560" w:leftChars="200" w:firstLine="0" w:firstLineChars="0"/>
        <w:outlineLvl w:val="0"/>
        <w:rPr>
          <w:b/>
          <w:bCs/>
        </w:rPr>
      </w:pPr>
      <w:r>
        <w:rPr>
          <w:rFonts w:hint="eastAsia"/>
          <w:b/>
          <w:bCs/>
        </w:rPr>
        <w:t>五、预算执行进度与指标偏差</w:t>
      </w:r>
    </w:p>
    <w:p>
      <w:pPr>
        <w:adjustRightInd w:val="0"/>
        <w:snapToGrid w:val="0"/>
        <w:ind w:firstLine="560"/>
        <w:rPr>
          <w:rFonts w:cs="仿宋_GB2312"/>
        </w:rPr>
      </w:pPr>
      <w:r>
        <w:rPr>
          <w:rFonts w:hint="eastAsia" w:cs="仿宋_GB2312"/>
        </w:rPr>
        <w:t>该项目预算资金总额为146.50万元，全年执行数为146.50万元，预算执行率为100%，总体完成率为100</w:t>
      </w:r>
      <w:r>
        <w:rPr>
          <w:rFonts w:hint="eastAsia" w:cs="仿宋_GB2312"/>
          <w:lang w:val="zh-TW" w:eastAsia="zh-TW"/>
        </w:rPr>
        <w:t>%。</w:t>
      </w:r>
      <w:r>
        <w:rPr>
          <w:rFonts w:hint="eastAsia" w:cs="仿宋_GB2312"/>
        </w:rPr>
        <w:t>预算执行率与总体完成率之间的偏差为100%，无偏差。</w:t>
      </w:r>
    </w:p>
    <w:p>
      <w:pPr>
        <w:pStyle w:val="3"/>
        <w:spacing w:line="360" w:lineRule="auto"/>
        <w:ind w:firstLine="643"/>
        <w:rPr>
          <w:rFonts w:ascii="宋体" w:hAnsi="宋体" w:eastAsia="宋体"/>
          <w:b/>
          <w:bCs/>
        </w:rPr>
      </w:pPr>
      <w:r>
        <w:rPr>
          <w:rFonts w:hint="eastAsia" w:ascii="宋体" w:hAnsi="宋体" w:eastAsia="宋体"/>
          <w:b/>
          <w:bCs/>
        </w:rPr>
        <w:t>六、主要经验及做法、存在的问题及原因分析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ind w:firstLine="560"/>
      </w:pPr>
      <w:r>
        <w:rPr>
          <w:rFonts w:hint="eastAsia"/>
        </w:rPr>
        <w:t>阜康国有林管理局单位建立健全了预算管理规章制度，各部门严格按预算编制的原则和要求做好当年预算编制工作，在预算绩效管理工作中，做到合理安排各项资金，重点保障基本支出，按轻重缓急顺序原则，优先安排了阜康国有林管理局单位事业发展中关系民生与稳定的项目，切实优化资源配置，提高了资金使用的效率和效果。</w:t>
      </w:r>
    </w:p>
    <w:bookmarkEnd w:id="12"/>
    <w:bookmarkEnd w:id="13"/>
    <w:p>
      <w:pPr>
        <w:ind w:firstLine="562"/>
        <w:rPr>
          <w:b/>
          <w:bCs/>
        </w:rPr>
      </w:pPr>
      <w:r>
        <w:rPr>
          <w:rFonts w:hint="eastAsia"/>
          <w:b/>
          <w:bCs/>
        </w:rPr>
        <w:t>（二）存在的问题及原因分析</w:t>
      </w:r>
    </w:p>
    <w:p>
      <w:pPr>
        <w:ind w:firstLine="560"/>
        <w:rPr>
          <w:rFonts w:cs="Times New Roman"/>
        </w:rPr>
      </w:pPr>
      <w:r>
        <w:rPr>
          <w:rFonts w:hint="eastAsia" w:cs="Times New Roman"/>
        </w:rPr>
        <w:t>1.绩效目标编制培训力度不够。单位内控职责不够细化，项目预算的绩效设定与实际的项目支出存在些许差距，准确把握项目资金支出有待于提高，资金效益不能够达到最大化。</w:t>
      </w:r>
    </w:p>
    <w:p>
      <w:pPr>
        <w:ind w:firstLine="560"/>
        <w:rPr>
          <w:rFonts w:cs="Times New Roman"/>
        </w:rPr>
      </w:pPr>
      <w:r>
        <w:rPr>
          <w:rFonts w:hint="eastAsia" w:cs="Times New Roman"/>
        </w:rPr>
        <w:t>2.对接上级及相关部门力度需要有待加强。在资金申请工作中缺乏主动联系财政部门力度，进一步按照国家有关财务规章制度规定加强资金使用管理，确保资金用到实处，工作有序的开展，加强自身建设，提高服务能力。通过分析评价，发现问题及时督促整改。</w:t>
      </w:r>
    </w:p>
    <w:p>
      <w:pPr>
        <w:pStyle w:val="3"/>
        <w:spacing w:line="360" w:lineRule="auto"/>
        <w:ind w:firstLine="643"/>
        <w:rPr>
          <w:rFonts w:ascii="宋体" w:hAnsi="宋体" w:eastAsia="宋体"/>
          <w:b/>
          <w:bCs/>
        </w:rPr>
      </w:pPr>
      <w:r>
        <w:rPr>
          <w:rFonts w:hint="eastAsia" w:ascii="宋体" w:hAnsi="宋体" w:eastAsia="宋体"/>
          <w:b/>
          <w:bCs/>
        </w:rPr>
        <w:t>六、有关建议</w:t>
      </w:r>
    </w:p>
    <w:p>
      <w:pPr>
        <w:ind w:firstLine="560"/>
        <w:rPr>
          <w:rFonts w:cs="Times New Roman"/>
        </w:rPr>
      </w:pPr>
      <w:r>
        <w:rPr>
          <w:rFonts w:hint="eastAsia" w:cs="Times New Roman"/>
        </w:rPr>
        <w:t>加强绩效目标编制培训，强化目标审核。</w:t>
      </w:r>
    </w:p>
    <w:p>
      <w:pPr>
        <w:ind w:firstLine="560"/>
        <w:rPr>
          <w:rFonts w:cs="Times New Roman"/>
        </w:rPr>
      </w:pPr>
      <w:r>
        <w:rPr>
          <w:rFonts w:hint="eastAsia" w:cs="Times New Roman"/>
        </w:rPr>
        <w:t>加强预算绩效目标编制的培训学习。如：财政部《中央部门项目支出核心绩效目标和指标设置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r>
        <w:rPr>
          <w:rFonts w:hint="eastAsia"/>
        </w:rPr>
        <w:br w:type="page"/>
      </w:r>
    </w:p>
    <w:p>
      <w:pPr>
        <w:pStyle w:val="2"/>
        <w:ind w:firstLine="0" w:firstLineChars="0"/>
      </w:pPr>
      <w:r>
        <w:rPr>
          <w:rFonts w:hint="eastAsia"/>
        </w:rPr>
        <w:t>附件一</w:t>
      </w:r>
    </w:p>
    <w:tbl>
      <w:tblPr>
        <w:tblStyle w:val="11"/>
        <w:tblW w:w="8522" w:type="dxa"/>
        <w:jc w:val="center"/>
        <w:tblLayout w:type="fixed"/>
        <w:tblCellMar>
          <w:top w:w="0" w:type="dxa"/>
          <w:left w:w="108" w:type="dxa"/>
          <w:bottom w:w="0" w:type="dxa"/>
          <w:right w:w="108" w:type="dxa"/>
        </w:tblCellMar>
      </w:tblPr>
      <w:tblGrid>
        <w:gridCol w:w="990"/>
        <w:gridCol w:w="438"/>
        <w:gridCol w:w="1012"/>
        <w:gridCol w:w="877"/>
        <w:gridCol w:w="746"/>
        <w:gridCol w:w="1347"/>
        <w:gridCol w:w="1011"/>
        <w:gridCol w:w="1011"/>
        <w:gridCol w:w="648"/>
        <w:gridCol w:w="442"/>
      </w:tblGrid>
      <w:tr>
        <w:tblPrEx>
          <w:tblCellMar>
            <w:top w:w="0" w:type="dxa"/>
            <w:left w:w="108" w:type="dxa"/>
            <w:bottom w:w="0" w:type="dxa"/>
            <w:right w:w="108" w:type="dxa"/>
          </w:tblCellMar>
        </w:tblPrEx>
        <w:trPr>
          <w:trHeight w:val="420" w:hRule="atLeast"/>
          <w:jc w:val="center"/>
        </w:trPr>
        <w:tc>
          <w:tcPr>
            <w:tcW w:w="8522" w:type="dxa"/>
            <w:gridSpan w:val="10"/>
            <w:tcBorders>
              <w:top w:val="nil"/>
              <w:left w:val="nil"/>
              <w:bottom w:val="nil"/>
              <w:right w:val="nil"/>
            </w:tcBorders>
            <w:shd w:val="clear" w:color="auto" w:fill="auto"/>
            <w:vAlign w:val="center"/>
          </w:tcPr>
          <w:p>
            <w:pPr>
              <w:widowControl/>
              <w:spacing w:line="240" w:lineRule="auto"/>
              <w:ind w:firstLine="643"/>
              <w:jc w:val="center"/>
              <w:textAlignment w:val="center"/>
              <w:rPr>
                <w:rFonts w:ascii="黑体" w:eastAsia="黑体" w:cs="黑体"/>
                <w:b/>
                <w:bCs/>
                <w:color w:val="000000"/>
                <w:sz w:val="32"/>
                <w:szCs w:val="32"/>
              </w:rPr>
            </w:pPr>
            <w:r>
              <w:rPr>
                <w:rFonts w:hint="eastAsia" w:ascii="黑体" w:eastAsia="黑体" w:cs="黑体"/>
                <w:b/>
                <w:bCs/>
                <w:color w:val="000000"/>
                <w:kern w:val="0"/>
                <w:sz w:val="32"/>
                <w:szCs w:val="32"/>
                <w:lang w:bidi="ar"/>
              </w:rPr>
              <w:t>项目支出绩效自评表</w:t>
            </w:r>
          </w:p>
        </w:tc>
      </w:tr>
      <w:tr>
        <w:tblPrEx>
          <w:tblCellMar>
            <w:top w:w="0" w:type="dxa"/>
            <w:left w:w="108" w:type="dxa"/>
            <w:bottom w:w="0" w:type="dxa"/>
            <w:right w:w="108" w:type="dxa"/>
          </w:tblCellMar>
        </w:tblPrEx>
        <w:trPr>
          <w:trHeight w:val="330" w:hRule="atLeast"/>
          <w:jc w:val="center"/>
        </w:trPr>
        <w:tc>
          <w:tcPr>
            <w:tcW w:w="8522" w:type="dxa"/>
            <w:gridSpan w:val="10"/>
            <w:tcBorders>
              <w:top w:val="nil"/>
              <w:left w:val="nil"/>
              <w:bottom w:val="nil"/>
              <w:right w:val="nil"/>
            </w:tcBorders>
            <w:shd w:val="clear" w:color="auto" w:fill="auto"/>
            <w:vAlign w:val="center"/>
          </w:tcPr>
          <w:p>
            <w:pPr>
              <w:widowControl/>
              <w:spacing w:line="240" w:lineRule="auto"/>
              <w:ind w:firstLine="360"/>
              <w:jc w:val="center"/>
              <w:textAlignment w:val="center"/>
              <w:rPr>
                <w:color w:val="000000"/>
                <w:sz w:val="18"/>
                <w:szCs w:val="18"/>
              </w:rPr>
            </w:pPr>
            <w:r>
              <w:rPr>
                <w:rFonts w:hint="eastAsia"/>
                <w:color w:val="000000"/>
                <w:kern w:val="0"/>
                <w:sz w:val="18"/>
                <w:szCs w:val="18"/>
                <w:lang w:bidi="ar"/>
              </w:rPr>
              <w:t>（2022年度）</w:t>
            </w:r>
          </w:p>
        </w:tc>
      </w:tr>
      <w:tr>
        <w:tblPrEx>
          <w:tblCellMar>
            <w:top w:w="0" w:type="dxa"/>
            <w:left w:w="108" w:type="dxa"/>
            <w:bottom w:w="0" w:type="dxa"/>
            <w:right w:w="108" w:type="dxa"/>
          </w:tblCellMar>
        </w:tblPrEx>
        <w:trPr>
          <w:trHeight w:val="330" w:hRule="atLeast"/>
          <w:jc w:val="center"/>
        </w:trPr>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项目名称</w:t>
            </w:r>
          </w:p>
        </w:tc>
        <w:tc>
          <w:tcPr>
            <w:tcW w:w="709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国有林管理局三工河谷及花儿沟区域绿化管护项目</w:t>
            </w:r>
          </w:p>
        </w:tc>
      </w:tr>
      <w:tr>
        <w:tblPrEx>
          <w:tblCellMar>
            <w:top w:w="0" w:type="dxa"/>
            <w:left w:w="108" w:type="dxa"/>
            <w:bottom w:w="0" w:type="dxa"/>
            <w:right w:w="108" w:type="dxa"/>
          </w:tblCellMar>
        </w:tblPrEx>
        <w:trPr>
          <w:trHeight w:val="330" w:hRule="atLeast"/>
          <w:jc w:val="center"/>
        </w:trPr>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主管部门</w:t>
            </w:r>
          </w:p>
        </w:tc>
        <w:tc>
          <w:tcPr>
            <w:tcW w:w="26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阜康国有林管理局</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实施单位</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阜康国有林管理局</w:t>
            </w:r>
          </w:p>
        </w:tc>
      </w:tr>
      <w:tr>
        <w:tblPrEx>
          <w:tblCellMar>
            <w:top w:w="0" w:type="dxa"/>
            <w:left w:w="108" w:type="dxa"/>
            <w:bottom w:w="0" w:type="dxa"/>
            <w:right w:w="108" w:type="dxa"/>
          </w:tblCellMar>
        </w:tblPrEx>
        <w:trPr>
          <w:trHeight w:val="420" w:hRule="atLeast"/>
          <w:jc w:val="center"/>
        </w:trPr>
        <w:tc>
          <w:tcPr>
            <w:tcW w:w="14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项目资金（万元）</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sz w:val="20"/>
                <w:szCs w:val="20"/>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sz w:val="20"/>
                <w:szCs w:val="20"/>
              </w:rPr>
            </w:pPr>
            <w:r>
              <w:rPr>
                <w:rFonts w:hint="eastAsia"/>
                <w:color w:val="000000"/>
                <w:kern w:val="0"/>
                <w:sz w:val="20"/>
                <w:szCs w:val="20"/>
                <w:lang w:bidi="ar"/>
              </w:rPr>
              <w:t>年初预算数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全年预算数</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全年执行数</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分值</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执行率</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得分</w:t>
            </w:r>
          </w:p>
        </w:tc>
      </w:tr>
      <w:tr>
        <w:tblPrEx>
          <w:tblCellMar>
            <w:top w:w="0" w:type="dxa"/>
            <w:left w:w="108" w:type="dxa"/>
            <w:bottom w:w="0" w:type="dxa"/>
            <w:right w:w="108" w:type="dxa"/>
          </w:tblCellMar>
        </w:tblPrEx>
        <w:trPr>
          <w:trHeight w:val="762" w:hRule="atLeast"/>
          <w:jc w:val="center"/>
        </w:trPr>
        <w:tc>
          <w:tcPr>
            <w:tcW w:w="14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年度资金总额</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146.5</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146.5</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146.5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100%</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w:t>
            </w:r>
          </w:p>
        </w:tc>
      </w:tr>
      <w:tr>
        <w:tblPrEx>
          <w:tblCellMar>
            <w:top w:w="0" w:type="dxa"/>
            <w:left w:w="108" w:type="dxa"/>
            <w:bottom w:w="0" w:type="dxa"/>
            <w:right w:w="108" w:type="dxa"/>
          </w:tblCellMar>
        </w:tblPrEx>
        <w:trPr>
          <w:trHeight w:val="330" w:hRule="atLeast"/>
          <w:jc w:val="center"/>
        </w:trPr>
        <w:tc>
          <w:tcPr>
            <w:tcW w:w="14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其中：当年财政拨款</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146.5</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146.5</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146.5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0</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r>
      <w:tr>
        <w:tblPrEx>
          <w:tblCellMar>
            <w:top w:w="0" w:type="dxa"/>
            <w:left w:w="108" w:type="dxa"/>
            <w:bottom w:w="0" w:type="dxa"/>
            <w:right w:w="108" w:type="dxa"/>
          </w:tblCellMar>
        </w:tblPrEx>
        <w:trPr>
          <w:trHeight w:val="330" w:hRule="atLeast"/>
          <w:jc w:val="center"/>
        </w:trPr>
        <w:tc>
          <w:tcPr>
            <w:tcW w:w="14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 xml:space="preserve">      上年结转资金</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0</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r>
      <w:tr>
        <w:tblPrEx>
          <w:tblCellMar>
            <w:top w:w="0" w:type="dxa"/>
            <w:left w:w="108" w:type="dxa"/>
            <w:bottom w:w="0" w:type="dxa"/>
            <w:right w:w="108" w:type="dxa"/>
          </w:tblCellMar>
        </w:tblPrEx>
        <w:trPr>
          <w:trHeight w:val="330" w:hRule="atLeast"/>
          <w:jc w:val="center"/>
        </w:trPr>
        <w:tc>
          <w:tcPr>
            <w:tcW w:w="14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 xml:space="preserve">  其他资金</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0</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r>
      <w:tr>
        <w:tblPrEx>
          <w:tblCellMar>
            <w:top w:w="0" w:type="dxa"/>
            <w:left w:w="108" w:type="dxa"/>
            <w:bottom w:w="0" w:type="dxa"/>
            <w:right w:w="108" w:type="dxa"/>
          </w:tblCellMar>
        </w:tblPrEx>
        <w:trPr>
          <w:trHeight w:val="33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年度总体目标</w:t>
            </w:r>
          </w:p>
        </w:tc>
        <w:tc>
          <w:tcPr>
            <w:tcW w:w="30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预期目标</w:t>
            </w:r>
          </w:p>
        </w:tc>
        <w:tc>
          <w:tcPr>
            <w:tcW w:w="44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sz w:val="20"/>
                <w:szCs w:val="20"/>
              </w:rPr>
            </w:pPr>
            <w:r>
              <w:rPr>
                <w:rFonts w:hint="eastAsia"/>
                <w:color w:val="000000"/>
                <w:kern w:val="0"/>
                <w:sz w:val="20"/>
                <w:szCs w:val="20"/>
                <w:lang w:bidi="ar"/>
              </w:rPr>
              <w:t>实际完成情况</w:t>
            </w:r>
          </w:p>
        </w:tc>
      </w:tr>
      <w:tr>
        <w:tblPrEx>
          <w:tblCellMar>
            <w:top w:w="0" w:type="dxa"/>
            <w:left w:w="108" w:type="dxa"/>
            <w:bottom w:w="0" w:type="dxa"/>
            <w:right w:w="108" w:type="dxa"/>
          </w:tblCellMar>
        </w:tblPrEx>
        <w:trPr>
          <w:trHeight w:val="10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sz w:val="20"/>
                <w:szCs w:val="20"/>
              </w:rPr>
            </w:pPr>
          </w:p>
        </w:tc>
        <w:tc>
          <w:tcPr>
            <w:tcW w:w="30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left"/>
              <w:textAlignment w:val="center"/>
              <w:rPr>
                <w:color w:val="000000"/>
                <w:sz w:val="20"/>
                <w:szCs w:val="20"/>
              </w:rPr>
            </w:pPr>
            <w:r>
              <w:rPr>
                <w:rFonts w:hint="eastAsia"/>
                <w:color w:val="000000"/>
                <w:kern w:val="0"/>
                <w:sz w:val="20"/>
                <w:szCs w:val="20"/>
                <w:lang w:bidi="ar"/>
              </w:rPr>
              <w:t>阜康国有林管理局三工河谷及花儿沟区域绿化管护项目，工程内容为：对该区域6876亩林木进行浇灌病虫害防治，围栏维护，管线维修，渠道修复，苗木修枝，清理林带内杂草，按照占一补一，异地恢复确保恢复到位。</w:t>
            </w:r>
          </w:p>
        </w:tc>
        <w:tc>
          <w:tcPr>
            <w:tcW w:w="44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left"/>
              <w:textAlignment w:val="center"/>
              <w:rPr>
                <w:color w:val="000000"/>
                <w:sz w:val="20"/>
                <w:szCs w:val="20"/>
              </w:rPr>
            </w:pPr>
            <w:r>
              <w:rPr>
                <w:rFonts w:hint="eastAsia"/>
                <w:color w:val="000000"/>
                <w:kern w:val="0"/>
                <w:sz w:val="20"/>
                <w:szCs w:val="20"/>
                <w:lang w:bidi="ar"/>
              </w:rPr>
              <w:t>截止2022年12月底，本单位完成对该区域6876亩林木进行浇、灌病虫害防治，围栏维护，管线维修，渠道修复，苗木修枝，清理林带内杂草，支付资金146.5万元，享受绿化群众满意度达100%.</w:t>
            </w:r>
          </w:p>
        </w:tc>
      </w:tr>
      <w:tr>
        <w:tblPrEx>
          <w:tblCellMar>
            <w:top w:w="0" w:type="dxa"/>
            <w:left w:w="108" w:type="dxa"/>
            <w:bottom w:w="0" w:type="dxa"/>
            <w:right w:w="108" w:type="dxa"/>
          </w:tblCellMar>
        </w:tblPrEx>
        <w:trPr>
          <w:trHeight w:val="300" w:hRule="atLeast"/>
          <w:jc w:val="center"/>
        </w:trPr>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textAlignment w:val="center"/>
              <w:rPr>
                <w:color w:val="000000"/>
                <w:sz w:val="20"/>
                <w:szCs w:val="20"/>
              </w:rPr>
            </w:pPr>
            <w:r>
              <w:rPr>
                <w:rFonts w:hint="eastAsia"/>
                <w:color w:val="000000"/>
                <w:kern w:val="0"/>
                <w:sz w:val="20"/>
                <w:szCs w:val="20"/>
                <w:lang w:bidi="ar"/>
              </w:rPr>
              <w:t>绩效 指 标</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一级指标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二级指标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三级指标</w:t>
            </w:r>
          </w:p>
        </w:tc>
        <w:tc>
          <w:tcPr>
            <w:tcW w:w="746" w:type="dxa"/>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年度指标值</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实际完成值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分值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得分</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偏差原因分析及改进措施</w:t>
            </w:r>
          </w:p>
        </w:tc>
      </w:tr>
      <w:tr>
        <w:tblPrEx>
          <w:tblCellMar>
            <w:top w:w="0" w:type="dxa"/>
            <w:left w:w="108" w:type="dxa"/>
            <w:bottom w:w="0" w:type="dxa"/>
            <w:right w:w="108" w:type="dxa"/>
          </w:tblCellMar>
        </w:tblPrEx>
        <w:trPr>
          <w:trHeight w:val="74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产出指标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数量指标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绿化管护面积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=6876亩</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6876亩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6</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6</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1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质量指标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color w:val="000000"/>
                <w:kern w:val="0"/>
                <w:sz w:val="20"/>
                <w:szCs w:val="20"/>
                <w:lang w:bidi="ar"/>
              </w:rPr>
            </w:pPr>
            <w:r>
              <w:rPr>
                <w:rFonts w:hint="eastAsia"/>
                <w:color w:val="000000"/>
                <w:kern w:val="0"/>
                <w:sz w:val="20"/>
                <w:szCs w:val="20"/>
                <w:lang w:bidi="ar"/>
              </w:rPr>
              <w:t>苗木成活率</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≥90%</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color w:val="000000"/>
                <w:kern w:val="0"/>
                <w:sz w:val="20"/>
                <w:szCs w:val="20"/>
                <w:lang w:bidi="ar"/>
              </w:rPr>
              <w:t>90%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6</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6</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时效指标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color w:val="000000"/>
                <w:kern w:val="0"/>
                <w:sz w:val="20"/>
                <w:szCs w:val="20"/>
                <w:lang w:bidi="ar"/>
              </w:rPr>
            </w:pPr>
            <w:r>
              <w:rPr>
                <w:rFonts w:hint="eastAsia"/>
                <w:color w:val="000000"/>
                <w:kern w:val="0"/>
                <w:sz w:val="20"/>
                <w:szCs w:val="20"/>
                <w:lang w:bidi="ar"/>
              </w:rPr>
              <w:t>管护及时率</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≥95%</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95%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时间截止期限</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2022年11月1日</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2022年11月1日</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成本指标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病虫害防治及涂白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≤22.35万元</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textAlignment w:val="center"/>
              <w:rPr>
                <w:color w:val="000000"/>
                <w:kern w:val="0"/>
                <w:sz w:val="20"/>
                <w:szCs w:val="20"/>
                <w:lang w:bidi="ar"/>
              </w:rPr>
            </w:pPr>
            <w:r>
              <w:rPr>
                <w:rFonts w:hint="eastAsia"/>
                <w:color w:val="000000"/>
                <w:kern w:val="0"/>
                <w:sz w:val="20"/>
                <w:szCs w:val="20"/>
                <w:lang w:bidi="ar"/>
              </w:rPr>
              <w:t>2.35万元</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苗木补植、松土除草</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≤20.63万元</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20.63万元</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苗木施肥</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≤22.35万元</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22.35万元</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喷管系统安装维护</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≤7.72万元</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7.72万元</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3</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3</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人工费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≤52.82万元</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52.82万元</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机械费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≤20.63万元</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20.63万元</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效益指标</w:t>
            </w:r>
          </w:p>
        </w:tc>
        <w:tc>
          <w:tcPr>
            <w:tcW w:w="1012" w:type="dxa"/>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经济效益指标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1347" w:type="dxa"/>
            <w:tcBorders>
              <w:top w:val="nil"/>
              <w:left w:val="nil"/>
              <w:bottom w:val="nil"/>
              <w:right w:val="nil"/>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社会效益指标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增加三工河谷及周边森林资源覆盖面积和生态环境</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增加</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10</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生态效益指标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调解气候，改善周边生态环境</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改善</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10</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00"/>
              <w:jc w:val="center"/>
              <w:rPr>
                <w:color w:val="000000"/>
                <w:kern w:val="0"/>
                <w:sz w:val="20"/>
                <w:szCs w:val="20"/>
                <w:lang w:bidi="ar"/>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可持续影响指标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改善生态环境、旅游经济高质量发展提供重要资源优势，提高牧民就业和经济收入</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长期</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10</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400"/>
              <w:jc w:val="center"/>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800" w:hRule="atLeast"/>
          <w:jc w:val="center"/>
        </w:trPr>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400"/>
              <w:jc w:val="center"/>
              <w:rPr>
                <w:color w:val="000000"/>
                <w:sz w:val="20"/>
                <w:szCs w:val="20"/>
              </w:rPr>
            </w:pPr>
          </w:p>
        </w:tc>
        <w:tc>
          <w:tcPr>
            <w:tcW w:w="438" w:type="dxa"/>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满意度指标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服务对象满意度指标</w:t>
            </w:r>
          </w:p>
        </w:tc>
        <w:tc>
          <w:tcPr>
            <w:tcW w:w="877"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享受绿化群众满意度</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≥90%</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无</w:t>
            </w:r>
          </w:p>
        </w:tc>
      </w:tr>
      <w:tr>
        <w:tblPrEx>
          <w:tblCellMar>
            <w:top w:w="0" w:type="dxa"/>
            <w:left w:w="108" w:type="dxa"/>
            <w:bottom w:w="0" w:type="dxa"/>
            <w:right w:w="108" w:type="dxa"/>
          </w:tblCellMar>
        </w:tblPrEx>
        <w:trPr>
          <w:trHeight w:val="300" w:hRule="atLeast"/>
          <w:jc w:val="center"/>
        </w:trPr>
        <w:tc>
          <w:tcPr>
            <w:tcW w:w="54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总分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r>
              <w:rPr>
                <w:rFonts w:hint="eastAsia"/>
                <w:color w:val="000000"/>
                <w:kern w:val="0"/>
                <w:sz w:val="20"/>
                <w:szCs w:val="20"/>
                <w:lang w:bidi="ar"/>
              </w:rPr>
              <w:t>100</w:t>
            </w:r>
          </w:p>
        </w:tc>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color w:val="000000"/>
                <w:kern w:val="0"/>
                <w:sz w:val="20"/>
                <w:szCs w:val="20"/>
                <w:lang w:bidi="ar"/>
              </w:rPr>
            </w:pPr>
          </w:p>
        </w:tc>
      </w:tr>
    </w:tbl>
    <w:p>
      <w:pPr>
        <w:ind w:firstLine="560"/>
      </w:pPr>
    </w:p>
    <w:p>
      <w:pPr>
        <w:ind w:firstLine="560"/>
      </w:pPr>
    </w:p>
    <w:tbl>
      <w:tblPr>
        <w:tblStyle w:val="11"/>
        <w:tblW w:w="9080" w:type="dxa"/>
        <w:jc w:val="center"/>
        <w:tblLayout w:type="fixed"/>
        <w:tblCellMar>
          <w:top w:w="0" w:type="dxa"/>
          <w:left w:w="108" w:type="dxa"/>
          <w:bottom w:w="0" w:type="dxa"/>
          <w:right w:w="108" w:type="dxa"/>
        </w:tblCellMar>
      </w:tblPr>
      <w:tblGrid>
        <w:gridCol w:w="9080"/>
      </w:tblGrid>
      <w:tr>
        <w:tblPrEx>
          <w:tblCellMar>
            <w:top w:w="0" w:type="dxa"/>
            <w:left w:w="108" w:type="dxa"/>
            <w:bottom w:w="0" w:type="dxa"/>
            <w:right w:w="108" w:type="dxa"/>
          </w:tblCellMar>
        </w:tblPrEx>
        <w:trPr>
          <w:trHeight w:val="454" w:hRule="exact"/>
          <w:jc w:val="center"/>
        </w:trPr>
        <w:tc>
          <w:tcPr>
            <w:tcW w:w="9080" w:type="dxa"/>
            <w:tcBorders>
              <w:top w:val="nil"/>
              <w:left w:val="nil"/>
              <w:bottom w:val="nil"/>
              <w:right w:val="nil"/>
            </w:tcBorders>
            <w:vAlign w:val="center"/>
          </w:tcPr>
          <w:p>
            <w:pPr>
              <w:widowControl/>
              <w:ind w:firstLine="0" w:firstLineChars="0"/>
              <w:textAlignment w:val="center"/>
              <w:rPr>
                <w:b/>
                <w:bCs/>
                <w:kern w:val="0"/>
                <w:sz w:val="32"/>
                <w:szCs w:val="32"/>
              </w:rPr>
            </w:pPr>
          </w:p>
        </w:tc>
      </w:tr>
    </w:tbl>
    <w:p>
      <w:pPr>
        <w:keepNext/>
        <w:keepLines/>
        <w:spacing w:line="240" w:lineRule="auto"/>
        <w:ind w:firstLine="0" w:firstLineChars="0"/>
        <w:jc w:val="left"/>
        <w:outlineLvl w:val="1"/>
        <w:rPr>
          <w:rFonts w:ascii="Arial" w:hAnsi="Arial" w:cs="Times New Roman"/>
          <w:b/>
          <w:bCs/>
          <w:sz w:val="32"/>
          <w:szCs w:val="24"/>
        </w:rPr>
      </w:pPr>
      <w:r>
        <w:rPr>
          <w:rFonts w:hint="eastAsia"/>
          <w:b/>
          <w:bCs/>
          <w:sz w:val="36"/>
        </w:rPr>
        <w:t>附件二      项目支出绩效评价指标体系打分表</w:t>
      </w:r>
    </w:p>
    <w:tbl>
      <w:tblPr>
        <w:tblStyle w:val="11"/>
        <w:tblpPr w:leftFromText="180" w:rightFromText="180" w:vertAnchor="text" w:horzAnchor="page" w:tblpX="626" w:tblpY="1066"/>
        <w:tblOverlap w:val="never"/>
        <w:tblW w:w="997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1633"/>
        <w:gridCol w:w="4170"/>
        <w:gridCol w:w="870"/>
        <w:gridCol w:w="89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1633"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417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87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89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8" w:hRule="atLeast"/>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1633"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4170"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①项目立项是否符合国家法律法规、国民经济发展规划和相关政策；</w:t>
            </w:r>
          </w:p>
          <w:p>
            <w:pPr>
              <w:widowControl/>
              <w:spacing w:line="0" w:lineRule="atLeast"/>
              <w:ind w:firstLine="0" w:firstLineChars="0"/>
              <w:jc w:val="left"/>
              <w:rPr>
                <w:kern w:val="0"/>
                <w:sz w:val="22"/>
                <w:szCs w:val="22"/>
              </w:rPr>
            </w:pPr>
            <w:r>
              <w:rPr>
                <w:rFonts w:hint="eastAsia"/>
                <w:kern w:val="0"/>
                <w:sz w:val="22"/>
                <w:szCs w:val="22"/>
              </w:rPr>
              <w:t>②项目立项是否符合行业发展规划和政策要求；</w:t>
            </w:r>
          </w:p>
          <w:p>
            <w:pPr>
              <w:widowControl/>
              <w:spacing w:line="0" w:lineRule="atLeast"/>
              <w:ind w:firstLine="0" w:firstLineChars="0"/>
              <w:jc w:val="left"/>
              <w:rPr>
                <w:kern w:val="0"/>
                <w:sz w:val="22"/>
                <w:szCs w:val="22"/>
              </w:rPr>
            </w:pPr>
            <w:r>
              <w:rPr>
                <w:rFonts w:hint="eastAsia"/>
                <w:kern w:val="0"/>
                <w:sz w:val="22"/>
                <w:szCs w:val="22"/>
              </w:rPr>
              <w:t>③项目立项是否与部门职责范围相符，属于部门履职所需；</w:t>
            </w:r>
          </w:p>
          <w:p>
            <w:pPr>
              <w:widowControl/>
              <w:spacing w:line="0" w:lineRule="atLeast"/>
              <w:ind w:firstLine="0" w:firstLineChars="0"/>
              <w:jc w:val="left"/>
              <w:rPr>
                <w:kern w:val="0"/>
                <w:sz w:val="22"/>
                <w:szCs w:val="22"/>
              </w:rPr>
            </w:pPr>
            <w:r>
              <w:rPr>
                <w:rFonts w:hint="eastAsia"/>
                <w:kern w:val="0"/>
                <w:sz w:val="22"/>
                <w:szCs w:val="22"/>
              </w:rPr>
              <w:t>④项目是否属于公共财政支持范围，是否符合中央、地方事权支出责任划分原则；</w:t>
            </w:r>
          </w:p>
          <w:p>
            <w:pPr>
              <w:widowControl/>
              <w:spacing w:line="0" w:lineRule="atLeast"/>
              <w:ind w:firstLine="0" w:firstLineChars="0"/>
              <w:jc w:val="left"/>
              <w:rPr>
                <w:kern w:val="0"/>
                <w:sz w:val="22"/>
                <w:szCs w:val="22"/>
              </w:rPr>
            </w:pPr>
            <w:r>
              <w:rPr>
                <w:rFonts w:hint="eastAsia"/>
                <w:kern w:val="0"/>
                <w:sz w:val="22"/>
                <w:szCs w:val="22"/>
              </w:rPr>
              <w:t>⑤项目是否与相关部门同类项目或部门内部相关项目重复。</w:t>
            </w:r>
          </w:p>
        </w:tc>
        <w:tc>
          <w:tcPr>
            <w:tcW w:w="87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890"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1" w:hRule="atLeast"/>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1633"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4170"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①项目是否按照规定的程序申请设立；</w:t>
            </w:r>
          </w:p>
          <w:p>
            <w:pPr>
              <w:widowControl/>
              <w:spacing w:line="0" w:lineRule="atLeast"/>
              <w:ind w:firstLine="0" w:firstLineChars="0"/>
              <w:jc w:val="left"/>
              <w:rPr>
                <w:kern w:val="0"/>
                <w:sz w:val="22"/>
                <w:szCs w:val="22"/>
              </w:rPr>
            </w:pPr>
            <w:r>
              <w:rPr>
                <w:rFonts w:hint="eastAsia"/>
                <w:kern w:val="0"/>
                <w:sz w:val="22"/>
                <w:szCs w:val="22"/>
              </w:rPr>
              <w:t>②审批文件、材料是否符合相关要求；</w:t>
            </w:r>
          </w:p>
          <w:p>
            <w:pPr>
              <w:widowControl/>
              <w:spacing w:line="0" w:lineRule="atLeast"/>
              <w:ind w:firstLine="0" w:firstLineChars="0"/>
              <w:jc w:val="left"/>
              <w:rPr>
                <w:kern w:val="0"/>
                <w:sz w:val="22"/>
                <w:szCs w:val="22"/>
              </w:rPr>
            </w:pPr>
            <w:r>
              <w:rPr>
                <w:rFonts w:hint="eastAsia"/>
                <w:kern w:val="0"/>
                <w:sz w:val="22"/>
                <w:szCs w:val="22"/>
              </w:rPr>
              <w:t>③事前是否已经过必要的可行性研究、专家论证、风险评估、绩效评估、集体决策。</w:t>
            </w:r>
          </w:p>
        </w:tc>
        <w:tc>
          <w:tcPr>
            <w:tcW w:w="87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890"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13" w:hRule="atLeast"/>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4170"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（如未设定预算绩效目标，也可考核其他工作任务目标）</w:t>
            </w:r>
          </w:p>
          <w:p>
            <w:pPr>
              <w:widowControl/>
              <w:spacing w:line="0" w:lineRule="atLeast"/>
              <w:ind w:firstLine="0" w:firstLineChars="0"/>
              <w:jc w:val="left"/>
              <w:rPr>
                <w:kern w:val="0"/>
                <w:sz w:val="22"/>
                <w:szCs w:val="22"/>
              </w:rPr>
            </w:pPr>
            <w:r>
              <w:rPr>
                <w:rFonts w:hint="eastAsia"/>
                <w:kern w:val="0"/>
                <w:sz w:val="22"/>
                <w:szCs w:val="22"/>
              </w:rPr>
              <w:t>①项目是否有绩效目标；</w:t>
            </w:r>
          </w:p>
          <w:p>
            <w:pPr>
              <w:widowControl/>
              <w:spacing w:line="0" w:lineRule="atLeast"/>
              <w:ind w:firstLine="0" w:firstLineChars="0"/>
              <w:jc w:val="left"/>
              <w:rPr>
                <w:kern w:val="0"/>
                <w:sz w:val="22"/>
                <w:szCs w:val="22"/>
              </w:rPr>
            </w:pPr>
            <w:r>
              <w:rPr>
                <w:rFonts w:hint="eastAsia"/>
                <w:kern w:val="0"/>
                <w:sz w:val="22"/>
                <w:szCs w:val="22"/>
              </w:rPr>
              <w:t>②项目绩效目标与实际工作内容是否具有相关性；</w:t>
            </w:r>
          </w:p>
          <w:p>
            <w:pPr>
              <w:widowControl/>
              <w:spacing w:line="0" w:lineRule="atLeast"/>
              <w:ind w:firstLine="0" w:firstLineChars="0"/>
              <w:jc w:val="left"/>
              <w:rPr>
                <w:kern w:val="0"/>
                <w:sz w:val="22"/>
                <w:szCs w:val="22"/>
              </w:rPr>
            </w:pP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870"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890"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39" w:hRule="atLeast"/>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①是否将项目绩效目标细化分解为具体的绩效指标；</w:t>
            </w:r>
          </w:p>
          <w:p>
            <w:pPr>
              <w:widowControl/>
              <w:spacing w:line="0" w:lineRule="atLeast"/>
              <w:ind w:firstLine="0" w:firstLineChars="0"/>
              <w:rPr>
                <w:kern w:val="0"/>
                <w:sz w:val="22"/>
                <w:szCs w:val="22"/>
              </w:rPr>
            </w:pPr>
            <w:r>
              <w:rPr>
                <w:rFonts w:hint="eastAsia"/>
                <w:kern w:val="0"/>
                <w:sz w:val="22"/>
                <w:szCs w:val="22"/>
              </w:rPr>
              <w:t>②是否通过清晰、可衡量的指标值予以体现；</w:t>
            </w:r>
          </w:p>
          <w:p>
            <w:pPr>
              <w:widowControl/>
              <w:spacing w:line="0" w:lineRule="atLeast"/>
              <w:ind w:firstLine="0" w:firstLineChars="0"/>
              <w:rPr>
                <w:kern w:val="0"/>
                <w:sz w:val="22"/>
                <w:szCs w:val="22"/>
              </w:rPr>
            </w:pPr>
            <w:r>
              <w:rPr>
                <w:rFonts w:hint="eastAsia"/>
                <w:kern w:val="0"/>
                <w:sz w:val="22"/>
                <w:szCs w:val="22"/>
              </w:rPr>
              <w:t>③是否与项目目标任务数或计划数相对应。</w:t>
            </w:r>
          </w:p>
          <w:p>
            <w:pPr>
              <w:pStyle w:val="10"/>
              <w:ind w:firstLine="482"/>
            </w:pPr>
          </w:p>
        </w:tc>
        <w:tc>
          <w:tcPr>
            <w:tcW w:w="870"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1633"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417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①预算编制是否经过科学论证；</w:t>
            </w:r>
          </w:p>
          <w:p>
            <w:pPr>
              <w:widowControl/>
              <w:spacing w:line="0" w:lineRule="atLeast"/>
              <w:ind w:firstLine="0" w:firstLineChars="0"/>
              <w:rPr>
                <w:kern w:val="0"/>
                <w:sz w:val="22"/>
                <w:szCs w:val="22"/>
              </w:rPr>
            </w:pPr>
            <w:r>
              <w:rPr>
                <w:rFonts w:hint="eastAsia"/>
                <w:kern w:val="0"/>
                <w:sz w:val="22"/>
                <w:szCs w:val="22"/>
              </w:rPr>
              <w:t>②预算内容与项目内容是否匹配；</w:t>
            </w:r>
          </w:p>
          <w:p>
            <w:pPr>
              <w:widowControl/>
              <w:spacing w:line="0" w:lineRule="atLeast"/>
              <w:ind w:firstLine="0" w:firstLineChars="0"/>
              <w:rPr>
                <w:kern w:val="0"/>
                <w:sz w:val="22"/>
                <w:szCs w:val="22"/>
              </w:rPr>
            </w:pPr>
            <w:r>
              <w:rPr>
                <w:rFonts w:hint="eastAsia"/>
                <w:kern w:val="0"/>
                <w:sz w:val="22"/>
                <w:szCs w:val="22"/>
              </w:rPr>
              <w:t>③预算额度测算依据是否充分，是否按照标准编制；</w:t>
            </w:r>
          </w:p>
          <w:p>
            <w:pPr>
              <w:widowControl/>
              <w:spacing w:line="0" w:lineRule="atLeast"/>
              <w:ind w:firstLine="0" w:firstLineChars="0"/>
              <w:rPr>
                <w:kern w:val="0"/>
                <w:sz w:val="22"/>
                <w:szCs w:val="22"/>
              </w:rPr>
            </w:pPr>
            <w:r>
              <w:rPr>
                <w:rFonts w:hint="eastAsia"/>
                <w:kern w:val="0"/>
                <w:sz w:val="22"/>
                <w:szCs w:val="22"/>
              </w:rPr>
              <w:t>④预算确定的项目投资额或资金量是否与工作任务相匹配。</w:t>
            </w:r>
          </w:p>
        </w:tc>
        <w:tc>
          <w:tcPr>
            <w:tcW w:w="87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89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1633"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417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①预算资金分配依据是否充分；</w:t>
            </w:r>
          </w:p>
          <w:p>
            <w:pPr>
              <w:widowControl/>
              <w:spacing w:line="0" w:lineRule="atLeast"/>
              <w:ind w:firstLine="0" w:firstLineChars="0"/>
              <w:rPr>
                <w:kern w:val="0"/>
                <w:sz w:val="22"/>
                <w:szCs w:val="22"/>
              </w:rPr>
            </w:pPr>
            <w:r>
              <w:rPr>
                <w:rFonts w:hint="eastAsia"/>
                <w:kern w:val="0"/>
                <w:sz w:val="22"/>
                <w:szCs w:val="22"/>
              </w:rPr>
              <w:t>②资金分配额度是否合理，与项目单位或地方实际是否相适应。</w:t>
            </w:r>
          </w:p>
        </w:tc>
        <w:tc>
          <w:tcPr>
            <w:tcW w:w="87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89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870"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1633"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417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p>
          <w:p>
            <w:pPr>
              <w:widowControl/>
              <w:spacing w:line="0" w:lineRule="atLeast"/>
              <w:ind w:firstLine="0" w:firstLineChars="0"/>
              <w:rPr>
                <w:kern w:val="0"/>
                <w:sz w:val="22"/>
                <w:szCs w:val="22"/>
              </w:rPr>
            </w:pPr>
            <w:r>
              <w:rPr>
                <w:rFonts w:hint="eastAsia"/>
                <w:kern w:val="0"/>
                <w:sz w:val="22"/>
                <w:szCs w:val="22"/>
              </w:rPr>
              <w:t>实际支出资金：一定时期（本年度或项目期）内项目实际拨付的资金。</w:t>
            </w:r>
          </w:p>
        </w:tc>
        <w:tc>
          <w:tcPr>
            <w:tcW w:w="87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89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①是否符合国家财经法规和财务管理制度以及有关专项资金管理办法的规定；</w:t>
            </w:r>
          </w:p>
          <w:p>
            <w:pPr>
              <w:widowControl/>
              <w:spacing w:line="0" w:lineRule="atLeast"/>
              <w:ind w:firstLine="0" w:firstLineChars="0"/>
              <w:rPr>
                <w:kern w:val="0"/>
                <w:sz w:val="22"/>
                <w:szCs w:val="22"/>
              </w:rPr>
            </w:pPr>
            <w:r>
              <w:rPr>
                <w:rFonts w:hint="eastAsia"/>
                <w:kern w:val="0"/>
                <w:sz w:val="22"/>
                <w:szCs w:val="22"/>
              </w:rPr>
              <w:t>②资金的拨付是否有完整的审批程序和手续；</w:t>
            </w:r>
          </w:p>
          <w:p>
            <w:pPr>
              <w:widowControl/>
              <w:spacing w:line="0" w:lineRule="atLeast"/>
              <w:ind w:firstLine="0" w:firstLineChars="0"/>
              <w:rPr>
                <w:kern w:val="0"/>
                <w:sz w:val="22"/>
                <w:szCs w:val="22"/>
              </w:rPr>
            </w:pPr>
            <w:r>
              <w:rPr>
                <w:rFonts w:hint="eastAsia"/>
                <w:kern w:val="0"/>
                <w:sz w:val="22"/>
                <w:szCs w:val="22"/>
              </w:rPr>
              <w:t>③是否符合项目预算批复或合同规定的用途；</w:t>
            </w:r>
          </w:p>
          <w:p>
            <w:pPr>
              <w:widowControl/>
              <w:spacing w:line="0" w:lineRule="atLeast"/>
              <w:ind w:firstLine="0" w:firstLineChars="0"/>
              <w:rPr>
                <w:kern w:val="0"/>
                <w:sz w:val="22"/>
                <w:szCs w:val="22"/>
              </w:rPr>
            </w:pPr>
            <w:r>
              <w:rPr>
                <w:rFonts w:hint="eastAsia"/>
                <w:kern w:val="0"/>
                <w:sz w:val="22"/>
                <w:szCs w:val="22"/>
              </w:rPr>
              <w:t>④是否存在截留、挤占、挪用、虚列支出等情况。</w:t>
            </w:r>
          </w:p>
        </w:tc>
        <w:tc>
          <w:tcPr>
            <w:tcW w:w="870"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①是否已制定或具有相应的财务和业务管理制度；</w:t>
            </w:r>
          </w:p>
          <w:p>
            <w:pPr>
              <w:widowControl/>
              <w:spacing w:line="0" w:lineRule="atLeast"/>
              <w:ind w:firstLine="0" w:firstLineChars="0"/>
              <w:rPr>
                <w:kern w:val="0"/>
                <w:sz w:val="22"/>
                <w:szCs w:val="22"/>
              </w:rPr>
            </w:pPr>
            <w:r>
              <w:rPr>
                <w:rFonts w:hint="eastAsia"/>
                <w:kern w:val="0"/>
                <w:sz w:val="22"/>
                <w:szCs w:val="22"/>
              </w:rPr>
              <w:t>②财务和业务管理制度是否合法、合规、完整。</w:t>
            </w:r>
          </w:p>
        </w:tc>
        <w:tc>
          <w:tcPr>
            <w:tcW w:w="870"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①是否遵守相关法律法规和相关管理规定；</w:t>
            </w:r>
          </w:p>
          <w:p>
            <w:pPr>
              <w:widowControl/>
              <w:spacing w:line="0" w:lineRule="atLeast"/>
              <w:ind w:firstLine="0" w:firstLineChars="0"/>
              <w:rPr>
                <w:kern w:val="0"/>
                <w:sz w:val="22"/>
                <w:szCs w:val="22"/>
              </w:rPr>
            </w:pPr>
            <w:r>
              <w:rPr>
                <w:rFonts w:hint="eastAsia"/>
                <w:kern w:val="0"/>
                <w:sz w:val="22"/>
                <w:szCs w:val="22"/>
              </w:rPr>
              <w:t>②项目调整及支出调整手续是否完备；</w:t>
            </w:r>
          </w:p>
          <w:p>
            <w:pPr>
              <w:widowControl/>
              <w:spacing w:line="0" w:lineRule="atLeast"/>
              <w:ind w:firstLine="0" w:firstLineChars="0"/>
              <w:rPr>
                <w:kern w:val="0"/>
                <w:sz w:val="22"/>
                <w:szCs w:val="22"/>
              </w:rPr>
            </w:pPr>
            <w:r>
              <w:rPr>
                <w:rFonts w:hint="eastAsia"/>
                <w:kern w:val="0"/>
                <w:sz w:val="22"/>
                <w:szCs w:val="22"/>
              </w:rPr>
              <w:t>③项目合同书、验收报告、技术鉴定等资料是否齐全并及时归档；</w:t>
            </w:r>
          </w:p>
          <w:p>
            <w:pPr>
              <w:widowControl/>
              <w:spacing w:line="0" w:lineRule="atLeast"/>
              <w:ind w:firstLine="0" w:firstLineChars="0"/>
              <w:rPr>
                <w:kern w:val="0"/>
                <w:sz w:val="22"/>
                <w:szCs w:val="22"/>
              </w:rPr>
            </w:pPr>
            <w:r>
              <w:rPr>
                <w:rFonts w:hint="eastAsia"/>
                <w:kern w:val="0"/>
                <w:sz w:val="22"/>
                <w:szCs w:val="22"/>
              </w:rPr>
              <w:t>④项目实施的人员条件、场地设备、信息支撑等是否落实到位。</w:t>
            </w:r>
          </w:p>
        </w:tc>
        <w:tc>
          <w:tcPr>
            <w:tcW w:w="870"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p>
          <w:p>
            <w:pPr>
              <w:widowControl/>
              <w:spacing w:line="0" w:lineRule="atLeast"/>
              <w:ind w:firstLine="0" w:firstLineChars="0"/>
              <w:rPr>
                <w:kern w:val="0"/>
                <w:sz w:val="22"/>
                <w:szCs w:val="22"/>
              </w:rPr>
            </w:pPr>
            <w:r>
              <w:rPr>
                <w:rFonts w:hint="eastAsia"/>
                <w:kern w:val="0"/>
                <w:sz w:val="22"/>
                <w:szCs w:val="22"/>
              </w:rPr>
              <w:t>实际产出数：一定时期（本年度或项目期）内项目实际产出的产品或提供的服务数量。</w:t>
            </w:r>
          </w:p>
          <w:p>
            <w:pPr>
              <w:widowControl/>
              <w:spacing w:line="0" w:lineRule="atLeast"/>
              <w:ind w:firstLine="0" w:firstLineChars="0"/>
              <w:rPr>
                <w:kern w:val="0"/>
                <w:sz w:val="22"/>
                <w:szCs w:val="22"/>
              </w:rPr>
            </w:pPr>
            <w:r>
              <w:rPr>
                <w:rFonts w:hint="eastAsia"/>
                <w:kern w:val="0"/>
                <w:sz w:val="22"/>
                <w:szCs w:val="22"/>
              </w:rPr>
              <w:t>计划产出数：项目绩效目标确定的在一定时期（本年度或项目期）内计划产出的产品或提供的服务数量。</w:t>
            </w:r>
          </w:p>
        </w:tc>
        <w:tc>
          <w:tcPr>
            <w:tcW w:w="8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3</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3</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p>
          <w:p>
            <w:pPr>
              <w:widowControl/>
              <w:spacing w:line="0" w:lineRule="atLeast"/>
              <w:ind w:firstLine="0" w:firstLineChars="0"/>
              <w:rPr>
                <w:kern w:val="0"/>
                <w:sz w:val="22"/>
                <w:szCs w:val="22"/>
              </w:rPr>
            </w:pPr>
            <w:r>
              <w:rPr>
                <w:rFonts w:hint="eastAsia"/>
                <w:kern w:val="0"/>
                <w:sz w:val="22"/>
                <w:szCs w:val="22"/>
              </w:rPr>
              <w:t>计划完成时间：按照项目实施计划或相关规定完成该项目所需的时间。</w:t>
            </w:r>
          </w:p>
        </w:tc>
        <w:tc>
          <w:tcPr>
            <w:tcW w:w="8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4170" w:type="dxa"/>
            <w:shd w:val="clear" w:color="000000" w:fill="FFFFFF"/>
            <w:vAlign w:val="center"/>
          </w:tcPr>
          <w:p>
            <w:pPr>
              <w:widowControl/>
              <w:spacing w:line="0" w:lineRule="atLeast"/>
              <w:ind w:firstLine="0" w:firstLineChars="0"/>
              <w:rPr>
                <w:kern w:val="0"/>
                <w:sz w:val="22"/>
                <w:szCs w:val="22"/>
              </w:rPr>
            </w:pPr>
          </w:p>
          <w:p>
            <w:pPr>
              <w:widowControl/>
              <w:spacing w:line="0" w:lineRule="atLeast"/>
              <w:ind w:firstLine="0" w:firstLineChars="0"/>
              <w:rPr>
                <w:kern w:val="0"/>
                <w:sz w:val="22"/>
                <w:szCs w:val="22"/>
              </w:rPr>
            </w:pPr>
            <w:r>
              <w:rPr>
                <w:rFonts w:hint="eastAsia"/>
                <w:kern w:val="0"/>
                <w:sz w:val="22"/>
                <w:szCs w:val="22"/>
              </w:rPr>
              <w:t>成本节约率=[（计划成本-实际成本）/计划成本]×100%。</w:t>
            </w:r>
          </w:p>
          <w:p>
            <w:pPr>
              <w:widowControl/>
              <w:spacing w:line="0" w:lineRule="atLeast"/>
              <w:ind w:firstLine="0" w:firstLineChars="0"/>
              <w:rPr>
                <w:kern w:val="0"/>
                <w:sz w:val="22"/>
                <w:szCs w:val="22"/>
              </w:rPr>
            </w:pPr>
            <w:r>
              <w:rPr>
                <w:rFonts w:hint="eastAsia"/>
                <w:kern w:val="0"/>
                <w:sz w:val="22"/>
                <w:szCs w:val="22"/>
              </w:rPr>
              <w:t>实际成本：项目实施单位如期、保质、保量完成既定工作目标实际所耗费的支出。</w:t>
            </w:r>
          </w:p>
          <w:p>
            <w:pPr>
              <w:widowControl/>
              <w:spacing w:line="0" w:lineRule="atLeast"/>
              <w:ind w:firstLine="0" w:firstLineChars="0"/>
              <w:rPr>
                <w:kern w:val="0"/>
                <w:sz w:val="22"/>
                <w:szCs w:val="22"/>
              </w:rPr>
            </w:pPr>
            <w:r>
              <w:rPr>
                <w:rFonts w:hint="eastAsia"/>
                <w:kern w:val="0"/>
                <w:sz w:val="22"/>
                <w:szCs w:val="22"/>
              </w:rPr>
              <w:t>计划成本：项目实施单位为完成工作目标计划安排的支出，一般以项目预算为参考。</w:t>
            </w:r>
          </w:p>
        </w:tc>
        <w:tc>
          <w:tcPr>
            <w:tcW w:w="8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18</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1633"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417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87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25</w:t>
            </w:r>
          </w:p>
        </w:tc>
        <w:tc>
          <w:tcPr>
            <w:tcW w:w="890"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1633"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41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87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c>
          <w:tcPr>
            <w:tcW w:w="890"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bl>
    <w:p>
      <w:pPr>
        <w:spacing w:line="240" w:lineRule="auto"/>
        <w:ind w:firstLine="0" w:firstLineChars="0"/>
        <w:rPr>
          <w:rFonts w:ascii="Times New Roman" w:hAnsi="Times New Roman" w:eastAsia="仿宋_GB2312" w:cs="Times New Roman"/>
          <w:sz w:val="30"/>
          <w:szCs w:val="24"/>
        </w:rPr>
      </w:pPr>
    </w:p>
    <w:p>
      <w:pPr>
        <w:ind w:firstLine="560"/>
      </w:pPr>
    </w:p>
    <w:sectPr>
      <w:footerReference r:id="rId5" w:type="default"/>
      <w:pgSz w:w="11906" w:h="16838"/>
      <w:pgMar w:top="1440" w:right="1800" w:bottom="1440" w:left="180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4B71FE4"/>
    <w:multiLevelType w:val="singleLevel"/>
    <w:tmpl w:val="B4B71FE4"/>
    <w:lvl w:ilvl="0" w:tentative="0">
      <w:start w:val="2"/>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 w:name="KSO_WPS_MARK_KEY" w:val="c5bba969-818e-415e-ac7e-ee66f4f09f48"/>
  </w:docVars>
  <w:rsids>
    <w:rsidRoot w:val="68291A1A"/>
    <w:rsid w:val="00933A29"/>
    <w:rsid w:val="00BF67DF"/>
    <w:rsid w:val="00F802DD"/>
    <w:rsid w:val="01470C4C"/>
    <w:rsid w:val="02200440"/>
    <w:rsid w:val="02284B43"/>
    <w:rsid w:val="02B015E2"/>
    <w:rsid w:val="039C3BA0"/>
    <w:rsid w:val="03A845BB"/>
    <w:rsid w:val="04D63993"/>
    <w:rsid w:val="053E33E3"/>
    <w:rsid w:val="07890F4F"/>
    <w:rsid w:val="09781BD6"/>
    <w:rsid w:val="0A2B6B66"/>
    <w:rsid w:val="0D2205FE"/>
    <w:rsid w:val="0D4452F3"/>
    <w:rsid w:val="0DDC0B73"/>
    <w:rsid w:val="0F5E5042"/>
    <w:rsid w:val="10510571"/>
    <w:rsid w:val="11FA6155"/>
    <w:rsid w:val="12CF0947"/>
    <w:rsid w:val="12F1313F"/>
    <w:rsid w:val="136C678E"/>
    <w:rsid w:val="13EB2FF5"/>
    <w:rsid w:val="165825BC"/>
    <w:rsid w:val="176F36D7"/>
    <w:rsid w:val="18456B1E"/>
    <w:rsid w:val="1916296A"/>
    <w:rsid w:val="1C1171C5"/>
    <w:rsid w:val="1DA41A79"/>
    <w:rsid w:val="1DF53469"/>
    <w:rsid w:val="1E58492F"/>
    <w:rsid w:val="1E5B6757"/>
    <w:rsid w:val="1ED10AC6"/>
    <w:rsid w:val="1FC0575D"/>
    <w:rsid w:val="21B00C1D"/>
    <w:rsid w:val="22240AB5"/>
    <w:rsid w:val="223978D0"/>
    <w:rsid w:val="23031BEB"/>
    <w:rsid w:val="23917691"/>
    <w:rsid w:val="244D65B8"/>
    <w:rsid w:val="245E1E24"/>
    <w:rsid w:val="27661469"/>
    <w:rsid w:val="27900EAD"/>
    <w:rsid w:val="279B538A"/>
    <w:rsid w:val="286F545C"/>
    <w:rsid w:val="29314FBC"/>
    <w:rsid w:val="2C6A4CFC"/>
    <w:rsid w:val="2C927671"/>
    <w:rsid w:val="2CB531A0"/>
    <w:rsid w:val="2D7C5CD6"/>
    <w:rsid w:val="2DFF70BC"/>
    <w:rsid w:val="2E483E7E"/>
    <w:rsid w:val="2EFB1341"/>
    <w:rsid w:val="2F454B19"/>
    <w:rsid w:val="31E3230A"/>
    <w:rsid w:val="3268306D"/>
    <w:rsid w:val="33356F64"/>
    <w:rsid w:val="33944516"/>
    <w:rsid w:val="34B62907"/>
    <w:rsid w:val="38782EDD"/>
    <w:rsid w:val="3B42664A"/>
    <w:rsid w:val="3BF64B09"/>
    <w:rsid w:val="3D836A4E"/>
    <w:rsid w:val="3FBE0BC5"/>
    <w:rsid w:val="3FD64A7B"/>
    <w:rsid w:val="3FF61E13"/>
    <w:rsid w:val="4048103A"/>
    <w:rsid w:val="42A132A8"/>
    <w:rsid w:val="435241E2"/>
    <w:rsid w:val="439E3FA7"/>
    <w:rsid w:val="44B32266"/>
    <w:rsid w:val="44FC64F4"/>
    <w:rsid w:val="45A755DD"/>
    <w:rsid w:val="467F4585"/>
    <w:rsid w:val="470628CB"/>
    <w:rsid w:val="47161B70"/>
    <w:rsid w:val="47555BD4"/>
    <w:rsid w:val="48E12B50"/>
    <w:rsid w:val="499441BE"/>
    <w:rsid w:val="4A2138F0"/>
    <w:rsid w:val="4A583887"/>
    <w:rsid w:val="4B9F6E02"/>
    <w:rsid w:val="4D32710E"/>
    <w:rsid w:val="4E6E48A8"/>
    <w:rsid w:val="4EEC036B"/>
    <w:rsid w:val="501D2673"/>
    <w:rsid w:val="50894232"/>
    <w:rsid w:val="51852833"/>
    <w:rsid w:val="53555F0F"/>
    <w:rsid w:val="583C7AE0"/>
    <w:rsid w:val="59216F96"/>
    <w:rsid w:val="5B9D2CCD"/>
    <w:rsid w:val="66FE021C"/>
    <w:rsid w:val="67394C7D"/>
    <w:rsid w:val="68126B38"/>
    <w:rsid w:val="68291A1A"/>
    <w:rsid w:val="691B1594"/>
    <w:rsid w:val="699964BD"/>
    <w:rsid w:val="6A17429C"/>
    <w:rsid w:val="6A567EA3"/>
    <w:rsid w:val="6B4B4368"/>
    <w:rsid w:val="6E557973"/>
    <w:rsid w:val="6F0D6C22"/>
    <w:rsid w:val="6F47657F"/>
    <w:rsid w:val="70670707"/>
    <w:rsid w:val="720E3691"/>
    <w:rsid w:val="732764B3"/>
    <w:rsid w:val="75E5007C"/>
    <w:rsid w:val="77861774"/>
    <w:rsid w:val="77C2248A"/>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2">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jc w:val="center"/>
    </w:pPr>
    <w:rPr>
      <w:b/>
      <w:sz w:val="44"/>
    </w:rPr>
  </w:style>
  <w:style w:type="paragraph" w:styleId="7">
    <w:name w:val="Body Text 2"/>
    <w:basedOn w:val="1"/>
    <w:qFormat/>
    <w:uiPriority w:val="0"/>
    <w:pPr>
      <w:spacing w:after="120" w:line="480" w:lineRule="auto"/>
    </w:pPr>
    <w:rPr>
      <w:rFonts w:ascii="Times New Roman" w:hAnsi="Times New Roman"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itle"/>
    <w:basedOn w:val="1"/>
    <w:next w:val="1"/>
    <w:qFormat/>
    <w:uiPriority w:val="0"/>
    <w:pPr>
      <w:spacing w:before="240" w:after="60"/>
      <w:jc w:val="left"/>
      <w:outlineLvl w:val="0"/>
    </w:pPr>
    <w:rPr>
      <w:rFonts w:ascii="MS Sans Serif" w:hAnsi="MS Sans Serif"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2"/>
    <w:qFormat/>
    <w:uiPriority w:val="0"/>
    <w:rPr>
      <w:rFonts w:ascii="Arial" w:hAnsi="Arial" w:eastAsia="楷体"/>
      <w:b/>
      <w:sz w:val="32"/>
    </w:rPr>
  </w:style>
  <w:style w:type="character" w:customStyle="1" w:styleId="15">
    <w:name w:val="font81"/>
    <w:basedOn w:val="12"/>
    <w:qFormat/>
    <w:uiPriority w:val="0"/>
    <w:rPr>
      <w:rFonts w:hint="eastAsia" w:ascii="宋体" w:hAnsi="宋体" w:eastAsia="宋体" w:cs="宋体"/>
      <w:color w:val="FF0000"/>
      <w:sz w:val="20"/>
      <w:szCs w:val="20"/>
      <w:u w:val="none"/>
    </w:rPr>
  </w:style>
  <w:style w:type="character" w:customStyle="1" w:styleId="16">
    <w:name w:val="font41"/>
    <w:basedOn w:val="12"/>
    <w:qFormat/>
    <w:uiPriority w:val="0"/>
    <w:rPr>
      <w:rFonts w:hint="eastAsia" w:ascii="宋体" w:hAnsi="宋体" w:eastAsia="宋体" w:cs="宋体"/>
      <w:color w:val="FF0000"/>
      <w:sz w:val="20"/>
      <w:szCs w:val="20"/>
      <w:u w:val="none"/>
    </w:rPr>
  </w:style>
  <w:style w:type="character" w:customStyle="1" w:styleId="17">
    <w:name w:val="font91"/>
    <w:basedOn w:val="12"/>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1</Pages>
  <Words>2068</Words>
  <Characters>11793</Characters>
  <Lines>98</Lines>
  <Paragraphs>27</Paragraphs>
  <TotalTime>0</TotalTime>
  <ScaleCrop>false</ScaleCrop>
  <LinksUpToDate>false</LinksUpToDate>
  <CharactersWithSpaces>13834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2023-11-20T03:27:20Z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3139DD699FB948C88EAAB21FEACA1292_13</vt:lpwstr>
  </property>
</Properties>
</file>