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阜康市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63.89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63.89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39.79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39.79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24.07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24.07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二、上年度政府债务余额预计执行数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10.66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11.48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10.66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4.96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4.96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三、上年度政府债券发行使用情况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22.36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12.26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22.36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12.26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亿元，。上述债券资金主要用于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yellow"/>
          <w:shd w:val="clear" w:color="auto" w:fill="auto"/>
          <w:lang w:val="en-US" w:eastAsia="zh-CN"/>
        </w:rPr>
        <w:t>义务教育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、脱贫攻坚、农林水利、市政基础设施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7年期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15年期、20年期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3.4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还本付息通过一般公共预算收入偿还。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15年期、20年期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3.4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12.26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7.96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12.26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7.96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3年期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5年期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7年期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3.43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四、上年度政府债券还本付息情况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3.99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3.99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6.16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本年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度政府债券还本付息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1.85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1.85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3.19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3.19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1.96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1.96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、上年度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本级政府专项债务情况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政府专项债券收入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亿元、支出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亿元，专项债券项目对应专项收入共计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（详见附件4-2）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15年期、20年期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3.4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452" w:firstLineChars="484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2-4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本级政府专项债券项目表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</w:t>
      </w:r>
      <w:bookmarkStart w:id="0" w:name="_GoBack"/>
      <w:bookmarkEnd w:id="0"/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20752BE"/>
    <w:rsid w:val="04595E26"/>
    <w:rsid w:val="063F2F9D"/>
    <w:rsid w:val="090B4E5B"/>
    <w:rsid w:val="0BE56C62"/>
    <w:rsid w:val="141535E8"/>
    <w:rsid w:val="14D614C6"/>
    <w:rsid w:val="158536F1"/>
    <w:rsid w:val="182373F8"/>
    <w:rsid w:val="18823C8F"/>
    <w:rsid w:val="1D57227F"/>
    <w:rsid w:val="1F7A0A6B"/>
    <w:rsid w:val="213F64E9"/>
    <w:rsid w:val="230A0EF5"/>
    <w:rsid w:val="23D26A92"/>
    <w:rsid w:val="23F2182C"/>
    <w:rsid w:val="24D0426A"/>
    <w:rsid w:val="2AB37734"/>
    <w:rsid w:val="2F935813"/>
    <w:rsid w:val="30F264E2"/>
    <w:rsid w:val="31E53942"/>
    <w:rsid w:val="327077BF"/>
    <w:rsid w:val="353C53B6"/>
    <w:rsid w:val="4B080752"/>
    <w:rsid w:val="4CFC1B55"/>
    <w:rsid w:val="4DB47F12"/>
    <w:rsid w:val="524D6FAD"/>
    <w:rsid w:val="53013412"/>
    <w:rsid w:val="59E94415"/>
    <w:rsid w:val="5AF03569"/>
    <w:rsid w:val="5E793247"/>
    <w:rsid w:val="6541174B"/>
    <w:rsid w:val="67393F40"/>
    <w:rsid w:val="68E4710A"/>
    <w:rsid w:val="692F2D63"/>
    <w:rsid w:val="6ACF7A08"/>
    <w:rsid w:val="6B080355"/>
    <w:rsid w:val="71827528"/>
    <w:rsid w:val="77BB7AC7"/>
    <w:rsid w:val="791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2022-01-20T05:12:06Z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