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阜康市发展和改革委员会</w:t>
      </w:r>
    </w:p>
    <w:p>
      <w:pPr>
        <w:jc w:val="center"/>
        <w:rPr>
          <w:rFonts w:ascii="方正小标宋_GBK" w:hAnsi="方正小标宋_GBK" w:eastAsia="方正小标宋_GBK" w:cs="Times New Roman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涉改部门单位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根据阜康市党委办公厅、阜康市人民政府办公厅印发《关于</w:t>
      </w:r>
      <w:r>
        <w:rPr>
          <w:rFonts w:ascii="仿宋_GB2312" w:hAnsi="仿宋_GB2312" w:eastAsia="仿宋_GB2312" w:cs="仿宋_GB2312"/>
          <w:sz w:val="32"/>
          <w:szCs w:val="32"/>
        </w:rPr>
        <w:t>&lt;</w:t>
      </w:r>
      <w:r>
        <w:rPr>
          <w:rFonts w:hint="eastAsia" w:ascii="仿宋_GB2312" w:hAnsi="仿宋_GB2312" w:eastAsia="仿宋_GB2312" w:cs="仿宋_GB2312"/>
          <w:sz w:val="32"/>
          <w:szCs w:val="32"/>
        </w:rPr>
        <w:t>阜康市机构改革方案</w:t>
      </w:r>
      <w:r>
        <w:rPr>
          <w:rFonts w:ascii="仿宋_GB2312" w:hAnsi="仿宋_GB2312" w:eastAsia="仿宋_GB2312" w:cs="仿宋_GB2312"/>
          <w:sz w:val="32"/>
          <w:szCs w:val="32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的实施意见》的通知，调整部门单位预算。现将我单位预算调整情况补充公开如下：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spacing w:line="560" w:lineRule="exact"/>
        <w:ind w:firstLine="480" w:firstLineChars="15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</w:t>
      </w:r>
      <w:r>
        <w:rPr>
          <w:rFonts w:ascii="仿宋_GB2312" w:hAnsi="仿宋_GB2312" w:eastAsia="仿宋_GB2312" w:cs="仿宋_GB2312"/>
          <w:sz w:val="32"/>
          <w:szCs w:val="32"/>
        </w:rPr>
        <w:t>&lt;</w:t>
      </w:r>
      <w:r>
        <w:rPr>
          <w:rFonts w:hint="eastAsia" w:ascii="仿宋_GB2312" w:hAnsi="仿宋_GB2312" w:eastAsia="仿宋_GB2312" w:cs="仿宋_GB2312"/>
          <w:sz w:val="32"/>
          <w:szCs w:val="32"/>
        </w:rPr>
        <w:t>阜康市机构改革方案</w:t>
      </w:r>
      <w:r>
        <w:rPr>
          <w:rFonts w:ascii="仿宋_GB2312" w:hAnsi="仿宋_GB2312" w:eastAsia="仿宋_GB2312" w:cs="仿宋_GB2312"/>
          <w:sz w:val="32"/>
          <w:szCs w:val="32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的实施意见》精神，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煤炭局的职责与发改委部门整合，重新组建为阜康市发展和改革委员会。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涉及原煤炭局部门的预算整体调整，以发改委部门预算为基数整体并入，形成发改委部门整体预算。贯彻落实阜康市党政机构改革工作部署，本次划入职能煤炭管理到发改委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将阜康市商信委承担的食糖、食盐等重要物资储备管理职能划入，民政局救灾物资储备管理职能划入。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阜康市发展和改革委员会主要职能为：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（一）贯彻执行国家和自治区国民经济和社会发展方针政策，研究提出阜康市国民经济和社会发展战略，中长期规划和年度发展计划。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（二）负责监测宏观经济和社会发展态势，承担预测预警和信息引导责任。提出促进经济高质量发展的政策建议，负责阜康市国民经济动员办公室的工作。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（三）汇总分析阜康市财政、金融、产业、价格政策等方面的情况和执行效果，提出建议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承担综合协调经济体制改革的责任。参与研究制定阜康市经济体制改革和对外开放的重大问题，组织拟订阜康市综合性经济体制改革方案，参与研究论证市涉外经济体制改革，指导有关部门和各乡镇的经济体制改革工作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（五）承担规划重大建设项目和生产力布局责任。研究提出阜康市全社会固定资产投资总规模和投资方向，规划重点项目和生产力布局，负责重点项目招投标活动有关监督管理工作。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推进产业结构调整和升级。组织拟订阜康市综合性产业政策，负责协调第一、二、三产业发展的重大问题，做好与国民经济和社会经济发展规划，计划的衔接平衡；提出阜康市国民经济重要产业的发展战略和规划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研究提出能源发展战略、规划，贯彻执行国家，自治区、州有关发展能源（煤炭）工业的方针政策、法律、法规，组织协调全市煤炭行业的技术开发、推广和先进技术的引进、合作和交流，提出信息、技术、管理、咨询服务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（八）研究提出利用外资的发展战略，总量平衡和结构优化的目标和政策并监测运行情况。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承担重要商品的总量平衡和宏观经济的责任，研究提出地方储备粮油和物资储备规划、储备品种目录的建议，组织实施地方储备粮油，棉花，食堂，食盐等物资的储备，轮换和日常管理，按要求承担全市救灾物资采购和储备管理工作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（十）发展社会发展与国民经济发展的政策衔接，组织拟订社会发展战略，总体规划和年度计划。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（十一）推进可持续发展战略，负责全社会节能综合协调工作。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（十二）承办市委、市人民政府和上级业务部门交办的其他事项。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</w:t>
      </w:r>
    </w:p>
    <w:p>
      <w:pPr>
        <w:pStyle w:val="6"/>
        <w:numPr>
          <w:ilvl w:val="0"/>
          <w:numId w:val="0"/>
        </w:numPr>
        <w:spacing w:line="560" w:lineRule="exact"/>
        <w:ind w:left="480" w:leftChars="0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预算调整情况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阜康市发展和改革委员会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523.87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万元。本次调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增预算142.93万元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煤炭局部门整体职能划入，划入预算</w:t>
      </w:r>
      <w:r>
        <w:rPr>
          <w:rFonts w:ascii="仿宋_GB2312" w:hAnsi="仿宋_GB2312" w:eastAsia="仿宋_GB2312" w:cs="仿宋_GB2312"/>
          <w:sz w:val="32"/>
          <w:szCs w:val="32"/>
        </w:rPr>
        <w:t>142.93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ascii="仿宋_GB2312" w:hAnsi="仿宋_GB2312" w:eastAsia="仿宋_GB2312" w:cs="仿宋_GB2312"/>
          <w:sz w:val="32"/>
          <w:szCs w:val="32"/>
        </w:rPr>
        <w:t>142.93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（二）“三公”经费变化情况：原煤炭局部门“三公”经费财政拨款预算</w:t>
      </w:r>
      <w:r>
        <w:rPr>
          <w:rFonts w:ascii="仿宋_GB2312" w:hAnsi="仿宋_GB2312" w:eastAsia="仿宋_GB2312" w:cs="仿宋_GB2312"/>
          <w:sz w:val="32"/>
          <w:szCs w:val="32"/>
        </w:rPr>
        <w:t>7.04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划入</w:t>
      </w:r>
      <w:r>
        <w:rPr>
          <w:rFonts w:hint="eastAsia" w:ascii="仿宋_GB2312" w:hAnsi="仿宋_GB2312" w:eastAsia="仿宋_GB2312" w:cs="仿宋_GB2312"/>
          <w:sz w:val="32"/>
          <w:szCs w:val="32"/>
        </w:rPr>
        <w:t>，“三公”经费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合计为18.1万元，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其中：因公出国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原煤炭局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划入发改委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部门系统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个项目，其中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个项目。项目金额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性质无发生变化，绩效目标整体并入到发改委部门。详见部门涉改部门单位调整预算补充公开内容。</w:t>
      </w:r>
    </w:p>
    <w:p>
      <w:pPr>
        <w:ind w:left="31680" w:hanging="960" w:hangingChars="3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ind w:left="958" w:leftChars="304" w:hanging="320" w:hangingChars="100"/>
        <w:rPr>
          <w:rFonts w:hint="eastAsia" w:ascii="仿宋_GB2312" w:hAnsi="仿宋_GB2312" w:eastAsia="仿宋_GB2312" w:cs="Times New Roman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煤炭局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无划入发改委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预算，无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绩效目标表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目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支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出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绩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效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目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标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cs="Times New Roma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1E64966"/>
    <w:rsid w:val="000A7AF2"/>
    <w:rsid w:val="000B311E"/>
    <w:rsid w:val="000F6007"/>
    <w:rsid w:val="00192051"/>
    <w:rsid w:val="002753BF"/>
    <w:rsid w:val="002814BD"/>
    <w:rsid w:val="002932E5"/>
    <w:rsid w:val="002E1D74"/>
    <w:rsid w:val="0035431A"/>
    <w:rsid w:val="004C6CA8"/>
    <w:rsid w:val="004E4909"/>
    <w:rsid w:val="00870063"/>
    <w:rsid w:val="00A228E3"/>
    <w:rsid w:val="00AB064C"/>
    <w:rsid w:val="00B761C1"/>
    <w:rsid w:val="00C23EB8"/>
    <w:rsid w:val="00C4579F"/>
    <w:rsid w:val="00CD6C24"/>
    <w:rsid w:val="00D378A1"/>
    <w:rsid w:val="00D7297D"/>
    <w:rsid w:val="02A834B7"/>
    <w:rsid w:val="0BF51CFE"/>
    <w:rsid w:val="0C8944DC"/>
    <w:rsid w:val="0D707A7C"/>
    <w:rsid w:val="0EC60C47"/>
    <w:rsid w:val="0FEE4429"/>
    <w:rsid w:val="11E64966"/>
    <w:rsid w:val="1E3A6E57"/>
    <w:rsid w:val="204B2441"/>
    <w:rsid w:val="20D93F8C"/>
    <w:rsid w:val="33F72858"/>
    <w:rsid w:val="37285BFB"/>
    <w:rsid w:val="38CB03ED"/>
    <w:rsid w:val="3CA127DB"/>
    <w:rsid w:val="470B3520"/>
    <w:rsid w:val="513E0816"/>
    <w:rsid w:val="5C272BA2"/>
    <w:rsid w:val="625212D0"/>
    <w:rsid w:val="6A070E84"/>
    <w:rsid w:val="6E34497B"/>
    <w:rsid w:val="744D0C4A"/>
    <w:rsid w:val="7585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qFormat="1" w:unhideWhenUsed="0" w:uiPriority="99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oter Char"/>
    <w:basedOn w:val="3"/>
    <w:link w:val="2"/>
    <w:semiHidden/>
    <w:qFormat/>
    <w:locked/>
    <w:uiPriority w:val="99"/>
    <w:rPr>
      <w:rFonts w:ascii="Calibri" w:hAnsi="Calibri" w:cs="Calibri"/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5</Pages>
  <Words>255</Words>
  <Characters>1457</Characters>
  <Lines>0</Lines>
  <Paragraphs>0</Paragraphs>
  <TotalTime>17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2019-06-20T10:44:00Z</dcterms:created>
  <dc:creator>Administrator</dc:creator>
  <cp:lastModifiedBy>Administrator</cp:lastModifiedBy>
  <cp:lastPrinted>2019-06-14T08:42:00Z</cp:lastPrinted>
  <dcterms:modified xsi:type="dcterms:W3CDTF">2019-05-22T09:05:47Z</dcterms:modified>
  <dc:title>原***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