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阜康市人力资源和社会保障局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调整预算补充公开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党委办公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室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人民政府办公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室印发</w:t>
      </w:r>
      <w:r>
        <w:rPr>
          <w:rFonts w:hint="eastAsia" w:ascii="仿宋_GB2312" w:hAnsi="仿宋_GB2312" w:eastAsia="仿宋_GB2312" w:cs="仿宋_GB2312"/>
          <w:sz w:val="32"/>
          <w:szCs w:val="32"/>
        </w:rPr>
        <w:t>《关于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&lt;阜康市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机构改革方案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&gt;</w:t>
      </w:r>
      <w:r>
        <w:rPr>
          <w:rFonts w:hint="eastAsia" w:ascii="仿宋_GB2312" w:hAnsi="仿宋_GB2312" w:eastAsia="仿宋_GB2312" w:cs="仿宋_GB2312"/>
          <w:sz w:val="32"/>
          <w:szCs w:val="32"/>
        </w:rPr>
        <w:t>的实施意见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</w:rPr>
        <w:t>的通知，调整部门单位预算。现将我单位预算调整情况补充公开如下：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</w:rPr>
        <w:t>单位职能划转情况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</w:rPr>
        <w:t>《关于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&lt;阜康市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机构改革方案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&gt;</w:t>
      </w:r>
      <w:r>
        <w:rPr>
          <w:rFonts w:hint="eastAsia" w:ascii="仿宋_GB2312" w:hAnsi="仿宋_GB2312" w:eastAsia="仿宋_GB2312" w:cs="仿宋_GB2312"/>
          <w:sz w:val="32"/>
          <w:szCs w:val="32"/>
        </w:rPr>
        <w:t>的实施意见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精神，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阜康市人力资源和社会保障局的军官转业安置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职责划转至退役军人管理局；公务员管理职责划转至市委组织部；引进国外智力职责划转至市科技局。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00" w:firstLineChars="25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涉及阜康市人力资源和社会保障局的预算部分调整，以阜康市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人力资源和社会保障局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预算为基数部分转出。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贯彻落实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阜康市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党政机构改革工作部署，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本次划出职能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军官转业安置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职责、公务员管理职责、引进国外智力职责。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此次职能划转涉及2人的预算调整。 </w:t>
      </w:r>
      <w:bookmarkStart w:id="0" w:name="_GoBack"/>
      <w:bookmarkEnd w:id="0"/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sz w:val="32"/>
          <w:szCs w:val="32"/>
        </w:rPr>
        <w:t>预算调整情况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2019年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阜康市人力资源和社会保障局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年初部门预算总额为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329.33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万元。本次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部分调整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。具体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说明情况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阜康市人力资源和社会保障局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军官转业安置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职责、公务员管理职责、引进国外智力职能职责划出，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划出预算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1.21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万元。其中，基本支出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1.21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“三公”经费变化情况：原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阜康市人力资源和社会保障局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“三公”经费财政拨款预算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万元划出。其中：因公出国（境）费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万元，公务用车购置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万元，公务用车运行费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万元，公务接待费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u w:val="none"/>
        </w:rPr>
      </w:pPr>
      <w:r>
        <w:rPr>
          <w:rFonts w:hint="eastAsia" w:ascii="黑体" w:hAnsi="黑体" w:eastAsia="黑体" w:cs="黑体"/>
          <w:sz w:val="32"/>
          <w:szCs w:val="32"/>
          <w:u w:val="none"/>
        </w:rPr>
        <w:t>三、绩效目标调整情况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阜康市人力资源和社会保障局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系统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0个项目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，其中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级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 xml:space="preserve">   个项目。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项目金额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、性质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发生变化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详见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阜康市人力资源和社会保障局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涉改部门单位调整预算补充公开内容。</w:t>
      </w:r>
    </w:p>
    <w:p>
      <w:pPr>
        <w:ind w:left="960" w:hanging="960" w:hangingChars="300"/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附件：</w:t>
      </w:r>
    </w:p>
    <w:p>
      <w:pPr>
        <w:ind w:left="958" w:leftChars="304" w:hanging="320" w:hangingChars="100"/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1.项目支出绩效目标表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4"/>
        <w:tblW w:w="1401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14"/>
        <w:gridCol w:w="1360"/>
        <w:gridCol w:w="992"/>
        <w:gridCol w:w="910"/>
        <w:gridCol w:w="2169"/>
        <w:gridCol w:w="903"/>
        <w:gridCol w:w="1173"/>
        <w:gridCol w:w="1277"/>
        <w:gridCol w:w="38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4014" w:type="dxa"/>
            <w:gridSpan w:val="9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54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2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2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3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7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126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3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3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3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项目效益指标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 xml:space="preserve"> 阜康市人力资源和社会保障局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 xml:space="preserve">                                              2019年5月15日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64966"/>
    <w:rsid w:val="0471470F"/>
    <w:rsid w:val="07AF3DAE"/>
    <w:rsid w:val="0FEE4429"/>
    <w:rsid w:val="11E64966"/>
    <w:rsid w:val="1E3A6E57"/>
    <w:rsid w:val="1FED68CE"/>
    <w:rsid w:val="2917124E"/>
    <w:rsid w:val="30BA2D08"/>
    <w:rsid w:val="377F3FD9"/>
    <w:rsid w:val="38CB03ED"/>
    <w:rsid w:val="3BC52C50"/>
    <w:rsid w:val="3CA127DB"/>
    <w:rsid w:val="5F806C5C"/>
    <w:rsid w:val="777507AB"/>
    <w:rsid w:val="7E892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2019-06-13T10:03:00Z</dcterms:created>
  <dc:creator>Administrator</dc:creator>
  <cp:lastModifiedBy>Administrator</cp:lastModifiedBy>
  <cp:lastPrinted>2019-06-20T08:24:00Z</cp:lastPrinted>
  <dcterms:modified xsi:type="dcterms:W3CDTF">2019-05-23T04:29:13Z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