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pacing w:line="360" w:lineRule="auto"/>
        <w:ind w:firstLine="1142" w:firstLineChars="316"/>
        <w:jc w:val="center"/>
        <w:textAlignment w:val="auto"/>
        <w:rPr>
          <w:rFonts w:hint="eastAsia" w:ascii="宋体" w:hAnsi="宋体" w:eastAsia="宋体" w:cs="宋体"/>
          <w:b/>
          <w:bCs/>
          <w:color w:val="auto"/>
          <w:sz w:val="36"/>
          <w:szCs w:val="36"/>
          <w:highlight w:val="none"/>
          <w:shd w:val="clear" w:color="auto" w:fill="auto"/>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pPr>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1606" w:firstLineChars="400"/>
        <w:jc w:val="both"/>
        <w:textAlignment w:val="auto"/>
        <w:rPr>
          <w:rFonts w:hint="eastAsia" w:cs="宋体"/>
          <w:b/>
          <w:bCs/>
          <w:color w:val="auto"/>
          <w:sz w:val="40"/>
          <w:szCs w:val="40"/>
          <w:highlight w:val="none"/>
          <w:shd w:val="clear" w:color="auto" w:fill="auto"/>
          <w:lang w:val="en-US" w:eastAsia="zh-CN"/>
        </w:rPr>
      </w:pPr>
      <w:r>
        <w:rPr>
          <w:rFonts w:hint="eastAsia" w:cs="宋体"/>
          <w:b/>
          <w:bCs/>
          <w:color w:val="auto"/>
          <w:sz w:val="40"/>
          <w:szCs w:val="40"/>
          <w:highlight w:val="none"/>
          <w:shd w:val="clear" w:color="auto" w:fill="auto"/>
          <w:lang w:val="en-US" w:eastAsia="zh-CN"/>
        </w:rPr>
        <w:t>昌吉州阜康市自然资源局</w:t>
      </w:r>
    </w:p>
    <w:p>
      <w:pPr>
        <w:keepNext w:val="0"/>
        <w:keepLines w:val="0"/>
        <w:pageBreakBefore w:val="0"/>
        <w:widowControl w:val="0"/>
        <w:kinsoku/>
        <w:wordWrap/>
        <w:overflowPunct/>
        <w:topLinePunct w:val="0"/>
        <w:autoSpaceDE/>
        <w:autoSpaceDN/>
        <w:bidi w:val="0"/>
        <w:adjustRightInd/>
        <w:snapToGrid/>
        <w:spacing w:line="360" w:lineRule="auto"/>
        <w:ind w:firstLine="2008" w:firstLineChars="500"/>
        <w:jc w:val="both"/>
        <w:textAlignment w:val="auto"/>
        <w:rPr>
          <w:rFonts w:hint="eastAsia" w:ascii="宋体" w:hAnsi="宋体" w:eastAsia="宋体" w:cs="宋体"/>
          <w:b/>
          <w:bCs/>
          <w:color w:val="auto"/>
          <w:sz w:val="40"/>
          <w:szCs w:val="40"/>
          <w:highlight w:val="none"/>
          <w:shd w:val="clear" w:color="auto" w:fill="auto"/>
        </w:rPr>
      </w:pPr>
      <w:r>
        <w:rPr>
          <w:rFonts w:hint="eastAsia" w:ascii="宋体" w:hAnsi="宋体" w:eastAsia="宋体" w:cs="宋体"/>
          <w:b/>
          <w:bCs/>
          <w:color w:val="auto"/>
          <w:sz w:val="40"/>
          <w:szCs w:val="40"/>
          <w:highlight w:val="none"/>
          <w:shd w:val="clear" w:color="auto" w:fill="auto"/>
          <w:lang w:val="en-US" w:eastAsia="zh-CN"/>
        </w:rPr>
        <w:t>项目</w:t>
      </w:r>
      <w:r>
        <w:rPr>
          <w:rFonts w:hint="eastAsia" w:ascii="宋体" w:hAnsi="宋体" w:eastAsia="宋体" w:cs="宋体"/>
          <w:b/>
          <w:bCs/>
          <w:color w:val="auto"/>
          <w:sz w:val="40"/>
          <w:szCs w:val="40"/>
          <w:highlight w:val="none"/>
          <w:shd w:val="clear" w:color="auto" w:fill="auto"/>
        </w:rPr>
        <w:t>支出绩效评价报告</w:t>
      </w: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line="360" w:lineRule="auto"/>
        <w:ind w:firstLine="723" w:firstLineChars="200"/>
        <w:jc w:val="center"/>
        <w:textAlignment w:val="auto"/>
        <w:rPr>
          <w:rFonts w:hint="eastAsia" w:ascii="宋体" w:hAnsi="宋体" w:eastAsia="宋体" w:cs="宋体"/>
          <w:b/>
          <w:bCs/>
          <w:color w:val="auto"/>
          <w:sz w:val="36"/>
          <w:szCs w:val="36"/>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cs="宋体"/>
          <w:b/>
          <w:bCs/>
          <w:color w:val="auto"/>
          <w:sz w:val="40"/>
          <w:szCs w:val="40"/>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项目名称：</w:t>
      </w:r>
      <w:r>
        <w:rPr>
          <w:rFonts w:hint="eastAsia" w:cs="宋体"/>
          <w:b/>
          <w:color w:val="auto"/>
          <w:kern w:val="2"/>
          <w:sz w:val="28"/>
          <w:szCs w:val="28"/>
          <w:highlight w:val="none"/>
          <w:shd w:val="clear" w:color="auto" w:fill="auto"/>
          <w:lang w:val="en-US" w:eastAsia="zh-CN"/>
        </w:rPr>
        <w:t>石英砂地质勘查</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default"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实施单位：</w:t>
      </w:r>
      <w:r>
        <w:rPr>
          <w:rFonts w:hint="eastAsia" w:cs="宋体"/>
          <w:b/>
          <w:color w:val="auto"/>
          <w:kern w:val="2"/>
          <w:sz w:val="28"/>
          <w:szCs w:val="28"/>
          <w:highlight w:val="none"/>
          <w:shd w:val="clear" w:color="auto" w:fill="auto"/>
          <w:lang w:val="en-US" w:eastAsia="zh-CN"/>
        </w:rPr>
        <w:t>阜康市自然资源局</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leftChars="0" w:firstLine="562" w:firstLineChars="200"/>
        <w:textAlignment w:val="auto"/>
        <w:outlineLvl w:val="9"/>
        <w:rPr>
          <w:rFonts w:hint="eastAsia" w:ascii="宋体" w:hAnsi="宋体" w:eastAsia="宋体" w:cs="宋体"/>
          <w:b/>
          <w:color w:val="auto"/>
          <w:kern w:val="2"/>
          <w:sz w:val="28"/>
          <w:szCs w:val="28"/>
          <w:highlight w:val="none"/>
          <w:shd w:val="clear" w:color="auto" w:fill="auto"/>
          <w:lang w:val="en-US" w:eastAsia="zh-CN"/>
        </w:rPr>
      </w:pPr>
      <w:r>
        <w:rPr>
          <w:rFonts w:hint="eastAsia" w:ascii="宋体" w:hAnsi="宋体" w:eastAsia="宋体" w:cs="宋体"/>
          <w:b/>
          <w:color w:val="auto"/>
          <w:kern w:val="2"/>
          <w:sz w:val="28"/>
          <w:szCs w:val="28"/>
          <w:highlight w:val="none"/>
          <w:shd w:val="clear" w:color="auto" w:fill="auto"/>
          <w:lang w:val="en-US" w:eastAsia="zh-CN"/>
        </w:rPr>
        <w:t>主管部门：</w:t>
      </w:r>
    </w:p>
    <w:p>
      <w:pPr>
        <w:pStyle w:val="2"/>
        <w:rPr>
          <w:rFonts w:hint="eastAsia" w:ascii="宋体" w:hAnsi="宋体" w:eastAsia="宋体" w:cs="宋体"/>
          <w:b/>
          <w:color w:val="auto"/>
          <w:kern w:val="2"/>
          <w:sz w:val="28"/>
          <w:szCs w:val="28"/>
          <w:highlight w:val="none"/>
          <w:shd w:val="clear" w:color="auto" w:fill="auto"/>
          <w:lang w:val="en-US" w:eastAsia="zh-CN"/>
        </w:rPr>
      </w:pPr>
    </w:p>
    <w:p>
      <w:pPr>
        <w:rPr>
          <w:rFonts w:hint="eastAsia"/>
          <w:color w:val="auto"/>
          <w:highlight w:val="none"/>
          <w:lang w:val="en-US" w:eastAsia="zh-CN"/>
        </w:rPr>
        <w:sectPr>
          <w:pgSz w:w="11906" w:h="16838"/>
          <w:pgMar w:top="1928" w:right="1531" w:bottom="1701" w:left="1531" w:header="737" w:footer="851" w:gutter="0"/>
          <w:cols w:space="720" w:num="1"/>
          <w:docGrid w:type="lines" w:linePitch="408" w:charSpace="0"/>
        </w:sectPr>
      </w:pPr>
    </w:p>
    <w:p>
      <w:pPr>
        <w:pageBreakBefore w:val="0"/>
        <w:kinsoku/>
        <w:wordWrap/>
        <w:overflowPunct/>
        <w:topLinePunct w:val="0"/>
        <w:autoSpaceDE/>
        <w:autoSpaceDN/>
        <w:bidi w:val="0"/>
        <w:spacing w:line="560" w:lineRule="exact"/>
        <w:jc w:val="center"/>
        <w:rPr>
          <w:rFonts w:hint="eastAsia" w:ascii="宋体" w:hAnsi="宋体" w:eastAsia="宋体" w:cs="宋体"/>
          <w:b/>
          <w:bCs/>
          <w:color w:val="auto"/>
          <w:sz w:val="36"/>
          <w:szCs w:val="36"/>
          <w:highlight w:val="none"/>
          <w:shd w:val="clear" w:color="auto" w:fill="auto"/>
          <w:lang w:val="en-US" w:eastAsia="zh-CN"/>
        </w:rPr>
      </w:pPr>
      <w:r>
        <w:rPr>
          <w:rFonts w:hint="eastAsia" w:ascii="宋体" w:hAnsi="宋体" w:eastAsia="宋体" w:cs="宋体"/>
          <w:b/>
          <w:bCs/>
          <w:color w:val="auto"/>
          <w:sz w:val="36"/>
          <w:szCs w:val="36"/>
          <w:highlight w:val="none"/>
          <w:shd w:val="clear" w:color="auto" w:fill="auto"/>
          <w:lang w:val="en-US" w:eastAsia="zh-CN"/>
        </w:rPr>
        <w:t>石英砂地质勘查</w:t>
      </w:r>
    </w:p>
    <w:p>
      <w:pPr>
        <w:pageBreakBefore w:val="0"/>
        <w:kinsoku/>
        <w:wordWrap/>
        <w:overflowPunct/>
        <w:topLinePunct w:val="0"/>
        <w:autoSpaceDE/>
        <w:autoSpaceDN/>
        <w:bidi w:val="0"/>
        <w:spacing w:line="560" w:lineRule="exact"/>
        <w:jc w:val="center"/>
        <w:rPr>
          <w:rFonts w:hint="eastAsia" w:ascii="宋体" w:hAnsi="宋体" w:eastAsia="宋体" w:cs="宋体"/>
          <w:b/>
          <w:bCs/>
          <w:color w:val="auto"/>
          <w:highlight w:val="none"/>
          <w:shd w:val="clear" w:color="auto" w:fill="auto"/>
        </w:rPr>
      </w:pPr>
      <w:r>
        <w:rPr>
          <w:rFonts w:hint="eastAsia" w:ascii="宋体" w:hAnsi="宋体" w:eastAsia="宋体" w:cs="宋体"/>
          <w:b/>
          <w:bCs/>
          <w:color w:val="auto"/>
          <w:sz w:val="36"/>
          <w:szCs w:val="36"/>
          <w:highlight w:val="none"/>
          <w:shd w:val="clear" w:color="auto" w:fill="auto"/>
        </w:rPr>
        <w:t>支出绩效评价报告</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一、基本情况</w:t>
      </w:r>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（一）项目概况</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项目背景</w:t>
      </w:r>
    </w:p>
    <w:p>
      <w:pPr>
        <w:pStyle w:val="5"/>
        <w:pageBreakBefore w:val="0"/>
        <w:kinsoku/>
        <w:wordWrap/>
        <w:overflowPunct/>
        <w:topLinePunct w:val="0"/>
        <w:autoSpaceDE/>
        <w:autoSpaceDN/>
        <w:bidi w:val="0"/>
        <w:adjustRightInd/>
        <w:spacing w:line="360" w:lineRule="auto"/>
        <w:textAlignment w:val="auto"/>
        <w:rPr>
          <w:rFonts w:hint="eastAsia" w:asciiTheme="minorEastAsia" w:hAnsiTheme="minorEastAsia" w:eastAsiaTheme="minorEastAsia" w:cstheme="minorEastAsia"/>
          <w:b w:val="0"/>
          <w:bCs w:val="0"/>
          <w:color w:val="auto"/>
          <w:kern w:val="2"/>
          <w:sz w:val="28"/>
          <w:szCs w:val="28"/>
          <w:lang w:val="en-US" w:eastAsia="zh-CN" w:bidi="ar-SA"/>
        </w:rPr>
      </w:pPr>
      <w:r>
        <w:rPr>
          <w:rFonts w:hint="eastAsia" w:asciiTheme="minorEastAsia" w:hAnsiTheme="minorEastAsia" w:eastAsiaTheme="minorEastAsia" w:cstheme="minorEastAsia"/>
          <w:b w:val="0"/>
          <w:bCs w:val="0"/>
          <w:color w:val="auto"/>
          <w:kern w:val="2"/>
          <w:sz w:val="28"/>
          <w:szCs w:val="28"/>
          <w:lang w:val="en-US" w:eastAsia="zh-CN" w:bidi="ar-SA"/>
        </w:rPr>
        <w:t>为解决市场供需失衡，2019 年8月经阜康市人民政府研究，决定新出让2宗石英砂探矿权。为加快我市石英砂矿产资源开发进度，坚决贯彻落实州党委、州人民政府会议精神。对我市7个石英砂矿探矿权开展地质勘查工作。</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3.资金投入和使用情况</w:t>
      </w:r>
    </w:p>
    <w:p>
      <w:pPr>
        <w:pStyle w:val="14"/>
        <w:pageBreakBefore w:val="0"/>
        <w:kinsoku/>
        <w:wordWrap/>
        <w:overflowPunct/>
        <w:topLinePunct w:val="0"/>
        <w:autoSpaceDE/>
        <w:autoSpaceDN/>
        <w:bidi w:val="0"/>
        <w:spacing w:line="560" w:lineRule="exact"/>
        <w:rPr>
          <w:rFonts w:hint="eastAsia" w:asciiTheme="minorEastAsia" w:hAnsiTheme="minorEastAsia" w:eastAsiaTheme="minorEastAsia" w:cstheme="minorEastAsia"/>
          <w:color w:val="auto"/>
          <w:sz w:val="28"/>
          <w:szCs w:val="28"/>
          <w:lang w:val="en-US" w:eastAsia="zh-CN" w:bidi="ar-SA"/>
        </w:rPr>
      </w:pPr>
      <w:r>
        <w:rPr>
          <w:rFonts w:hint="eastAsia" w:asciiTheme="minorEastAsia" w:hAnsiTheme="minorEastAsia" w:eastAsiaTheme="minorEastAsia" w:cstheme="minorEastAsia"/>
          <w:color w:val="auto"/>
          <w:sz w:val="28"/>
          <w:szCs w:val="28"/>
          <w:lang w:val="en-US" w:eastAsia="zh-CN" w:bidi="ar-SA"/>
        </w:rPr>
        <w:t>（1）项目资金安排落实、总投入等情况分析</w:t>
      </w:r>
    </w:p>
    <w:p>
      <w:pPr>
        <w:pStyle w:val="14"/>
        <w:pageBreakBefore w:val="0"/>
        <w:kinsoku/>
        <w:wordWrap/>
        <w:overflowPunct/>
        <w:topLinePunct w:val="0"/>
        <w:autoSpaceDE/>
        <w:autoSpaceDN/>
        <w:bidi w:val="0"/>
        <w:spacing w:line="560" w:lineRule="exact"/>
        <w:ind w:firstLine="640"/>
        <w:rPr>
          <w:rFonts w:hint="eastAsia" w:asciiTheme="minorEastAsia" w:hAnsiTheme="minorEastAsia" w:eastAsiaTheme="minorEastAsia" w:cstheme="minorEastAsia"/>
          <w:color w:val="auto"/>
          <w:sz w:val="28"/>
          <w:szCs w:val="28"/>
          <w:lang w:val="en-US" w:eastAsia="zh-CN" w:bidi="ar-SA"/>
        </w:rPr>
      </w:pPr>
      <w:r>
        <w:rPr>
          <w:rFonts w:hint="eastAsia" w:asciiTheme="minorEastAsia" w:hAnsiTheme="minorEastAsia" w:eastAsiaTheme="minorEastAsia" w:cstheme="minorEastAsia"/>
          <w:color w:val="auto"/>
          <w:sz w:val="28"/>
          <w:szCs w:val="28"/>
          <w:lang w:val="en-US" w:eastAsia="zh-CN" w:bidi="ar-SA"/>
        </w:rPr>
        <w:t>石英砂地质勘察预算金额</w:t>
      </w:r>
      <w:r>
        <w:rPr>
          <w:rFonts w:hint="eastAsia" w:asciiTheme="minorEastAsia" w:hAnsiTheme="minorEastAsia" w:eastAsiaTheme="minorEastAsia" w:cstheme="minorEastAsia"/>
          <w:color w:val="auto"/>
          <w:kern w:val="2"/>
          <w:sz w:val="28"/>
          <w:szCs w:val="28"/>
          <w:lang w:val="en-US" w:eastAsia="zh-CN" w:bidi="ar-SA"/>
        </w:rPr>
        <w:t>不超出254.5万元</w:t>
      </w:r>
      <w:r>
        <w:rPr>
          <w:rFonts w:hint="eastAsia" w:asciiTheme="minorEastAsia" w:hAnsiTheme="minorEastAsia" w:eastAsiaTheme="minorEastAsia" w:cstheme="minorEastAsia"/>
          <w:color w:val="auto"/>
          <w:sz w:val="28"/>
          <w:szCs w:val="28"/>
          <w:lang w:val="en-US" w:eastAsia="zh-CN" w:bidi="ar-SA"/>
        </w:rPr>
        <w:t>，实际到位预算资金</w:t>
      </w:r>
      <w:r>
        <w:rPr>
          <w:rFonts w:hint="eastAsia" w:asciiTheme="minorEastAsia" w:hAnsiTheme="minorEastAsia" w:eastAsiaTheme="minorEastAsia" w:cstheme="minorEastAsia"/>
          <w:color w:val="auto"/>
          <w:kern w:val="2"/>
          <w:sz w:val="28"/>
          <w:szCs w:val="28"/>
          <w:lang w:val="en-US" w:eastAsia="zh-CN" w:bidi="ar-SA"/>
        </w:rPr>
        <w:t>254.5万元</w:t>
      </w:r>
      <w:r>
        <w:rPr>
          <w:rFonts w:hint="eastAsia" w:asciiTheme="minorEastAsia" w:hAnsiTheme="minorEastAsia" w:eastAsiaTheme="minorEastAsia" w:cstheme="minorEastAsia"/>
          <w:color w:val="auto"/>
          <w:sz w:val="28"/>
          <w:szCs w:val="28"/>
          <w:lang w:val="en-US" w:eastAsia="zh-CN" w:bidi="ar-SA"/>
        </w:rPr>
        <w:t>，资金到位率100%。</w:t>
      </w:r>
    </w:p>
    <w:p>
      <w:pPr>
        <w:pStyle w:val="14"/>
        <w:pageBreakBefore w:val="0"/>
        <w:kinsoku/>
        <w:wordWrap/>
        <w:overflowPunct/>
        <w:topLinePunct w:val="0"/>
        <w:autoSpaceDE/>
        <w:autoSpaceDN/>
        <w:bidi w:val="0"/>
        <w:spacing w:line="560" w:lineRule="exact"/>
        <w:rPr>
          <w:rFonts w:hint="eastAsia" w:asciiTheme="minorEastAsia" w:hAnsiTheme="minorEastAsia" w:eastAsiaTheme="minorEastAsia" w:cstheme="minorEastAsia"/>
          <w:color w:val="auto"/>
          <w:sz w:val="28"/>
          <w:szCs w:val="28"/>
          <w:lang w:val="en-US" w:eastAsia="zh-CN" w:bidi="ar-SA"/>
        </w:rPr>
      </w:pPr>
      <w:r>
        <w:rPr>
          <w:rFonts w:hint="eastAsia" w:asciiTheme="minorEastAsia" w:hAnsiTheme="minorEastAsia" w:eastAsiaTheme="minorEastAsia" w:cstheme="minorEastAsia"/>
          <w:color w:val="auto"/>
          <w:sz w:val="28"/>
          <w:szCs w:val="28"/>
          <w:lang w:val="en-US" w:eastAsia="zh-CN" w:bidi="ar-SA"/>
        </w:rPr>
        <w:t>（2）项目资金实际使用情况分析</w:t>
      </w:r>
    </w:p>
    <w:p>
      <w:pPr>
        <w:pStyle w:val="7"/>
        <w:pageBreakBefore w:val="0"/>
        <w:widowControl w:val="0"/>
        <w:kinsoku/>
        <w:wordWrap/>
        <w:overflowPunct/>
        <w:topLinePunct w:val="0"/>
        <w:autoSpaceDE/>
        <w:autoSpaceDN/>
        <w:bidi w:val="0"/>
        <w:adjustRightInd w:val="0"/>
        <w:snapToGrid/>
        <w:spacing w:before="0" w:after="0" w:line="560" w:lineRule="exact"/>
        <w:ind w:left="0" w:leftChars="0" w:right="0" w:firstLine="0" w:firstLineChars="0"/>
        <w:jc w:val="left"/>
        <w:textAlignment w:val="baseline"/>
        <w:outlineLvl w:val="9"/>
        <w:rPr>
          <w:rFonts w:hint="eastAsia" w:asciiTheme="minorEastAsia" w:hAnsiTheme="minorEastAsia" w:eastAsiaTheme="minorEastAsia" w:cstheme="minorEastAsia"/>
          <w:color w:val="auto"/>
          <w:sz w:val="28"/>
          <w:szCs w:val="28"/>
        </w:rPr>
      </w:pPr>
      <w:r>
        <w:rPr>
          <w:rStyle w:val="12"/>
          <w:rFonts w:hint="eastAsia" w:asciiTheme="minorEastAsia" w:hAnsiTheme="minorEastAsia" w:eastAsiaTheme="minorEastAsia" w:cstheme="minorEastAsia"/>
          <w:b w:val="0"/>
          <w:color w:val="auto"/>
          <w:spacing w:val="-4"/>
          <w:sz w:val="28"/>
          <w:szCs w:val="28"/>
          <w:lang w:val="en-US" w:eastAsia="zh-CN"/>
        </w:rPr>
        <w:t xml:space="preserve">    2022年年初预算为</w:t>
      </w:r>
      <w:r>
        <w:rPr>
          <w:rFonts w:hint="eastAsia" w:asciiTheme="minorEastAsia" w:hAnsiTheme="minorEastAsia" w:eastAsiaTheme="minorEastAsia" w:cstheme="minorEastAsia"/>
          <w:color w:val="auto"/>
          <w:kern w:val="2"/>
          <w:sz w:val="28"/>
          <w:szCs w:val="28"/>
          <w:lang w:val="en-US" w:eastAsia="zh-CN" w:bidi="ar-SA"/>
        </w:rPr>
        <w:t>254.5万</w:t>
      </w:r>
      <w:r>
        <w:rPr>
          <w:rStyle w:val="12"/>
          <w:rFonts w:hint="eastAsia" w:asciiTheme="minorEastAsia" w:hAnsiTheme="minorEastAsia" w:eastAsiaTheme="minorEastAsia" w:cstheme="minorEastAsia"/>
          <w:b w:val="0"/>
          <w:color w:val="auto"/>
          <w:spacing w:val="-4"/>
          <w:sz w:val="28"/>
          <w:szCs w:val="28"/>
          <w:lang w:val="en-US" w:eastAsia="zh-CN"/>
        </w:rPr>
        <w:t>元，实际执行数</w:t>
      </w:r>
      <w:r>
        <w:rPr>
          <w:rFonts w:hint="eastAsia" w:asciiTheme="minorEastAsia" w:hAnsiTheme="minorEastAsia" w:eastAsiaTheme="minorEastAsia" w:cstheme="minorEastAsia"/>
          <w:color w:val="auto"/>
          <w:kern w:val="2"/>
          <w:sz w:val="28"/>
          <w:szCs w:val="28"/>
          <w:lang w:val="en-US" w:eastAsia="zh-CN" w:bidi="ar-SA"/>
        </w:rPr>
        <w:t>254.5万</w:t>
      </w:r>
      <w:r>
        <w:rPr>
          <w:rStyle w:val="12"/>
          <w:rFonts w:hint="eastAsia" w:asciiTheme="minorEastAsia" w:hAnsiTheme="minorEastAsia" w:eastAsiaTheme="minorEastAsia" w:cstheme="minorEastAsia"/>
          <w:b w:val="0"/>
          <w:color w:val="auto"/>
          <w:spacing w:val="-4"/>
          <w:sz w:val="28"/>
          <w:szCs w:val="28"/>
          <w:lang w:val="en-US" w:eastAsia="zh-CN"/>
        </w:rPr>
        <w:t>元；</w:t>
      </w:r>
      <w:r>
        <w:rPr>
          <w:rFonts w:hint="eastAsia" w:asciiTheme="minorEastAsia" w:hAnsiTheme="minorEastAsia" w:eastAsiaTheme="minorEastAsia" w:cstheme="minorEastAsia"/>
          <w:color w:val="auto"/>
          <w:sz w:val="28"/>
          <w:szCs w:val="28"/>
        </w:rPr>
        <w:t>预算执行率</w:t>
      </w:r>
      <w:r>
        <w:rPr>
          <w:rFonts w:hint="eastAsia" w:asciiTheme="minorEastAsia" w:hAnsiTheme="minorEastAsia" w:eastAsiaTheme="minorEastAsia" w:cstheme="minorEastAsia"/>
          <w:color w:val="auto"/>
          <w:sz w:val="28"/>
          <w:szCs w:val="28"/>
          <w:lang w:val="en-US" w:eastAsia="zh-CN"/>
        </w:rPr>
        <w:t>100</w:t>
      </w:r>
      <w:r>
        <w:rPr>
          <w:rFonts w:hint="eastAsia" w:asciiTheme="minorEastAsia" w:hAnsiTheme="minorEastAsia" w:eastAsiaTheme="minorEastAsia" w:cstheme="minorEastAsia"/>
          <w:color w:val="auto"/>
          <w:sz w:val="28"/>
          <w:szCs w:val="28"/>
        </w:rPr>
        <w:t>%；</w:t>
      </w:r>
    </w:p>
    <w:p>
      <w:pPr>
        <w:pStyle w:val="4"/>
        <w:pageBreakBefore w:val="0"/>
        <w:numPr>
          <w:ilvl w:val="0"/>
          <w:numId w:val="1"/>
        </w:numPr>
        <w:kinsoku/>
        <w:wordWrap/>
        <w:overflowPunct/>
        <w:topLinePunct w:val="0"/>
        <w:autoSpaceDE/>
        <w:autoSpaceDN/>
        <w:bidi w:val="0"/>
        <w:adjustRightInd/>
        <w:spacing w:beforeLines="0" w:afterLines="0" w:line="360" w:lineRule="auto"/>
        <w:textAlignment w:val="auto"/>
        <w:rPr>
          <w:rFonts w:hint="eastAsia" w:ascii="宋体" w:hAnsi="宋体" w:eastAsia="宋体" w:cs="宋体"/>
          <w:color w:val="auto"/>
          <w:sz w:val="32"/>
          <w:szCs w:val="32"/>
          <w:highlight w:val="none"/>
          <w:shd w:val="clear" w:color="auto" w:fill="auto"/>
        </w:rPr>
      </w:pPr>
      <w:r>
        <w:rPr>
          <w:rFonts w:hint="eastAsia" w:ascii="宋体" w:hAnsi="宋体" w:eastAsia="宋体" w:cs="宋体"/>
          <w:color w:val="auto"/>
          <w:sz w:val="32"/>
          <w:szCs w:val="32"/>
          <w:highlight w:val="none"/>
          <w:shd w:val="clear" w:color="auto" w:fill="auto"/>
        </w:rPr>
        <w:t>项目绩效目标</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1.总体目标</w:t>
      </w:r>
    </w:p>
    <w:p>
      <w:pPr>
        <w:rPr>
          <w:rFonts w:hint="eastAsia"/>
          <w:color w:val="auto"/>
          <w:lang w:val="en-US" w:eastAsia="zh-CN"/>
        </w:rPr>
      </w:pPr>
      <w:r>
        <w:rPr>
          <w:rFonts w:hint="eastAsia"/>
          <w:color w:val="auto"/>
          <w:lang w:val="en-US" w:eastAsia="zh-CN"/>
        </w:rPr>
        <w:t>根据《昌吉州自然资源开发与规划建设管理领导小组2020年第一次会议纪要》2020 1号文件，完成7个石英砂矿的勘察工作，勘察工作达到标准率100%，勘察成本不超出254.5万元，于2022年5月前完成资金拨付工作，通过勘察，预期达到增加当地税收，增加社会人员上岗就业率。</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rPr>
        <w:t>主要内容及实施情况</w:t>
      </w:r>
    </w:p>
    <w:p>
      <w:pPr>
        <w:pageBreakBefore w:val="0"/>
        <w:widowControl w:val="0"/>
        <w:kinsoku/>
        <w:wordWrap/>
        <w:overflowPunct/>
        <w:topLinePunct w:val="0"/>
        <w:autoSpaceDE/>
        <w:autoSpaceDN/>
        <w:bidi w:val="0"/>
        <w:adjustRightInd w:val="0"/>
        <w:snapToGrid w:val="0"/>
        <w:spacing w:beforeAutospacing="0" w:line="560" w:lineRule="exact"/>
        <w:ind w:left="0" w:leftChars="0" w:right="0" w:firstLine="560" w:firstLineChars="200"/>
        <w:textAlignment w:val="auto"/>
        <w:outlineLvl w:val="9"/>
        <w:rPr>
          <w:rFonts w:hint="default" w:ascii="宋体" w:hAnsi="宋体" w:eastAsia="宋体" w:cs="宋体"/>
          <w:color w:val="auto"/>
          <w:highlight w:val="none"/>
          <w:shd w:val="clear" w:color="auto" w:fill="auto"/>
          <w:lang w:val="en-US" w:eastAsia="zh-CN"/>
        </w:rPr>
      </w:pPr>
      <w:r>
        <w:rPr>
          <w:rFonts w:hint="eastAsia" w:asciiTheme="minorEastAsia" w:hAnsiTheme="minorEastAsia" w:eastAsiaTheme="minorEastAsia" w:cstheme="minorEastAsia"/>
          <w:color w:val="auto"/>
          <w:sz w:val="28"/>
          <w:szCs w:val="28"/>
          <w:lang w:val="en-US" w:eastAsia="zh-CN"/>
        </w:rPr>
        <w:t>2020年5月11日通过公开招标的方式，一标段由新疆维吾尔自治区地质矿产勘查开发局第一地质大队负责实施，二标段由四川省冶金地质勘查局成都地质调查所负责实施，2家技术单位在我市北部沙漠区域开展了地质勘查工作，2020年年底7个石英砂地质勘查报告陆续通过自治区评审，勘查工作全面完成。2021年9月,昌吉州政务服务与公共资源管理局对阜康市4号、5号石英砂进行了公开出让。截止2022年5月，已完成7个石英砂矿的勘察工作，勘察工作达到标准率100%，勘察成本不超出254.5万元，于2022年5月前完成资金拨付工作</w:t>
      </w:r>
      <w:r>
        <w:rPr>
          <w:rFonts w:hint="eastAsia" w:asciiTheme="minorEastAsia" w:hAnsiTheme="minorEastAsia" w:eastAsiaTheme="minorEastAsia" w:cstheme="minorEastAsia"/>
          <w:color w:val="auto"/>
          <w:kern w:val="2"/>
          <w:sz w:val="28"/>
          <w:szCs w:val="28"/>
          <w:lang w:val="en-US" w:eastAsia="zh-CN" w:bidi="ar-SA"/>
        </w:rPr>
        <w:t>。</w:t>
      </w:r>
      <w:r>
        <w:rPr>
          <w:rFonts w:hint="eastAsia" w:asciiTheme="minorEastAsia" w:hAnsiTheme="minorEastAsia" w:eastAsiaTheme="minorEastAsia" w:cstheme="minorEastAsia"/>
          <w:color w:val="auto"/>
          <w:sz w:val="28"/>
          <w:szCs w:val="28"/>
        </w:rPr>
        <w:t xml:space="preserve">     </w:t>
      </w:r>
      <w:r>
        <w:rPr>
          <w:rFonts w:hint="eastAsia" w:asciiTheme="minorEastAsia" w:hAnsiTheme="minorEastAsia" w:eastAsiaTheme="minorEastAsia" w:cstheme="minorEastAsia"/>
          <w:color w:val="auto"/>
          <w:sz w:val="28"/>
          <w:szCs w:val="28"/>
          <w:lang w:val="en-US" w:eastAsia="zh-CN"/>
        </w:rPr>
        <w:t xml:space="preserve">   </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2.阶段性目标</w:t>
      </w:r>
    </w:p>
    <w:p>
      <w:pPr>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color w:val="auto"/>
          <w:sz w:val="28"/>
          <w:szCs w:val="28"/>
          <w:highlight w:val="none"/>
          <w:shd w:val="clear" w:color="auto" w:fill="auto"/>
          <w:lang w:eastAsia="zh-CN"/>
        </w:rPr>
      </w:pPr>
      <w:r>
        <w:rPr>
          <w:rFonts w:hint="eastAsia" w:asciiTheme="minorEastAsia" w:hAnsiTheme="minorEastAsia" w:eastAsiaTheme="minorEastAsia" w:cstheme="minorEastAsia"/>
          <w:bCs/>
          <w:color w:val="auto"/>
          <w:sz w:val="28"/>
          <w:szCs w:val="28"/>
          <w:highlight w:val="none"/>
          <w:shd w:val="clear" w:color="auto" w:fill="auto"/>
          <w:lang w:eastAsia="zh-CN"/>
        </w:rPr>
        <w:t>根据《预算法》、《财政支出绩效评价管理暂行办法》（财预〔20</w:t>
      </w:r>
      <w:r>
        <w:rPr>
          <w:rFonts w:hint="eastAsia" w:asciiTheme="minorEastAsia" w:hAnsiTheme="minorEastAsia" w:eastAsiaTheme="minorEastAsia" w:cstheme="minorEastAsia"/>
          <w:bCs/>
          <w:color w:val="auto"/>
          <w:sz w:val="28"/>
          <w:szCs w:val="28"/>
          <w:highlight w:val="none"/>
          <w:shd w:val="clear" w:color="auto" w:fill="auto"/>
          <w:lang w:val="en-US" w:eastAsia="zh-CN"/>
        </w:rPr>
        <w:t>20</w:t>
      </w:r>
      <w:r>
        <w:rPr>
          <w:rFonts w:hint="eastAsia" w:asciiTheme="minorEastAsia" w:hAnsiTheme="minorEastAsia" w:eastAsiaTheme="minorEastAsia" w:cstheme="minorEastAsia"/>
          <w:bCs/>
          <w:color w:val="auto"/>
          <w:sz w:val="28"/>
          <w:szCs w:val="28"/>
          <w:highlight w:val="none"/>
          <w:shd w:val="clear" w:color="auto" w:fill="auto"/>
          <w:lang w:eastAsia="zh-CN"/>
        </w:rPr>
        <w:t>〕</w:t>
      </w:r>
      <w:r>
        <w:rPr>
          <w:rFonts w:hint="eastAsia" w:asciiTheme="minorEastAsia" w:hAnsiTheme="minorEastAsia" w:eastAsiaTheme="minorEastAsia" w:cstheme="minorEastAsia"/>
          <w:bCs/>
          <w:color w:val="auto"/>
          <w:sz w:val="28"/>
          <w:szCs w:val="28"/>
          <w:highlight w:val="none"/>
          <w:shd w:val="clear" w:color="auto" w:fill="auto"/>
          <w:lang w:val="en-US" w:eastAsia="zh-CN"/>
        </w:rPr>
        <w:t>10</w:t>
      </w:r>
      <w:r>
        <w:rPr>
          <w:rFonts w:hint="eastAsia" w:asciiTheme="minorEastAsia" w:hAnsiTheme="minorEastAsia" w:eastAsiaTheme="minorEastAsia" w:cstheme="minorEastAsia"/>
          <w:bCs/>
          <w:color w:val="auto"/>
          <w:sz w:val="28"/>
          <w:szCs w:val="28"/>
          <w:highlight w:val="none"/>
          <w:shd w:val="clear" w:color="auto" w:fill="auto"/>
          <w:lang w:eastAsia="zh-CN"/>
        </w:rPr>
        <w:t>号）、《自治区党委自治区人民政府关于全面实施预算绩效管理的实施意见》（新党发〔2018〕30号）、</w:t>
      </w:r>
      <w:r>
        <w:rPr>
          <w:rFonts w:hint="eastAsia" w:asciiTheme="minorEastAsia" w:hAnsiTheme="minorEastAsia" w:eastAsiaTheme="minorEastAsia" w:cstheme="minorEastAsia"/>
          <w:color w:val="auto"/>
          <w:sz w:val="28"/>
          <w:szCs w:val="28"/>
          <w:highlight w:val="none"/>
          <w:shd w:val="clear" w:color="auto" w:fill="auto"/>
        </w:rPr>
        <w:t>《自治区财政支出绩效评价管理暂行办法》</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rPr>
        <w:t>新财预〔2018〕189号</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等文件</w:t>
      </w:r>
      <w:r>
        <w:rPr>
          <w:rFonts w:hint="eastAsia" w:asciiTheme="minorEastAsia" w:hAnsiTheme="minorEastAsia" w:eastAsiaTheme="minorEastAsia" w:cstheme="minorEastAsia"/>
          <w:bCs/>
          <w:color w:val="auto"/>
          <w:sz w:val="28"/>
          <w:szCs w:val="28"/>
          <w:highlight w:val="none"/>
          <w:shd w:val="clear" w:color="auto" w:fill="auto"/>
          <w:lang w:eastAsia="zh-CN"/>
        </w:rPr>
        <w:t>的规定，结合项目实施单位的规章制度以及财务相关资料，评价小组对项目绩效目标进行了进一步的完善，完善</w:t>
      </w:r>
      <w:r>
        <w:rPr>
          <w:rFonts w:hint="eastAsia" w:asciiTheme="minorEastAsia" w:hAnsiTheme="minorEastAsia" w:eastAsiaTheme="minorEastAsia" w:cstheme="minorEastAsia"/>
          <w:bCs/>
          <w:color w:val="auto"/>
          <w:sz w:val="28"/>
          <w:szCs w:val="28"/>
          <w:highlight w:val="none"/>
          <w:shd w:val="clear" w:color="auto" w:fill="auto"/>
          <w:lang w:val="en-US" w:eastAsia="zh-CN"/>
        </w:rPr>
        <w:t>后</w:t>
      </w:r>
      <w:r>
        <w:rPr>
          <w:rFonts w:hint="eastAsia" w:asciiTheme="minorEastAsia" w:hAnsiTheme="minorEastAsia" w:eastAsiaTheme="minorEastAsia" w:cstheme="minorEastAsia"/>
          <w:bCs/>
          <w:color w:val="auto"/>
          <w:sz w:val="28"/>
          <w:szCs w:val="28"/>
          <w:highlight w:val="none"/>
          <w:shd w:val="clear" w:color="auto" w:fill="auto"/>
          <w:lang w:eastAsia="zh-CN"/>
        </w:rPr>
        <w:t>绩效目标如下：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w:t>
      </w:r>
      <w:r>
        <w:rPr>
          <w:rFonts w:hint="eastAsia" w:ascii="宋体" w:hAnsi="宋体" w:eastAsia="宋体" w:cs="宋体"/>
          <w:color w:val="auto"/>
          <w:highlight w:val="none"/>
          <w:shd w:val="clear" w:color="auto" w:fill="auto"/>
          <w:lang w:val="en-US" w:eastAsia="zh-CN"/>
        </w:rPr>
        <w:t>目标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①数量指标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勘察矿数量</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指标，预期指标值为7个；</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②质量指标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达到勘察标准</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指标，预期指标值为达标；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③时效指标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资金拨付及时率</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指标，预期指标值为100%；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资金拨付完成时间</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指标，预期指标值为2022年5月；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④成本指标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一标段勘察测绘成本</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w:t>
      </w:r>
      <w:r>
        <w:rPr>
          <w:rFonts w:hint="eastAsia"/>
          <w:color w:val="auto"/>
          <w:lang w:val="en-US" w:eastAsia="zh-CN"/>
        </w:rPr>
        <w:t>≤114万元</w:t>
      </w:r>
      <w:r>
        <w:rPr>
          <w:rFonts w:hint="eastAsia" w:asciiTheme="minorEastAsia" w:hAnsiTheme="minorEastAsia" w:eastAsiaTheme="minorEastAsia" w:cstheme="minorEastAsia"/>
          <w:color w:val="auto"/>
          <w:sz w:val="28"/>
          <w:szCs w:val="28"/>
          <w:highlight w:val="none"/>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二标段勘察测绘成本</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w:t>
      </w:r>
      <w:r>
        <w:rPr>
          <w:rFonts w:hint="eastAsia"/>
          <w:color w:val="auto"/>
          <w:lang w:val="en-US" w:eastAsia="zh-CN"/>
        </w:rPr>
        <w:t>≤140.5万元</w:t>
      </w:r>
      <w:r>
        <w:rPr>
          <w:rFonts w:hint="eastAsia" w:asciiTheme="minorEastAsia" w:hAnsiTheme="minorEastAsia" w:eastAsiaTheme="minorEastAsia" w:cstheme="minorEastAsia"/>
          <w:color w:val="auto"/>
          <w:sz w:val="28"/>
          <w:szCs w:val="28"/>
          <w:highlight w:val="none"/>
          <w:shd w:val="clear" w:color="auto" w:fill="auto"/>
          <w:lang w:val="en-US" w:eastAsia="zh-CN"/>
        </w:rPr>
        <w:t>；</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eastAsia="zh-CN"/>
        </w:rPr>
      </w:pPr>
      <w:r>
        <w:rPr>
          <w:rFonts w:hint="eastAsia" w:asciiTheme="minorEastAsia" w:hAnsiTheme="minorEastAsia" w:eastAsiaTheme="minorEastAsia" w:cstheme="minorEastAsia"/>
          <w:color w:val="auto"/>
          <w:sz w:val="28"/>
          <w:szCs w:val="28"/>
          <w:highlight w:val="none"/>
          <w:shd w:val="clear" w:color="auto" w:fill="auto"/>
        </w:rPr>
        <w:t>（</w:t>
      </w:r>
      <w:r>
        <w:rPr>
          <w:rFonts w:hint="eastAsia" w:asciiTheme="minorEastAsia" w:hAnsiTheme="minorEastAsia" w:eastAsiaTheme="minorEastAsia" w:cstheme="minorEastAsia"/>
          <w:color w:val="auto"/>
          <w:sz w:val="28"/>
          <w:szCs w:val="28"/>
          <w:highlight w:val="none"/>
          <w:shd w:val="clear" w:color="auto" w:fill="auto"/>
          <w:lang w:val="en-US" w:eastAsia="zh-CN"/>
        </w:rPr>
        <w:t>2</w:t>
      </w:r>
      <w:r>
        <w:rPr>
          <w:rFonts w:hint="eastAsia" w:asciiTheme="minorEastAsia" w:hAnsiTheme="minorEastAsia" w:eastAsiaTheme="minorEastAsia" w:cstheme="minorEastAsia"/>
          <w:color w:val="auto"/>
          <w:sz w:val="28"/>
          <w:szCs w:val="28"/>
          <w:highlight w:val="none"/>
          <w:shd w:val="clear" w:color="auto" w:fill="auto"/>
        </w:rPr>
        <w:t>）项目效益</w:t>
      </w:r>
      <w:r>
        <w:rPr>
          <w:rFonts w:hint="eastAsia" w:asciiTheme="minorEastAsia" w:hAnsiTheme="minorEastAsia" w:eastAsiaTheme="minorEastAsia" w:cstheme="minorEastAsia"/>
          <w:color w:val="auto"/>
          <w:sz w:val="28"/>
          <w:szCs w:val="28"/>
          <w:highlight w:val="none"/>
          <w:shd w:val="clear" w:color="auto" w:fill="auto"/>
          <w:lang w:val="en-US" w:eastAsia="zh-CN"/>
        </w:rPr>
        <w:t>目标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①经济效益指标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增加当地税收</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指标，预期指标值为增加；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②社会效益指标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增加社会人员上岗就业率</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指标，预期指标值为增加；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③生态效益指标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④可持续影响</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无</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val="en-US" w:eastAsia="zh-CN"/>
        </w:rPr>
        <w:t>⑤满意度指标</w:t>
      </w:r>
    </w:p>
    <w:p>
      <w:pPr>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auto"/>
          <w:sz w:val="28"/>
          <w:szCs w:val="28"/>
          <w:highlight w:val="none"/>
          <w:shd w:val="clear" w:color="auto" w:fill="auto"/>
          <w:lang w:val="en-US" w:eastAsia="zh-CN"/>
        </w:rPr>
      </w:pP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勘察企业满意度</w:t>
      </w:r>
      <w:r>
        <w:rPr>
          <w:rFonts w:hint="eastAsia" w:asciiTheme="minorEastAsia" w:hAnsiTheme="minorEastAsia" w:eastAsiaTheme="minorEastAsia" w:cstheme="minorEastAsia"/>
          <w:color w:val="auto"/>
          <w:sz w:val="28"/>
          <w:szCs w:val="28"/>
          <w:highlight w:val="none"/>
          <w:shd w:val="clear" w:color="auto" w:fill="auto"/>
          <w:lang w:eastAsia="zh-CN"/>
        </w:rPr>
        <w:t>”</w:t>
      </w:r>
      <w:r>
        <w:rPr>
          <w:rFonts w:hint="eastAsia" w:asciiTheme="minorEastAsia" w:hAnsiTheme="minorEastAsia" w:eastAsiaTheme="minorEastAsia" w:cstheme="minorEastAsia"/>
          <w:color w:val="auto"/>
          <w:sz w:val="28"/>
          <w:szCs w:val="28"/>
          <w:highlight w:val="none"/>
          <w:shd w:val="clear" w:color="auto" w:fill="auto"/>
          <w:lang w:val="en-US" w:eastAsia="zh-CN"/>
        </w:rPr>
        <w:t>指标，预期指标值为≥90%。</w:t>
      </w:r>
    </w:p>
    <w:p>
      <w:pPr>
        <w:pStyle w:val="3"/>
        <w:bidi w:val="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二、绩效评价工作开展情况</w:t>
      </w:r>
    </w:p>
    <w:p>
      <w:pPr>
        <w:pStyle w:val="4"/>
        <w:pageBreakBefore w:val="0"/>
        <w:numPr>
          <w:ilvl w:val="0"/>
          <w:numId w:val="2"/>
        </w:numPr>
        <w:kinsoku/>
        <w:wordWrap/>
        <w:overflowPunct/>
        <w:topLinePunct w:val="0"/>
        <w:autoSpaceDE/>
        <w:autoSpaceDN/>
        <w:bidi w:val="0"/>
        <w:adjustRightInd/>
        <w:spacing w:beforeLines="0" w:beforeAutospacing="0" w:afterLines="0" w:afterAutospacing="0" w:line="360" w:lineRule="auto"/>
        <w:ind w:left="0" w:leftChars="0" w:firstLine="643" w:firstLineChars="200"/>
        <w:jc w:val="both"/>
        <w:textAlignment w:val="auto"/>
        <w:rPr>
          <w:rFonts w:hint="eastAsia" w:ascii="宋体" w:hAnsi="宋体" w:eastAsia="宋体" w:cs="宋体"/>
          <w:color w:val="auto"/>
          <w:sz w:val="32"/>
          <w:szCs w:val="32"/>
          <w:highlight w:val="none"/>
          <w:shd w:val="clear" w:color="auto" w:fill="auto"/>
          <w:lang w:eastAsia="zh-CN"/>
        </w:rPr>
      </w:pPr>
      <w:bookmarkStart w:id="0" w:name="_Toc12868"/>
      <w:bookmarkStart w:id="1" w:name="_Toc480473081"/>
      <w:bookmarkStart w:id="2" w:name="_Toc26632"/>
      <w:bookmarkStart w:id="3" w:name="_Toc5258"/>
      <w:bookmarkStart w:id="4" w:name="_Toc22169_WPSOffice_Level2"/>
      <w:bookmarkStart w:id="5" w:name="_Toc22922"/>
      <w:bookmarkStart w:id="6" w:name="_Toc5462343"/>
      <w:bookmarkStart w:id="7" w:name="_Toc21664"/>
      <w:r>
        <w:rPr>
          <w:rFonts w:hint="eastAsia" w:ascii="宋体" w:hAnsi="宋体" w:eastAsia="宋体" w:cs="宋体"/>
          <w:color w:val="auto"/>
          <w:sz w:val="32"/>
          <w:szCs w:val="32"/>
          <w:highlight w:val="none"/>
          <w:shd w:val="clear" w:color="auto" w:fill="auto"/>
          <w:lang w:eastAsia="zh-CN"/>
        </w:rPr>
        <w:t>绩效评价的目的</w:t>
      </w:r>
      <w:bookmarkEnd w:id="0"/>
      <w:bookmarkEnd w:id="1"/>
      <w:bookmarkEnd w:id="2"/>
      <w:bookmarkEnd w:id="3"/>
      <w:bookmarkEnd w:id="4"/>
      <w:bookmarkEnd w:id="5"/>
      <w:bookmarkEnd w:id="6"/>
      <w:bookmarkEnd w:id="7"/>
      <w:r>
        <w:rPr>
          <w:rFonts w:hint="eastAsia" w:ascii="宋体" w:hAnsi="宋体" w:eastAsia="宋体" w:cs="宋体"/>
          <w:color w:val="auto"/>
          <w:sz w:val="32"/>
          <w:szCs w:val="32"/>
          <w:highlight w:val="none"/>
          <w:shd w:val="clear" w:color="auto" w:fill="auto"/>
          <w:lang w:eastAsia="zh-CN"/>
        </w:rPr>
        <w:t>、对象和范围</w:t>
      </w:r>
    </w:p>
    <w:p>
      <w:pPr>
        <w:pStyle w:val="5"/>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zh-CN"/>
        </w:rPr>
        <w:t>1.</w:t>
      </w:r>
      <w:r>
        <w:rPr>
          <w:rFonts w:hint="eastAsia" w:ascii="宋体" w:hAnsi="宋体" w:eastAsia="宋体" w:cs="宋体"/>
          <w:color w:val="auto"/>
          <w:sz w:val="28"/>
          <w:szCs w:val="28"/>
          <w:highlight w:val="none"/>
          <w:shd w:val="clear" w:color="auto" w:fill="auto"/>
          <w:lang w:eastAsia="zh-CN"/>
        </w:rPr>
        <w:t>绩效评价的目的</w:t>
      </w:r>
    </w:p>
    <w:p>
      <w:pPr>
        <w:pageBreakBefore w:val="0"/>
        <w:kinsoku/>
        <w:wordWrap/>
        <w:overflowPunct/>
        <w:topLinePunct w:val="0"/>
        <w:autoSpaceDE/>
        <w:autoSpaceDN/>
        <w:bidi w:val="0"/>
        <w:spacing w:line="5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石英砂地质勘查</w:t>
      </w:r>
      <w:r>
        <w:rPr>
          <w:rFonts w:hint="eastAsia" w:ascii="宋体" w:hAnsi="宋体" w:eastAsia="宋体" w:cs="宋体"/>
          <w:color w:val="auto"/>
          <w:sz w:val="28"/>
          <w:szCs w:val="28"/>
        </w:rPr>
        <w:t>资金的使用情况以及取得的综合绩效，以便总结</w:t>
      </w:r>
      <w:r>
        <w:rPr>
          <w:rFonts w:hint="eastAsia" w:ascii="宋体" w:hAnsi="宋体" w:eastAsia="宋体" w:cs="宋体"/>
          <w:color w:val="auto"/>
          <w:sz w:val="28"/>
          <w:szCs w:val="28"/>
          <w:lang w:val="en-US" w:eastAsia="zh-CN"/>
        </w:rPr>
        <w:t>地质勘查工作</w:t>
      </w:r>
      <w:r>
        <w:rPr>
          <w:rFonts w:hint="eastAsia" w:ascii="宋体" w:hAnsi="宋体" w:eastAsia="宋体" w:cs="宋体"/>
          <w:color w:val="auto"/>
          <w:sz w:val="28"/>
          <w:szCs w:val="28"/>
        </w:rPr>
        <w:t>实施经验，发现</w:t>
      </w:r>
      <w:r>
        <w:rPr>
          <w:rFonts w:hint="eastAsia" w:ascii="宋体" w:hAnsi="宋体" w:eastAsia="宋体" w:cs="宋体"/>
          <w:color w:val="auto"/>
          <w:sz w:val="28"/>
          <w:szCs w:val="28"/>
          <w:lang w:val="en-US" w:eastAsia="zh-CN"/>
        </w:rPr>
        <w:t>地质勘查</w:t>
      </w:r>
      <w:r>
        <w:rPr>
          <w:rFonts w:hint="eastAsia" w:ascii="宋体" w:hAnsi="宋体" w:eastAsia="宋体" w:cs="宋体"/>
          <w:color w:val="auto"/>
          <w:sz w:val="28"/>
          <w:szCs w:val="28"/>
        </w:rPr>
        <w:t>过程中存在的问题，进一步加强和规范</w:t>
      </w:r>
      <w:r>
        <w:rPr>
          <w:rFonts w:hint="eastAsia" w:ascii="宋体" w:hAnsi="宋体" w:eastAsia="宋体" w:cs="宋体"/>
          <w:color w:val="auto"/>
          <w:sz w:val="28"/>
          <w:szCs w:val="28"/>
          <w:lang w:val="en-US" w:eastAsia="zh-CN"/>
        </w:rPr>
        <w:t>地质勘查</w:t>
      </w:r>
      <w:r>
        <w:rPr>
          <w:rFonts w:hint="eastAsia" w:ascii="宋体" w:hAnsi="宋体" w:eastAsia="宋体" w:cs="宋体"/>
          <w:color w:val="auto"/>
          <w:sz w:val="28"/>
          <w:szCs w:val="28"/>
        </w:rPr>
        <w:t>资金管理，完善资金管理办法，指导预算编制和申报绩效目标、优化财政支出结构提供决策参考和依据，以保证项目资金使用管理的规范性、安全性和有效性，决定对</w:t>
      </w:r>
      <w:r>
        <w:rPr>
          <w:rFonts w:hint="eastAsia" w:ascii="宋体" w:hAnsi="宋体" w:eastAsia="宋体" w:cs="宋体"/>
          <w:color w:val="auto"/>
          <w:sz w:val="28"/>
          <w:szCs w:val="28"/>
          <w:lang w:val="en-US" w:eastAsia="zh-CN"/>
        </w:rPr>
        <w:t>石英砂地质勘查</w:t>
      </w:r>
      <w:r>
        <w:rPr>
          <w:rFonts w:hint="eastAsia" w:ascii="宋体" w:hAnsi="宋体" w:eastAsia="宋体" w:cs="宋体"/>
          <w:color w:val="auto"/>
          <w:sz w:val="28"/>
          <w:szCs w:val="28"/>
        </w:rPr>
        <w:t>进行绩效评价。</w:t>
      </w:r>
    </w:p>
    <w:p>
      <w:pPr>
        <w:pStyle w:val="14"/>
        <w:pageBreakBefore w:val="0"/>
        <w:kinsoku/>
        <w:wordWrap/>
        <w:overflowPunct/>
        <w:topLinePunct w:val="0"/>
        <w:autoSpaceDE/>
        <w:autoSpaceDN/>
        <w:bidi w:val="0"/>
        <w:spacing w:line="560" w:lineRule="exact"/>
        <w:ind w:firstLine="600"/>
        <w:rPr>
          <w:rFonts w:hint="eastAsia" w:ascii="宋体" w:hAnsi="宋体" w:eastAsia="宋体" w:cs="宋体"/>
          <w:color w:val="auto"/>
          <w:sz w:val="28"/>
          <w:szCs w:val="28"/>
          <w:lang w:val="en-US" w:eastAsia="zh-CN" w:bidi="ar-SA"/>
        </w:rPr>
      </w:pPr>
      <w:r>
        <w:rPr>
          <w:rFonts w:hint="eastAsia" w:ascii="宋体" w:hAnsi="宋体" w:eastAsia="宋体" w:cs="宋体"/>
          <w:color w:val="auto"/>
          <w:sz w:val="28"/>
          <w:szCs w:val="28"/>
          <w:lang w:val="en-US" w:eastAsia="zh-CN" w:bidi="ar-SA"/>
        </w:rPr>
        <w:t>通过资料收集、访谈、数据统计分析等形式，总结本项目的经验，发现资金管理过程中存在的问题并分析产生原因，提出有针对性的合理化建议。以提高今后其他项目或者类似项目的经费的使用效率及效益。</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2.绩效评价的对象和范围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此次我单位根据</w:t>
      </w:r>
      <w:r>
        <w:rPr>
          <w:rFonts w:hint="eastAsia" w:ascii="宋体" w:hAnsi="宋体" w:eastAsia="宋体" w:cs="宋体"/>
          <w:color w:val="auto"/>
          <w:highlight w:val="none"/>
          <w:shd w:val="clear" w:color="auto" w:fill="auto"/>
        </w:rPr>
        <w:t>《财政支出绩效评价管理暂行办法》（</w:t>
      </w:r>
      <w:r>
        <w:rPr>
          <w:rFonts w:hint="eastAsia" w:ascii="宋体" w:hAnsi="宋体" w:eastAsia="宋体" w:cs="宋体"/>
          <w:color w:val="auto"/>
          <w:highlight w:val="none"/>
          <w:shd w:val="clear" w:color="auto" w:fill="auto"/>
          <w:lang w:eastAsia="zh-CN"/>
        </w:rPr>
        <w:t>财预〔2020〕10号</w:t>
      </w:r>
      <w:r>
        <w:rPr>
          <w:rFonts w:hint="eastAsia" w:ascii="宋体" w:hAnsi="宋体" w:eastAsia="宋体" w:cs="宋体"/>
          <w:color w:val="auto"/>
          <w:highlight w:val="none"/>
          <w:shd w:val="clear" w:color="auto" w:fill="auto"/>
        </w:rPr>
        <w:t>）</w:t>
      </w:r>
      <w:r>
        <w:rPr>
          <w:rFonts w:hint="eastAsia" w:ascii="宋体" w:hAnsi="宋体" w:eastAsia="宋体" w:cs="宋体"/>
          <w:color w:val="auto"/>
          <w:highlight w:val="none"/>
          <w:shd w:val="clear" w:color="auto" w:fill="auto"/>
          <w:lang w:val="en-US" w:eastAsia="zh-CN"/>
        </w:rPr>
        <w:t>文件要求对</w:t>
      </w:r>
      <w:r>
        <w:rPr>
          <w:rFonts w:hint="eastAsia" w:cs="宋体"/>
          <w:color w:val="auto"/>
          <w:highlight w:val="none"/>
          <w:shd w:val="clear" w:color="auto" w:fill="auto"/>
          <w:lang w:val="en-US" w:eastAsia="zh-CN"/>
        </w:rPr>
        <w:t>2022</w:t>
      </w:r>
      <w:r>
        <w:rPr>
          <w:rFonts w:hint="eastAsia" w:ascii="宋体" w:hAnsi="宋体" w:eastAsia="宋体" w:cs="宋体"/>
          <w:color w:val="auto"/>
          <w:highlight w:val="none"/>
          <w:shd w:val="clear" w:color="auto" w:fill="auto"/>
          <w:lang w:val="en-US" w:eastAsia="zh-CN"/>
        </w:rPr>
        <w:t>年度我单位实施的</w:t>
      </w:r>
      <w:r>
        <w:rPr>
          <w:rFonts w:hint="eastAsia" w:ascii="宋体" w:hAnsi="宋体" w:eastAsia="宋体" w:cs="宋体"/>
          <w:color w:val="auto"/>
          <w:sz w:val="28"/>
          <w:szCs w:val="28"/>
          <w:lang w:val="en-US" w:eastAsia="zh-CN"/>
        </w:rPr>
        <w:t>石英砂地质勘查</w:t>
      </w:r>
      <w:r>
        <w:rPr>
          <w:rFonts w:hint="eastAsia" w:ascii="宋体" w:hAnsi="宋体" w:eastAsia="宋体" w:cs="宋体"/>
          <w:color w:val="auto"/>
          <w:highlight w:val="none"/>
          <w:shd w:val="clear" w:color="auto" w:fill="auto"/>
          <w:lang w:val="en-US" w:eastAsia="zh-CN"/>
        </w:rPr>
        <w:t>项目开展部门绩效评价。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本次绩效评价主要围绕项目决策、项目管理、项目产出、项目效益四个维度，对该专项资金的预算编制、项目实施、监督管理、资金支出使用、绩效目标的实现情况以及受益对象的满意度等开展综合评价。</w:t>
      </w:r>
    </w:p>
    <w:p>
      <w:pPr>
        <w:pStyle w:val="4"/>
        <w:pageBreakBefore w:val="0"/>
        <w:numPr>
          <w:ilvl w:val="0"/>
          <w:numId w:val="2"/>
        </w:numPr>
        <w:kinsoku/>
        <w:wordWrap/>
        <w:overflowPunct/>
        <w:topLinePunct w:val="0"/>
        <w:autoSpaceDE/>
        <w:autoSpaceDN/>
        <w:bidi w:val="0"/>
        <w:adjustRightIn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绩效评价原则、评分指标体系（附表说明）、评价方法、评价标准</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val="en-US" w:eastAsia="zh-CN"/>
        </w:rPr>
        <w:t>1.</w:t>
      </w:r>
      <w:r>
        <w:rPr>
          <w:rFonts w:hint="eastAsia" w:ascii="宋体" w:hAnsi="宋体" w:eastAsia="宋体" w:cs="宋体"/>
          <w:color w:val="auto"/>
          <w:highlight w:val="none"/>
          <w:shd w:val="clear" w:color="auto" w:fill="auto"/>
        </w:rPr>
        <w:t>绩效评价原则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依据《预算法》、</w:t>
      </w:r>
      <w:r>
        <w:rPr>
          <w:rFonts w:hint="eastAsia" w:ascii="宋体" w:hAnsi="宋体" w:eastAsia="宋体" w:cs="宋体"/>
          <w:bCs/>
          <w:color w:val="auto"/>
          <w:highlight w:val="none"/>
          <w:shd w:val="clear" w:color="auto" w:fill="auto"/>
          <w:lang w:eastAsia="zh-CN"/>
        </w:rPr>
        <w:t>《财政支出绩效评价管理暂行办法》（财预〔20</w:t>
      </w:r>
      <w:r>
        <w:rPr>
          <w:rFonts w:hint="eastAsia" w:ascii="宋体" w:hAnsi="宋体" w:eastAsia="宋体" w:cs="宋体"/>
          <w:bCs/>
          <w:color w:val="auto"/>
          <w:highlight w:val="none"/>
          <w:shd w:val="clear" w:color="auto" w:fill="auto"/>
          <w:lang w:val="en-US" w:eastAsia="zh-CN"/>
        </w:rPr>
        <w:t>20</w:t>
      </w:r>
      <w:r>
        <w:rPr>
          <w:rFonts w:hint="eastAsia" w:ascii="宋体" w:hAnsi="宋体" w:eastAsia="宋体" w:cs="宋体"/>
          <w:bCs/>
          <w:color w:val="auto"/>
          <w:highlight w:val="none"/>
          <w:shd w:val="clear" w:color="auto" w:fill="auto"/>
          <w:lang w:eastAsia="zh-CN"/>
        </w:rPr>
        <w:t>〕</w:t>
      </w:r>
      <w:r>
        <w:rPr>
          <w:rFonts w:hint="eastAsia" w:ascii="宋体" w:hAnsi="宋体" w:eastAsia="宋体" w:cs="宋体"/>
          <w:bCs/>
          <w:color w:val="auto"/>
          <w:highlight w:val="none"/>
          <w:shd w:val="clear" w:color="auto" w:fill="auto"/>
          <w:lang w:val="en-US" w:eastAsia="zh-CN"/>
        </w:rPr>
        <w:t>10</w:t>
      </w:r>
      <w:r>
        <w:rPr>
          <w:rFonts w:hint="eastAsia" w:ascii="宋体" w:hAnsi="宋体" w:eastAsia="宋体" w:cs="宋体"/>
          <w:bCs/>
          <w:color w:val="auto"/>
          <w:highlight w:val="none"/>
          <w:shd w:val="clear" w:color="auto" w:fill="auto"/>
          <w:lang w:eastAsia="zh-CN"/>
        </w:rPr>
        <w:t>号）</w:t>
      </w:r>
      <w:r>
        <w:rPr>
          <w:rFonts w:hint="eastAsia" w:ascii="宋体" w:hAnsi="宋体" w:eastAsia="宋体" w:cs="宋体"/>
          <w:color w:val="auto"/>
          <w:highlight w:val="none"/>
          <w:shd w:val="clear" w:color="auto" w:fill="auto"/>
          <w:lang w:eastAsia="zh-CN"/>
        </w:rPr>
        <w:t>、《自治区党委自治区人民政府关于全面实施预算绩效管理的实施意见》（新党发〔2018〕30号）、《自治区财政支出绩效评价管理暂行办法》（新财预〔2018〕189号）</w:t>
      </w:r>
      <w:r>
        <w:rPr>
          <w:rFonts w:hint="eastAsia" w:ascii="宋体" w:hAnsi="宋体" w:eastAsia="宋体" w:cs="宋体"/>
          <w:color w:val="auto"/>
          <w:highlight w:val="none"/>
          <w:shd w:val="clear" w:color="auto" w:fill="auto"/>
          <w:lang w:val="en-US" w:eastAsia="zh-CN"/>
        </w:rPr>
        <w:t>等</w:t>
      </w:r>
      <w:r>
        <w:rPr>
          <w:rFonts w:hint="eastAsia" w:ascii="宋体" w:hAnsi="宋体" w:eastAsia="宋体" w:cs="宋体"/>
          <w:color w:val="auto"/>
          <w:highlight w:val="none"/>
          <w:shd w:val="clear" w:color="auto" w:fill="auto"/>
          <w:lang w:eastAsia="zh-CN"/>
        </w:rPr>
        <w:t>要求，本次绩效评价秉承科学规范、公正公开、分级分类、绩效相关等原则，按照从投入、过程到产出效果和影响的绩效逻辑路径，结合</w:t>
      </w:r>
      <w:r>
        <w:rPr>
          <w:rFonts w:hint="eastAsia" w:cs="宋体"/>
          <w:color w:val="auto"/>
          <w:highlight w:val="none"/>
          <w:shd w:val="clear" w:color="auto" w:fill="auto"/>
          <w:lang w:val="en-US" w:eastAsia="zh-CN"/>
        </w:rPr>
        <w:t>购买服务（商贸城保安工资）</w:t>
      </w:r>
      <w:r>
        <w:rPr>
          <w:rFonts w:hint="eastAsia" w:ascii="宋体" w:hAnsi="宋体" w:eastAsia="宋体" w:cs="宋体"/>
          <w:color w:val="auto"/>
          <w:highlight w:val="none"/>
          <w:shd w:val="clear" w:color="auto" w:fill="auto"/>
          <w:lang w:eastAsia="zh-CN"/>
        </w:rPr>
        <w:t>项目实际开展情况，运用定量和定性分析相结合的方法，总结经验做法，反思项目实施和管理中的问题，以切实提升财政资金管理的科学化、规范化和精细化水平。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根据以上原则，绩效评价应遵循如下要求：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（一）科学公正。绩效评价应当运用科学合理的方法，按照规范的程序，对项目绩效进行客观、公正的反映。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（二）统筹兼顾。单位自评、部门评价和财政评价应职责明确，各有侧重，相互衔接。单位自评应由项目单位自主实施，即“谁支出、谁自评”。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（三）激励约束。绩效评价结果应与预算安排、政策调整、改进管理实质性挂钩，体现奖优罚劣和激励相容导向，有效要安排、低效要压减、无效要问责。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eastAsia="zh-CN"/>
        </w:rPr>
      </w:pPr>
      <w:r>
        <w:rPr>
          <w:rFonts w:hint="eastAsia" w:ascii="宋体" w:hAnsi="宋体" w:eastAsia="宋体" w:cs="宋体"/>
          <w:color w:val="auto"/>
          <w:highlight w:val="none"/>
          <w:shd w:val="clear" w:color="auto" w:fill="auto"/>
          <w:lang w:eastAsia="zh-CN"/>
        </w:rPr>
        <w:t>（四）公开透明。绩效评价结果应依法依规公开，并自觉接受社会监督。</w:t>
      </w:r>
    </w:p>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eastAsia="zh-CN"/>
        </w:rPr>
      </w:pPr>
      <w:bookmarkStart w:id="8" w:name="_Toc419984722"/>
      <w:bookmarkStart w:id="9" w:name="_Toc26131"/>
      <w:bookmarkStart w:id="10" w:name="_Toc1913"/>
      <w:bookmarkStart w:id="11" w:name="_Toc428278230"/>
      <w:r>
        <w:rPr>
          <w:rFonts w:hint="eastAsia" w:ascii="宋体" w:hAnsi="宋体" w:eastAsia="宋体" w:cs="宋体"/>
          <w:color w:val="auto"/>
          <w:highlight w:val="none"/>
          <w:shd w:val="clear" w:color="auto" w:fill="auto"/>
          <w:lang w:val="en-US" w:eastAsia="zh-CN"/>
        </w:rPr>
        <w:t>2.</w:t>
      </w:r>
      <w:r>
        <w:rPr>
          <w:rFonts w:hint="eastAsia" w:ascii="宋体" w:hAnsi="宋体" w:eastAsia="宋体" w:cs="宋体"/>
          <w:color w:val="auto"/>
          <w:highlight w:val="none"/>
          <w:shd w:val="clear" w:color="auto" w:fill="auto"/>
          <w:lang w:eastAsia="zh-CN"/>
        </w:rPr>
        <w:t>绩效评价指标体系及绩效评价</w:t>
      </w:r>
      <w:bookmarkEnd w:id="8"/>
      <w:bookmarkEnd w:id="9"/>
      <w:bookmarkEnd w:id="10"/>
      <w:bookmarkEnd w:id="11"/>
      <w:r>
        <w:rPr>
          <w:rFonts w:hint="eastAsia" w:ascii="宋体" w:hAnsi="宋体" w:eastAsia="宋体" w:cs="宋体"/>
          <w:color w:val="auto"/>
          <w:highlight w:val="none"/>
          <w:shd w:val="clear" w:color="auto" w:fill="auto"/>
          <w:lang w:val="en-US" w:eastAsia="zh-CN"/>
        </w:rPr>
        <w:t>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我单位</w:t>
      </w:r>
      <w:r>
        <w:rPr>
          <w:rFonts w:hint="eastAsia" w:ascii="宋体" w:hAnsi="宋体" w:eastAsia="宋体" w:cs="宋体"/>
          <w:color w:val="auto"/>
          <w:highlight w:val="none"/>
          <w:shd w:val="clear" w:color="auto" w:fill="auto"/>
          <w:lang w:val="zh-TW" w:eastAsia="zh-TW"/>
        </w:rPr>
        <w:t>根据项目的</w:t>
      </w:r>
      <w:r>
        <w:rPr>
          <w:rFonts w:hint="eastAsia" w:ascii="宋体" w:hAnsi="宋体" w:eastAsia="宋体" w:cs="宋体"/>
          <w:color w:val="auto"/>
          <w:highlight w:val="none"/>
          <w:shd w:val="clear" w:color="auto" w:fill="auto"/>
          <w:lang w:val="en-US" w:eastAsia="zh-CN"/>
        </w:rPr>
        <w:t>实施</w:t>
      </w:r>
      <w:r>
        <w:rPr>
          <w:rFonts w:hint="eastAsia" w:ascii="宋体" w:hAnsi="宋体" w:eastAsia="宋体" w:cs="宋体"/>
          <w:color w:val="auto"/>
          <w:highlight w:val="none"/>
          <w:shd w:val="clear" w:color="auto" w:fill="auto"/>
          <w:lang w:val="zh-TW" w:eastAsia="zh-TW"/>
        </w:rPr>
        <w:t>资料研读及前期调研，结合项目的实际开展情况，将项目的指标体系进行了调整和完善</w:t>
      </w:r>
      <w:r>
        <w:rPr>
          <w:rFonts w:hint="eastAsia" w:ascii="宋体" w:hAnsi="宋体" w:eastAsia="宋体" w:cs="宋体"/>
          <w:color w:val="auto"/>
          <w:highlight w:val="none"/>
          <w:shd w:val="clear" w:color="auto" w:fill="auto"/>
          <w:lang w:val="zh-TW" w:eastAsia="zh-CN"/>
        </w:rPr>
        <w:t>，</w:t>
      </w:r>
      <w:r>
        <w:rPr>
          <w:rFonts w:hint="eastAsia" w:ascii="宋体" w:hAnsi="宋体" w:eastAsia="宋体" w:cs="宋体"/>
          <w:color w:val="auto"/>
          <w:highlight w:val="none"/>
          <w:shd w:val="clear" w:color="auto" w:fill="auto"/>
          <w:lang w:val="zh-TW" w:eastAsia="zh-TW"/>
        </w:rPr>
        <w:t>最终形成了项目绩效评价指标体系</w:t>
      </w:r>
      <w:r>
        <w:rPr>
          <w:rFonts w:hint="eastAsia" w:ascii="宋体" w:hAnsi="宋体" w:eastAsia="宋体" w:cs="宋体"/>
          <w:color w:val="auto"/>
          <w:highlight w:val="none"/>
          <w:shd w:val="clear" w:color="auto" w:fill="auto"/>
          <w:lang w:val="zh-TW" w:eastAsia="zh-CN"/>
        </w:rPr>
        <w:t>，</w:t>
      </w:r>
      <w:r>
        <w:rPr>
          <w:rFonts w:hint="eastAsia" w:ascii="宋体" w:hAnsi="宋体" w:eastAsia="宋体" w:cs="宋体"/>
          <w:color w:val="auto"/>
          <w:highlight w:val="none"/>
          <w:shd w:val="clear" w:color="auto" w:fill="auto"/>
          <w:lang w:val="en-US" w:eastAsia="zh-CN"/>
        </w:rPr>
        <w:t>指标体系结构如下：</w:t>
      </w:r>
    </w:p>
    <w:tbl>
      <w:tblPr>
        <w:tblStyle w:val="10"/>
        <w:tblW w:w="867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42"/>
        <w:gridCol w:w="1196"/>
        <w:gridCol w:w="1050"/>
        <w:gridCol w:w="1996"/>
        <w:gridCol w:w="37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tblHeader/>
          <w:jc w:val="center"/>
        </w:trPr>
        <w:tc>
          <w:tcPr>
            <w:tcW w:w="642"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一级指标</w:t>
            </w: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二级指标</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三级指标</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指标解释</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rPr>
            </w:pPr>
            <w:r>
              <w:rPr>
                <w:rFonts w:hint="eastAsia" w:ascii="宋体" w:hAnsi="宋体" w:eastAsia="宋体" w:cs="宋体"/>
                <w:b/>
                <w:bCs/>
                <w:color w:val="auto"/>
                <w:kern w:val="0"/>
                <w:sz w:val="20"/>
                <w:szCs w:val="20"/>
                <w:highlight w:val="none"/>
                <w:shd w:val="clear" w:color="auto" w:fill="auto"/>
              </w:rPr>
              <w:t>指标说明</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044"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决策</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立项依据</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充分性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项目立项是否符合法律法规、相关政策、发展规划以及部门职责，用以反映和考核项目立项依据情况。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①项目立项是否符合国家法律法规、国民经济发展规划和相关政策；</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②项目立项是否符合行业发展规划和政策要求；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③项目立项是否与部门职责范围相符，属于部门履职所需；</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④项目是否属于公共财政支持范围，是否符合中央、地方事权支出责任划分原则；</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⑤项目是否与相关部门同类项目或部门内部相关项目重复。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94"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立项程序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规范性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项目申请、设立过程是否符合相关要求，用以反映和考核项目立项的规范情况。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①项目是否按照规定的程序申请设立；</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②审批文件、材料是否符合相关要求；</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③事前是否已经过必要的可行性研究、专家论证、风险评估、绩效评估、集体决策。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768"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项目所设定的绩效目标是否依据充分，是否符合客观实际，用以反映和考核项目绩效目标与项目实施的相符情况。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（如未设定预算绩效目标，也可考核其他工作任务目标）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①项目是否有绩效目标；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②项目绩效目标与实际工作内容是否具有相关性；</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③项目预期产出效益和效果是否符合正常的业绩水平；</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④是否与预算确定的项目投资额或资金量相匹配。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4"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决策</w:t>
            </w: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绩效目标</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明确性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依据绩效目标设定的绩效指标是否清晰、细化、可衡量等，用以反映和考核项目绩效目标的明细化情况。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①是否将项目绩效目标细化分解为具体的绩效指标；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②是否通过清晰、可衡量的指标值予以体现；</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③是否与项目目标任务数或计划数相对应。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4"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资金投入</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科学性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项目预算编制是否经过科学论证、有明确标准，资金额度与年度目标是否相适应，用以反映和考核项目预算编制的科学性、合理性情况。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①预算编制是否经过科学论证；</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②预算内容与项目内容是否匹配；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③预算额度测算依据是否充分，是否按照标准编制；</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④预算确定的项目投资额或资金量是否与工作任务相匹配。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177"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资金分配</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合理性</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项目预算资金分配是否有测算依据，与补助单位或地方实际是否相适应，用以反映和考核项目预算资金分配的科学性、合理性情况。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①预算资金分配依据是否充分；</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②资金分配额度是否合理，与项目单位或地方实际是否相适应。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restart"/>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过程</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资金管理</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实际到位资金与预算资金的比率，用以反映和考核资金落实情况对项目实施的总体保障程度。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资金到位率=（实际到位资金/预算资金）×100%。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实际到位资金：一定时期（本年度或项目期）内落实到具体项目的资金。</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预算资金：一定时期（本年度或项目期）内预算安排到具体项目的资金。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20"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预算执行率</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项目预算资金是否按照计划执行，用以反映或考核项目预算执行情况。</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预算执行率=（实际支出资金/实际到位资金）×100%。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实际支出资金：一定时期（本年度或项目期）内项目实际拨付的资金。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494"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资金管理</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资金使用</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合规性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项目资金使用是否符合相关的财务管理制度规定，用以反映和考核项目资金的规范运行情况。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①是否符合国家财经法规和财务管理制度以及有关专项资金管理办法的规定；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②资金的拨付是否有完整的审批程序和手续；</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③是否符合项目预算批复或合同规定的用途；</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④是否存在截留、挤占、挪用、虚列支出等情况。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组织实施</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健全性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项目实施单位的财务和业务管理制度是否健全，用以反映和考核财务和业务管理制度对项目顺利实施的保障情况。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①是否已制定或具有相应的财务和业务管理制度；</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②财务和业务管理制度是否合法、合规、完整。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制度执行</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有效性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项目实施是否符合相关管理规定，用以反映和考核相关管理制度的有效执行情况。</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lang w:eastAsia="zh-CN"/>
              </w:rPr>
              <w:t>评价标准</w:t>
            </w:r>
            <w:r>
              <w:rPr>
                <w:rFonts w:hint="eastAsia" w:ascii="宋体" w:hAnsi="宋体" w:eastAsia="宋体" w:cs="宋体"/>
                <w:color w:val="auto"/>
                <w:kern w:val="0"/>
                <w:sz w:val="20"/>
                <w:szCs w:val="20"/>
                <w:highlight w:val="none"/>
                <w:shd w:val="clear" w:color="auto" w:fill="auto"/>
              </w:rPr>
              <w:t>：</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①是否遵守相关法律法规和相关管理规定；</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②项目调整及支出调整手续是否完备；</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③项目合同书、验收报告、技术鉴定等资料是否齐全并及时归档；</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④项目实施的人员条件、场地设备、信息支撑等是否落实到位。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w:t>
            </w: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产出数量</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实际完成率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项目实施的实际产出数与计划产出数的比率，用以反映和考核项目产出数量目标的实现程度。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实际完成率=（实际产出数/计划产出数）×100%。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实际产出数：一定时期（本年度或项目期）内项目实际产出的产品或提供的服务数量。</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计划产出数：项目绩效目标确定的在一定时期（本年度或项目期）内计划产出的产品或提供的服务数量。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21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产出质量</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项目完成的质量达标产出数与实际产出数的比率，用以反映和考核项目产出质量目标的实现程度。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质量达标率=（质量达标产出数/实际产出数）×100%。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70" w:hRule="atLeast"/>
          <w:jc w:val="center"/>
        </w:trPr>
        <w:tc>
          <w:tcPr>
            <w:tcW w:w="642" w:type="dxa"/>
            <w:vMerge w:val="continue"/>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产出时效</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完成及时性</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项目实际完成时间与计划完成时间的比较，用以反映和考核项目产出时效目标的实现程度。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实际完成时间：项目实施单位完成该项目实际所耗用的时间。</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计划完成时间：按照项目实施计划或相关规定完成该项目所需的时间。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69"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产出成本</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成本节约率</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完成项目计划工作目标的实际节约成本与计划成本的比率，用以反映和考核项目的成本节约程度。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成本节约率=[（计划成本-实际成本）/计划成本]×100%。</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lang w:eastAsia="zh-CN"/>
              </w:rPr>
            </w:pPr>
            <w:r>
              <w:rPr>
                <w:rFonts w:hint="eastAsia" w:ascii="宋体" w:hAnsi="宋体" w:eastAsia="宋体" w:cs="宋体"/>
                <w:color w:val="auto"/>
                <w:kern w:val="0"/>
                <w:sz w:val="20"/>
                <w:szCs w:val="20"/>
                <w:highlight w:val="none"/>
                <w:shd w:val="clear" w:color="auto" w:fill="auto"/>
              </w:rPr>
              <w:t>实际成本：项目实施单位如期、保质、保量完成既定工作目标实际所耗费的支出。</w:t>
            </w:r>
          </w:p>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计划成本：项目实施单位为完成工作目标计划安排的支出，一般以项目预算为参考。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45" w:hRule="atLeast"/>
          <w:jc w:val="center"/>
        </w:trPr>
        <w:tc>
          <w:tcPr>
            <w:tcW w:w="64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效益</w:t>
            </w:r>
          </w:p>
        </w:tc>
        <w:tc>
          <w:tcPr>
            <w:tcW w:w="1196"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项目效益</w:t>
            </w: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实施效益</w:t>
            </w:r>
          </w:p>
        </w:tc>
        <w:tc>
          <w:tcPr>
            <w:tcW w:w="1996"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项目实施所产生的效益。</w:t>
            </w:r>
          </w:p>
        </w:tc>
        <w:tc>
          <w:tcPr>
            <w:tcW w:w="3793"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项目实施所产生的社会效益、经济效益、生态效益、可持续影响等。可根据项目实际情况有选择地设置和细化。</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66" w:hRule="atLeast"/>
          <w:jc w:val="center"/>
        </w:trPr>
        <w:tc>
          <w:tcPr>
            <w:tcW w:w="64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196"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p>
        </w:tc>
        <w:tc>
          <w:tcPr>
            <w:tcW w:w="1050"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满意度</w:t>
            </w:r>
          </w:p>
        </w:tc>
        <w:tc>
          <w:tcPr>
            <w:tcW w:w="1996"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社会公众或服务对象对项目实施效果的满意程度。</w:t>
            </w:r>
          </w:p>
        </w:tc>
        <w:tc>
          <w:tcPr>
            <w:tcW w:w="3793"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textAlignment w:val="auto"/>
              <w:rPr>
                <w:rFonts w:hint="eastAsia" w:ascii="宋体" w:hAnsi="宋体" w:eastAsia="宋体" w:cs="宋体"/>
                <w:color w:val="auto"/>
                <w:kern w:val="0"/>
                <w:sz w:val="20"/>
                <w:szCs w:val="20"/>
                <w:highlight w:val="none"/>
                <w:shd w:val="clear" w:color="auto" w:fill="auto"/>
              </w:rPr>
            </w:pPr>
            <w:r>
              <w:rPr>
                <w:rFonts w:hint="eastAsia" w:ascii="宋体" w:hAnsi="宋体" w:eastAsia="宋体" w:cs="宋体"/>
                <w:color w:val="auto"/>
                <w:kern w:val="0"/>
                <w:sz w:val="20"/>
                <w:szCs w:val="20"/>
                <w:highlight w:val="none"/>
                <w:shd w:val="clear" w:color="auto" w:fill="auto"/>
              </w:rPr>
              <w:t>社会公众或服务对象是指因该项目实施而受到影响的部门（单位）、群体或个人。一般采取社会调查的方式。</w:t>
            </w:r>
          </w:p>
        </w:tc>
      </w:tr>
    </w:tbl>
    <w:p>
      <w:pPr>
        <w:pStyle w:val="5"/>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w:t>
      </w:r>
      <w:r>
        <w:rPr>
          <w:rFonts w:hint="eastAsia" w:ascii="宋体" w:hAnsi="宋体" w:eastAsia="宋体" w:cs="宋体"/>
          <w:color w:val="auto"/>
          <w:highlight w:val="none"/>
          <w:shd w:val="clear" w:color="auto" w:fill="auto"/>
        </w:rPr>
        <w:t>评价</w:t>
      </w:r>
      <w:r>
        <w:rPr>
          <w:rFonts w:hint="eastAsia" w:ascii="宋体" w:hAnsi="宋体" w:eastAsia="宋体" w:cs="宋体"/>
          <w:color w:val="auto"/>
          <w:highlight w:val="none"/>
          <w:shd w:val="clear" w:color="auto" w:fill="auto"/>
          <w:lang w:val="en-US" w:eastAsia="zh-CN"/>
        </w:rPr>
        <w:t>方法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rPr>
        <w:t>本次绩效评价采用的方法比较法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en-US" w:eastAsia="zh-CN"/>
        </w:rPr>
        <w:t>对项目绩效目标预期指标值与实施情况进行比较，以及采取公众问卷及抽样调查等方式进行评判的方法对</w:t>
      </w:r>
      <w:r>
        <w:rPr>
          <w:rFonts w:hint="eastAsia" w:ascii="宋体" w:hAnsi="宋体" w:eastAsia="宋体" w:cs="宋体"/>
          <w:color w:val="auto"/>
          <w:sz w:val="28"/>
          <w:szCs w:val="28"/>
          <w:lang w:val="en-US" w:eastAsia="zh-CN"/>
        </w:rPr>
        <w:t>石英砂地质勘查</w:t>
      </w:r>
      <w:r>
        <w:rPr>
          <w:rFonts w:hint="eastAsia" w:ascii="宋体" w:hAnsi="宋体" w:eastAsia="宋体" w:cs="宋体"/>
          <w:color w:val="auto"/>
          <w:highlight w:val="none"/>
          <w:shd w:val="clear" w:color="auto" w:fill="auto"/>
          <w:lang w:val="en-US" w:eastAsia="zh-CN"/>
        </w:rPr>
        <w:t>项目进行评价。</w:t>
      </w:r>
    </w:p>
    <w:p>
      <w:pPr>
        <w:pStyle w:val="5"/>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（1）计划标准。指以预先制定的目标、计划、预算、定额等作为评价标准。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（2）行业标准。指参照国家公布的行业指标数据制定的评价标准。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（3）历史标准。指参照历史数据制定的评价标准，为体现绩效改进的原则，在可实现的条件下应当确定相对较高的评价标准。</w:t>
      </w:r>
    </w:p>
    <w:p>
      <w:pPr>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（4）财政部门和预算部门确认或认可的其他标准。</w:t>
      </w:r>
    </w:p>
    <w:p>
      <w:pPr>
        <w:pStyle w:val="5"/>
        <w:rPr>
          <w:rFonts w:hint="default"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（三）绩效评价工作过程</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1.前期准备</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（1）成立绩效评价项目小组</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为确保该项目绩效评价的顺利实施，评价机构组建了绩效评价项目小组。项目小组负责建立联络制度、明确评价责任人、制定评价方案、实施具体评价等工作。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（2）开展前期调研</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据此次绩效评价受委托内容，对拟评价的项目实施前期调研。通过调研对购买服务（商贸城保安工资）项目实施内容、目标信息、预算信息以及其他的一些项目基本信息，有了初步了解，为制定绩效评价工作方案做好准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（3）制订绩效评价工作方案</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绩效评价项目小组根据有关规定和评价对象的特点以及前期调研收集的一些信息，拟定详细的绩效评价工作方案，报经批准后实施。工作方案的主要内容包括：</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①评价工作的计划安排。包括评价工作的总体起始时间，每个实施阶段的具体工作任务及具体实施时间等。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②拟采用的评价方法。详细说明拟采用的评价方法，并对评价方法的运用作出明细规定。</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③评价依据。绩效</w:t>
      </w:r>
      <w:r>
        <w:rPr>
          <w:rFonts w:hint="eastAsia" w:ascii="宋体" w:hAnsi="宋体" w:cs="宋体"/>
          <w:b w:val="0"/>
          <w:bCs w:val="0"/>
          <w:color w:val="auto"/>
          <w:kern w:val="2"/>
          <w:sz w:val="28"/>
          <w:szCs w:val="24"/>
          <w:highlight w:val="none"/>
          <w:shd w:val="clear" w:color="auto" w:fill="auto"/>
          <w:lang w:val="en-US" w:eastAsia="zh-CN" w:bidi="ar-SA"/>
        </w:rPr>
        <w:t>自评</w:t>
      </w:r>
      <w:r>
        <w:rPr>
          <w:rFonts w:hint="eastAsia" w:ascii="宋体" w:hAnsi="宋体" w:eastAsia="宋体" w:cs="宋体"/>
          <w:b w:val="0"/>
          <w:bCs w:val="0"/>
          <w:color w:val="auto"/>
          <w:kern w:val="2"/>
          <w:sz w:val="28"/>
          <w:szCs w:val="24"/>
          <w:highlight w:val="none"/>
          <w:shd w:val="clear" w:color="auto" w:fill="auto"/>
          <w:lang w:val="en-US" w:eastAsia="zh-CN" w:bidi="ar-SA"/>
        </w:rPr>
        <w:t>工作开展所依据的主要内容。</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2.具体实施</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（1）收集基础资料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根据评价工作的需要和要求，在前期调研的基础上，通过多种渠道全面收集项目基础信息资料，主要包括：</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①被评价单位基本概况，如单位职能、事业发展规划、预决算情况、项目立项依据等；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②绩效目标及其设立依据和调整情况；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③管理措施及组织实施情况；</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④被评价单位总结分析的绩效目标完成情况及绩效报告；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⑤与绩效评价相关的计划标准、行业标准、历史标准等；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⑥审计报告；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⑦其他必要的相关资料等。</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（2）整理、研读基础资料</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对收集的基础资料进行分类整理、研读，并对所收集的资料进行核实和全面分析。通过基础资料的整理、研读，了解被评价对象的具体情况，分析被评价对象可能存在的问题，根据工作需要确定实地核查的内容，为现场核查做好准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default"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3.</w:t>
      </w:r>
      <w:r>
        <w:rPr>
          <w:rFonts w:hint="eastAsia" w:ascii="宋体" w:hAnsi="宋体" w:cs="宋体"/>
          <w:b w:val="0"/>
          <w:bCs w:val="0"/>
          <w:color w:val="auto"/>
          <w:kern w:val="2"/>
          <w:sz w:val="28"/>
          <w:szCs w:val="24"/>
          <w:highlight w:val="none"/>
          <w:shd w:val="clear" w:color="auto" w:fill="auto"/>
          <w:lang w:val="en-US" w:eastAsia="zh-CN" w:bidi="ar-SA"/>
        </w:rPr>
        <w:t>分析评价和撰写报告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b w:val="0"/>
          <w:bCs w:val="0"/>
          <w:color w:val="auto"/>
          <w:sz w:val="28"/>
          <w:szCs w:val="28"/>
          <w:highlight w:val="none"/>
        </w:rPr>
        <w:t>（</w:t>
      </w:r>
      <w:r>
        <w:rPr>
          <w:rFonts w:hint="eastAsia" w:ascii="宋体" w:hAnsi="宋体" w:cs="宋体"/>
          <w:b w:val="0"/>
          <w:bCs w:val="0"/>
          <w:color w:val="auto"/>
          <w:kern w:val="2"/>
          <w:sz w:val="28"/>
          <w:szCs w:val="28"/>
          <w:highlight w:val="none"/>
          <w:shd w:val="clear" w:color="auto" w:fill="auto"/>
          <w:lang w:val="en-US" w:eastAsia="zh-CN" w:bidi="ar-SA"/>
        </w:rPr>
        <w:t>1</w:t>
      </w:r>
      <w:r>
        <w:rPr>
          <w:rFonts w:hint="eastAsia" w:ascii="宋体" w:hAnsi="宋体" w:eastAsia="宋体" w:cs="宋体"/>
          <w:b w:val="0"/>
          <w:bCs w:val="0"/>
          <w:color w:val="auto"/>
          <w:kern w:val="2"/>
          <w:sz w:val="28"/>
          <w:szCs w:val="28"/>
          <w:highlight w:val="none"/>
          <w:shd w:val="clear" w:color="auto" w:fill="auto"/>
          <w:lang w:val="en-US" w:eastAsia="zh-CN" w:bidi="ar-SA"/>
        </w:rPr>
        <w:t>）综合分析评价</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8"/>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①根据所收集的基础资料，结合现场核查的有关情况，整理出绩效评价所需的项目材料和基础数据。</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bCs/>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8"/>
          <w:highlight w:val="none"/>
          <w:shd w:val="clear" w:color="auto" w:fill="auto"/>
          <w:lang w:val="en-US" w:eastAsia="zh-CN" w:bidi="ar-SA"/>
        </w:rPr>
        <w:t>②将初步评价结论、调整</w:t>
      </w:r>
      <w:r>
        <w:rPr>
          <w:rFonts w:hint="eastAsia" w:ascii="宋体" w:hAnsi="宋体" w:eastAsia="宋体" w:cs="宋体"/>
          <w:b w:val="0"/>
          <w:bCs w:val="0"/>
          <w:color w:val="auto"/>
          <w:kern w:val="2"/>
          <w:sz w:val="28"/>
          <w:szCs w:val="24"/>
          <w:highlight w:val="none"/>
          <w:shd w:val="clear" w:color="auto" w:fill="auto"/>
          <w:lang w:val="en-US" w:eastAsia="zh-CN" w:bidi="ar-SA"/>
        </w:rPr>
        <w:t>事项、专家咨询意见和有关说明等</w:t>
      </w:r>
      <w:r>
        <w:rPr>
          <w:rFonts w:hint="eastAsia" w:ascii="宋体" w:hAnsi="宋体" w:cs="宋体"/>
          <w:b w:val="0"/>
          <w:bCs w:val="0"/>
          <w:color w:val="auto"/>
          <w:kern w:val="2"/>
          <w:sz w:val="28"/>
          <w:szCs w:val="24"/>
          <w:highlight w:val="none"/>
          <w:shd w:val="clear" w:color="auto" w:fill="auto"/>
          <w:lang w:val="en-US" w:eastAsia="zh-CN" w:bidi="ar-SA"/>
        </w:rPr>
        <w:t>提交单位内部讨论</w:t>
      </w:r>
      <w:r>
        <w:rPr>
          <w:rFonts w:hint="eastAsia" w:ascii="宋体" w:hAnsi="宋体" w:eastAsia="宋体" w:cs="宋体"/>
          <w:b w:val="0"/>
          <w:bCs w:val="0"/>
          <w:color w:val="auto"/>
          <w:kern w:val="2"/>
          <w:sz w:val="28"/>
          <w:szCs w:val="24"/>
          <w:highlight w:val="none"/>
          <w:shd w:val="clear" w:color="auto" w:fill="auto"/>
          <w:lang w:val="en-US" w:eastAsia="zh-CN" w:bidi="ar-SA"/>
        </w:rPr>
        <w:t>并征求意见。之后，对所征求的意见及时地进行收集和整理。</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w:t>
      </w:r>
      <w:r>
        <w:rPr>
          <w:rFonts w:hint="eastAsia" w:ascii="宋体" w:hAnsi="宋体" w:cs="宋体"/>
          <w:b w:val="0"/>
          <w:bCs w:val="0"/>
          <w:color w:val="auto"/>
          <w:kern w:val="2"/>
          <w:sz w:val="28"/>
          <w:szCs w:val="24"/>
          <w:highlight w:val="none"/>
          <w:shd w:val="clear" w:color="auto" w:fill="auto"/>
          <w:lang w:val="en-US" w:eastAsia="zh-CN" w:bidi="ar-SA"/>
        </w:rPr>
        <w:t>2</w:t>
      </w:r>
      <w:r>
        <w:rPr>
          <w:rFonts w:hint="eastAsia" w:ascii="宋体" w:hAnsi="宋体" w:eastAsia="宋体" w:cs="宋体"/>
          <w:b w:val="0"/>
          <w:bCs w:val="0"/>
          <w:color w:val="auto"/>
          <w:kern w:val="2"/>
          <w:sz w:val="28"/>
          <w:szCs w:val="24"/>
          <w:highlight w:val="none"/>
          <w:shd w:val="clear" w:color="auto" w:fill="auto"/>
          <w:lang w:val="en-US" w:eastAsia="zh-CN" w:bidi="ar-SA"/>
        </w:rPr>
        <w:t>）撰写报告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60" w:lineRule="auto"/>
        <w:jc w:val="both"/>
        <w:textAlignment w:val="auto"/>
        <w:outlineLvl w:val="9"/>
        <w:rPr>
          <w:rFonts w:hint="eastAsia" w:ascii="宋体" w:hAnsi="宋体" w:eastAsia="宋体" w:cs="宋体"/>
          <w:b w:val="0"/>
          <w:bCs w:val="0"/>
          <w:color w:val="auto"/>
          <w:kern w:val="2"/>
          <w:sz w:val="28"/>
          <w:szCs w:val="24"/>
          <w:highlight w:val="none"/>
          <w:shd w:val="clear" w:color="auto" w:fill="auto"/>
          <w:lang w:val="en-US" w:eastAsia="zh-CN" w:bidi="ar-SA"/>
        </w:rPr>
      </w:pPr>
      <w:r>
        <w:rPr>
          <w:rFonts w:hint="eastAsia" w:ascii="宋体" w:hAnsi="宋体" w:eastAsia="宋体" w:cs="宋体"/>
          <w:b w:val="0"/>
          <w:bCs w:val="0"/>
          <w:color w:val="auto"/>
          <w:kern w:val="2"/>
          <w:sz w:val="28"/>
          <w:szCs w:val="24"/>
          <w:highlight w:val="none"/>
          <w:shd w:val="clear" w:color="auto" w:fill="auto"/>
          <w:lang w:val="en-US" w:eastAsia="zh-CN" w:bidi="ar-SA"/>
        </w:rPr>
        <w:t>绩效评价项目小组依照整理、分析后的项目材料、数据资料，依据评价形成的初步结论，按照既定的格式和内容要求撰写绩效评价初步报告，</w:t>
      </w:r>
      <w:r>
        <w:rPr>
          <w:rFonts w:hint="eastAsia" w:ascii="宋体" w:hAnsi="宋体" w:cs="宋体"/>
          <w:b w:val="0"/>
          <w:bCs w:val="0"/>
          <w:color w:val="auto"/>
          <w:kern w:val="2"/>
          <w:sz w:val="28"/>
          <w:szCs w:val="24"/>
          <w:highlight w:val="none"/>
          <w:shd w:val="clear" w:color="auto" w:fill="auto"/>
          <w:lang w:val="en-US" w:eastAsia="zh-CN" w:bidi="ar-SA"/>
        </w:rPr>
        <w:t>最终</w:t>
      </w:r>
      <w:r>
        <w:rPr>
          <w:rFonts w:hint="eastAsia" w:ascii="宋体" w:hAnsi="宋体" w:eastAsia="宋体" w:cs="宋体"/>
          <w:b w:val="0"/>
          <w:bCs w:val="0"/>
          <w:color w:val="auto"/>
          <w:kern w:val="2"/>
          <w:sz w:val="28"/>
          <w:szCs w:val="24"/>
          <w:highlight w:val="none"/>
          <w:shd w:val="clear" w:color="auto" w:fill="auto"/>
          <w:lang w:val="en-US" w:eastAsia="zh-CN" w:bidi="ar-SA"/>
        </w:rPr>
        <w:t>形成评价结果。</w:t>
      </w:r>
    </w:p>
    <w:p>
      <w:pPr>
        <w:pStyle w:val="3"/>
        <w:pageBreakBefore w:val="0"/>
        <w:numPr>
          <w:ilvl w:val="0"/>
          <w:numId w:val="3"/>
        </w:numPr>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综合评价情况及评价结论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highlight w:val="none"/>
          <w:shd w:val="clear" w:color="auto" w:fill="auto"/>
          <w:lang w:val="zh-TW" w:eastAsia="zh-TW"/>
        </w:rPr>
      </w:pPr>
      <w:r>
        <w:rPr>
          <w:rFonts w:hint="eastAsia" w:ascii="宋体" w:hAnsi="宋体" w:eastAsia="宋体" w:cs="宋体"/>
          <w:color w:val="auto"/>
          <w:highlight w:val="none"/>
          <w:shd w:val="clear" w:color="auto" w:fill="auto"/>
          <w:lang w:val="en-US" w:eastAsia="zh-CN"/>
        </w:rPr>
        <w:t>此次绩效评价</w:t>
      </w:r>
      <w:r>
        <w:rPr>
          <w:rFonts w:hint="eastAsia" w:ascii="宋体" w:hAnsi="宋体" w:eastAsia="宋体" w:cs="宋体"/>
          <w:color w:val="auto"/>
          <w:highlight w:val="none"/>
          <w:shd w:val="clear" w:color="auto" w:fill="auto"/>
          <w:lang w:val="zh-TW" w:eastAsia="zh-TW"/>
        </w:rPr>
        <w:t>通过组论证的评价指标体系及评分标准，</w:t>
      </w:r>
      <w:r>
        <w:rPr>
          <w:rFonts w:hint="eastAsia" w:ascii="宋体" w:hAnsi="宋体" w:eastAsia="宋体" w:cs="宋体"/>
          <w:color w:val="auto"/>
          <w:highlight w:val="none"/>
          <w:shd w:val="clear" w:color="auto" w:fill="auto"/>
        </w:rPr>
        <w:t>采用的方法比较法</w:t>
      </w:r>
      <w:r>
        <w:rPr>
          <w:rFonts w:hint="eastAsia" w:ascii="宋体" w:hAnsi="宋体" w:eastAsia="宋体" w:cs="宋体"/>
          <w:color w:val="auto"/>
          <w:highlight w:val="none"/>
          <w:shd w:val="clear" w:color="auto" w:fill="auto"/>
          <w:lang w:eastAsia="zh-CN"/>
        </w:rPr>
        <w:t>、因素分析法、公众评判法，</w:t>
      </w:r>
      <w:r>
        <w:rPr>
          <w:rFonts w:hint="eastAsia" w:ascii="宋体" w:hAnsi="宋体" w:eastAsia="宋体" w:cs="宋体"/>
          <w:color w:val="auto"/>
          <w:highlight w:val="none"/>
          <w:shd w:val="clear" w:color="auto" w:fill="auto"/>
          <w:lang w:val="zh-TW" w:eastAsia="zh-TW"/>
        </w:rPr>
        <w:t>对</w:t>
      </w:r>
      <w:r>
        <w:rPr>
          <w:rFonts w:hint="eastAsia" w:ascii="宋体" w:hAnsi="宋体" w:eastAsia="宋体" w:cs="宋体"/>
          <w:color w:val="auto"/>
          <w:sz w:val="28"/>
          <w:szCs w:val="28"/>
          <w:lang w:val="en-US" w:eastAsia="zh-CN"/>
        </w:rPr>
        <w:t>石英砂地质勘查</w:t>
      </w:r>
      <w:r>
        <w:rPr>
          <w:rFonts w:hint="eastAsia" w:ascii="宋体" w:hAnsi="宋体" w:eastAsia="宋体" w:cs="宋体"/>
          <w:color w:val="auto"/>
          <w:highlight w:val="none"/>
          <w:shd w:val="clear" w:color="auto" w:fill="auto"/>
          <w:lang w:eastAsia="zh-CN"/>
        </w:rPr>
        <w:t>项目</w:t>
      </w:r>
      <w:r>
        <w:rPr>
          <w:rFonts w:hint="eastAsia" w:ascii="宋体" w:hAnsi="宋体" w:eastAsia="宋体" w:cs="宋体"/>
          <w:color w:val="auto"/>
          <w:highlight w:val="none"/>
          <w:shd w:val="clear" w:color="auto" w:fill="auto"/>
          <w:lang w:val="zh-TW" w:eastAsia="zh-TW"/>
        </w:rPr>
        <w:t>绩效进行客观评价，最终评分结果：总分为</w:t>
      </w:r>
      <w:r>
        <w:rPr>
          <w:rFonts w:hint="eastAsia" w:cs="宋体"/>
          <w:color w:val="auto"/>
          <w:highlight w:val="none"/>
          <w:shd w:val="clear" w:color="auto" w:fill="auto"/>
          <w:lang w:val="en-US" w:eastAsia="zh-CN"/>
        </w:rPr>
        <w:t>97.18</w:t>
      </w:r>
      <w:r>
        <w:rPr>
          <w:rFonts w:hint="eastAsia" w:ascii="宋体" w:hAnsi="宋体" w:eastAsia="宋体" w:cs="宋体"/>
          <w:color w:val="auto"/>
          <w:highlight w:val="none"/>
          <w:shd w:val="clear" w:color="auto" w:fill="auto"/>
          <w:lang w:val="zh-TW" w:eastAsia="zh-TW"/>
        </w:rPr>
        <w:t>分，绩效评级为“</w:t>
      </w:r>
      <w:r>
        <w:rPr>
          <w:rFonts w:hint="eastAsia" w:cs="宋体"/>
          <w:color w:val="auto"/>
          <w:highlight w:val="none"/>
          <w:shd w:val="clear" w:color="auto" w:fill="auto"/>
          <w:lang w:val="en-US" w:eastAsia="zh-CN"/>
        </w:rPr>
        <w:t>优</w:t>
      </w:r>
      <w:r>
        <w:rPr>
          <w:rFonts w:hint="eastAsia" w:ascii="宋体" w:hAnsi="宋体" w:eastAsia="宋体" w:cs="宋体"/>
          <w:color w:val="auto"/>
          <w:highlight w:val="none"/>
          <w:shd w:val="clear" w:color="auto" w:fill="auto"/>
          <w:lang w:val="zh-TW" w:eastAsia="zh-TW"/>
        </w:rPr>
        <w:t>”。各部分权重和绩效</w:t>
      </w:r>
      <w:r>
        <w:rPr>
          <w:rFonts w:hint="eastAsia" w:ascii="宋体" w:hAnsi="宋体" w:eastAsia="宋体" w:cs="宋体"/>
          <w:color w:val="auto"/>
          <w:highlight w:val="none"/>
          <w:shd w:val="clear" w:color="auto" w:fill="auto"/>
          <w:lang w:val="en-US" w:eastAsia="zh-CN"/>
        </w:rPr>
        <w:t>汇总</w:t>
      </w:r>
      <w:r>
        <w:rPr>
          <w:rFonts w:hint="eastAsia" w:ascii="宋体" w:hAnsi="宋体" w:eastAsia="宋体" w:cs="宋体"/>
          <w:color w:val="auto"/>
          <w:highlight w:val="none"/>
          <w:shd w:val="clear" w:color="auto" w:fill="auto"/>
          <w:lang w:val="zh-TW" w:eastAsia="zh-TW"/>
        </w:rPr>
        <w:t>分值如下表所示：</w:t>
      </w:r>
    </w:p>
    <w:tbl>
      <w:tblPr>
        <w:tblStyle w:val="10"/>
        <w:tblW w:w="8289" w:type="dxa"/>
        <w:jc w:val="center"/>
        <w:shd w:val="clear" w:color="auto" w:fill="auto"/>
        <w:tblLayout w:type="fixed"/>
        <w:tblCellMar>
          <w:top w:w="0" w:type="dxa"/>
          <w:left w:w="0" w:type="dxa"/>
          <w:bottom w:w="0" w:type="dxa"/>
          <w:right w:w="0" w:type="dxa"/>
        </w:tblCellMar>
      </w:tblPr>
      <w:tblGrid>
        <w:gridCol w:w="1094"/>
        <w:gridCol w:w="1361"/>
        <w:gridCol w:w="1361"/>
        <w:gridCol w:w="1361"/>
        <w:gridCol w:w="1623"/>
        <w:gridCol w:w="1489"/>
      </w:tblGrid>
      <w:tr>
        <w:tblPrEx>
          <w:shd w:val="clear" w:color="auto" w:fill="auto"/>
          <w:tblCellMar>
            <w:top w:w="0" w:type="dxa"/>
            <w:left w:w="0" w:type="dxa"/>
            <w:bottom w:w="0" w:type="dxa"/>
            <w:right w:w="0" w:type="dxa"/>
          </w:tblCellMar>
        </w:tblPrEx>
        <w:trPr>
          <w:trHeight w:val="375" w:hRule="atLeast"/>
          <w:jc w:val="center"/>
        </w:trPr>
        <w:tc>
          <w:tcPr>
            <w:tcW w:w="828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4"/>
                <w:szCs w:val="24"/>
                <w:highlight w:val="none"/>
                <w:shd w:val="clear" w:color="auto" w:fill="auto"/>
              </w:rPr>
            </w:pPr>
            <w:r>
              <w:rPr>
                <w:rFonts w:hint="eastAsia" w:ascii="宋体" w:hAnsi="宋体" w:eastAsia="宋体" w:cs="宋体"/>
                <w:b/>
                <w:bCs/>
                <w:color w:val="auto"/>
                <w:kern w:val="0"/>
                <w:sz w:val="28"/>
                <w:szCs w:val="28"/>
                <w:highlight w:val="none"/>
                <w:shd w:val="clear" w:color="auto" w:fill="auto"/>
                <w:lang w:val="en-US" w:eastAsia="zh-CN"/>
              </w:rPr>
              <w:t>表3-1：</w:t>
            </w:r>
            <w:r>
              <w:rPr>
                <w:rFonts w:hint="eastAsia" w:ascii="宋体" w:hAnsi="宋体" w:eastAsia="宋体" w:cs="宋体"/>
                <w:color w:val="auto"/>
                <w:sz w:val="28"/>
                <w:szCs w:val="28"/>
                <w:lang w:val="en-US" w:eastAsia="zh-CN"/>
              </w:rPr>
              <w:t>石英砂地质勘查</w:t>
            </w:r>
            <w:r>
              <w:rPr>
                <w:rFonts w:hint="eastAsia" w:ascii="宋体" w:hAnsi="宋体" w:eastAsia="宋体" w:cs="宋体"/>
                <w:b/>
                <w:bCs/>
                <w:color w:val="auto"/>
                <w:kern w:val="0"/>
                <w:sz w:val="28"/>
                <w:szCs w:val="28"/>
                <w:highlight w:val="none"/>
                <w:shd w:val="clear" w:color="auto" w:fill="auto"/>
                <w:lang w:val="en-US" w:eastAsia="zh-CN"/>
              </w:rPr>
              <w:t>项目得分表</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指标类别</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1.项目决策</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2.过程管理</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3.项目产出</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4.项目效益</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1"/>
                <w:szCs w:val="21"/>
                <w:highlight w:val="none"/>
                <w:shd w:val="clear" w:color="auto" w:fill="auto"/>
                <w:lang w:val="en-US" w:eastAsia="zh-CN"/>
              </w:rPr>
            </w:pPr>
            <w:r>
              <w:rPr>
                <w:rFonts w:hint="eastAsia" w:ascii="宋体" w:hAnsi="宋体" w:eastAsia="宋体" w:cs="宋体"/>
                <w:b/>
                <w:bCs/>
                <w:color w:val="auto"/>
                <w:kern w:val="0"/>
                <w:sz w:val="21"/>
                <w:szCs w:val="21"/>
                <w:highlight w:val="none"/>
                <w:shd w:val="clear" w:color="auto" w:fill="auto"/>
                <w:lang w:val="en-US" w:eastAsia="zh-CN"/>
              </w:rPr>
              <w:t>合计</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权重</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ascii="宋体" w:hAnsi="宋体" w:eastAsia="宋体" w:cs="宋体"/>
                <w:color w:val="auto"/>
                <w:kern w:val="0"/>
                <w:sz w:val="21"/>
                <w:szCs w:val="21"/>
                <w:highlight w:val="none"/>
                <w:shd w:val="clear" w:color="auto" w:fill="auto"/>
                <w:lang w:val="en-US" w:eastAsia="zh-CN"/>
              </w:rPr>
              <w:t>100</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分值</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20</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30</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p>
        </w:tc>
      </w:tr>
      <w:tr>
        <w:tblPrEx>
          <w:tblCellMar>
            <w:top w:w="0" w:type="dxa"/>
            <w:left w:w="0" w:type="dxa"/>
            <w:bottom w:w="0" w:type="dxa"/>
            <w:right w:w="0" w:type="dxa"/>
          </w:tblCellMar>
        </w:tblPrEx>
        <w:trPr>
          <w:trHeight w:val="375" w:hRule="atLeast"/>
          <w:jc w:val="center"/>
        </w:trPr>
        <w:tc>
          <w:tcPr>
            <w:tcW w:w="10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val="0"/>
                <w:bCs w:val="0"/>
                <w:color w:val="auto"/>
                <w:kern w:val="0"/>
                <w:sz w:val="21"/>
                <w:szCs w:val="21"/>
                <w:highlight w:val="none"/>
                <w:shd w:val="clear" w:color="auto" w:fill="auto"/>
                <w:lang w:val="en-US" w:eastAsia="zh-CN"/>
              </w:rPr>
            </w:pPr>
            <w:r>
              <w:rPr>
                <w:rFonts w:hint="eastAsia" w:ascii="宋体" w:hAnsi="宋体" w:eastAsia="宋体" w:cs="宋体"/>
                <w:b w:val="0"/>
                <w:bCs w:val="0"/>
                <w:color w:val="auto"/>
                <w:kern w:val="0"/>
                <w:sz w:val="21"/>
                <w:szCs w:val="21"/>
                <w:highlight w:val="none"/>
                <w:shd w:val="clear" w:color="auto" w:fill="auto"/>
                <w:lang w:val="en-US" w:eastAsia="zh-CN"/>
              </w:rPr>
              <w:t>得分率</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62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c>
          <w:tcPr>
            <w:tcW w:w="14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1"/>
                <w:szCs w:val="21"/>
                <w:highlight w:val="none"/>
                <w:shd w:val="clear" w:color="auto" w:fill="auto"/>
                <w:lang w:val="en-US" w:eastAsia="zh-CN"/>
              </w:rPr>
            </w:pPr>
            <w:r>
              <w:rPr>
                <w:rFonts w:hint="eastAsia" w:cs="宋体"/>
                <w:color w:val="auto"/>
                <w:kern w:val="0"/>
                <w:sz w:val="21"/>
                <w:szCs w:val="21"/>
                <w:highlight w:val="none"/>
                <w:shd w:val="clear" w:color="auto" w:fill="auto"/>
                <w:lang w:val="en-US" w:eastAsia="zh-CN"/>
              </w:rPr>
              <w:t>100</w:t>
            </w:r>
            <w:r>
              <w:rPr>
                <w:rFonts w:hint="eastAsia" w:ascii="宋体" w:hAnsi="宋体" w:eastAsia="宋体" w:cs="宋体"/>
                <w:color w:val="auto"/>
                <w:kern w:val="0"/>
                <w:sz w:val="21"/>
                <w:szCs w:val="21"/>
                <w:highlight w:val="none"/>
                <w:shd w:val="clear" w:color="auto" w:fill="auto"/>
                <w:lang w:val="en-US" w:eastAsia="zh-CN"/>
              </w:rPr>
              <w:t>%</w:t>
            </w:r>
          </w:p>
        </w:tc>
      </w:tr>
    </w:tbl>
    <w:p>
      <w:pPr>
        <w:pStyle w:val="3"/>
        <w:keepNext/>
        <w:keepLines/>
        <w:pageBreakBefore w:val="0"/>
        <w:widowControl w:val="0"/>
        <w:kinsoku/>
        <w:wordWrap/>
        <w:overflowPunct/>
        <w:topLinePunct w:val="0"/>
        <w:autoSpaceDE/>
        <w:autoSpaceDN/>
        <w:bidi w:val="0"/>
        <w:adjustRightInd/>
        <w:snapToGrid/>
        <w:spacing w:beforeLines="0" w:afterLines="0" w:line="360" w:lineRule="auto"/>
        <w:ind w:left="0" w:leftChars="0" w:firstLine="643" w:firstLineChars="200"/>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rPr>
        <w:t>四、绩效评价指标分析</w:t>
      </w:r>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rPr>
        <w:t>（一）项目决策情况</w:t>
      </w:r>
    </w:p>
    <w:p>
      <w:pPr>
        <w:keepNext w:val="0"/>
        <w:keepLines w:val="0"/>
        <w:pageBreakBefore w:val="0"/>
        <w:widowControl w:val="0"/>
        <w:kinsoku/>
        <w:wordWrap/>
        <w:overflowPunct/>
        <w:topLinePunct w:val="0"/>
        <w:autoSpaceDE/>
        <w:autoSpaceDN/>
        <w:bidi w:val="0"/>
        <w:adjustRightInd/>
        <w:snapToGrid/>
        <w:spacing w:line="360" w:lineRule="auto"/>
        <w:ind w:firstLine="723"/>
        <w:textAlignment w:val="auto"/>
        <w:rPr>
          <w:rFonts w:hint="eastAsia" w:ascii="宋体" w:hAnsi="宋体" w:eastAsia="宋体" w:cs="宋体"/>
          <w:color w:val="auto"/>
          <w:highlight w:val="none"/>
          <w:shd w:val="clear" w:color="auto" w:fill="auto"/>
          <w:lang w:val="en-US" w:eastAsia="zh-CN"/>
        </w:rPr>
      </w:pPr>
      <w:r>
        <w:rPr>
          <w:rFonts w:hint="eastAsia" w:ascii="宋体" w:hAnsi="宋体" w:eastAsia="宋体" w:cs="宋体"/>
          <w:color w:val="auto"/>
          <w:highlight w:val="none"/>
          <w:shd w:val="clear" w:color="auto" w:fill="auto"/>
          <w:lang w:val="en-US" w:eastAsia="zh-CN"/>
        </w:rPr>
        <w:t>项目决策由3个二级指标和6个三级指标构成，权重分20分，实际得分</w:t>
      </w:r>
      <w:r>
        <w:rPr>
          <w:rFonts w:hint="eastAsia" w:cs="宋体"/>
          <w:color w:val="auto"/>
          <w:highlight w:val="none"/>
          <w:shd w:val="clear" w:color="auto" w:fill="auto"/>
          <w:lang w:val="en-US" w:eastAsia="zh-CN"/>
        </w:rPr>
        <w:t>20</w:t>
      </w:r>
      <w:r>
        <w:rPr>
          <w:rFonts w:hint="eastAsia" w:ascii="宋体" w:hAnsi="宋体" w:eastAsia="宋体" w:cs="宋体"/>
          <w:color w:val="auto"/>
          <w:highlight w:val="none"/>
          <w:shd w:val="clear" w:color="auto" w:fill="auto"/>
          <w:lang w:val="en-US" w:eastAsia="zh-CN"/>
        </w:rPr>
        <w:t>分，</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-1</w:t>
      </w:r>
      <w:r>
        <w:rPr>
          <w:rFonts w:hint="eastAsia" w:ascii="宋体" w:hAnsi="宋体" w:eastAsia="宋体" w:cs="宋体"/>
          <w:color w:val="auto"/>
          <w:kern w:val="2"/>
          <w:highlight w:val="none"/>
          <w:u w:color="000000"/>
          <w:shd w:val="clear" w:color="auto" w:fill="auto"/>
          <w:lang w:val="zh-TW" w:eastAsia="zh-TW"/>
        </w:rPr>
        <w:t>所示</w:t>
      </w:r>
      <w:r>
        <w:rPr>
          <w:rFonts w:hint="eastAsia" w:ascii="宋体" w:hAnsi="宋体" w:eastAsia="宋体" w:cs="宋体"/>
          <w:color w:val="auto"/>
          <w:highlight w:val="none"/>
          <w:shd w:val="clear" w:color="auto" w:fill="auto"/>
          <w:lang w:val="en-US" w:eastAsia="zh-CN"/>
        </w:rPr>
        <w:t>：</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4-1</w:t>
      </w:r>
      <w:r>
        <w:rPr>
          <w:rFonts w:hint="eastAsia" w:ascii="宋体" w:hAnsi="宋体" w:eastAsia="宋体" w:cs="宋体"/>
          <w:b/>
          <w:bCs/>
          <w:color w:val="auto"/>
          <w:kern w:val="0"/>
          <w:sz w:val="28"/>
          <w:szCs w:val="28"/>
          <w:highlight w:val="none"/>
          <w:shd w:val="clear" w:color="auto" w:fill="auto"/>
          <w:lang w:val="zh-TW" w:eastAsia="zh-TW"/>
        </w:rPr>
        <w:t>项目决策指标及分值</w:t>
      </w:r>
    </w:p>
    <w:tbl>
      <w:tblPr>
        <w:tblStyle w:val="10"/>
        <w:tblW w:w="8447" w:type="dxa"/>
        <w:jc w:val="center"/>
        <w:tblLayout w:type="fixed"/>
        <w:tblCellMar>
          <w:top w:w="0" w:type="dxa"/>
          <w:left w:w="0" w:type="dxa"/>
          <w:bottom w:w="0" w:type="dxa"/>
          <w:right w:w="0" w:type="dxa"/>
        </w:tblCellMar>
      </w:tblPr>
      <w:tblGrid>
        <w:gridCol w:w="1077"/>
        <w:gridCol w:w="960"/>
        <w:gridCol w:w="1248"/>
        <w:gridCol w:w="794"/>
        <w:gridCol w:w="3"/>
        <w:gridCol w:w="1868"/>
        <w:gridCol w:w="3"/>
        <w:gridCol w:w="1414"/>
        <w:gridCol w:w="3"/>
        <w:gridCol w:w="1074"/>
        <w:gridCol w:w="3"/>
      </w:tblGrid>
      <w:tr>
        <w:tblPrEx>
          <w:tblCellMar>
            <w:top w:w="0" w:type="dxa"/>
            <w:left w:w="0" w:type="dxa"/>
            <w:bottom w:w="0" w:type="dxa"/>
            <w:right w:w="0" w:type="dxa"/>
          </w:tblCellMar>
        </w:tblPrEx>
        <w:trPr>
          <w:gridAfter w:val="1"/>
          <w:wAfter w:w="3" w:type="dxa"/>
          <w:trHeight w:val="522" w:hRule="atLeast"/>
          <w:tblHeader/>
          <w:jc w:val="center"/>
        </w:trPr>
        <w:tc>
          <w:tcPr>
            <w:tcW w:w="107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79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项目决策</w:t>
            </w:r>
          </w:p>
        </w:tc>
        <w:tc>
          <w:tcPr>
            <w:tcW w:w="96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项目立项</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立项依据充分性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立项程序规范性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w:t>
            </w:r>
          </w:p>
        </w:tc>
        <w:tc>
          <w:tcPr>
            <w:tcW w:w="794"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绩效目标合理性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绩效指标明确性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资金投入</w:t>
            </w:r>
          </w:p>
        </w:tc>
        <w:tc>
          <w:tcPr>
            <w:tcW w:w="794"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预算编制科学性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w:t>
            </w:r>
          </w:p>
        </w:tc>
      </w:tr>
      <w:tr>
        <w:tblPrEx>
          <w:tblCellMar>
            <w:top w:w="0" w:type="dxa"/>
            <w:left w:w="0" w:type="dxa"/>
            <w:bottom w:w="0" w:type="dxa"/>
            <w:right w:w="0" w:type="dxa"/>
          </w:tblCellMar>
        </w:tblPrEx>
        <w:trPr>
          <w:gridAfter w:val="1"/>
          <w:wAfter w:w="3" w:type="dxa"/>
          <w:trHeight w:val="334" w:hRule="atLeast"/>
          <w:tblHeader/>
          <w:jc w:val="center"/>
        </w:trPr>
        <w:tc>
          <w:tcPr>
            <w:tcW w:w="1077"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6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94"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资金分配合理性</w:t>
            </w: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w:t>
            </w:r>
          </w:p>
        </w:tc>
      </w:tr>
      <w:tr>
        <w:tblPrEx>
          <w:tblCellMar>
            <w:top w:w="0" w:type="dxa"/>
            <w:left w:w="0" w:type="dxa"/>
            <w:bottom w:w="0" w:type="dxa"/>
            <w:right w:w="0" w:type="dxa"/>
          </w:tblCellMar>
        </w:tblPrEx>
        <w:trPr>
          <w:trHeight w:val="334" w:hRule="atLeast"/>
          <w:tblHeader/>
          <w:jc w:val="center"/>
        </w:trPr>
        <w:tc>
          <w:tcPr>
            <w:tcW w:w="3285"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79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41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077"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bidi w:val="0"/>
        <w:rPr>
          <w:rFonts w:hint="default"/>
          <w:b/>
          <w:bCs/>
          <w:color w:val="auto"/>
          <w:highlight w:val="none"/>
          <w:lang w:val="en-US" w:eastAsia="zh-CN"/>
        </w:rPr>
      </w:pPr>
      <w:r>
        <w:rPr>
          <w:rFonts w:hint="eastAsia"/>
          <w:b/>
          <w:bCs/>
          <w:color w:val="auto"/>
          <w:highlight w:val="none"/>
          <w:lang w:val="en-US" w:eastAsia="zh-CN"/>
        </w:rPr>
        <w:t>1.立项依据充分性</w:t>
      </w:r>
    </w:p>
    <w:p>
      <w:pPr>
        <w:bidi w:val="0"/>
        <w:rPr>
          <w:rFonts w:hint="default"/>
          <w:color w:val="auto"/>
          <w:highlight w:val="none"/>
          <w:lang w:val="en-US" w:eastAsia="zh-CN"/>
        </w:rPr>
      </w:pPr>
      <w:r>
        <w:rPr>
          <w:rFonts w:hint="eastAsia"/>
          <w:color w:val="auto"/>
          <w:highlight w:val="none"/>
          <w:lang w:eastAsia="zh-CN"/>
        </w:rPr>
        <w:t>①</w:t>
      </w:r>
      <w:r>
        <w:rPr>
          <w:rFonts w:hint="eastAsia"/>
          <w:color w:val="auto"/>
          <w:lang w:eastAsia="zh-CN"/>
        </w:rPr>
        <w:t>项目立</w:t>
      </w:r>
      <w:r>
        <w:rPr>
          <w:rFonts w:hint="eastAsia"/>
          <w:color w:val="auto"/>
          <w:lang w:val="en-US" w:eastAsia="zh-CN"/>
        </w:rPr>
        <w:t>项根据《昌吉州自然资源开发与规划建设管理领导小组2020年第一次会议纪要》2020 1号文件，</w:t>
      </w:r>
      <w:r>
        <w:rPr>
          <w:rFonts w:hint="eastAsia"/>
          <w:color w:val="auto"/>
          <w:highlight w:val="none"/>
          <w:lang w:eastAsia="zh-CN"/>
        </w:rPr>
        <w:t>符合国家法律法规、国民经济发展规划和相关</w:t>
      </w:r>
    </w:p>
    <w:p>
      <w:pPr>
        <w:bidi w:val="0"/>
        <w:rPr>
          <w:rFonts w:hint="eastAsia"/>
          <w:color w:val="auto"/>
          <w:highlight w:val="none"/>
          <w:lang w:eastAsia="zh-CN"/>
        </w:rPr>
      </w:pPr>
      <w:r>
        <w:rPr>
          <w:rFonts w:hint="eastAsia"/>
          <w:color w:val="auto"/>
          <w:highlight w:val="none"/>
          <w:lang w:eastAsia="zh-CN"/>
        </w:rPr>
        <w:t>③预算额度测算依据是否充分，是否按照标准编制；</w:t>
      </w:r>
    </w:p>
    <w:p>
      <w:pPr>
        <w:bidi w:val="0"/>
        <w:rPr>
          <w:rFonts w:hint="eastAsia"/>
          <w:color w:val="auto"/>
          <w:highlight w:val="none"/>
          <w:lang w:eastAsia="zh-CN"/>
        </w:rPr>
      </w:pPr>
      <w:r>
        <w:rPr>
          <w:rFonts w:hint="eastAsia"/>
          <w:color w:val="auto"/>
          <w:highlight w:val="none"/>
          <w:lang w:eastAsia="zh-CN"/>
        </w:rPr>
        <w:t>④预算确定的项目投资额或资金量是否与工作任务相匹配。</w:t>
      </w:r>
    </w:p>
    <w:p>
      <w:pPr>
        <w:bidi w:val="0"/>
        <w:rPr>
          <w:rFonts w:hint="eastAsia"/>
          <w:b/>
          <w:bCs/>
          <w:color w:val="auto"/>
          <w:highlight w:val="none"/>
          <w:lang w:val="en-US" w:eastAsia="zh-CN"/>
        </w:rPr>
      </w:pPr>
      <w:r>
        <w:rPr>
          <w:rFonts w:hint="eastAsia"/>
          <w:b/>
          <w:bCs/>
          <w:color w:val="auto"/>
          <w:highlight w:val="none"/>
          <w:lang w:val="en-US" w:eastAsia="zh-CN"/>
        </w:rPr>
        <w:t>综上，该项指标满分2分，扣分0分，得分2分。</w:t>
      </w:r>
    </w:p>
    <w:p>
      <w:pPr>
        <w:bidi w:val="0"/>
        <w:rPr>
          <w:rFonts w:hint="default"/>
          <w:b/>
          <w:bCs/>
          <w:color w:val="auto"/>
          <w:lang w:val="en-US" w:eastAsia="zh-CN"/>
        </w:rPr>
      </w:pPr>
      <w:r>
        <w:rPr>
          <w:rFonts w:hint="eastAsia"/>
          <w:b/>
          <w:bCs/>
          <w:color w:val="auto"/>
          <w:lang w:val="en-US" w:eastAsia="zh-CN"/>
        </w:rPr>
        <w:t>2.立项程序规范性</w:t>
      </w:r>
    </w:p>
    <w:p>
      <w:pPr>
        <w:bidi w:val="0"/>
        <w:rPr>
          <w:rFonts w:hint="eastAsia"/>
          <w:color w:val="auto"/>
          <w:lang w:eastAsia="zh-CN"/>
        </w:rPr>
      </w:pPr>
      <w:r>
        <w:rPr>
          <w:rFonts w:hint="eastAsia"/>
          <w:color w:val="auto"/>
          <w:lang w:eastAsia="zh-CN"/>
        </w:rPr>
        <w:t>①项目根据发改委立项文件并按规定的程序申请设立；</w:t>
      </w:r>
    </w:p>
    <w:p>
      <w:pPr>
        <w:bidi w:val="0"/>
        <w:rPr>
          <w:rFonts w:hint="eastAsia"/>
          <w:color w:val="auto"/>
          <w:lang w:eastAsia="zh-CN"/>
        </w:rPr>
      </w:pPr>
      <w:r>
        <w:rPr>
          <w:rFonts w:hint="eastAsia"/>
          <w:color w:val="auto"/>
          <w:lang w:eastAsia="zh-CN"/>
        </w:rPr>
        <w:t>②审批文件、材料符合相关要求；</w:t>
      </w:r>
    </w:p>
    <w:p>
      <w:pPr>
        <w:bidi w:val="0"/>
        <w:rPr>
          <w:rFonts w:hint="eastAsia"/>
          <w:color w:val="auto"/>
          <w:lang w:eastAsia="zh-CN"/>
        </w:rPr>
      </w:pPr>
      <w:r>
        <w:rPr>
          <w:rFonts w:hint="eastAsia"/>
          <w:color w:val="auto"/>
          <w:lang w:eastAsia="zh-CN"/>
        </w:rPr>
        <w:t>③事前已经过必要的可行性研究、专家论证、风险评估、绩效评估、集体决策。</w:t>
      </w:r>
    </w:p>
    <w:p>
      <w:pPr>
        <w:bidi w:val="0"/>
        <w:rPr>
          <w:rFonts w:hint="eastAsia"/>
          <w:color w:val="auto"/>
          <w:lang w:eastAsia="zh-CN"/>
        </w:rPr>
      </w:pPr>
      <w:r>
        <w:rPr>
          <w:rFonts w:hint="eastAsia"/>
          <w:b/>
          <w:bCs/>
          <w:color w:val="auto"/>
          <w:lang w:val="en-US" w:eastAsia="zh-CN"/>
        </w:rPr>
        <w:t>综上，该项指标满分3分，得分3分。</w:t>
      </w:r>
    </w:p>
    <w:p>
      <w:pPr>
        <w:bidi w:val="0"/>
        <w:rPr>
          <w:rFonts w:hint="default"/>
          <w:b/>
          <w:bCs/>
          <w:color w:val="auto"/>
          <w:lang w:val="en-US" w:eastAsia="zh-CN"/>
        </w:rPr>
      </w:pPr>
      <w:r>
        <w:rPr>
          <w:rFonts w:hint="eastAsia"/>
          <w:b/>
          <w:bCs/>
          <w:color w:val="auto"/>
          <w:lang w:val="en-US" w:eastAsia="zh-CN"/>
        </w:rPr>
        <w:t>3.绩效目标合理性</w:t>
      </w:r>
    </w:p>
    <w:p>
      <w:pPr>
        <w:bidi w:val="0"/>
        <w:rPr>
          <w:rFonts w:hint="eastAsia"/>
          <w:color w:val="auto"/>
          <w:lang w:eastAsia="zh-CN"/>
        </w:rPr>
      </w:pPr>
      <w:r>
        <w:rPr>
          <w:rFonts w:hint="eastAsia"/>
          <w:color w:val="auto"/>
          <w:lang w:eastAsia="zh-CN"/>
        </w:rPr>
        <w:t>①项目有绩效目标；</w:t>
      </w:r>
    </w:p>
    <w:p>
      <w:pPr>
        <w:bidi w:val="0"/>
        <w:rPr>
          <w:rFonts w:hint="eastAsia"/>
          <w:color w:val="auto"/>
          <w:lang w:eastAsia="zh-CN"/>
        </w:rPr>
      </w:pPr>
      <w:r>
        <w:rPr>
          <w:rFonts w:hint="eastAsia"/>
          <w:color w:val="auto"/>
          <w:lang w:eastAsia="zh-CN"/>
        </w:rPr>
        <w:t>②项目绩效目标与实际工作内容具有相关性；</w:t>
      </w:r>
    </w:p>
    <w:p>
      <w:pPr>
        <w:bidi w:val="0"/>
        <w:rPr>
          <w:rFonts w:hint="eastAsia"/>
          <w:color w:val="auto"/>
          <w:lang w:eastAsia="zh-CN"/>
        </w:rPr>
      </w:pPr>
      <w:r>
        <w:rPr>
          <w:rFonts w:hint="eastAsia"/>
          <w:color w:val="auto"/>
          <w:lang w:eastAsia="zh-CN"/>
        </w:rPr>
        <w:t>③项目预期产出效益和效果符合正常的业绩水平；</w:t>
      </w:r>
    </w:p>
    <w:p>
      <w:pPr>
        <w:bidi w:val="0"/>
        <w:rPr>
          <w:rFonts w:hint="eastAsia"/>
          <w:color w:val="auto"/>
          <w:lang w:eastAsia="zh-CN"/>
        </w:rPr>
      </w:pPr>
      <w:r>
        <w:rPr>
          <w:rFonts w:hint="eastAsia"/>
          <w:color w:val="auto"/>
          <w:lang w:eastAsia="zh-CN"/>
        </w:rPr>
        <w:t>④与预算确定的项目投资额或资金量相匹配。</w:t>
      </w:r>
    </w:p>
    <w:p>
      <w:pPr>
        <w:bidi w:val="0"/>
        <w:rPr>
          <w:rFonts w:hint="eastAsia"/>
          <w:color w:val="auto"/>
          <w:lang w:eastAsia="zh-CN"/>
        </w:rPr>
      </w:pPr>
      <w:r>
        <w:rPr>
          <w:rFonts w:hint="eastAsia"/>
          <w:b/>
          <w:bCs/>
          <w:color w:val="auto"/>
          <w:lang w:val="en-US" w:eastAsia="zh-CN"/>
        </w:rPr>
        <w:t>综上，该项指标满分5分，得分5分。</w:t>
      </w:r>
    </w:p>
    <w:p>
      <w:pPr>
        <w:bidi w:val="0"/>
        <w:rPr>
          <w:rFonts w:hint="default"/>
          <w:b/>
          <w:bCs/>
          <w:color w:val="auto"/>
          <w:lang w:val="en-US" w:eastAsia="zh-CN"/>
        </w:rPr>
      </w:pPr>
      <w:r>
        <w:rPr>
          <w:rFonts w:hint="eastAsia"/>
          <w:b/>
          <w:bCs/>
          <w:color w:val="auto"/>
          <w:lang w:val="en-US" w:eastAsia="zh-CN"/>
        </w:rPr>
        <w:t>4.绩效指标明确性</w:t>
      </w:r>
    </w:p>
    <w:p>
      <w:pPr>
        <w:bidi w:val="0"/>
        <w:rPr>
          <w:rFonts w:hint="eastAsia"/>
          <w:color w:val="auto"/>
          <w:lang w:eastAsia="zh-CN"/>
        </w:rPr>
      </w:pPr>
      <w:r>
        <w:rPr>
          <w:rFonts w:hint="eastAsia"/>
          <w:color w:val="auto"/>
          <w:lang w:eastAsia="zh-CN"/>
        </w:rPr>
        <w:t>①将项目绩效目标细化分解为具体的绩效指标；</w:t>
      </w:r>
    </w:p>
    <w:p>
      <w:pPr>
        <w:bidi w:val="0"/>
        <w:rPr>
          <w:rFonts w:hint="eastAsia"/>
          <w:color w:val="auto"/>
          <w:lang w:eastAsia="zh-CN"/>
        </w:rPr>
      </w:pPr>
      <w:r>
        <w:rPr>
          <w:rFonts w:hint="eastAsia"/>
          <w:color w:val="auto"/>
          <w:lang w:eastAsia="zh-CN"/>
        </w:rPr>
        <w:t>②通过清晰、可衡量的指标值予以体现；</w:t>
      </w:r>
    </w:p>
    <w:p>
      <w:pPr>
        <w:bidi w:val="0"/>
        <w:rPr>
          <w:rFonts w:hint="eastAsia"/>
          <w:color w:val="auto"/>
          <w:lang w:eastAsia="zh-CN"/>
        </w:rPr>
      </w:pPr>
      <w:r>
        <w:rPr>
          <w:rFonts w:hint="eastAsia"/>
          <w:color w:val="auto"/>
          <w:lang w:eastAsia="zh-CN"/>
        </w:rPr>
        <w:t>③与项目目标任务数或计划数相对应。</w:t>
      </w:r>
    </w:p>
    <w:p>
      <w:pPr>
        <w:bidi w:val="0"/>
        <w:rPr>
          <w:rFonts w:hint="eastAsia"/>
          <w:color w:val="auto"/>
          <w:lang w:eastAsia="zh-CN"/>
        </w:rPr>
      </w:pPr>
      <w:r>
        <w:rPr>
          <w:rFonts w:hint="eastAsia"/>
          <w:b/>
          <w:bCs/>
          <w:color w:val="auto"/>
          <w:lang w:val="en-US" w:eastAsia="zh-CN"/>
        </w:rPr>
        <w:t>综上，该项指标满分5分，得分5分。</w:t>
      </w:r>
    </w:p>
    <w:p>
      <w:pPr>
        <w:bidi w:val="0"/>
        <w:rPr>
          <w:rFonts w:hint="default"/>
          <w:b/>
          <w:bCs/>
          <w:color w:val="auto"/>
          <w:lang w:val="en-US" w:eastAsia="zh-CN"/>
        </w:rPr>
      </w:pPr>
      <w:r>
        <w:rPr>
          <w:rFonts w:hint="eastAsia"/>
          <w:b/>
          <w:bCs/>
          <w:color w:val="auto"/>
          <w:lang w:val="en-US" w:eastAsia="zh-CN"/>
        </w:rPr>
        <w:t>5.预算编制科学性</w:t>
      </w:r>
    </w:p>
    <w:p>
      <w:pPr>
        <w:bidi w:val="0"/>
        <w:rPr>
          <w:rFonts w:hint="eastAsia"/>
          <w:color w:val="auto"/>
          <w:lang w:eastAsia="zh-CN"/>
        </w:rPr>
      </w:pPr>
      <w:r>
        <w:rPr>
          <w:rFonts w:hint="eastAsia"/>
          <w:color w:val="auto"/>
          <w:lang w:eastAsia="zh-CN"/>
        </w:rPr>
        <w:t>①预算编制经过科学论证；</w:t>
      </w:r>
    </w:p>
    <w:p>
      <w:pPr>
        <w:bidi w:val="0"/>
        <w:rPr>
          <w:rFonts w:hint="eastAsia"/>
          <w:color w:val="auto"/>
          <w:lang w:eastAsia="zh-CN"/>
        </w:rPr>
      </w:pPr>
      <w:r>
        <w:rPr>
          <w:rFonts w:hint="eastAsia"/>
          <w:color w:val="auto"/>
          <w:lang w:eastAsia="zh-CN"/>
        </w:rPr>
        <w:t>②预算内容与项目内容匹配；</w:t>
      </w:r>
    </w:p>
    <w:p>
      <w:pPr>
        <w:bidi w:val="0"/>
        <w:rPr>
          <w:rFonts w:hint="eastAsia"/>
          <w:color w:val="auto"/>
          <w:lang w:eastAsia="zh-CN"/>
        </w:rPr>
      </w:pPr>
      <w:r>
        <w:rPr>
          <w:rFonts w:hint="eastAsia"/>
          <w:color w:val="auto"/>
          <w:lang w:eastAsia="zh-CN"/>
        </w:rPr>
        <w:t>③预算额度测算依据充分，按照标准编制；</w:t>
      </w:r>
    </w:p>
    <w:p>
      <w:pPr>
        <w:bidi w:val="0"/>
        <w:rPr>
          <w:rFonts w:hint="eastAsia"/>
          <w:color w:val="auto"/>
          <w:lang w:eastAsia="zh-CN"/>
        </w:rPr>
      </w:pPr>
      <w:r>
        <w:rPr>
          <w:rFonts w:hint="eastAsia"/>
          <w:color w:val="auto"/>
          <w:lang w:eastAsia="zh-CN"/>
        </w:rPr>
        <w:t>④预算确定的项目投资额或资金量与工作任务相匹配。</w:t>
      </w:r>
    </w:p>
    <w:p>
      <w:pPr>
        <w:bidi w:val="0"/>
        <w:rPr>
          <w:rFonts w:hint="eastAsia"/>
          <w:color w:val="auto"/>
          <w:lang w:eastAsia="zh-CN"/>
        </w:rPr>
      </w:pPr>
      <w:r>
        <w:rPr>
          <w:rFonts w:hint="eastAsia"/>
          <w:b/>
          <w:bCs/>
          <w:color w:val="auto"/>
          <w:lang w:val="en-US" w:eastAsia="zh-CN"/>
        </w:rPr>
        <w:t>综上，该项指标满分2分，得分2分。</w:t>
      </w:r>
    </w:p>
    <w:p>
      <w:pPr>
        <w:bidi w:val="0"/>
        <w:ind w:left="0" w:leftChars="0" w:firstLine="0" w:firstLineChars="0"/>
        <w:rPr>
          <w:rFonts w:hint="default"/>
          <w:b/>
          <w:bCs/>
          <w:color w:val="auto"/>
          <w:highlight w:val="none"/>
          <w:lang w:val="en-US" w:eastAsia="zh-CN"/>
        </w:rPr>
      </w:pPr>
      <w:r>
        <w:rPr>
          <w:rFonts w:hint="eastAsia"/>
          <w:b/>
          <w:bCs/>
          <w:color w:val="auto"/>
          <w:highlight w:val="none"/>
          <w:lang w:val="en-US" w:eastAsia="zh-CN"/>
        </w:rPr>
        <w:t xml:space="preserve">    6.资金分配合理性</w:t>
      </w:r>
    </w:p>
    <w:p>
      <w:pPr>
        <w:bidi w:val="0"/>
        <w:rPr>
          <w:rFonts w:hint="eastAsia"/>
          <w:color w:val="auto"/>
          <w:highlight w:val="none"/>
          <w:lang w:eastAsia="zh-CN"/>
        </w:rPr>
      </w:pPr>
      <w:r>
        <w:rPr>
          <w:rFonts w:hint="eastAsia"/>
          <w:color w:val="auto"/>
          <w:highlight w:val="none"/>
          <w:lang w:eastAsia="zh-CN"/>
        </w:rPr>
        <w:t>①预算资金分配依据是否充分；</w:t>
      </w:r>
    </w:p>
    <w:p>
      <w:pPr>
        <w:bidi w:val="0"/>
        <w:rPr>
          <w:rFonts w:hint="eastAsia"/>
          <w:color w:val="auto"/>
          <w:highlight w:val="none"/>
          <w:lang w:eastAsia="zh-CN"/>
        </w:rPr>
      </w:pPr>
      <w:r>
        <w:rPr>
          <w:rFonts w:hint="eastAsia"/>
          <w:color w:val="auto"/>
          <w:highlight w:val="none"/>
          <w:lang w:eastAsia="zh-CN"/>
        </w:rPr>
        <w:t>②资金分配额度是否合理，与项目单位或地方实际是否相适应。</w:t>
      </w:r>
    </w:p>
    <w:p>
      <w:pPr>
        <w:bidi w:val="0"/>
        <w:rPr>
          <w:rFonts w:hint="eastAsia"/>
          <w:color w:val="auto"/>
          <w:highlight w:val="none"/>
          <w:lang w:eastAsia="zh-CN"/>
        </w:rPr>
      </w:pPr>
      <w:r>
        <w:rPr>
          <w:rFonts w:hint="eastAsia"/>
          <w:b/>
          <w:bCs/>
          <w:color w:val="auto"/>
          <w:highlight w:val="none"/>
          <w:lang w:val="en-US" w:eastAsia="zh-CN"/>
        </w:rPr>
        <w:t>综上，该项指标满分3分，扣分0分，得分3分。</w:t>
      </w:r>
    </w:p>
    <w:p>
      <w:pPr>
        <w:pStyle w:val="4"/>
        <w:keepNext/>
        <w:keepLines/>
        <w:pageBreakBefore w:val="0"/>
        <w:widowControl w:val="0"/>
        <w:kinsoku/>
        <w:wordWrap/>
        <w:overflowPunct/>
        <w:topLinePunct w:val="0"/>
        <w:autoSpaceDE/>
        <w:autoSpaceDN/>
        <w:bidi w:val="0"/>
        <w:adjustRightInd/>
        <w:snapToGrid/>
        <w:spacing w:beforeLines="0" w:afterLines="0" w:line="360" w:lineRule="auto"/>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二</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项目过程情况</w:t>
      </w:r>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rPr>
        <w:t>过程</w:t>
      </w:r>
      <w:r>
        <w:rPr>
          <w:rFonts w:hint="eastAsia" w:ascii="宋体" w:hAnsi="宋体" w:eastAsia="宋体" w:cs="宋体"/>
          <w:color w:val="auto"/>
          <w:kern w:val="2"/>
          <w:highlight w:val="none"/>
          <w:u w:color="000000"/>
          <w:shd w:val="clear" w:color="auto" w:fill="auto"/>
          <w:lang w:eastAsia="zh-CN"/>
        </w:rPr>
        <w:t>管理</w:t>
      </w:r>
      <w:r>
        <w:rPr>
          <w:rFonts w:hint="eastAsia" w:ascii="宋体" w:hAnsi="宋体" w:eastAsia="宋体" w:cs="宋体"/>
          <w:color w:val="auto"/>
          <w:kern w:val="2"/>
          <w:highlight w:val="none"/>
          <w:u w:color="000000"/>
          <w:shd w:val="clear" w:color="auto" w:fill="auto"/>
          <w:lang w:val="zh-TW" w:eastAsia="zh-TW"/>
        </w:rPr>
        <w:t>类指标由</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ascii="宋体" w:hAnsi="宋体" w:eastAsia="宋体" w:cs="宋体"/>
          <w:color w:val="auto"/>
          <w:kern w:val="2"/>
          <w:highlight w:val="none"/>
          <w:u w:color="000000"/>
          <w:shd w:val="clear" w:color="auto" w:fill="auto"/>
          <w:lang w:val="en-US" w:eastAsia="zh-CN"/>
        </w:rPr>
        <w:t>5</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20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-2</w:t>
      </w:r>
      <w:r>
        <w:rPr>
          <w:rFonts w:hint="eastAsia" w:ascii="宋体" w:hAnsi="宋体" w:eastAsia="宋体" w:cs="宋体"/>
          <w:color w:val="auto"/>
          <w:kern w:val="2"/>
          <w:highlight w:val="none"/>
          <w:u w:color="000000"/>
          <w:shd w:val="clear" w:color="auto" w:fill="auto"/>
          <w:lang w:val="zh-TW" w:eastAsia="zh-TW"/>
        </w:rPr>
        <w:t>所示：</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4-2</w:t>
      </w:r>
      <w:r>
        <w:rPr>
          <w:rFonts w:hint="eastAsia" w:ascii="宋体" w:hAnsi="宋体" w:eastAsia="宋体" w:cs="宋体"/>
          <w:b/>
          <w:bCs/>
          <w:color w:val="auto"/>
          <w:kern w:val="0"/>
          <w:sz w:val="28"/>
          <w:szCs w:val="28"/>
          <w:highlight w:val="none"/>
          <w:shd w:val="clear" w:color="auto" w:fill="auto"/>
          <w:lang w:val="zh-TW" w:eastAsia="zh-TW"/>
        </w:rPr>
        <w:t>项目</w:t>
      </w:r>
      <w:r>
        <w:rPr>
          <w:rFonts w:hint="eastAsia" w:ascii="宋体" w:hAnsi="宋体" w:eastAsia="宋体" w:cs="宋体"/>
          <w:b/>
          <w:bCs/>
          <w:color w:val="auto"/>
          <w:kern w:val="0"/>
          <w:sz w:val="28"/>
          <w:szCs w:val="28"/>
          <w:highlight w:val="none"/>
          <w:shd w:val="clear" w:color="auto" w:fill="auto"/>
          <w:lang w:val="zh-TW" w:eastAsia="zh-CN"/>
        </w:rPr>
        <w:t>管理</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0"/>
        <w:tblW w:w="8317" w:type="dxa"/>
        <w:jc w:val="center"/>
        <w:tblLayout w:type="fixed"/>
        <w:tblCellMar>
          <w:top w:w="0" w:type="dxa"/>
          <w:left w:w="0" w:type="dxa"/>
          <w:bottom w:w="0" w:type="dxa"/>
          <w:right w:w="0" w:type="dxa"/>
        </w:tblCellMar>
      </w:tblPr>
      <w:tblGrid>
        <w:gridCol w:w="1182"/>
        <w:gridCol w:w="738"/>
        <w:gridCol w:w="1248"/>
        <w:gridCol w:w="1176"/>
        <w:gridCol w:w="1833"/>
        <w:gridCol w:w="987"/>
        <w:gridCol w:w="1153"/>
      </w:tblGrid>
      <w:tr>
        <w:tblPrEx>
          <w:tblCellMar>
            <w:top w:w="0" w:type="dxa"/>
            <w:left w:w="0" w:type="dxa"/>
            <w:bottom w:w="0" w:type="dxa"/>
            <w:right w:w="0" w:type="dxa"/>
          </w:tblCellMar>
        </w:tblPrEx>
        <w:trPr>
          <w:trHeight w:val="23" w:hRule="atLeast"/>
          <w:tblHeader/>
          <w:jc w:val="center"/>
        </w:trPr>
        <w:tc>
          <w:tcPr>
            <w:tcW w:w="11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73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24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分值</w:t>
            </w:r>
          </w:p>
        </w:tc>
        <w:tc>
          <w:tcPr>
            <w:tcW w:w="11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得分</w:t>
            </w:r>
          </w:p>
        </w:tc>
      </w:tr>
      <w:tr>
        <w:tblPrEx>
          <w:tblCellMar>
            <w:top w:w="0" w:type="dxa"/>
            <w:left w:w="0" w:type="dxa"/>
            <w:bottom w:w="0" w:type="dxa"/>
            <w:right w:w="0" w:type="dxa"/>
          </w:tblCellMar>
        </w:tblPrEx>
        <w:trPr>
          <w:trHeight w:val="23" w:hRule="atLeast"/>
          <w:jc w:val="center"/>
        </w:trPr>
        <w:tc>
          <w:tcPr>
            <w:tcW w:w="118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过程管理</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资金管理</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12</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资金到位率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预算执行率</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资金使用合规性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组织实施</w:t>
            </w:r>
          </w:p>
        </w:tc>
        <w:tc>
          <w:tcPr>
            <w:tcW w:w="117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8</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管理制度健全性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90" w:hRule="atLeast"/>
          <w:jc w:val="center"/>
        </w:trPr>
        <w:tc>
          <w:tcPr>
            <w:tcW w:w="11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24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1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制度执行有效性</w:t>
            </w: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4</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4</w:t>
            </w:r>
          </w:p>
        </w:tc>
      </w:tr>
      <w:tr>
        <w:tblPrEx>
          <w:tblCellMar>
            <w:top w:w="0" w:type="dxa"/>
            <w:left w:w="0" w:type="dxa"/>
            <w:bottom w:w="0" w:type="dxa"/>
            <w:right w:w="0" w:type="dxa"/>
          </w:tblCellMar>
        </w:tblPrEx>
        <w:trPr>
          <w:trHeight w:val="23" w:hRule="atLeast"/>
          <w:jc w:val="center"/>
        </w:trPr>
        <w:tc>
          <w:tcPr>
            <w:tcW w:w="3168"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87"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w:t>
            </w:r>
          </w:p>
        </w:tc>
        <w:tc>
          <w:tcPr>
            <w:tcW w:w="11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20</w:t>
            </w:r>
          </w:p>
        </w:tc>
      </w:tr>
    </w:tbl>
    <w:p>
      <w:pPr>
        <w:bidi w:val="0"/>
        <w:rPr>
          <w:rFonts w:hint="default"/>
          <w:b/>
          <w:bCs/>
          <w:color w:val="auto"/>
          <w:highlight w:val="none"/>
          <w:lang w:val="en-US" w:eastAsia="zh-CN"/>
        </w:rPr>
      </w:pPr>
      <w:r>
        <w:rPr>
          <w:rFonts w:hint="eastAsia"/>
          <w:b/>
          <w:bCs/>
          <w:color w:val="auto"/>
          <w:highlight w:val="none"/>
          <w:lang w:val="en-US" w:eastAsia="zh-CN"/>
        </w:rPr>
        <w:t>1.资金到位率</w:t>
      </w:r>
    </w:p>
    <w:p>
      <w:pPr>
        <w:bidi w:val="0"/>
        <w:rPr>
          <w:rFonts w:hint="eastAsia"/>
          <w:color w:val="auto"/>
          <w:highlight w:val="none"/>
          <w:lang w:eastAsia="zh-CN"/>
        </w:rPr>
      </w:pPr>
      <w:r>
        <w:rPr>
          <w:rFonts w:hint="eastAsia"/>
          <w:color w:val="auto"/>
          <w:highlight w:val="none"/>
          <w:lang w:eastAsia="zh-CN"/>
        </w:rPr>
        <w:t>资金到位率=（</w:t>
      </w:r>
      <w:r>
        <w:rPr>
          <w:rFonts w:hint="eastAsia"/>
          <w:color w:val="auto"/>
          <w:lang w:val="en-US" w:eastAsia="zh-CN"/>
        </w:rPr>
        <w:t>254.5</w:t>
      </w:r>
      <w:r>
        <w:rPr>
          <w:rFonts w:hint="eastAsia"/>
          <w:color w:val="auto"/>
          <w:lang w:eastAsia="zh-CN"/>
        </w:rPr>
        <w:t>/</w:t>
      </w:r>
      <w:r>
        <w:rPr>
          <w:rFonts w:hint="eastAsia"/>
          <w:color w:val="auto"/>
          <w:lang w:val="en-US" w:eastAsia="zh-CN"/>
        </w:rPr>
        <w:t>254.5</w:t>
      </w:r>
      <w:r>
        <w:rPr>
          <w:rFonts w:hint="eastAsia"/>
          <w:color w:val="auto"/>
          <w:highlight w:val="none"/>
          <w:lang w:eastAsia="zh-CN"/>
        </w:rPr>
        <w:t>）×100%。</w:t>
      </w:r>
    </w:p>
    <w:p>
      <w:pPr>
        <w:bidi w:val="0"/>
        <w:rPr>
          <w:rFonts w:hint="eastAsia"/>
          <w:color w:val="auto"/>
          <w:highlight w:val="none"/>
          <w:lang w:eastAsia="zh-CN"/>
        </w:rPr>
      </w:pPr>
      <w:r>
        <w:rPr>
          <w:rFonts w:hint="eastAsia"/>
          <w:color w:val="auto"/>
          <w:highlight w:val="none"/>
          <w:lang w:eastAsia="zh-CN"/>
        </w:rPr>
        <w:t>实际到位资金：一定时期（本年度或项目期）内落实到具体项目的资金。</w:t>
      </w:r>
    </w:p>
    <w:p>
      <w:pPr>
        <w:bidi w:val="0"/>
        <w:rPr>
          <w:rFonts w:hint="eastAsia"/>
          <w:color w:val="auto"/>
          <w:highlight w:val="none"/>
          <w:lang w:eastAsia="zh-CN"/>
        </w:rPr>
      </w:pPr>
      <w:r>
        <w:rPr>
          <w:rFonts w:hint="eastAsia"/>
          <w:color w:val="auto"/>
          <w:highlight w:val="none"/>
          <w:lang w:eastAsia="zh-CN"/>
        </w:rPr>
        <w:t>预算资金：一定时期（本年度或项目期）内预算安排到具体项目的资金。</w:t>
      </w:r>
    </w:p>
    <w:p>
      <w:pPr>
        <w:bidi w:val="0"/>
        <w:rPr>
          <w:rFonts w:hint="eastAsia"/>
          <w:color w:val="auto"/>
          <w:highlight w:val="none"/>
          <w:lang w:eastAsia="zh-CN"/>
        </w:rPr>
      </w:pPr>
      <w:r>
        <w:rPr>
          <w:rFonts w:hint="eastAsia"/>
          <w:b/>
          <w:bCs/>
          <w:color w:val="auto"/>
          <w:highlight w:val="none"/>
          <w:lang w:val="en-US" w:eastAsia="zh-CN"/>
        </w:rPr>
        <w:t>综上，该项指标满分4分，扣分0分，得分4分。</w:t>
      </w:r>
    </w:p>
    <w:p>
      <w:pPr>
        <w:bidi w:val="0"/>
        <w:rPr>
          <w:rFonts w:hint="default"/>
          <w:b/>
          <w:bCs/>
          <w:color w:val="auto"/>
          <w:highlight w:val="none"/>
          <w:lang w:val="en-US" w:eastAsia="zh-CN"/>
        </w:rPr>
      </w:pPr>
      <w:r>
        <w:rPr>
          <w:rFonts w:hint="eastAsia"/>
          <w:b/>
          <w:bCs/>
          <w:color w:val="auto"/>
          <w:highlight w:val="none"/>
          <w:lang w:val="en-US" w:eastAsia="zh-CN"/>
        </w:rPr>
        <w:t>2.预算执行率</w:t>
      </w:r>
    </w:p>
    <w:p>
      <w:pPr>
        <w:bidi w:val="0"/>
        <w:rPr>
          <w:rFonts w:hint="eastAsia"/>
          <w:color w:val="auto"/>
          <w:highlight w:val="none"/>
          <w:lang w:eastAsia="zh-CN"/>
        </w:rPr>
      </w:pPr>
      <w:r>
        <w:rPr>
          <w:rFonts w:hint="eastAsia"/>
          <w:color w:val="auto"/>
          <w:highlight w:val="none"/>
          <w:lang w:eastAsia="zh-CN"/>
        </w:rPr>
        <w:t>预算执行率=（</w:t>
      </w:r>
      <w:r>
        <w:rPr>
          <w:rFonts w:hint="eastAsia"/>
          <w:color w:val="auto"/>
          <w:lang w:val="en-US" w:eastAsia="zh-CN"/>
        </w:rPr>
        <w:t>254.5</w:t>
      </w:r>
      <w:r>
        <w:rPr>
          <w:rFonts w:hint="eastAsia"/>
          <w:color w:val="auto"/>
          <w:lang w:eastAsia="zh-CN"/>
        </w:rPr>
        <w:t>/</w:t>
      </w:r>
      <w:r>
        <w:rPr>
          <w:rFonts w:hint="eastAsia"/>
          <w:color w:val="auto"/>
          <w:lang w:val="en-US" w:eastAsia="zh-CN"/>
        </w:rPr>
        <w:t>254.5</w:t>
      </w:r>
      <w:r>
        <w:rPr>
          <w:rFonts w:hint="eastAsia"/>
          <w:color w:val="auto"/>
          <w:highlight w:val="none"/>
          <w:lang w:eastAsia="zh-CN"/>
        </w:rPr>
        <w:t>）×100%。</w:t>
      </w:r>
    </w:p>
    <w:p>
      <w:pPr>
        <w:bidi w:val="0"/>
        <w:rPr>
          <w:rFonts w:hint="eastAsia"/>
          <w:color w:val="auto"/>
          <w:highlight w:val="none"/>
          <w:lang w:eastAsia="zh-CN"/>
        </w:rPr>
      </w:pPr>
      <w:r>
        <w:rPr>
          <w:rFonts w:hint="eastAsia"/>
          <w:color w:val="auto"/>
          <w:highlight w:val="none"/>
          <w:lang w:eastAsia="zh-CN"/>
        </w:rPr>
        <w:t>实际支出资金：一定时期（本年度或项目期）内项目实际拨付的资金。</w:t>
      </w:r>
    </w:p>
    <w:p>
      <w:pPr>
        <w:bidi w:val="0"/>
        <w:rPr>
          <w:rFonts w:hint="eastAsia"/>
          <w:color w:val="auto"/>
          <w:highlight w:val="none"/>
          <w:lang w:eastAsia="zh-CN"/>
        </w:rPr>
      </w:pPr>
      <w:r>
        <w:rPr>
          <w:rFonts w:hint="eastAsia"/>
          <w:b/>
          <w:bCs/>
          <w:color w:val="auto"/>
          <w:highlight w:val="none"/>
          <w:lang w:val="en-US" w:eastAsia="zh-CN"/>
        </w:rPr>
        <w:t>综上，该项指标满分4分，扣分0分，得分4分。</w:t>
      </w:r>
    </w:p>
    <w:p>
      <w:pPr>
        <w:bidi w:val="0"/>
        <w:rPr>
          <w:rFonts w:hint="default"/>
          <w:b/>
          <w:bCs/>
          <w:color w:val="auto"/>
          <w:highlight w:val="none"/>
          <w:lang w:val="en-US" w:eastAsia="zh-CN"/>
        </w:rPr>
      </w:pPr>
      <w:r>
        <w:rPr>
          <w:rFonts w:hint="eastAsia"/>
          <w:b/>
          <w:bCs/>
          <w:color w:val="auto"/>
          <w:highlight w:val="none"/>
          <w:lang w:val="en-US" w:eastAsia="zh-CN"/>
        </w:rPr>
        <w:t>3.资金使用合规率</w:t>
      </w:r>
    </w:p>
    <w:p>
      <w:pPr>
        <w:bidi w:val="0"/>
        <w:rPr>
          <w:rFonts w:hint="eastAsia"/>
          <w:color w:val="auto"/>
          <w:highlight w:val="none"/>
          <w:lang w:eastAsia="zh-CN"/>
        </w:rPr>
      </w:pPr>
      <w:r>
        <w:rPr>
          <w:rFonts w:hint="eastAsia"/>
          <w:color w:val="auto"/>
          <w:highlight w:val="none"/>
          <w:lang w:eastAsia="zh-CN"/>
        </w:rPr>
        <w:t>①是否符合国家财经法规和财务管理制度以及有关专项资金管理办法的规定；</w:t>
      </w:r>
    </w:p>
    <w:p>
      <w:pPr>
        <w:bidi w:val="0"/>
        <w:rPr>
          <w:rFonts w:hint="eastAsia"/>
          <w:color w:val="auto"/>
          <w:lang w:eastAsia="zh-CN"/>
        </w:rPr>
      </w:pPr>
      <w:r>
        <w:rPr>
          <w:rFonts w:hint="eastAsia"/>
          <w:color w:val="auto"/>
          <w:highlight w:val="none"/>
          <w:lang w:eastAsia="zh-CN"/>
        </w:rPr>
        <w:t>②</w:t>
      </w:r>
      <w:r>
        <w:rPr>
          <w:rFonts w:hint="eastAsia"/>
          <w:color w:val="auto"/>
          <w:lang w:eastAsia="zh-CN"/>
        </w:rPr>
        <w:t>资金的拨付根据阜康市阜财经办字【</w:t>
      </w:r>
      <w:r>
        <w:rPr>
          <w:rFonts w:hint="eastAsia"/>
          <w:color w:val="auto"/>
          <w:lang w:val="en-US" w:eastAsia="zh-CN"/>
        </w:rPr>
        <w:t>2020】8号文件，</w:t>
      </w:r>
      <w:r>
        <w:rPr>
          <w:rFonts w:hint="eastAsia"/>
          <w:color w:val="auto"/>
          <w:lang w:eastAsia="zh-CN"/>
        </w:rPr>
        <w:t>有完整的审批程序和手续；</w:t>
      </w:r>
    </w:p>
    <w:p>
      <w:pPr>
        <w:bidi w:val="0"/>
        <w:rPr>
          <w:rFonts w:hint="eastAsia"/>
          <w:color w:val="auto"/>
          <w:highlight w:val="none"/>
          <w:lang w:eastAsia="zh-CN"/>
        </w:rPr>
      </w:pPr>
      <w:r>
        <w:rPr>
          <w:rFonts w:hint="eastAsia"/>
          <w:color w:val="auto"/>
          <w:highlight w:val="none"/>
          <w:lang w:eastAsia="zh-CN"/>
        </w:rPr>
        <w:t>③是否符合项目预算批复或合同规定的用途；</w:t>
      </w:r>
    </w:p>
    <w:p>
      <w:pPr>
        <w:bidi w:val="0"/>
        <w:rPr>
          <w:rFonts w:hint="eastAsia"/>
          <w:color w:val="auto"/>
          <w:highlight w:val="none"/>
          <w:lang w:eastAsia="zh-CN"/>
        </w:rPr>
      </w:pPr>
      <w:r>
        <w:rPr>
          <w:rFonts w:hint="eastAsia"/>
          <w:color w:val="auto"/>
          <w:highlight w:val="none"/>
          <w:lang w:eastAsia="zh-CN"/>
        </w:rPr>
        <w:t>④是否存在截留、挤占、挪用、虚列支出等情况。</w:t>
      </w:r>
    </w:p>
    <w:p>
      <w:pPr>
        <w:bidi w:val="0"/>
        <w:rPr>
          <w:rFonts w:hint="eastAsia"/>
          <w:color w:val="auto"/>
          <w:highlight w:val="none"/>
          <w:lang w:eastAsia="zh-CN"/>
        </w:rPr>
      </w:pPr>
      <w:r>
        <w:rPr>
          <w:rFonts w:hint="eastAsia"/>
          <w:b/>
          <w:bCs/>
          <w:color w:val="auto"/>
          <w:highlight w:val="none"/>
          <w:lang w:val="en-US" w:eastAsia="zh-CN"/>
        </w:rPr>
        <w:t>综上，该项指标满分4分，扣分0分，得分4分。</w:t>
      </w:r>
    </w:p>
    <w:p>
      <w:pPr>
        <w:bidi w:val="0"/>
        <w:rPr>
          <w:rFonts w:hint="default"/>
          <w:b/>
          <w:bCs/>
          <w:color w:val="auto"/>
          <w:highlight w:val="none"/>
          <w:lang w:val="en-US" w:eastAsia="zh-CN"/>
        </w:rPr>
      </w:pPr>
      <w:r>
        <w:rPr>
          <w:rFonts w:hint="eastAsia"/>
          <w:b/>
          <w:bCs/>
          <w:color w:val="auto"/>
          <w:highlight w:val="none"/>
          <w:lang w:val="en-US" w:eastAsia="zh-CN"/>
        </w:rPr>
        <w:t>4.管理制度健全性</w:t>
      </w:r>
    </w:p>
    <w:p>
      <w:pPr>
        <w:bidi w:val="0"/>
        <w:rPr>
          <w:rFonts w:hint="eastAsia"/>
          <w:color w:val="auto"/>
          <w:highlight w:val="none"/>
          <w:lang w:eastAsia="zh-CN"/>
        </w:rPr>
      </w:pPr>
      <w:r>
        <w:rPr>
          <w:rFonts w:hint="eastAsia"/>
          <w:color w:val="auto"/>
          <w:highlight w:val="none"/>
          <w:lang w:eastAsia="zh-CN"/>
        </w:rPr>
        <w:t>①是否已制定或具有相应的财务和业务管理制度；</w:t>
      </w:r>
    </w:p>
    <w:p>
      <w:pPr>
        <w:bidi w:val="0"/>
        <w:rPr>
          <w:rFonts w:hint="eastAsia"/>
          <w:color w:val="auto"/>
          <w:highlight w:val="none"/>
          <w:lang w:eastAsia="zh-CN"/>
        </w:rPr>
      </w:pPr>
      <w:r>
        <w:rPr>
          <w:rFonts w:hint="eastAsia"/>
          <w:color w:val="auto"/>
          <w:highlight w:val="none"/>
          <w:lang w:eastAsia="zh-CN"/>
        </w:rPr>
        <w:t>②财务和业务管理制度是否合法、合规、完整。</w:t>
      </w:r>
    </w:p>
    <w:p>
      <w:pPr>
        <w:bidi w:val="0"/>
        <w:rPr>
          <w:rFonts w:hint="eastAsia"/>
          <w:color w:val="auto"/>
          <w:highlight w:val="none"/>
          <w:lang w:eastAsia="zh-CN"/>
        </w:rPr>
      </w:pPr>
      <w:r>
        <w:rPr>
          <w:rFonts w:hint="eastAsia"/>
          <w:b/>
          <w:bCs/>
          <w:color w:val="auto"/>
          <w:highlight w:val="none"/>
          <w:lang w:val="en-US" w:eastAsia="zh-CN"/>
        </w:rPr>
        <w:t>综上，该项指标满分4分，扣分0分，得分4分。</w:t>
      </w:r>
    </w:p>
    <w:p>
      <w:pPr>
        <w:bidi w:val="0"/>
        <w:rPr>
          <w:rFonts w:hint="default"/>
          <w:b/>
          <w:bCs/>
          <w:color w:val="auto"/>
          <w:highlight w:val="none"/>
          <w:lang w:val="en-US" w:eastAsia="zh-CN"/>
        </w:rPr>
      </w:pPr>
      <w:r>
        <w:rPr>
          <w:rFonts w:hint="eastAsia"/>
          <w:b/>
          <w:bCs/>
          <w:color w:val="auto"/>
          <w:highlight w:val="none"/>
          <w:lang w:val="en-US" w:eastAsia="zh-CN"/>
        </w:rPr>
        <w:t>5.制度执行有效性</w:t>
      </w:r>
    </w:p>
    <w:p>
      <w:pPr>
        <w:bidi w:val="0"/>
        <w:rPr>
          <w:rFonts w:hint="eastAsia"/>
          <w:color w:val="auto"/>
          <w:highlight w:val="none"/>
          <w:lang w:eastAsia="zh-CN"/>
        </w:rPr>
      </w:pPr>
      <w:r>
        <w:rPr>
          <w:rFonts w:hint="eastAsia"/>
          <w:color w:val="auto"/>
          <w:highlight w:val="none"/>
          <w:lang w:eastAsia="zh-CN"/>
        </w:rPr>
        <w:t>①是否遵守相关法律法规和相关管理规定；</w:t>
      </w:r>
    </w:p>
    <w:p>
      <w:pPr>
        <w:bidi w:val="0"/>
        <w:rPr>
          <w:rFonts w:hint="eastAsia"/>
          <w:color w:val="auto"/>
          <w:highlight w:val="none"/>
          <w:lang w:eastAsia="zh-CN"/>
        </w:rPr>
      </w:pPr>
      <w:r>
        <w:rPr>
          <w:rFonts w:hint="eastAsia"/>
          <w:color w:val="auto"/>
          <w:highlight w:val="none"/>
          <w:lang w:eastAsia="zh-CN"/>
        </w:rPr>
        <w:t>②项目调整及支出调整手续是否完备；</w:t>
      </w:r>
    </w:p>
    <w:p>
      <w:pPr>
        <w:bidi w:val="0"/>
        <w:rPr>
          <w:rFonts w:hint="eastAsia"/>
          <w:color w:val="auto"/>
          <w:highlight w:val="none"/>
          <w:lang w:eastAsia="zh-CN"/>
        </w:rPr>
      </w:pPr>
      <w:r>
        <w:rPr>
          <w:rFonts w:hint="eastAsia"/>
          <w:color w:val="auto"/>
          <w:highlight w:val="none"/>
          <w:lang w:eastAsia="zh-CN"/>
        </w:rPr>
        <w:t>③项目合同书、验收报告、技术鉴定等资料是否齐全并及时归档；</w:t>
      </w:r>
    </w:p>
    <w:p>
      <w:pPr>
        <w:bidi w:val="0"/>
        <w:rPr>
          <w:rFonts w:hint="eastAsia"/>
          <w:color w:val="auto"/>
          <w:highlight w:val="none"/>
          <w:lang w:eastAsia="zh-CN"/>
        </w:rPr>
      </w:pPr>
      <w:r>
        <w:rPr>
          <w:rFonts w:hint="eastAsia"/>
          <w:color w:val="auto"/>
          <w:highlight w:val="none"/>
          <w:lang w:eastAsia="zh-CN"/>
        </w:rPr>
        <w:t>④项目实施的人员条件、场地设备、信息支撑等是否落实到位。</w:t>
      </w:r>
    </w:p>
    <w:p>
      <w:pPr>
        <w:bidi w:val="0"/>
        <w:rPr>
          <w:rFonts w:hint="eastAsia"/>
          <w:color w:val="auto"/>
          <w:highlight w:val="none"/>
          <w:lang w:eastAsia="zh-CN"/>
        </w:rPr>
      </w:pPr>
      <w:r>
        <w:rPr>
          <w:rFonts w:hint="eastAsia"/>
          <w:b/>
          <w:bCs/>
          <w:color w:val="auto"/>
          <w:highlight w:val="none"/>
          <w:lang w:val="en-US" w:eastAsia="zh-CN"/>
        </w:rPr>
        <w:t>综上，该项指标满分4分，扣分0分，得分4分。</w:t>
      </w:r>
    </w:p>
    <w:p>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三</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项目产出情况</w:t>
      </w:r>
    </w:p>
    <w:p>
      <w:pPr>
        <w:pageBreakBefore w:val="0"/>
        <w:widowControl w:val="0"/>
        <w:kinsoku/>
        <w:wordWrap/>
        <w:overflowPunct/>
        <w:topLinePunct w:val="0"/>
        <w:autoSpaceDE/>
        <w:autoSpaceDN/>
        <w:bidi w:val="0"/>
        <w:adjustRightInd/>
        <w:spacing w:line="360" w:lineRule="auto"/>
        <w:ind w:firstLine="560"/>
        <w:textAlignment w:val="auto"/>
        <w:rPr>
          <w:rFonts w:hint="eastAsia" w:ascii="宋体" w:hAnsi="宋体" w:eastAsia="宋体" w:cs="宋体"/>
          <w:color w:val="auto"/>
          <w:kern w:val="2"/>
          <w:highlight w:val="none"/>
          <w:u w:color="000000"/>
          <w:shd w:val="clear" w:color="auto" w:fill="auto"/>
          <w:lang w:val="zh-TW" w:eastAsia="zh-TW"/>
        </w:rPr>
      </w:pPr>
      <w:r>
        <w:rPr>
          <w:rFonts w:hint="eastAsia" w:ascii="宋体" w:hAnsi="宋体" w:eastAsia="宋体" w:cs="宋体"/>
          <w:color w:val="auto"/>
          <w:kern w:val="2"/>
          <w:highlight w:val="none"/>
          <w:u w:color="000000"/>
          <w:shd w:val="clear" w:color="auto" w:fill="auto"/>
          <w:lang w:val="zh-TW" w:eastAsia="zh-TW"/>
        </w:rPr>
        <w:t>项目</w:t>
      </w:r>
      <w:r>
        <w:rPr>
          <w:rFonts w:hint="eastAsia" w:ascii="宋体" w:hAnsi="宋体" w:eastAsia="宋体" w:cs="宋体"/>
          <w:color w:val="auto"/>
          <w:highlight w:val="none"/>
          <w:shd w:val="clear" w:color="auto" w:fill="auto"/>
          <w:lang w:val="en-US" w:eastAsia="zh-CN"/>
        </w:rPr>
        <w:t>产出</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6</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3</w:t>
      </w:r>
      <w:r>
        <w:rPr>
          <w:rFonts w:hint="eastAsia" w:ascii="宋体" w:hAnsi="宋体" w:eastAsia="宋体" w:cs="宋体"/>
          <w:color w:val="auto"/>
          <w:kern w:val="2"/>
          <w:highlight w:val="none"/>
          <w:u w:color="000000"/>
          <w:shd w:val="clear" w:color="auto" w:fill="auto"/>
          <w:lang w:val="zh-TW" w:eastAsia="zh-TW"/>
        </w:rPr>
        <w:t>所示：</w:t>
      </w:r>
    </w:p>
    <w:p>
      <w:pPr>
        <w:keepNext w:val="0"/>
        <w:keepLines w:val="0"/>
        <w:pageBreakBefore w:val="0"/>
        <w:widowControl/>
        <w:kinsoku/>
        <w:wordWrap/>
        <w:overflowPunct/>
        <w:topLinePunct w:val="0"/>
        <w:autoSpaceDE/>
        <w:autoSpaceDN/>
        <w:bidi w:val="0"/>
        <w:adjustRightInd/>
        <w:snapToGrid w:val="0"/>
        <w:spacing w:line="360" w:lineRule="auto"/>
        <w:ind w:firstLine="0" w:firstLineChars="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4-3项目产出</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0"/>
        <w:tblW w:w="8197" w:type="dxa"/>
        <w:tblInd w:w="0" w:type="dxa"/>
        <w:shd w:val="clear" w:color="auto" w:fill="auto"/>
        <w:tblLayout w:type="fixed"/>
        <w:tblCellMar>
          <w:top w:w="0" w:type="dxa"/>
          <w:left w:w="0" w:type="dxa"/>
          <w:bottom w:w="0" w:type="dxa"/>
          <w:right w:w="0" w:type="dxa"/>
        </w:tblCellMar>
      </w:tblPr>
      <w:tblGrid>
        <w:gridCol w:w="634"/>
        <w:gridCol w:w="928"/>
        <w:gridCol w:w="2644"/>
        <w:gridCol w:w="1437"/>
        <w:gridCol w:w="558"/>
        <w:gridCol w:w="1365"/>
        <w:gridCol w:w="631"/>
      </w:tblGrid>
      <w:tr>
        <w:tblPrEx>
          <w:shd w:val="clear" w:color="auto" w:fill="auto"/>
          <w:tblCellMar>
            <w:top w:w="0" w:type="dxa"/>
            <w:left w:w="0" w:type="dxa"/>
            <w:bottom w:w="0" w:type="dxa"/>
            <w:right w:w="0" w:type="dxa"/>
          </w:tblCellMar>
        </w:tblPrEx>
        <w:trPr>
          <w:trHeight w:val="750" w:hRule="atLeast"/>
        </w:trPr>
        <w:tc>
          <w:tcPr>
            <w:tcW w:w="6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92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6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年度指标值</w:t>
            </w:r>
          </w:p>
        </w:tc>
        <w:tc>
          <w:tcPr>
            <w:tcW w:w="55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标杆分值</w:t>
            </w:r>
          </w:p>
        </w:tc>
        <w:tc>
          <w:tcPr>
            <w:tcW w:w="136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全年实际完成值</w:t>
            </w:r>
          </w:p>
        </w:tc>
        <w:tc>
          <w:tcPr>
            <w:tcW w:w="63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指标得分</w:t>
            </w:r>
          </w:p>
        </w:tc>
      </w:tr>
      <w:tr>
        <w:tblPrEx>
          <w:tblCellMar>
            <w:top w:w="0" w:type="dxa"/>
            <w:left w:w="0" w:type="dxa"/>
            <w:bottom w:w="0" w:type="dxa"/>
            <w:right w:w="0" w:type="dxa"/>
          </w:tblCellMar>
        </w:tblPrEx>
        <w:trPr>
          <w:trHeight w:val="415" w:hRule="atLeast"/>
        </w:trPr>
        <w:tc>
          <w:tcPr>
            <w:tcW w:w="63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产出</w:t>
            </w: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数量指标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勘察矿数量</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7个</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7个</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trHeight w:val="39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质量指标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达到勘察标准</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达标</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时效指标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资金拨付及时率</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trHeight w:val="410"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资金拨付完成时间</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2022年5月</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2022年5月</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trHeight w:val="428" w:hRule="atLeast"/>
        </w:trPr>
        <w:tc>
          <w:tcPr>
            <w:tcW w:w="63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成本指标</w:t>
            </w: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一标段勘察测绘成本</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≤114万元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114万元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trHeight w:val="428" w:hRule="atLeast"/>
        </w:trPr>
        <w:tc>
          <w:tcPr>
            <w:tcW w:w="63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92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26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二标段勘察测绘成本</w:t>
            </w:r>
          </w:p>
        </w:tc>
        <w:tc>
          <w:tcPr>
            <w:tcW w:w="14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≤140.5万元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olor w:val="auto"/>
                <w:sz w:val="20"/>
                <w:szCs w:val="20"/>
                <w:lang w:val="en-US" w:eastAsia="zh-CN"/>
              </w:rPr>
            </w:pPr>
            <w:r>
              <w:rPr>
                <w:rFonts w:hint="eastAsia" w:ascii="宋体" w:hAnsi="宋体" w:eastAsia="宋体" w:cs="宋体"/>
                <w:color w:val="auto"/>
                <w:kern w:val="0"/>
                <w:sz w:val="20"/>
                <w:szCs w:val="20"/>
                <w:highlight w:val="none"/>
                <w:shd w:val="clear" w:color="auto" w:fill="auto"/>
                <w:lang w:val="en-US" w:eastAsia="zh-CN"/>
              </w:rPr>
              <w:t>140.5万元</w:t>
            </w: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5</w:t>
            </w:r>
          </w:p>
        </w:tc>
      </w:tr>
      <w:tr>
        <w:tblPrEx>
          <w:tblCellMar>
            <w:top w:w="0" w:type="dxa"/>
            <w:left w:w="0" w:type="dxa"/>
            <w:bottom w:w="0" w:type="dxa"/>
            <w:right w:w="0" w:type="dxa"/>
          </w:tblCellMar>
        </w:tblPrEx>
        <w:trPr>
          <w:trHeight w:val="403" w:hRule="atLeast"/>
        </w:trPr>
        <w:tc>
          <w:tcPr>
            <w:tcW w:w="5643"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3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3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bidi w:val="0"/>
        <w:rPr>
          <w:rFonts w:hint="eastAsia"/>
          <w:color w:val="auto"/>
          <w:highlight w:val="none"/>
          <w:lang w:eastAsia="zh-CN"/>
        </w:rPr>
      </w:pPr>
    </w:p>
    <w:p>
      <w:pPr>
        <w:bidi w:val="0"/>
        <w:rPr>
          <w:rFonts w:hint="default"/>
          <w:b/>
          <w:bCs/>
          <w:color w:val="auto"/>
          <w:lang w:val="en-US" w:eastAsia="zh-CN"/>
        </w:rPr>
      </w:pPr>
      <w:r>
        <w:rPr>
          <w:rFonts w:hint="eastAsia"/>
          <w:b/>
          <w:bCs/>
          <w:color w:val="auto"/>
          <w:lang w:val="en-US" w:eastAsia="zh-CN"/>
        </w:rPr>
        <w:t>1.项目完成数量</w:t>
      </w:r>
    </w:p>
    <w:p>
      <w:pPr>
        <w:bidi w:val="0"/>
        <w:rPr>
          <w:rFonts w:hint="default"/>
          <w:color w:val="auto"/>
          <w:sz w:val="28"/>
          <w:szCs w:val="28"/>
          <w:lang w:val="en-US" w:eastAsia="zh-CN"/>
        </w:rPr>
      </w:pPr>
      <w:r>
        <w:rPr>
          <w:rFonts w:hint="eastAsia"/>
          <w:color w:val="auto"/>
          <w:sz w:val="28"/>
          <w:szCs w:val="28"/>
          <w:lang w:val="en-US" w:eastAsia="zh-CN"/>
        </w:rPr>
        <w:t>“勘察矿数量”指标，预期指标值为7个，实际完成为7个。实际完成率=（7个/7个）×100%=100%。</w:t>
      </w:r>
    </w:p>
    <w:p>
      <w:pPr>
        <w:bidi w:val="0"/>
        <w:rPr>
          <w:rFonts w:hint="eastAsia"/>
          <w:b/>
          <w:bCs/>
          <w:color w:val="auto"/>
          <w:sz w:val="30"/>
          <w:szCs w:val="30"/>
          <w:lang w:val="en-US" w:eastAsia="zh-CN"/>
        </w:rPr>
      </w:pPr>
      <w:r>
        <w:rPr>
          <w:rFonts w:hint="eastAsia"/>
          <w:b/>
          <w:bCs/>
          <w:color w:val="auto"/>
          <w:sz w:val="28"/>
          <w:szCs w:val="28"/>
          <w:lang w:val="en-US" w:eastAsia="zh-CN"/>
        </w:rPr>
        <w:t>综上，该项指标满分10分，得分10分</w:t>
      </w:r>
      <w:r>
        <w:rPr>
          <w:rFonts w:hint="eastAsia"/>
          <w:b/>
          <w:bCs/>
          <w:color w:val="auto"/>
          <w:sz w:val="30"/>
          <w:szCs w:val="30"/>
          <w:lang w:val="en-US" w:eastAsia="zh-CN"/>
        </w:rPr>
        <w:t>。</w:t>
      </w:r>
    </w:p>
    <w:p>
      <w:pPr>
        <w:bidi w:val="0"/>
        <w:rPr>
          <w:rFonts w:hint="eastAsia"/>
          <w:b/>
          <w:bCs/>
          <w:color w:val="auto"/>
          <w:sz w:val="28"/>
          <w:szCs w:val="28"/>
          <w:lang w:val="en-US" w:eastAsia="zh-CN"/>
        </w:rPr>
      </w:pPr>
      <w:r>
        <w:rPr>
          <w:rFonts w:hint="eastAsia"/>
          <w:b/>
          <w:bCs/>
          <w:color w:val="auto"/>
          <w:sz w:val="30"/>
          <w:szCs w:val="30"/>
          <w:lang w:val="en-US" w:eastAsia="zh-CN"/>
        </w:rPr>
        <w:t>2.</w:t>
      </w:r>
      <w:r>
        <w:rPr>
          <w:rFonts w:hint="eastAsia"/>
          <w:b/>
          <w:bCs/>
          <w:color w:val="auto"/>
          <w:sz w:val="28"/>
          <w:szCs w:val="28"/>
          <w:lang w:val="en-US" w:eastAsia="zh-CN"/>
        </w:rPr>
        <w:t>项目完成质量</w:t>
      </w:r>
    </w:p>
    <w:p>
      <w:pPr>
        <w:numPr>
          <w:ilvl w:val="0"/>
          <w:numId w:val="0"/>
        </w:numPr>
        <w:bidi w:val="0"/>
        <w:rPr>
          <w:rFonts w:hint="eastAsia"/>
          <w:color w:val="auto"/>
          <w:sz w:val="28"/>
          <w:szCs w:val="28"/>
          <w:lang w:eastAsia="zh-CN"/>
        </w:rPr>
      </w:pPr>
      <w:r>
        <w:rPr>
          <w:rFonts w:hint="eastAsia"/>
          <w:color w:val="auto"/>
          <w:sz w:val="28"/>
          <w:szCs w:val="28"/>
          <w:lang w:val="en-US" w:eastAsia="zh-CN"/>
        </w:rPr>
        <w:t xml:space="preserve">  </w:t>
      </w:r>
      <w:r>
        <w:rPr>
          <w:rFonts w:hint="eastAsia"/>
          <w:color w:val="auto"/>
          <w:sz w:val="28"/>
          <w:szCs w:val="28"/>
          <w:lang w:eastAsia="zh-CN"/>
        </w:rPr>
        <w:t>“</w:t>
      </w:r>
      <w:r>
        <w:rPr>
          <w:rFonts w:hint="eastAsia"/>
          <w:color w:val="auto"/>
          <w:sz w:val="28"/>
          <w:szCs w:val="28"/>
          <w:lang w:val="en-US" w:eastAsia="zh-CN"/>
        </w:rPr>
        <w:t>达到勘察标准</w:t>
      </w:r>
      <w:r>
        <w:rPr>
          <w:rFonts w:hint="eastAsia"/>
          <w:color w:val="auto"/>
          <w:sz w:val="28"/>
          <w:szCs w:val="28"/>
          <w:lang w:eastAsia="zh-CN"/>
        </w:rPr>
        <w:t>”</w:t>
      </w:r>
      <w:r>
        <w:rPr>
          <w:rFonts w:hint="eastAsia"/>
          <w:color w:val="auto"/>
          <w:sz w:val="28"/>
          <w:szCs w:val="28"/>
          <w:lang w:val="en-US" w:eastAsia="zh-CN"/>
        </w:rPr>
        <w:t>指标，预期指标值为达标，实际完成为达标。</w:t>
      </w:r>
    </w:p>
    <w:p>
      <w:pPr>
        <w:bidi w:val="0"/>
        <w:rPr>
          <w:rFonts w:hint="eastAsia"/>
          <w:color w:val="auto"/>
          <w:sz w:val="28"/>
          <w:szCs w:val="28"/>
          <w:lang w:eastAsia="zh-CN"/>
        </w:rPr>
      </w:pPr>
      <w:r>
        <w:rPr>
          <w:rFonts w:hint="eastAsia"/>
          <w:b/>
          <w:bCs/>
          <w:color w:val="auto"/>
          <w:sz w:val="28"/>
          <w:szCs w:val="28"/>
          <w:lang w:val="en-US" w:eastAsia="zh-CN"/>
        </w:rPr>
        <w:t>综上，该项指标满分10分，得分10分。</w:t>
      </w:r>
    </w:p>
    <w:p>
      <w:pPr>
        <w:numPr>
          <w:ilvl w:val="0"/>
          <w:numId w:val="0"/>
        </w:numPr>
        <w:bidi w:val="0"/>
        <w:ind w:leftChars="0"/>
        <w:rPr>
          <w:rFonts w:hint="eastAsia"/>
          <w:b/>
          <w:bCs/>
          <w:color w:val="auto"/>
          <w:sz w:val="28"/>
          <w:szCs w:val="28"/>
          <w:lang w:val="en-US" w:eastAsia="zh-CN"/>
        </w:rPr>
      </w:pPr>
      <w:r>
        <w:rPr>
          <w:rFonts w:hint="eastAsia"/>
          <w:b/>
          <w:bCs/>
          <w:color w:val="auto"/>
          <w:sz w:val="30"/>
          <w:szCs w:val="30"/>
          <w:lang w:val="en-US" w:eastAsia="zh-CN"/>
        </w:rPr>
        <w:t xml:space="preserve">    3.</w:t>
      </w:r>
      <w:r>
        <w:rPr>
          <w:rFonts w:hint="eastAsia"/>
          <w:b/>
          <w:bCs/>
          <w:color w:val="auto"/>
          <w:sz w:val="28"/>
          <w:szCs w:val="28"/>
          <w:lang w:val="en-US" w:eastAsia="zh-CN"/>
        </w:rPr>
        <w:t>项目完成时效</w:t>
      </w:r>
    </w:p>
    <w:p>
      <w:pPr>
        <w:numPr>
          <w:ilvl w:val="0"/>
          <w:numId w:val="0"/>
        </w:numPr>
        <w:bidi w:val="0"/>
        <w:ind w:leftChars="0"/>
        <w:rPr>
          <w:rFonts w:hint="eastAsia"/>
          <w:color w:val="auto"/>
          <w:sz w:val="28"/>
          <w:szCs w:val="28"/>
          <w:lang w:val="en-US" w:eastAsia="zh-CN"/>
        </w:rPr>
      </w:pPr>
      <w:r>
        <w:rPr>
          <w:rFonts w:hint="eastAsia"/>
          <w:color w:val="auto"/>
          <w:sz w:val="30"/>
          <w:szCs w:val="30"/>
          <w:lang w:val="en-US" w:eastAsia="zh-CN"/>
        </w:rPr>
        <w:t xml:space="preserve">  </w:t>
      </w:r>
      <w:r>
        <w:rPr>
          <w:rFonts w:hint="eastAsia"/>
          <w:color w:val="auto"/>
          <w:sz w:val="30"/>
          <w:szCs w:val="30"/>
          <w:lang w:eastAsia="zh-CN"/>
        </w:rPr>
        <w:t>“</w:t>
      </w:r>
      <w:r>
        <w:rPr>
          <w:rFonts w:hint="eastAsia"/>
          <w:color w:val="auto"/>
          <w:sz w:val="28"/>
          <w:szCs w:val="28"/>
          <w:lang w:val="en-US" w:eastAsia="zh-CN"/>
        </w:rPr>
        <w:t>资金拨付及时率</w:t>
      </w:r>
      <w:r>
        <w:rPr>
          <w:rFonts w:hint="eastAsia"/>
          <w:color w:val="auto"/>
          <w:sz w:val="28"/>
          <w:szCs w:val="28"/>
          <w:lang w:eastAsia="zh-CN"/>
        </w:rPr>
        <w:t>”</w:t>
      </w:r>
      <w:r>
        <w:rPr>
          <w:rFonts w:hint="eastAsia"/>
          <w:color w:val="auto"/>
          <w:sz w:val="28"/>
          <w:szCs w:val="28"/>
          <w:lang w:val="en-US" w:eastAsia="zh-CN"/>
        </w:rPr>
        <w:t>指标，预期指标值为100%，实际完成为100%。</w:t>
      </w:r>
    </w:p>
    <w:p>
      <w:pPr>
        <w:numPr>
          <w:ilvl w:val="0"/>
          <w:numId w:val="0"/>
        </w:numPr>
        <w:bidi w:val="0"/>
        <w:ind w:leftChars="0"/>
        <w:rPr>
          <w:rFonts w:hint="eastAsia"/>
          <w:color w:val="auto"/>
          <w:lang w:eastAsia="zh-CN"/>
        </w:rPr>
      </w:pPr>
      <w:r>
        <w:rPr>
          <w:rFonts w:hint="eastAsia"/>
          <w:color w:val="auto"/>
          <w:sz w:val="30"/>
          <w:szCs w:val="30"/>
          <w:lang w:val="en-US" w:eastAsia="zh-CN"/>
        </w:rPr>
        <w:t xml:space="preserve">  </w:t>
      </w:r>
      <w:r>
        <w:rPr>
          <w:rFonts w:hint="eastAsia"/>
          <w:color w:val="auto"/>
          <w:sz w:val="30"/>
          <w:szCs w:val="30"/>
          <w:lang w:eastAsia="zh-CN"/>
        </w:rPr>
        <w:t>“</w:t>
      </w:r>
      <w:r>
        <w:rPr>
          <w:rFonts w:hint="eastAsia"/>
          <w:color w:val="auto"/>
          <w:sz w:val="28"/>
          <w:szCs w:val="28"/>
          <w:lang w:val="en-US" w:eastAsia="zh-CN"/>
        </w:rPr>
        <w:t>资金拨付完成时间</w:t>
      </w:r>
      <w:r>
        <w:rPr>
          <w:rFonts w:hint="eastAsia"/>
          <w:color w:val="auto"/>
          <w:sz w:val="28"/>
          <w:szCs w:val="28"/>
          <w:lang w:eastAsia="zh-CN"/>
        </w:rPr>
        <w:t>”</w:t>
      </w:r>
      <w:r>
        <w:rPr>
          <w:rFonts w:hint="eastAsia"/>
          <w:color w:val="auto"/>
          <w:sz w:val="28"/>
          <w:szCs w:val="28"/>
          <w:lang w:val="en-US" w:eastAsia="zh-CN"/>
        </w:rPr>
        <w:t>指标，预期指标值为2022年5月，实际完成为2022年5月。</w:t>
      </w:r>
    </w:p>
    <w:p>
      <w:pPr>
        <w:bidi w:val="0"/>
        <w:rPr>
          <w:rFonts w:hint="eastAsia"/>
          <w:color w:val="auto"/>
          <w:sz w:val="30"/>
          <w:szCs w:val="30"/>
          <w:lang w:eastAsia="zh-CN"/>
        </w:rPr>
      </w:pPr>
      <w:r>
        <w:rPr>
          <w:rFonts w:hint="eastAsia"/>
          <w:b/>
          <w:bCs/>
          <w:color w:val="auto"/>
          <w:sz w:val="28"/>
          <w:szCs w:val="28"/>
          <w:lang w:val="en-US" w:eastAsia="zh-CN"/>
        </w:rPr>
        <w:t>综上，该项指标满分5分，得分5分</w:t>
      </w:r>
      <w:r>
        <w:rPr>
          <w:rFonts w:hint="eastAsia"/>
          <w:b/>
          <w:bCs/>
          <w:color w:val="auto"/>
          <w:sz w:val="30"/>
          <w:szCs w:val="30"/>
          <w:lang w:val="en-US" w:eastAsia="zh-CN"/>
        </w:rPr>
        <w:t>。</w:t>
      </w:r>
    </w:p>
    <w:p>
      <w:pPr>
        <w:numPr>
          <w:ilvl w:val="0"/>
          <w:numId w:val="0"/>
        </w:numPr>
        <w:bidi w:val="0"/>
        <w:ind w:leftChars="0"/>
        <w:rPr>
          <w:rFonts w:hint="eastAsia"/>
          <w:b/>
          <w:bCs/>
          <w:color w:val="auto"/>
          <w:sz w:val="28"/>
          <w:szCs w:val="28"/>
          <w:lang w:val="en-US" w:eastAsia="zh-CN"/>
        </w:rPr>
      </w:pPr>
      <w:r>
        <w:rPr>
          <w:rFonts w:hint="eastAsia"/>
          <w:b/>
          <w:bCs/>
          <w:color w:val="auto"/>
          <w:sz w:val="28"/>
          <w:szCs w:val="28"/>
          <w:lang w:val="en-US" w:eastAsia="zh-CN"/>
        </w:rPr>
        <w:t xml:space="preserve">    4.项目完成成本</w:t>
      </w:r>
    </w:p>
    <w:p>
      <w:pPr>
        <w:numPr>
          <w:ilvl w:val="0"/>
          <w:numId w:val="0"/>
        </w:numPr>
        <w:bidi w:val="0"/>
        <w:ind w:leftChars="0"/>
        <w:rPr>
          <w:rFonts w:hint="eastAsia"/>
          <w:color w:val="auto"/>
          <w:sz w:val="28"/>
          <w:szCs w:val="28"/>
          <w:lang w:val="en-US" w:eastAsia="zh-CN"/>
        </w:rPr>
      </w:pPr>
      <w:r>
        <w:rPr>
          <w:rFonts w:hint="eastAsia"/>
          <w:color w:val="auto"/>
          <w:sz w:val="28"/>
          <w:szCs w:val="28"/>
          <w:lang w:val="en-US" w:eastAsia="zh-CN"/>
        </w:rPr>
        <w:t xml:space="preserve">   </w:t>
      </w:r>
      <w:r>
        <w:rPr>
          <w:rFonts w:hint="eastAsia"/>
          <w:color w:val="auto"/>
          <w:sz w:val="28"/>
          <w:szCs w:val="28"/>
          <w:lang w:eastAsia="zh-CN"/>
        </w:rPr>
        <w:t>“</w:t>
      </w:r>
      <w:r>
        <w:rPr>
          <w:rFonts w:hint="eastAsia"/>
          <w:color w:val="auto"/>
          <w:sz w:val="28"/>
          <w:szCs w:val="28"/>
          <w:lang w:val="en-US" w:eastAsia="zh-CN"/>
        </w:rPr>
        <w:t>一标段勘察测绘成本”指标，预期指标值为≤114万元，实际完成为114万元。实际完成率=（114万/114万）×100%=100%。</w:t>
      </w:r>
    </w:p>
    <w:p>
      <w:pPr>
        <w:numPr>
          <w:ilvl w:val="0"/>
          <w:numId w:val="0"/>
        </w:numPr>
        <w:bidi w:val="0"/>
        <w:ind w:leftChars="0"/>
        <w:rPr>
          <w:rFonts w:hint="eastAsia"/>
          <w:color w:val="auto"/>
          <w:lang w:eastAsia="zh-CN"/>
        </w:rPr>
      </w:pPr>
      <w:r>
        <w:rPr>
          <w:rFonts w:hint="eastAsia"/>
          <w:color w:val="auto"/>
          <w:sz w:val="28"/>
          <w:szCs w:val="28"/>
          <w:lang w:val="en-US" w:eastAsia="zh-CN"/>
        </w:rPr>
        <w:t xml:space="preserve">  </w:t>
      </w:r>
      <w:r>
        <w:rPr>
          <w:rFonts w:hint="eastAsia"/>
          <w:color w:val="auto"/>
          <w:sz w:val="28"/>
          <w:szCs w:val="28"/>
          <w:lang w:eastAsia="zh-CN"/>
        </w:rPr>
        <w:t>“</w:t>
      </w:r>
      <w:r>
        <w:rPr>
          <w:rFonts w:hint="eastAsia"/>
          <w:color w:val="auto"/>
          <w:sz w:val="28"/>
          <w:szCs w:val="28"/>
          <w:lang w:val="en-US" w:eastAsia="zh-CN"/>
        </w:rPr>
        <w:t>二标段勘察测绘成本”指标，预期指标值为≤140.5万元，实际完成为140.5万元。实际完成率=（140.5万/140.5万）×100%=100%。</w:t>
      </w:r>
    </w:p>
    <w:p>
      <w:pPr>
        <w:bidi w:val="0"/>
        <w:rPr>
          <w:rFonts w:hint="eastAsia"/>
          <w:b/>
          <w:bCs/>
          <w:color w:val="auto"/>
          <w:sz w:val="28"/>
          <w:szCs w:val="28"/>
          <w:lang w:val="en-US" w:eastAsia="zh-CN"/>
        </w:rPr>
      </w:pPr>
      <w:r>
        <w:rPr>
          <w:rFonts w:hint="eastAsia"/>
          <w:b/>
          <w:bCs/>
          <w:color w:val="auto"/>
          <w:sz w:val="28"/>
          <w:szCs w:val="28"/>
          <w:lang w:val="en-US" w:eastAsia="zh-CN"/>
        </w:rPr>
        <w:t>综上，该项指标满分5分，得分5分。</w:t>
      </w:r>
    </w:p>
    <w:p>
      <w:pPr>
        <w:pStyle w:val="4"/>
        <w:pageBreakBefore w:val="0"/>
        <w:numPr>
          <w:ilvl w:val="0"/>
          <w:numId w:val="0"/>
        </w:numPr>
        <w:kinsoku/>
        <w:wordWrap/>
        <w:overflowPunct/>
        <w:topLinePunct w:val="0"/>
        <w:autoSpaceDE/>
        <w:autoSpaceDN/>
        <w:bidi w:val="0"/>
        <w:adjustRightInd/>
        <w:spacing w:beforeLines="0" w:afterLines="0" w:line="360" w:lineRule="auto"/>
        <w:ind w:leftChars="200"/>
        <w:textAlignment w:val="auto"/>
        <w:rPr>
          <w:rFonts w:hint="eastAsia" w:ascii="宋体" w:hAnsi="宋体" w:eastAsia="宋体" w:cs="宋体"/>
          <w:color w:val="auto"/>
          <w:highlight w:val="none"/>
          <w:shd w:val="clear" w:color="auto" w:fill="auto"/>
        </w:rPr>
      </w:pP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lang w:val="en-US" w:eastAsia="zh-CN"/>
        </w:rPr>
        <w:t>四</w:t>
      </w:r>
      <w:r>
        <w:rPr>
          <w:rFonts w:hint="eastAsia" w:ascii="宋体" w:hAnsi="宋体" w:eastAsia="宋体" w:cs="宋体"/>
          <w:color w:val="auto"/>
          <w:highlight w:val="none"/>
          <w:shd w:val="clear" w:color="auto" w:fill="auto"/>
          <w:lang w:eastAsia="zh-CN"/>
        </w:rPr>
        <w:t>）</w:t>
      </w:r>
      <w:r>
        <w:rPr>
          <w:rFonts w:hint="eastAsia" w:ascii="宋体" w:hAnsi="宋体" w:eastAsia="宋体" w:cs="宋体"/>
          <w:color w:val="auto"/>
          <w:highlight w:val="none"/>
          <w:shd w:val="clear" w:color="auto" w:fill="auto"/>
        </w:rPr>
        <w:t>项目效益情况</w:t>
      </w:r>
    </w:p>
    <w:p>
      <w:pPr>
        <w:pageBreakBefore w:val="0"/>
        <w:widowControl w:val="0"/>
        <w:kinsoku/>
        <w:wordWrap/>
        <w:overflowPunct/>
        <w:topLinePunct w:val="0"/>
        <w:autoSpaceDE/>
        <w:autoSpaceDN/>
        <w:bidi w:val="0"/>
        <w:adjustRightInd/>
        <w:spacing w:line="360" w:lineRule="auto"/>
        <w:ind w:firstLine="560"/>
        <w:jc w:val="center"/>
        <w:textAlignment w:val="auto"/>
        <w:rPr>
          <w:rFonts w:hint="eastAsia" w:ascii="宋体" w:hAnsi="宋体" w:eastAsia="宋体" w:cs="宋体"/>
          <w:b/>
          <w:bCs/>
          <w:color w:val="auto"/>
          <w:kern w:val="0"/>
          <w:sz w:val="28"/>
          <w:szCs w:val="28"/>
          <w:highlight w:val="none"/>
          <w:shd w:val="clear" w:color="auto" w:fill="auto"/>
          <w:lang w:val="en-US" w:eastAsia="zh-CN"/>
        </w:rPr>
      </w:pPr>
      <w:r>
        <w:rPr>
          <w:rFonts w:hint="eastAsia" w:ascii="宋体" w:hAnsi="宋体" w:eastAsia="宋体" w:cs="宋体"/>
          <w:color w:val="auto"/>
          <w:kern w:val="2"/>
          <w:highlight w:val="none"/>
          <w:u w:color="000000"/>
          <w:shd w:val="clear" w:color="auto" w:fill="auto"/>
          <w:lang w:val="zh-TW" w:eastAsia="zh-TW"/>
        </w:rPr>
        <w:t>项目</w:t>
      </w:r>
      <w:r>
        <w:rPr>
          <w:rFonts w:hint="eastAsia" w:cs="宋体"/>
          <w:color w:val="auto"/>
          <w:highlight w:val="none"/>
          <w:shd w:val="clear" w:color="auto" w:fill="auto"/>
          <w:lang w:val="en-US" w:eastAsia="zh-CN"/>
        </w:rPr>
        <w:t>效益</w:t>
      </w:r>
      <w:r>
        <w:rPr>
          <w:rFonts w:hint="eastAsia" w:ascii="宋体" w:hAnsi="宋体" w:eastAsia="宋体" w:cs="宋体"/>
          <w:color w:val="auto"/>
          <w:kern w:val="2"/>
          <w:highlight w:val="none"/>
          <w:u w:color="000000"/>
          <w:shd w:val="clear" w:color="auto" w:fill="auto"/>
          <w:lang w:val="zh-TW" w:eastAsia="zh-TW"/>
        </w:rPr>
        <w:t>类指标由</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val="zh-TW" w:eastAsia="zh-CN"/>
        </w:rPr>
        <w:t>二</w:t>
      </w:r>
      <w:r>
        <w:rPr>
          <w:rFonts w:hint="eastAsia" w:ascii="宋体" w:hAnsi="宋体" w:eastAsia="宋体" w:cs="宋体"/>
          <w:color w:val="auto"/>
          <w:kern w:val="2"/>
          <w:highlight w:val="none"/>
          <w:u w:color="000000"/>
          <w:shd w:val="clear" w:color="auto" w:fill="auto"/>
          <w:lang w:val="zh-TW" w:eastAsia="zh-TW"/>
        </w:rPr>
        <w:t>级指标和</w:t>
      </w:r>
      <w:r>
        <w:rPr>
          <w:rFonts w:hint="eastAsia" w:cs="宋体"/>
          <w:color w:val="auto"/>
          <w:kern w:val="2"/>
          <w:highlight w:val="none"/>
          <w:u w:color="000000"/>
          <w:shd w:val="clear" w:color="auto" w:fill="auto"/>
          <w:lang w:val="en-US" w:eastAsia="zh-CN"/>
        </w:rPr>
        <w:t>2</w:t>
      </w:r>
      <w:r>
        <w:rPr>
          <w:rFonts w:hint="eastAsia" w:ascii="宋体" w:hAnsi="宋体" w:eastAsia="宋体" w:cs="宋体"/>
          <w:color w:val="auto"/>
          <w:kern w:val="2"/>
          <w:highlight w:val="none"/>
          <w:u w:color="000000"/>
          <w:shd w:val="clear" w:color="auto" w:fill="auto"/>
          <w:lang w:val="zh-TW" w:eastAsia="zh-TW"/>
        </w:rPr>
        <w:t>个</w:t>
      </w:r>
      <w:r>
        <w:rPr>
          <w:rFonts w:hint="eastAsia" w:ascii="宋体" w:hAnsi="宋体" w:eastAsia="宋体" w:cs="宋体"/>
          <w:color w:val="auto"/>
          <w:kern w:val="2"/>
          <w:highlight w:val="none"/>
          <w:u w:color="000000"/>
          <w:shd w:val="clear" w:color="auto" w:fill="auto"/>
          <w:lang w:eastAsia="zh-CN"/>
        </w:rPr>
        <w:t>三</w:t>
      </w:r>
      <w:r>
        <w:rPr>
          <w:rFonts w:hint="eastAsia" w:ascii="宋体" w:hAnsi="宋体" w:eastAsia="宋体" w:cs="宋体"/>
          <w:color w:val="auto"/>
          <w:kern w:val="2"/>
          <w:highlight w:val="none"/>
          <w:u w:color="000000"/>
          <w:shd w:val="clear" w:color="auto" w:fill="auto"/>
          <w:lang w:val="zh-TW" w:eastAsia="zh-TW"/>
        </w:rPr>
        <w:t>级指标构成，权重分</w:t>
      </w:r>
      <w:r>
        <w:rPr>
          <w:rFonts w:hint="eastAsia" w:ascii="宋体" w:hAnsi="宋体" w:eastAsia="宋体"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分，实际得分</w:t>
      </w:r>
      <w:r>
        <w:rPr>
          <w:rFonts w:hint="eastAsia" w:cs="宋体"/>
          <w:color w:val="auto"/>
          <w:kern w:val="2"/>
          <w:highlight w:val="none"/>
          <w:u w:color="000000"/>
          <w:shd w:val="clear" w:color="auto" w:fill="auto"/>
          <w:lang w:val="en-US" w:eastAsia="zh-CN"/>
        </w:rPr>
        <w:t>30</w:t>
      </w:r>
      <w:r>
        <w:rPr>
          <w:rFonts w:hint="eastAsia" w:ascii="宋体" w:hAnsi="宋体" w:eastAsia="宋体" w:cs="宋体"/>
          <w:color w:val="auto"/>
          <w:kern w:val="2"/>
          <w:highlight w:val="none"/>
          <w:u w:color="000000"/>
          <w:shd w:val="clear" w:color="auto" w:fill="auto"/>
          <w:lang w:val="zh-TW" w:eastAsia="zh-TW"/>
        </w:rPr>
        <w:t>分</w:t>
      </w:r>
      <w:r>
        <w:rPr>
          <w:rFonts w:hint="eastAsia" w:ascii="宋体" w:hAnsi="宋体" w:eastAsia="宋体" w:cs="宋体"/>
          <w:color w:val="auto"/>
          <w:kern w:val="2"/>
          <w:highlight w:val="none"/>
          <w:u w:color="000000"/>
          <w:shd w:val="clear" w:color="auto" w:fill="auto"/>
          <w:lang w:val="zh-TW" w:eastAsia="zh-CN"/>
        </w:rPr>
        <w:t>，</w:t>
      </w:r>
      <w:r>
        <w:rPr>
          <w:rFonts w:hint="eastAsia" w:ascii="宋体" w:hAnsi="宋体" w:eastAsia="宋体" w:cs="宋体"/>
          <w:color w:val="auto"/>
          <w:kern w:val="2"/>
          <w:highlight w:val="none"/>
          <w:u w:color="000000"/>
          <w:shd w:val="clear" w:color="auto" w:fill="auto"/>
          <w:lang w:val="zh-TW" w:eastAsia="zh-TW"/>
        </w:rPr>
        <w:t>各指标业绩值和绩效分值如表</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eastAsia="zh-CN"/>
        </w:rPr>
        <w:t>-</w:t>
      </w:r>
      <w:r>
        <w:rPr>
          <w:rFonts w:hint="eastAsia" w:ascii="宋体" w:hAnsi="宋体" w:eastAsia="宋体" w:cs="宋体"/>
          <w:color w:val="auto"/>
          <w:kern w:val="2"/>
          <w:highlight w:val="none"/>
          <w:u w:color="000000"/>
          <w:shd w:val="clear" w:color="auto" w:fill="auto"/>
          <w:lang w:val="en-US" w:eastAsia="zh-CN"/>
        </w:rPr>
        <w:t>4</w:t>
      </w:r>
      <w:r>
        <w:rPr>
          <w:rFonts w:hint="eastAsia" w:ascii="宋体" w:hAnsi="宋体" w:eastAsia="宋体" w:cs="宋体"/>
          <w:color w:val="auto"/>
          <w:kern w:val="2"/>
          <w:highlight w:val="none"/>
          <w:u w:color="000000"/>
          <w:shd w:val="clear" w:color="auto" w:fill="auto"/>
          <w:lang w:val="zh-TW" w:eastAsia="zh-TW"/>
        </w:rPr>
        <w:t>所示：</w:t>
      </w:r>
      <w:r>
        <w:rPr>
          <w:rFonts w:hint="eastAsia" w:ascii="宋体" w:hAnsi="宋体" w:eastAsia="宋体" w:cs="宋体"/>
          <w:b/>
          <w:bCs/>
          <w:color w:val="auto"/>
          <w:kern w:val="0"/>
          <w:sz w:val="28"/>
          <w:szCs w:val="28"/>
          <w:highlight w:val="none"/>
          <w:shd w:val="clear" w:color="auto" w:fill="auto"/>
          <w:lang w:val="zh-TW" w:eastAsia="zh-TW"/>
        </w:rPr>
        <w:t>表</w:t>
      </w:r>
      <w:r>
        <w:rPr>
          <w:rFonts w:hint="eastAsia" w:ascii="宋体" w:hAnsi="宋体" w:eastAsia="宋体" w:cs="宋体"/>
          <w:b/>
          <w:bCs/>
          <w:color w:val="auto"/>
          <w:kern w:val="0"/>
          <w:sz w:val="28"/>
          <w:szCs w:val="28"/>
          <w:highlight w:val="none"/>
          <w:shd w:val="clear" w:color="auto" w:fill="auto"/>
          <w:lang w:val="en-US" w:eastAsia="zh-CN"/>
        </w:rPr>
        <w:t>4-4项目效益</w:t>
      </w:r>
      <w:r>
        <w:rPr>
          <w:rFonts w:hint="eastAsia" w:ascii="宋体" w:hAnsi="宋体" w:eastAsia="宋体" w:cs="宋体"/>
          <w:b/>
          <w:bCs/>
          <w:color w:val="auto"/>
          <w:kern w:val="0"/>
          <w:sz w:val="28"/>
          <w:szCs w:val="28"/>
          <w:highlight w:val="none"/>
          <w:shd w:val="clear" w:color="auto" w:fill="auto"/>
          <w:lang w:val="zh-TW" w:eastAsia="zh-TW"/>
        </w:rPr>
        <w:t>指标及分值</w:t>
      </w:r>
      <w:r>
        <w:rPr>
          <w:rFonts w:hint="eastAsia" w:ascii="宋体" w:hAnsi="宋体" w:eastAsia="宋体" w:cs="宋体"/>
          <w:b/>
          <w:bCs/>
          <w:color w:val="auto"/>
          <w:kern w:val="0"/>
          <w:sz w:val="28"/>
          <w:szCs w:val="28"/>
          <w:highlight w:val="none"/>
          <w:shd w:val="clear" w:color="auto" w:fill="auto"/>
          <w:lang w:val="en-US" w:eastAsia="zh-CN"/>
        </w:rPr>
        <w:t>情况</w:t>
      </w:r>
    </w:p>
    <w:tbl>
      <w:tblPr>
        <w:tblStyle w:val="10"/>
        <w:tblW w:w="8372" w:type="dxa"/>
        <w:jc w:val="center"/>
        <w:shd w:val="clear" w:color="auto" w:fill="auto"/>
        <w:tblLayout w:type="fixed"/>
        <w:tblCellMar>
          <w:top w:w="0" w:type="dxa"/>
          <w:left w:w="0" w:type="dxa"/>
          <w:bottom w:w="0" w:type="dxa"/>
          <w:right w:w="0" w:type="dxa"/>
        </w:tblCellMar>
      </w:tblPr>
      <w:tblGrid>
        <w:gridCol w:w="685"/>
        <w:gridCol w:w="1725"/>
        <w:gridCol w:w="2744"/>
        <w:gridCol w:w="870"/>
        <w:gridCol w:w="645"/>
        <w:gridCol w:w="1050"/>
        <w:gridCol w:w="653"/>
      </w:tblGrid>
      <w:tr>
        <w:tblPrEx>
          <w:shd w:val="clear" w:color="auto" w:fill="auto"/>
          <w:tblCellMar>
            <w:top w:w="0" w:type="dxa"/>
            <w:left w:w="0" w:type="dxa"/>
            <w:bottom w:w="0" w:type="dxa"/>
            <w:right w:w="0" w:type="dxa"/>
          </w:tblCellMar>
        </w:tblPrEx>
        <w:trPr>
          <w:trHeight w:val="816" w:hRule="atLeast"/>
          <w:jc w:val="center"/>
        </w:trPr>
        <w:tc>
          <w:tcPr>
            <w:tcW w:w="68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一级指标</w:t>
            </w:r>
          </w:p>
        </w:tc>
        <w:tc>
          <w:tcPr>
            <w:tcW w:w="1725" w:type="dxa"/>
            <w:tcBorders>
              <w:top w:val="single" w:color="000000" w:sz="4" w:space="0"/>
              <w:left w:val="single" w:color="000000" w:sz="4" w:space="0"/>
              <w:bottom w:val="single" w:color="auto"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二级指标</w:t>
            </w:r>
          </w:p>
        </w:tc>
        <w:tc>
          <w:tcPr>
            <w:tcW w:w="274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三级指标</w:t>
            </w:r>
          </w:p>
        </w:tc>
        <w:tc>
          <w:tcPr>
            <w:tcW w:w="8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年度指标值</w:t>
            </w:r>
          </w:p>
        </w:tc>
        <w:tc>
          <w:tcPr>
            <w:tcW w:w="6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标杆分值</w:t>
            </w:r>
          </w:p>
        </w:tc>
        <w:tc>
          <w:tcPr>
            <w:tcW w:w="1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全年实际完成值</w:t>
            </w:r>
          </w:p>
        </w:tc>
        <w:tc>
          <w:tcPr>
            <w:tcW w:w="65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b/>
                <w:bCs/>
                <w:color w:val="auto"/>
                <w:kern w:val="0"/>
                <w:sz w:val="20"/>
                <w:szCs w:val="20"/>
                <w:highlight w:val="none"/>
                <w:shd w:val="clear" w:color="auto" w:fill="auto"/>
                <w:lang w:val="en-US" w:eastAsia="zh-CN"/>
              </w:rPr>
            </w:pPr>
            <w:r>
              <w:rPr>
                <w:rFonts w:hint="eastAsia" w:ascii="宋体" w:hAnsi="宋体" w:eastAsia="宋体" w:cs="宋体"/>
                <w:b/>
                <w:bCs/>
                <w:color w:val="auto"/>
                <w:kern w:val="0"/>
                <w:sz w:val="20"/>
                <w:szCs w:val="20"/>
                <w:highlight w:val="none"/>
                <w:shd w:val="clear" w:color="auto" w:fill="auto"/>
                <w:lang w:val="en-US" w:eastAsia="zh-CN"/>
              </w:rPr>
              <w:t>指标得分</w:t>
            </w:r>
          </w:p>
        </w:tc>
      </w:tr>
      <w:tr>
        <w:tblPrEx>
          <w:tblCellMar>
            <w:top w:w="0" w:type="dxa"/>
            <w:left w:w="0" w:type="dxa"/>
            <w:bottom w:w="0" w:type="dxa"/>
            <w:right w:w="0" w:type="dxa"/>
          </w:tblCellMar>
        </w:tblPrEx>
        <w:trPr>
          <w:trHeight w:val="436" w:hRule="atLeast"/>
          <w:jc w:val="center"/>
        </w:trPr>
        <w:tc>
          <w:tcPr>
            <w:tcW w:w="685" w:type="dxa"/>
            <w:vMerge w:val="restart"/>
            <w:tcBorders>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效益</w:t>
            </w:r>
          </w:p>
        </w:tc>
        <w:tc>
          <w:tcPr>
            <w:tcW w:w="1725"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经济效益指标</w:t>
            </w:r>
          </w:p>
        </w:tc>
        <w:tc>
          <w:tcPr>
            <w:tcW w:w="274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增加当地税收</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default" w:ascii="宋体" w:hAnsi="宋体" w:eastAsia="宋体" w:cs="宋体"/>
                <w:color w:val="auto"/>
                <w:kern w:val="0"/>
                <w:sz w:val="20"/>
                <w:szCs w:val="20"/>
                <w:highlight w:val="none"/>
                <w:shd w:val="clear" w:color="auto" w:fill="auto"/>
                <w:lang w:val="en-US" w:eastAsia="zh-CN"/>
              </w:rPr>
              <w:t>增加</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tblCellMar>
            <w:top w:w="0" w:type="dxa"/>
            <w:left w:w="0" w:type="dxa"/>
            <w:bottom w:w="0" w:type="dxa"/>
            <w:right w:w="0" w:type="dxa"/>
          </w:tblCellMar>
        </w:tblPrEx>
        <w:trPr>
          <w:trHeight w:val="436" w:hRule="atLeast"/>
          <w:jc w:val="center"/>
        </w:trPr>
        <w:tc>
          <w:tcPr>
            <w:tcW w:w="685" w:type="dxa"/>
            <w:vMerge w:val="continue"/>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社会效益指标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增加社会人员上岗就业率</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增加</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tblCellMar>
            <w:top w:w="0" w:type="dxa"/>
            <w:left w:w="0" w:type="dxa"/>
            <w:bottom w:w="0" w:type="dxa"/>
            <w:right w:w="0" w:type="dxa"/>
          </w:tblCellMar>
        </w:tblPrEx>
        <w:trPr>
          <w:trHeight w:val="436" w:hRule="atLeast"/>
          <w:jc w:val="center"/>
        </w:trPr>
        <w:tc>
          <w:tcPr>
            <w:tcW w:w="685" w:type="dxa"/>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1725"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满意度指标</w:t>
            </w:r>
          </w:p>
        </w:tc>
        <w:tc>
          <w:tcPr>
            <w:tcW w:w="27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勘察企业满意度</w:t>
            </w:r>
          </w:p>
        </w:tc>
        <w:tc>
          <w:tcPr>
            <w:tcW w:w="8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≥90%</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90%</w:t>
            </w: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10</w:t>
            </w:r>
          </w:p>
        </w:tc>
      </w:tr>
      <w:tr>
        <w:tblPrEx>
          <w:tblCellMar>
            <w:top w:w="0" w:type="dxa"/>
            <w:left w:w="0" w:type="dxa"/>
            <w:bottom w:w="0" w:type="dxa"/>
            <w:right w:w="0" w:type="dxa"/>
          </w:tblCellMar>
        </w:tblPrEx>
        <w:trPr>
          <w:trHeight w:val="469" w:hRule="atLeast"/>
          <w:jc w:val="center"/>
        </w:trPr>
        <w:tc>
          <w:tcPr>
            <w:tcW w:w="602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合计</w:t>
            </w:r>
          </w:p>
        </w:tc>
        <w:tc>
          <w:tcPr>
            <w:tcW w:w="6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r>
              <w:rPr>
                <w:rFonts w:hint="eastAsia" w:ascii="宋体" w:hAnsi="宋体" w:eastAsia="宋体" w:cs="宋体"/>
                <w:color w:val="auto"/>
                <w:kern w:val="0"/>
                <w:sz w:val="20"/>
                <w:szCs w:val="20"/>
                <w:highlight w:val="none"/>
                <w:shd w:val="clear" w:color="auto" w:fill="auto"/>
                <w:lang w:val="en-US" w:eastAsia="zh-CN"/>
              </w:rPr>
              <w:t>30</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rPr>
            </w:pPr>
          </w:p>
        </w:tc>
        <w:tc>
          <w:tcPr>
            <w:tcW w:w="6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default" w:ascii="宋体" w:hAnsi="宋体" w:eastAsia="宋体" w:cs="宋体"/>
                <w:color w:val="auto"/>
                <w:kern w:val="0"/>
                <w:sz w:val="20"/>
                <w:szCs w:val="20"/>
                <w:highlight w:val="none"/>
                <w:shd w:val="clear" w:color="auto" w:fill="auto"/>
                <w:lang w:val="en-US" w:eastAsia="zh-CN"/>
              </w:rPr>
            </w:pPr>
            <w:r>
              <w:rPr>
                <w:rFonts w:hint="eastAsia" w:cs="宋体"/>
                <w:color w:val="auto"/>
                <w:kern w:val="0"/>
                <w:sz w:val="20"/>
                <w:szCs w:val="20"/>
                <w:highlight w:val="none"/>
                <w:shd w:val="clear" w:color="auto" w:fill="auto"/>
                <w:lang w:val="en-US" w:eastAsia="zh-CN"/>
              </w:rPr>
              <w:t>30</w:t>
            </w:r>
          </w:p>
        </w:tc>
      </w:tr>
    </w:tbl>
    <w:p>
      <w:pPr>
        <w:numPr>
          <w:ilvl w:val="0"/>
          <w:numId w:val="0"/>
        </w:numPr>
        <w:bidi w:val="0"/>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 xml:space="preserve">    1. 经济效益指标</w:t>
      </w:r>
    </w:p>
    <w:p>
      <w:pPr>
        <w:numPr>
          <w:ilvl w:val="0"/>
          <w:numId w:val="0"/>
        </w:numPr>
        <w:bidi w:val="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 xml:space="preserve">   </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增加当地税收</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指标，预期指标值为</w:t>
      </w:r>
      <w:r>
        <w:rPr>
          <w:rFonts w:hint="default" w:asciiTheme="minorEastAsia" w:hAnsiTheme="minorEastAsia" w:eastAsiaTheme="minorEastAsia" w:cstheme="minorEastAsia"/>
          <w:color w:val="auto"/>
          <w:sz w:val="28"/>
          <w:szCs w:val="28"/>
          <w:lang w:val="en-US" w:eastAsia="zh-CN"/>
        </w:rPr>
        <w:t>增加</w:t>
      </w:r>
      <w:r>
        <w:rPr>
          <w:rFonts w:hint="eastAsia" w:asciiTheme="minorEastAsia" w:hAnsiTheme="minorEastAsia" w:eastAsiaTheme="minorEastAsia" w:cstheme="minorEastAsia"/>
          <w:color w:val="auto"/>
          <w:sz w:val="28"/>
          <w:szCs w:val="28"/>
          <w:lang w:val="en-US" w:eastAsia="zh-CN"/>
        </w:rPr>
        <w:t>，实际完成为</w:t>
      </w:r>
      <w:r>
        <w:rPr>
          <w:rFonts w:hint="eastAsia" w:asciiTheme="minorEastAsia" w:hAnsiTheme="minorEastAsia" w:eastAsiaTheme="minorEastAsia" w:cstheme="minorEastAsia"/>
          <w:color w:val="auto"/>
          <w:kern w:val="0"/>
          <w:sz w:val="28"/>
          <w:szCs w:val="28"/>
          <w:highlight w:val="none"/>
          <w:shd w:val="clear" w:color="auto" w:fill="auto"/>
          <w:lang w:val="en-US" w:eastAsia="zh-CN"/>
        </w:rPr>
        <w:t>100%</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eastAsiaTheme="minorEastAsia" w:cstheme="minorEastAsia"/>
          <w:b w:val="0"/>
          <w:bCs w:val="0"/>
          <w:color w:val="auto"/>
          <w:sz w:val="28"/>
          <w:szCs w:val="28"/>
          <w:lang w:val="en-US" w:eastAsia="zh-CN"/>
        </w:rPr>
        <w:t>项目的实施，当地税收增加，</w:t>
      </w:r>
      <w:r>
        <w:rPr>
          <w:rFonts w:hint="eastAsia" w:asciiTheme="minorEastAsia" w:hAnsiTheme="minorEastAsia" w:eastAsiaTheme="minorEastAsia" w:cstheme="minorEastAsia"/>
          <w:b/>
          <w:bCs/>
          <w:color w:val="auto"/>
          <w:sz w:val="28"/>
          <w:szCs w:val="28"/>
          <w:lang w:val="en-US" w:eastAsia="zh-CN"/>
        </w:rPr>
        <w:t>综上，该项指标满分10分，得分10分。</w:t>
      </w:r>
    </w:p>
    <w:p>
      <w:pPr>
        <w:numPr>
          <w:ilvl w:val="0"/>
          <w:numId w:val="0"/>
        </w:numPr>
        <w:bidi w:val="0"/>
        <w:ind w:leftChars="0" w:firstLine="562"/>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2.社会效益指标</w:t>
      </w:r>
    </w:p>
    <w:p>
      <w:pPr>
        <w:bidi w:val="0"/>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增加社会人员上岗就业率</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指标，预期指标值为</w:t>
      </w:r>
      <w:r>
        <w:rPr>
          <w:rFonts w:hint="eastAsia" w:asciiTheme="minorEastAsia" w:hAnsiTheme="minorEastAsia" w:eastAsiaTheme="minorEastAsia" w:cstheme="minorEastAsia"/>
          <w:color w:val="auto"/>
          <w:kern w:val="0"/>
          <w:sz w:val="28"/>
          <w:szCs w:val="28"/>
          <w:highlight w:val="none"/>
          <w:shd w:val="clear" w:color="auto" w:fill="auto"/>
          <w:lang w:val="en-US" w:eastAsia="zh-CN"/>
        </w:rPr>
        <w:t>有效</w:t>
      </w:r>
      <w:r>
        <w:rPr>
          <w:rFonts w:hint="eastAsia" w:asciiTheme="minorEastAsia" w:hAnsiTheme="minorEastAsia" w:eastAsiaTheme="minorEastAsia" w:cstheme="minorEastAsia"/>
          <w:color w:val="auto"/>
          <w:sz w:val="28"/>
          <w:szCs w:val="28"/>
          <w:lang w:val="en-US" w:eastAsia="zh-CN"/>
        </w:rPr>
        <w:t>，实际完成为</w:t>
      </w:r>
      <w:r>
        <w:rPr>
          <w:rFonts w:hint="eastAsia" w:asciiTheme="minorEastAsia" w:hAnsiTheme="minorEastAsia" w:eastAsiaTheme="minorEastAsia" w:cstheme="minorEastAsia"/>
          <w:color w:val="auto"/>
          <w:kern w:val="0"/>
          <w:sz w:val="28"/>
          <w:szCs w:val="28"/>
          <w:highlight w:val="none"/>
          <w:shd w:val="clear" w:color="auto" w:fill="auto"/>
          <w:lang w:val="en-US" w:eastAsia="zh-CN"/>
        </w:rPr>
        <w:t>有效。</w:t>
      </w:r>
      <w:r>
        <w:rPr>
          <w:rFonts w:hint="eastAsia" w:asciiTheme="minorEastAsia" w:hAnsiTheme="minorEastAsia" w:eastAsiaTheme="minorEastAsia" w:cstheme="minorEastAsia"/>
          <w:b w:val="0"/>
          <w:bCs w:val="0"/>
          <w:color w:val="auto"/>
          <w:sz w:val="28"/>
          <w:szCs w:val="28"/>
          <w:lang w:val="en-US" w:eastAsia="zh-CN"/>
        </w:rPr>
        <w:t>通过项目的实施，增加了社会人员上岗就业率，</w:t>
      </w:r>
    </w:p>
    <w:p>
      <w:pPr>
        <w:bidi w:val="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3.满意度指标</w:t>
      </w:r>
    </w:p>
    <w:p>
      <w:pPr>
        <w:bidi w:val="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kern w:val="0"/>
          <w:sz w:val="28"/>
          <w:szCs w:val="28"/>
          <w:highlight w:val="none"/>
          <w:shd w:val="clear" w:color="auto" w:fill="auto"/>
          <w:lang w:val="en-US" w:eastAsia="zh-CN"/>
          <w14:textFill>
            <w14:solidFill>
              <w14:schemeClr w14:val="tx1"/>
            </w14:solidFill>
          </w14:textFill>
        </w:rPr>
        <w:t>勘察企业满意度</w:t>
      </w:r>
      <w:r>
        <w:rPr>
          <w:rFonts w:hint="eastAsia" w:asciiTheme="minorEastAsia" w:hAnsiTheme="minorEastAsia" w:eastAsiaTheme="minorEastAsia" w:cstheme="minorEastAsia"/>
          <w:color w:val="000000" w:themeColor="text1"/>
          <w:sz w:val="28"/>
          <w:szCs w:val="28"/>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8"/>
          <w:szCs w:val="28"/>
          <w:lang w:val="en-US" w:eastAsia="zh-CN"/>
          <w14:textFill>
            <w14:solidFill>
              <w14:schemeClr w14:val="tx1"/>
            </w14:solidFill>
          </w14:textFill>
        </w:rPr>
        <w:t>指标，预期指标值为100%，实际完成为100%。</w:t>
      </w:r>
    </w:p>
    <w:p>
      <w:pPr>
        <w:bidi w:val="0"/>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pPr>
      <w:r>
        <w:rPr>
          <w:rFonts w:hint="eastAsia" w:asciiTheme="minorEastAsia" w:hAnsiTheme="minorEastAsia" w:eastAsiaTheme="minorEastAsia" w:cstheme="minorEastAsia"/>
          <w:b/>
          <w:bCs/>
          <w:color w:val="000000" w:themeColor="text1"/>
          <w:sz w:val="28"/>
          <w:szCs w:val="28"/>
          <w:lang w:val="en-US" w:eastAsia="zh-CN"/>
          <w14:textFill>
            <w14:solidFill>
              <w14:schemeClr w14:val="tx1"/>
            </w14:solidFill>
          </w14:textFill>
        </w:rPr>
        <w:t>综上，该项指标满分10分，得分10分。</w:t>
      </w:r>
    </w:p>
    <w:p>
      <w:pPr>
        <w:bidi w:val="0"/>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lang w:val="en-US" w:eastAsia="zh-CN"/>
        </w:rPr>
        <w:t>五</w:t>
      </w:r>
      <w:r>
        <w:rPr>
          <w:rFonts w:hint="eastAsia" w:ascii="宋体" w:hAnsi="宋体" w:eastAsia="宋体" w:cs="宋体"/>
          <w:b/>
          <w:bCs/>
          <w:color w:val="auto"/>
          <w:highlight w:val="none"/>
          <w:shd w:val="clear" w:color="auto" w:fill="auto"/>
          <w:lang w:val="en-US" w:eastAsia="zh-CN"/>
        </w:rPr>
        <w:t>、</w:t>
      </w:r>
      <w:r>
        <w:rPr>
          <w:rFonts w:hint="eastAsia" w:ascii="宋体" w:hAnsi="宋体" w:eastAsia="宋体" w:cs="宋体"/>
          <w:b/>
          <w:bCs/>
          <w:color w:val="auto"/>
          <w:highlight w:val="none"/>
          <w:shd w:val="clear" w:color="auto" w:fill="auto"/>
        </w:rPr>
        <w:t>主要经验及做法、存在的问题及原因分析</w:t>
      </w:r>
    </w:p>
    <w:p>
      <w:pPr>
        <w:numPr>
          <w:ilvl w:val="0"/>
          <w:numId w:val="0"/>
        </w:numPr>
        <w:bidi w:val="0"/>
        <w:ind w:left="560" w:leftChars="0"/>
        <w:rPr>
          <w:rFonts w:hint="eastAsia"/>
          <w:b/>
          <w:bCs/>
          <w:color w:val="auto"/>
          <w:highlight w:val="none"/>
          <w:lang w:eastAsia="zh-CN"/>
        </w:rPr>
      </w:pPr>
      <w:bookmarkStart w:id="12" w:name="_Toc28290"/>
      <w:bookmarkStart w:id="13" w:name="_Toc1921"/>
      <w:r>
        <w:rPr>
          <w:rFonts w:hint="eastAsia"/>
          <w:b/>
          <w:bCs/>
          <w:color w:val="auto"/>
          <w:highlight w:val="none"/>
          <w:lang w:eastAsia="zh-CN"/>
        </w:rPr>
        <w:t>（</w:t>
      </w:r>
      <w:r>
        <w:rPr>
          <w:rFonts w:hint="eastAsia"/>
          <w:b/>
          <w:bCs/>
          <w:color w:val="auto"/>
          <w:highlight w:val="none"/>
          <w:lang w:val="en-US" w:eastAsia="zh-CN"/>
        </w:rPr>
        <w:t>一</w:t>
      </w:r>
      <w:r>
        <w:rPr>
          <w:rFonts w:hint="eastAsia"/>
          <w:b/>
          <w:bCs/>
          <w:color w:val="auto"/>
          <w:highlight w:val="none"/>
          <w:lang w:eastAsia="zh-CN"/>
        </w:rPr>
        <w:t>）</w:t>
      </w:r>
      <w:r>
        <w:rPr>
          <w:rFonts w:hint="eastAsia"/>
          <w:b/>
          <w:bCs/>
          <w:color w:val="auto"/>
          <w:highlight w:val="none"/>
        </w:rPr>
        <w:t>主要经验及做法</w:t>
      </w:r>
    </w:p>
    <w:p>
      <w:pPr>
        <w:bidi w:val="0"/>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石英砂地质勘察项目2022年年初预算为254.5万元，1-12月累计支出254.5万元，预算支出完成率为100%。</w:t>
      </w:r>
    </w:p>
    <w:p>
      <w:pPr>
        <w:bidi w:val="0"/>
        <w:rPr>
          <w:rFonts w:hint="eastAsia" w:cs="宋体"/>
          <w:color w:val="auto"/>
          <w:highlight w:val="none"/>
          <w:shd w:val="clear" w:color="auto" w:fill="auto"/>
          <w:lang w:val="en-US" w:eastAsia="zh-CN"/>
        </w:rPr>
      </w:pPr>
      <w:r>
        <w:rPr>
          <w:rFonts w:hint="eastAsia" w:cs="宋体"/>
          <w:color w:val="auto"/>
          <w:highlight w:val="none"/>
          <w:shd w:val="clear" w:color="auto" w:fill="auto"/>
          <w:lang w:val="en-US" w:eastAsia="zh-CN"/>
        </w:rPr>
        <w:t>阜康市自然资源局建立健全了预算管理规章制度，各部门严格按预算编制的原则和要求做好当年预算编制工作，在预算绩效管理工作中，做到合理安排各项资金，重点保障基本支出，按轻重缓急顺序原则，优先安排了阜康市自然资源局事业发展中关系民生与稳定的项目，切实优化资源配置，提高了资金使用的效率和效果。</w:t>
      </w:r>
    </w:p>
    <w:bookmarkEnd w:id="12"/>
    <w:bookmarkEnd w:id="13"/>
    <w:p>
      <w:pPr>
        <w:bidi w:val="0"/>
        <w:rPr>
          <w:rFonts w:hint="eastAsia"/>
          <w:b/>
          <w:bCs/>
          <w:color w:val="auto"/>
          <w:highlight w:val="none"/>
          <w:lang w:eastAsia="zh-CN"/>
        </w:rPr>
      </w:pPr>
      <w:r>
        <w:rPr>
          <w:rFonts w:hint="eastAsia"/>
          <w:b/>
          <w:bCs/>
          <w:color w:val="auto"/>
          <w:highlight w:val="none"/>
          <w:lang w:eastAsia="zh-CN"/>
        </w:rPr>
        <w:t>（</w:t>
      </w:r>
      <w:r>
        <w:rPr>
          <w:rFonts w:hint="eastAsia"/>
          <w:b/>
          <w:bCs/>
          <w:color w:val="auto"/>
          <w:highlight w:val="none"/>
          <w:lang w:val="en-US" w:eastAsia="zh-CN"/>
        </w:rPr>
        <w:t>二</w:t>
      </w:r>
      <w:r>
        <w:rPr>
          <w:rFonts w:hint="eastAsia"/>
          <w:b/>
          <w:bCs/>
          <w:color w:val="auto"/>
          <w:highlight w:val="none"/>
          <w:lang w:eastAsia="zh-CN"/>
        </w:rPr>
        <w:t>）</w:t>
      </w:r>
      <w:r>
        <w:rPr>
          <w:rFonts w:hint="eastAsia"/>
          <w:b/>
          <w:bCs/>
          <w:color w:val="auto"/>
          <w:highlight w:val="none"/>
        </w:rPr>
        <w:t>存在的问题及原因分析</w:t>
      </w:r>
    </w:p>
    <w:p>
      <w:pPr>
        <w:bidi w:val="0"/>
        <w:rPr>
          <w:rFonts w:hint="eastAsia" w:cs="宋体"/>
          <w:color w:val="auto"/>
          <w:highlight w:val="none"/>
          <w:lang w:val="en-US" w:eastAsia="zh-CN"/>
        </w:rPr>
      </w:pPr>
      <w:r>
        <w:rPr>
          <w:rFonts w:hint="eastAsia" w:cs="宋体"/>
          <w:color w:val="auto"/>
          <w:highlight w:val="none"/>
          <w:lang w:val="en-US" w:eastAsia="zh-CN"/>
        </w:rPr>
        <w:t>1、 绩效目标编制不够规范，需要加强学习和培训。</w:t>
      </w:r>
    </w:p>
    <w:p>
      <w:pPr>
        <w:bidi w:val="0"/>
        <w:rPr>
          <w:rFonts w:hint="default"/>
          <w:color w:val="auto"/>
          <w:highlight w:val="none"/>
          <w:lang w:val="en-US" w:eastAsia="zh-CN"/>
        </w:rPr>
      </w:pPr>
      <w:r>
        <w:rPr>
          <w:rFonts w:hint="eastAsia" w:cs="宋体"/>
          <w:color w:val="auto"/>
          <w:highlight w:val="none"/>
          <w:lang w:val="en-US" w:eastAsia="zh-CN"/>
        </w:rPr>
        <w:t>2、</w:t>
      </w:r>
      <w:r>
        <w:rPr>
          <w:rFonts w:hint="eastAsia" w:ascii="宋体" w:hAnsi="宋体" w:eastAsia="宋体" w:cs="宋体"/>
          <w:color w:val="auto"/>
          <w:highlight w:val="none"/>
          <w:lang w:val="en-US" w:eastAsia="zh-CN"/>
        </w:rPr>
        <w:t>资金管理目前使用的一体化大平台资金管理手续过于繁琐，致使资金支付时间较长。</w:t>
      </w:r>
    </w:p>
    <w:p>
      <w:pPr>
        <w:pStyle w:val="5"/>
        <w:rPr>
          <w:rFonts w:hint="eastAsia" w:ascii="宋体" w:hAnsi="宋体" w:eastAsia="宋体" w:cs="宋体"/>
          <w:b/>
          <w:bCs/>
          <w:color w:val="auto"/>
          <w:highlight w:val="none"/>
          <w:shd w:val="clear" w:color="auto" w:fill="auto"/>
        </w:rPr>
      </w:pPr>
      <w:r>
        <w:rPr>
          <w:rFonts w:hint="eastAsia" w:ascii="宋体" w:hAnsi="宋体" w:eastAsia="宋体" w:cs="宋体"/>
          <w:color w:val="auto"/>
          <w:highlight w:val="none"/>
          <w:lang w:val="en-US" w:eastAsia="zh-CN"/>
        </w:rPr>
        <w:t xml:space="preserve"> </w:t>
      </w:r>
      <w:r>
        <w:rPr>
          <w:rFonts w:hint="eastAsia" w:ascii="宋体" w:hAnsi="宋体" w:eastAsia="宋体" w:cs="宋体"/>
          <w:b/>
          <w:bCs/>
          <w:color w:val="auto"/>
          <w:sz w:val="32"/>
          <w:szCs w:val="32"/>
          <w:highlight w:val="none"/>
          <w:shd w:val="clear" w:color="auto" w:fill="auto"/>
          <w:lang w:val="en-US" w:eastAsia="zh-CN"/>
        </w:rPr>
        <w:t>六、</w:t>
      </w:r>
      <w:r>
        <w:rPr>
          <w:rFonts w:hint="eastAsia" w:ascii="宋体" w:hAnsi="宋体" w:eastAsia="宋体" w:cs="宋体"/>
          <w:b/>
          <w:bCs/>
          <w:color w:val="auto"/>
          <w:sz w:val="32"/>
          <w:szCs w:val="32"/>
          <w:highlight w:val="none"/>
          <w:shd w:val="clear" w:color="auto" w:fill="auto"/>
        </w:rPr>
        <w:t>有关建议</w:t>
      </w:r>
    </w:p>
    <w:p>
      <w:pPr>
        <w:bidi w:val="0"/>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lang w:val="en-US" w:eastAsia="zh-CN"/>
        </w:rPr>
        <w:t>一</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加强绩效目标编制培训，强化目标审核</w:t>
      </w:r>
    </w:p>
    <w:p>
      <w:pPr>
        <w:bidi w:val="0"/>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一是加强预算绩效目标编制的培训学习。如：财政部《中央部门项目支出核心绩效目标和指标设臵及取值指引（试行）》（财预〔2021〕101号）、《自治区分行业分领域共性项目绩效指标体系（2021年度）》、2021年9月3日自治区财政厅绩效评价中心下发的《关于2022年度部门预算项目支出绩效目标</w:t>
      </w:r>
      <w:r>
        <w:rPr>
          <w:rFonts w:hint="eastAsia" w:asciiTheme="minorEastAsia" w:hAnsiTheme="minorEastAsia" w:eastAsiaTheme="minorEastAsia" w:cstheme="minorEastAsia"/>
          <w:color w:val="auto"/>
          <w:sz w:val="28"/>
          <w:szCs w:val="28"/>
          <w:lang w:val="en-US" w:eastAsia="zh-CN"/>
        </w:rPr>
        <w:t>设置</w:t>
      </w:r>
      <w:r>
        <w:rPr>
          <w:rFonts w:hint="eastAsia" w:asciiTheme="minorEastAsia" w:hAnsiTheme="minorEastAsia" w:eastAsiaTheme="minorEastAsia" w:cstheme="minorEastAsia"/>
          <w:color w:val="auto"/>
          <w:sz w:val="28"/>
          <w:szCs w:val="28"/>
        </w:rPr>
        <w:t>及审核要求的提示通知》，提高绩效目标编制质量，确保绩效目标“够得着、能实现”。</w:t>
      </w:r>
    </w:p>
    <w:p>
      <w:pPr>
        <w:pStyle w:val="4"/>
        <w:rPr>
          <w:rFonts w:hint="eastAsia" w:ascii="宋体" w:hAnsi="宋体" w:eastAsia="宋体" w:cs="宋体"/>
          <w:b w:val="0"/>
          <w:bCs w:val="0"/>
          <w:color w:val="auto"/>
          <w:kern w:val="2"/>
          <w:sz w:val="28"/>
          <w:szCs w:val="28"/>
          <w:highlight w:val="none"/>
          <w:lang w:val="en-US" w:eastAsia="zh-CN" w:bidi="ar-SA"/>
        </w:rPr>
      </w:pPr>
      <w:r>
        <w:rPr>
          <w:rFonts w:hint="eastAsia" w:ascii="宋体" w:hAnsi="宋体" w:eastAsia="宋体" w:cs="宋体"/>
          <w:b w:val="0"/>
          <w:bCs w:val="0"/>
          <w:color w:val="auto"/>
          <w:kern w:val="2"/>
          <w:sz w:val="28"/>
          <w:szCs w:val="28"/>
          <w:highlight w:val="none"/>
          <w:lang w:val="en-US" w:eastAsia="zh-CN" w:bidi="ar-SA"/>
        </w:rPr>
        <w:t>2、资金管理  建议简化程序提高工作效率。</w:t>
      </w:r>
    </w:p>
    <w:p>
      <w:pPr>
        <w:pStyle w:val="3"/>
        <w:pageBreakBefore w:val="0"/>
        <w:kinsoku/>
        <w:wordWrap/>
        <w:overflowPunct/>
        <w:topLinePunct w:val="0"/>
        <w:autoSpaceDE/>
        <w:autoSpaceDN/>
        <w:bidi w:val="0"/>
        <w:adjustRightInd/>
        <w:spacing w:beforeLines="0" w:afterLines="0" w:line="360" w:lineRule="auto"/>
        <w:textAlignment w:val="auto"/>
        <w:rPr>
          <w:rFonts w:hint="eastAsia" w:ascii="宋体" w:hAnsi="宋体" w:eastAsia="宋体" w:cs="宋体"/>
          <w:b/>
          <w:bCs/>
          <w:color w:val="auto"/>
          <w:highlight w:val="none"/>
          <w:shd w:val="clear" w:color="auto" w:fill="auto"/>
        </w:rPr>
      </w:pPr>
      <w:r>
        <w:rPr>
          <w:rFonts w:hint="eastAsia" w:ascii="宋体" w:hAnsi="宋体" w:eastAsia="宋体" w:cs="宋体"/>
          <w:b/>
          <w:bCs/>
          <w:color w:val="auto"/>
          <w:highlight w:val="none"/>
          <w:shd w:val="clear" w:color="auto" w:fill="auto"/>
          <w:lang w:val="en-US" w:eastAsia="zh-CN"/>
        </w:rPr>
        <w:t>七</w:t>
      </w:r>
      <w:r>
        <w:rPr>
          <w:rFonts w:hint="eastAsia" w:ascii="宋体" w:hAnsi="宋体" w:eastAsia="宋体" w:cs="宋体"/>
          <w:b/>
          <w:bCs/>
          <w:color w:val="auto"/>
          <w:highlight w:val="none"/>
          <w:shd w:val="clear" w:color="auto" w:fill="auto"/>
        </w:rPr>
        <w:t>、其他需要说明的问题</w:t>
      </w:r>
    </w:p>
    <w:p>
      <w:pPr>
        <w:bidi w:val="0"/>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无其他需要说明的问题。</w:t>
      </w:r>
    </w:p>
    <w:p>
      <w:pPr>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highlight w:val="none"/>
          <w:shd w:val="clear" w:color="auto" w:fill="auto"/>
          <w:lang w:val="en-US" w:eastAsia="zh-CN"/>
        </w:rPr>
      </w:pPr>
    </w:p>
    <w:p>
      <w:pPr>
        <w:ind w:left="0" w:leftChars="0" w:firstLine="0" w:firstLineChars="0"/>
        <w:rPr>
          <w:rFonts w:hint="eastAsia" w:ascii="宋体" w:hAnsi="宋体" w:eastAsia="宋体" w:cs="宋体"/>
          <w:color w:val="auto"/>
          <w:highlight w:val="none"/>
          <w:shd w:val="clear" w:color="auto" w:fill="auto"/>
          <w:lang w:val="en-US" w:eastAsia="zh-CN"/>
        </w:rPr>
      </w:pPr>
    </w:p>
    <w:tbl>
      <w:tblPr>
        <w:tblStyle w:val="10"/>
        <w:tblW w:w="9080" w:type="dxa"/>
        <w:jc w:val="center"/>
        <w:tblLayout w:type="fixed"/>
        <w:tblCellMar>
          <w:top w:w="0" w:type="dxa"/>
          <w:left w:w="108" w:type="dxa"/>
          <w:bottom w:w="0" w:type="dxa"/>
          <w:right w:w="108" w:type="dxa"/>
        </w:tblCellMar>
      </w:tblPr>
      <w:tblGrid>
        <w:gridCol w:w="588"/>
        <w:gridCol w:w="980"/>
        <w:gridCol w:w="1112"/>
        <w:gridCol w:w="730"/>
        <w:gridCol w:w="1072"/>
        <w:gridCol w:w="62"/>
        <w:gridCol w:w="1078"/>
        <w:gridCol w:w="1190"/>
        <w:gridCol w:w="526"/>
        <w:gridCol w:w="183"/>
        <w:gridCol w:w="625"/>
        <w:gridCol w:w="226"/>
        <w:gridCol w:w="708"/>
      </w:tblGrid>
      <w:tr>
        <w:tblPrEx>
          <w:tblCellMar>
            <w:top w:w="0" w:type="dxa"/>
            <w:left w:w="108" w:type="dxa"/>
            <w:bottom w:w="0" w:type="dxa"/>
            <w:right w:w="108" w:type="dxa"/>
          </w:tblCellMar>
        </w:tblPrEx>
        <w:trPr>
          <w:trHeight w:val="454" w:hRule="exact"/>
          <w:jc w:val="center"/>
        </w:trPr>
        <w:tc>
          <w:tcPr>
            <w:tcW w:w="9080" w:type="dxa"/>
            <w:gridSpan w:val="13"/>
            <w:tcBorders>
              <w:top w:val="single" w:color="auto" w:sz="4" w:space="0"/>
              <w:left w:val="single" w:color="auto" w:sz="4" w:space="0"/>
              <w:bottom w:val="single" w:color="auto" w:sz="4" w:space="0"/>
              <w:right w:val="single" w:color="auto" w:sz="4" w:space="0"/>
            </w:tcBorders>
            <w:vAlign w:val="center"/>
          </w:tcPr>
          <w:p>
            <w:pPr>
              <w:widowControl/>
              <w:spacing w:line="320" w:lineRule="exact"/>
              <w:ind w:firstLine="0" w:firstLineChars="0"/>
              <w:jc w:val="both"/>
              <w:rPr>
                <w:rFonts w:ascii="宋体" w:hAnsi="宋体" w:eastAsia="宋体" w:cs="宋体"/>
                <w:b w:val="0"/>
                <w:bCs w:val="0"/>
                <w:color w:val="auto"/>
                <w:kern w:val="0"/>
                <w:sz w:val="32"/>
                <w:szCs w:val="32"/>
                <w:highlight w:val="none"/>
              </w:rPr>
            </w:pPr>
            <w:r>
              <w:rPr>
                <w:rFonts w:hint="eastAsia" w:ascii="宋体" w:hAnsi="宋体" w:eastAsia="宋体" w:cs="宋体"/>
                <w:b w:val="0"/>
                <w:bCs w:val="0"/>
                <w:color w:val="auto"/>
                <w:kern w:val="0"/>
                <w:sz w:val="32"/>
                <w:szCs w:val="32"/>
                <w:highlight w:val="none"/>
                <w:lang w:val="en-US" w:eastAsia="zh-CN"/>
              </w:rPr>
              <w:t xml:space="preserve">附件一             </w:t>
            </w:r>
            <w:r>
              <w:rPr>
                <w:rFonts w:hint="eastAsia" w:ascii="宋体" w:hAnsi="宋体" w:eastAsia="宋体" w:cs="宋体"/>
                <w:b w:val="0"/>
                <w:bCs w:val="0"/>
                <w:color w:val="auto"/>
                <w:kern w:val="0"/>
                <w:sz w:val="32"/>
                <w:szCs w:val="32"/>
                <w:highlight w:val="none"/>
              </w:rPr>
              <w:t>项目支出绩效自评表</w:t>
            </w:r>
          </w:p>
        </w:tc>
      </w:tr>
      <w:tr>
        <w:tblPrEx>
          <w:tblCellMar>
            <w:top w:w="0" w:type="dxa"/>
            <w:left w:w="108" w:type="dxa"/>
            <w:bottom w:w="0" w:type="dxa"/>
            <w:right w:w="108" w:type="dxa"/>
          </w:tblCellMar>
        </w:tblPrEx>
        <w:trPr>
          <w:trHeight w:val="201" w:hRule="atLeast"/>
          <w:jc w:val="center"/>
        </w:trPr>
        <w:tc>
          <w:tcPr>
            <w:tcW w:w="9080" w:type="dxa"/>
            <w:gridSpan w:val="13"/>
            <w:tcBorders>
              <w:top w:val="single" w:color="auto" w:sz="4" w:space="0"/>
              <w:left w:val="nil"/>
              <w:bottom w:val="nil"/>
              <w:right w:val="nil"/>
            </w:tcBorders>
            <w:vAlign w:val="top"/>
          </w:tcPr>
          <w:p>
            <w:pPr>
              <w:widowControl/>
              <w:spacing w:line="240" w:lineRule="auto"/>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xml:space="preserve">（  </w:t>
            </w:r>
            <w:r>
              <w:rPr>
                <w:rFonts w:hint="eastAsia" w:ascii="宋体" w:hAnsi="宋体" w:eastAsia="宋体" w:cs="宋体"/>
                <w:color w:val="auto"/>
                <w:kern w:val="0"/>
                <w:sz w:val="22"/>
                <w:szCs w:val="22"/>
                <w:highlight w:val="none"/>
                <w:lang w:val="en-US" w:eastAsia="zh-CN"/>
              </w:rPr>
              <w:t>202</w:t>
            </w:r>
            <w:r>
              <w:rPr>
                <w:rFonts w:hint="eastAsia" w:cs="宋体"/>
                <w:color w:val="auto"/>
                <w:kern w:val="0"/>
                <w:sz w:val="22"/>
                <w:szCs w:val="22"/>
                <w:highlight w:val="none"/>
                <w:lang w:val="en-US" w:eastAsia="zh-CN"/>
              </w:rPr>
              <w:t>2</w:t>
            </w:r>
            <w:r>
              <w:rPr>
                <w:rFonts w:hint="eastAsia" w:ascii="宋体" w:hAnsi="宋体" w:eastAsia="宋体" w:cs="宋体"/>
                <w:color w:val="auto"/>
                <w:kern w:val="0"/>
                <w:sz w:val="22"/>
                <w:szCs w:val="22"/>
                <w:highlight w:val="none"/>
              </w:rPr>
              <w:t xml:space="preserve"> 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项目名称</w:t>
            </w:r>
          </w:p>
        </w:tc>
        <w:tc>
          <w:tcPr>
            <w:tcW w:w="7512" w:type="dxa"/>
            <w:gridSpan w:val="11"/>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rPr>
              <w:t>石英砂地质勘察</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主管部门</w:t>
            </w:r>
          </w:p>
        </w:tc>
        <w:tc>
          <w:tcPr>
            <w:tcW w:w="4054"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rPr>
              <w:t>阜康市自然资源局</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实施单位</w:t>
            </w:r>
          </w:p>
        </w:tc>
        <w:tc>
          <w:tcPr>
            <w:tcW w:w="2268" w:type="dxa"/>
            <w:gridSpan w:val="5"/>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rPr>
              <w:t>阜康市自然资源局</w:t>
            </w:r>
          </w:p>
        </w:tc>
      </w:tr>
      <w:tr>
        <w:tblPrEx>
          <w:tblCellMar>
            <w:top w:w="0" w:type="dxa"/>
            <w:left w:w="108" w:type="dxa"/>
            <w:bottom w:w="0" w:type="dxa"/>
            <w:right w:w="108" w:type="dxa"/>
          </w:tblCellMar>
        </w:tblPrEx>
        <w:trPr>
          <w:trHeight w:val="300"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项目资金</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（万元）</w:t>
            </w: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34"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年初预算数</w:t>
            </w:r>
          </w:p>
        </w:tc>
        <w:tc>
          <w:tcPr>
            <w:tcW w:w="10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全年预算数</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全年执行数</w:t>
            </w:r>
          </w:p>
        </w:tc>
        <w:tc>
          <w:tcPr>
            <w:tcW w:w="709"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分值</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执行率</w:t>
            </w:r>
          </w:p>
        </w:tc>
        <w:tc>
          <w:tcPr>
            <w:tcW w:w="70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得分</w:t>
            </w:r>
          </w:p>
        </w:tc>
      </w:tr>
      <w:tr>
        <w:tblPrEx>
          <w:tblCellMar>
            <w:top w:w="0" w:type="dxa"/>
            <w:left w:w="108" w:type="dxa"/>
            <w:bottom w:w="0" w:type="dxa"/>
            <w:right w:w="108" w:type="dxa"/>
          </w:tblCellMar>
        </w:tblPrEx>
        <w:trPr>
          <w:trHeight w:val="275"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年度资金总额</w:t>
            </w:r>
          </w:p>
        </w:tc>
        <w:tc>
          <w:tcPr>
            <w:tcW w:w="1134"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254.5</w:t>
            </w:r>
          </w:p>
        </w:tc>
        <w:tc>
          <w:tcPr>
            <w:tcW w:w="1078" w:type="dxa"/>
            <w:tcBorders>
              <w:top w:val="nil"/>
              <w:left w:val="nil"/>
              <w:bottom w:val="single" w:color="auto" w:sz="4" w:space="0"/>
              <w:right w:val="single" w:color="auto" w:sz="4" w:space="0"/>
            </w:tcBorders>
            <w:vAlign w:val="center"/>
          </w:tcPr>
          <w:p>
            <w:pPr>
              <w:widowControl/>
              <w:spacing w:line="240" w:lineRule="exact"/>
              <w:ind w:firstLine="360" w:firstLineChars="20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254.5</w:t>
            </w:r>
          </w:p>
        </w:tc>
        <w:tc>
          <w:tcPr>
            <w:tcW w:w="1190" w:type="dxa"/>
            <w:tcBorders>
              <w:top w:val="nil"/>
              <w:left w:val="nil"/>
              <w:bottom w:val="single" w:color="auto" w:sz="4" w:space="0"/>
              <w:right w:val="single" w:color="auto" w:sz="4" w:space="0"/>
            </w:tcBorders>
            <w:vAlign w:val="center"/>
          </w:tcPr>
          <w:p>
            <w:pPr>
              <w:widowControl/>
              <w:spacing w:line="240" w:lineRule="exact"/>
              <w:ind w:firstLine="360" w:firstLineChars="20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254.5</w:t>
            </w:r>
          </w:p>
        </w:tc>
        <w:tc>
          <w:tcPr>
            <w:tcW w:w="709"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10</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100</w:t>
            </w:r>
            <w:r>
              <w:rPr>
                <w:rFonts w:hint="eastAsia" w:ascii="宋体" w:hAnsi="宋体" w:eastAsia="宋体" w:cs="宋体"/>
                <w:color w:val="auto"/>
                <w:kern w:val="0"/>
                <w:sz w:val="18"/>
                <w:szCs w:val="18"/>
                <w:highlight w:val="none"/>
                <w:lang w:val="en-US" w:eastAsia="zh-CN"/>
              </w:rPr>
              <w:t>%</w:t>
            </w:r>
          </w:p>
        </w:tc>
        <w:tc>
          <w:tcPr>
            <w:tcW w:w="70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其中：当年财政拨款</w:t>
            </w:r>
          </w:p>
        </w:tc>
        <w:tc>
          <w:tcPr>
            <w:tcW w:w="1134" w:type="dxa"/>
            <w:gridSpan w:val="2"/>
            <w:tcBorders>
              <w:top w:val="nil"/>
              <w:left w:val="nil"/>
              <w:bottom w:val="single" w:color="auto" w:sz="4" w:space="0"/>
              <w:right w:val="single" w:color="auto" w:sz="4" w:space="0"/>
            </w:tcBorders>
            <w:vAlign w:val="center"/>
          </w:tcPr>
          <w:p>
            <w:pPr>
              <w:widowControl/>
              <w:spacing w:line="240" w:lineRule="exact"/>
              <w:ind w:firstLine="360" w:firstLineChars="20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254.5</w:t>
            </w:r>
          </w:p>
        </w:tc>
        <w:tc>
          <w:tcPr>
            <w:tcW w:w="1078" w:type="dxa"/>
            <w:tcBorders>
              <w:top w:val="nil"/>
              <w:left w:val="nil"/>
              <w:bottom w:val="single" w:color="auto" w:sz="4" w:space="0"/>
              <w:right w:val="single" w:color="auto" w:sz="4" w:space="0"/>
            </w:tcBorders>
            <w:vAlign w:val="center"/>
          </w:tcPr>
          <w:p>
            <w:pPr>
              <w:widowControl/>
              <w:spacing w:line="240" w:lineRule="exact"/>
              <w:ind w:firstLine="360" w:firstLineChars="20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254.5</w:t>
            </w:r>
          </w:p>
        </w:tc>
        <w:tc>
          <w:tcPr>
            <w:tcW w:w="1190" w:type="dxa"/>
            <w:tcBorders>
              <w:top w:val="nil"/>
              <w:left w:val="nil"/>
              <w:bottom w:val="single" w:color="auto" w:sz="4" w:space="0"/>
              <w:right w:val="single" w:color="auto" w:sz="4" w:space="0"/>
            </w:tcBorders>
            <w:vAlign w:val="center"/>
          </w:tcPr>
          <w:p>
            <w:pPr>
              <w:widowControl/>
              <w:spacing w:line="240" w:lineRule="exact"/>
              <w:ind w:firstLine="360" w:firstLineChars="20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254.5</w:t>
            </w:r>
          </w:p>
        </w:tc>
        <w:tc>
          <w:tcPr>
            <w:tcW w:w="709"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70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上年结转资金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0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709"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70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84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 xml:space="preserve">  其他资金</w:t>
            </w:r>
          </w:p>
        </w:tc>
        <w:tc>
          <w:tcPr>
            <w:tcW w:w="1134"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07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709"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c>
          <w:tcPr>
            <w:tcW w:w="851"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708"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年度总体目标</w:t>
            </w:r>
          </w:p>
        </w:tc>
        <w:tc>
          <w:tcPr>
            <w:tcW w:w="5034"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预期目标</w:t>
            </w:r>
          </w:p>
        </w:tc>
        <w:tc>
          <w:tcPr>
            <w:tcW w:w="3458"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实际完成情况</w:t>
            </w:r>
          </w:p>
        </w:tc>
      </w:tr>
      <w:tr>
        <w:tblPrEx>
          <w:tblCellMar>
            <w:top w:w="0" w:type="dxa"/>
            <w:left w:w="108" w:type="dxa"/>
            <w:bottom w:w="0" w:type="dxa"/>
            <w:right w:w="108" w:type="dxa"/>
          </w:tblCellMar>
        </w:tblPrEx>
        <w:trPr>
          <w:trHeight w:val="1666" w:hRule="exact"/>
          <w:jc w:val="center"/>
        </w:trPr>
        <w:tc>
          <w:tcPr>
            <w:tcW w:w="588" w:type="dxa"/>
            <w:vMerge w:val="continue"/>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5034"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rPr>
              <w:t>根据《昌吉州自然资源开发与规划建设管理领导小组2020年第一次会议纪要》2020 1号文件，完成7个石英砂矿的勘察工作，勘察工作达到标准率100%，勘察成本不超出254.5万元，于2022年5月前完成资金拨付工作，通过勘察，预期达到增加当地税收，增加社会人员上岗就业率。</w:t>
            </w:r>
          </w:p>
        </w:tc>
        <w:tc>
          <w:tcPr>
            <w:tcW w:w="3458" w:type="dxa"/>
            <w:gridSpan w:val="6"/>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rPr>
              <w:t>截止2022年5月，已完成7个石英砂矿的勘察工作</w:t>
            </w:r>
            <w:r>
              <w:rPr>
                <w:rFonts w:hint="eastAsia" w:ascii="宋体" w:hAnsi="宋体" w:eastAsia="宋体" w:cs="宋体"/>
                <w:color w:val="auto"/>
                <w:kern w:val="0"/>
                <w:sz w:val="18"/>
                <w:szCs w:val="18"/>
                <w:highlight w:val="none"/>
              </w:rPr>
              <w:t>，勘察工作达到标准率100%，</w:t>
            </w:r>
            <w:r>
              <w:rPr>
                <w:rFonts w:hint="eastAsia" w:ascii="宋体" w:hAnsi="宋体" w:eastAsia="宋体" w:cs="宋体"/>
                <w:color w:val="auto"/>
                <w:kern w:val="0"/>
                <w:sz w:val="18"/>
                <w:szCs w:val="18"/>
                <w:highlight w:val="none"/>
                <w:lang w:val="en-US" w:eastAsia="zh-CN"/>
              </w:rPr>
              <w:t>一标段勘察测绘成本114万元</w:t>
            </w:r>
            <w:r>
              <w:rPr>
                <w:rFonts w:hint="eastAsia"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lang w:val="en-US" w:eastAsia="zh-CN"/>
              </w:rPr>
              <w:t>二标段勘察测绘成本140.5万元</w:t>
            </w:r>
            <w:r>
              <w:rPr>
                <w:rFonts w:hint="eastAsia"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rPr>
              <w:t>勘察成本不超出254.5万元，于2</w:t>
            </w:r>
            <w:r>
              <w:rPr>
                <w:rFonts w:hint="eastAsia" w:ascii="宋体" w:hAnsi="宋体" w:eastAsia="宋体" w:cs="宋体"/>
                <w:color w:val="auto"/>
                <w:kern w:val="0"/>
                <w:sz w:val="18"/>
                <w:szCs w:val="18"/>
              </w:rPr>
              <w:t>022年5月前完成资金拨付工作，通过勘察，增加当地税收，增加社会人员上岗就业率。</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绩</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效</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指</w:t>
            </w:r>
            <w:r>
              <w:rPr>
                <w:rFonts w:hint="eastAsia" w:ascii="宋体" w:hAnsi="宋体" w:eastAsia="宋体" w:cs="宋体"/>
                <w:color w:val="auto"/>
                <w:kern w:val="0"/>
                <w:sz w:val="18"/>
                <w:szCs w:val="18"/>
                <w:highlight w:val="none"/>
              </w:rPr>
              <w:br w:type="textWrapping"/>
            </w:r>
            <w:r>
              <w:rPr>
                <w:rFonts w:hint="eastAsia" w:ascii="宋体" w:hAnsi="宋体" w:eastAsia="宋体" w:cs="宋体"/>
                <w:color w:val="auto"/>
                <w:kern w:val="0"/>
                <w:sz w:val="18"/>
                <w:szCs w:val="18"/>
                <w:highlight w:val="none"/>
              </w:rPr>
              <w:t>标</w:t>
            </w:r>
          </w:p>
        </w:tc>
        <w:tc>
          <w:tcPr>
            <w:tcW w:w="98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一级指标</w:t>
            </w:r>
          </w:p>
        </w:tc>
        <w:tc>
          <w:tcPr>
            <w:tcW w:w="1112"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二级指标</w:t>
            </w: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三级指标</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年度</w:t>
            </w:r>
          </w:p>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指标值</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实际</w:t>
            </w:r>
          </w:p>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完成值</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分值</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得分</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偏差原因分析及改进措施</w:t>
            </w:r>
          </w:p>
        </w:tc>
      </w:tr>
      <w:tr>
        <w:tblPrEx>
          <w:tblCellMar>
            <w:top w:w="0" w:type="dxa"/>
            <w:left w:w="108" w:type="dxa"/>
            <w:bottom w:w="0" w:type="dxa"/>
            <w:right w:w="108" w:type="dxa"/>
          </w:tblCellMar>
        </w:tblPrEx>
        <w:trPr>
          <w:trHeight w:val="560"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vMerge w:val="restart"/>
            <w:tcBorders>
              <w:top w:val="nil"/>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产出指标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数量指标</w:t>
            </w: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勘察矿数量</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7个</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yellow"/>
                <w:lang w:val="en-US" w:eastAsia="zh-CN"/>
              </w:rPr>
            </w:pPr>
            <w:r>
              <w:rPr>
                <w:rFonts w:hint="eastAsia" w:ascii="宋体" w:hAnsi="宋体" w:eastAsia="宋体" w:cs="宋体"/>
                <w:color w:val="auto"/>
                <w:kern w:val="0"/>
                <w:sz w:val="18"/>
                <w:szCs w:val="18"/>
                <w:highlight w:val="none"/>
                <w:lang w:val="en-US" w:eastAsia="zh-CN"/>
              </w:rPr>
              <w:t>7个</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15</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15</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eastAsia="zh-CN"/>
              </w:rPr>
            </w:pPr>
            <w:r>
              <w:rPr>
                <w:rFonts w:hint="eastAsia" w:ascii="宋体" w:hAnsi="宋体" w:eastAsia="宋体" w:cs="宋体"/>
                <w:color w:val="auto"/>
                <w:kern w:val="0"/>
                <w:sz w:val="18"/>
                <w:szCs w:val="18"/>
                <w:highlight w:val="none"/>
                <w:lang w:eastAsia="zh-CN"/>
              </w:rPr>
              <w:t>/</w:t>
            </w:r>
          </w:p>
        </w:tc>
      </w:tr>
      <w:tr>
        <w:tblPrEx>
          <w:tblCellMar>
            <w:top w:w="0" w:type="dxa"/>
            <w:left w:w="108" w:type="dxa"/>
            <w:bottom w:w="0" w:type="dxa"/>
            <w:right w:w="108" w:type="dxa"/>
          </w:tblCellMar>
        </w:tblPrEx>
        <w:trPr>
          <w:trHeight w:val="445"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质量指标</w:t>
            </w: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达到勘察标准</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达标</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yellow"/>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10</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657"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12" w:type="dxa"/>
            <w:vMerge w:val="restart"/>
            <w:tcBorders>
              <w:top w:val="nil"/>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时效指标</w:t>
            </w: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资金拨付及时率</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100%</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highlight w:val="none"/>
                <w:lang w:val="en-US" w:eastAsia="zh-CN"/>
              </w:rPr>
              <w:t>100%</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10</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10</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657"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12" w:type="dxa"/>
            <w:vMerge w:val="continue"/>
            <w:tcBorders>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rPr>
            </w:pP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资金拨付完成时间</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2022年5月</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highlight w:val="none"/>
                <w:lang w:val="en-US" w:eastAsia="zh-CN"/>
              </w:rPr>
              <w:t>2022年5月</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5</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676"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12" w:type="dxa"/>
            <w:vMerge w:val="restart"/>
            <w:tcBorders>
              <w:top w:val="nil"/>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成本指标</w:t>
            </w: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一标段勘察测绘成本</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≤114万元</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114万元</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5</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676"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12" w:type="dxa"/>
            <w:vMerge w:val="continue"/>
            <w:tcBorders>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rPr>
            </w:pP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二标段勘察测绘成本</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≤140.5万元</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140.5万元</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5</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623"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vMerge w:val="restart"/>
            <w:tcBorders>
              <w:top w:val="nil"/>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效益指标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经济效益</w:t>
            </w:r>
          </w:p>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rPr>
              <w:t>指标</w:t>
            </w: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增加当地税收</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增加</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yellow"/>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15</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15</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713"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vMerge w:val="continue"/>
            <w:tcBorders>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rPr>
            </w:pPr>
            <w:r>
              <w:rPr>
                <w:rFonts w:hint="eastAsia" w:cs="宋体"/>
                <w:color w:val="auto"/>
                <w:kern w:val="0"/>
                <w:sz w:val="18"/>
                <w:szCs w:val="18"/>
                <w:lang w:eastAsia="zh-CN"/>
              </w:rPr>
              <w:t>社会</w:t>
            </w:r>
            <w:r>
              <w:rPr>
                <w:rFonts w:hint="eastAsia" w:ascii="宋体" w:hAnsi="宋体" w:eastAsia="宋体" w:cs="宋体"/>
                <w:color w:val="auto"/>
                <w:kern w:val="0"/>
                <w:sz w:val="18"/>
                <w:szCs w:val="18"/>
              </w:rPr>
              <w:t>效益</w:t>
            </w:r>
          </w:p>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rPr>
              <w:t>指标</w:t>
            </w: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增加社会人员上岗就业率</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增加</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yellow"/>
                <w:lang w:val="en-US" w:eastAsia="zh-CN"/>
              </w:rPr>
            </w:pPr>
            <w:r>
              <w:rPr>
                <w:rFonts w:hint="eastAsia" w:ascii="宋体" w:hAnsi="宋体" w:eastAsia="宋体" w:cs="宋体"/>
                <w:color w:val="auto"/>
                <w:kern w:val="0"/>
                <w:sz w:val="20"/>
                <w:szCs w:val="20"/>
                <w:highlight w:val="none"/>
                <w:shd w:val="clear" w:color="auto" w:fill="auto"/>
                <w:lang w:val="en-US" w:eastAsia="zh-CN"/>
              </w:rPr>
              <w:t>100%</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15</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lang w:val="en-US" w:eastAsia="zh-CN"/>
              </w:rPr>
              <w:t>15</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516" w:hRule="exact"/>
          <w:jc w:val="center"/>
        </w:trPr>
        <w:tc>
          <w:tcPr>
            <w:tcW w:w="588" w:type="dxa"/>
            <w:vMerge w:val="continue"/>
            <w:tcBorders>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p>
        </w:tc>
        <w:tc>
          <w:tcPr>
            <w:tcW w:w="980" w:type="dxa"/>
            <w:tcBorders>
              <w:top w:val="nil"/>
              <w:left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满意度</w:t>
            </w:r>
          </w:p>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指标</w:t>
            </w:r>
          </w:p>
        </w:tc>
        <w:tc>
          <w:tcPr>
            <w:tcW w:w="1112" w:type="dxa"/>
            <w:tcBorders>
              <w:top w:val="nil"/>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服务对象满意度指标</w:t>
            </w:r>
          </w:p>
        </w:tc>
        <w:tc>
          <w:tcPr>
            <w:tcW w:w="1802"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勘察企业满意度</w:t>
            </w:r>
          </w:p>
        </w:tc>
        <w:tc>
          <w:tcPr>
            <w:tcW w:w="1140"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eastAsia"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≥90%</w:t>
            </w:r>
          </w:p>
        </w:tc>
        <w:tc>
          <w:tcPr>
            <w:tcW w:w="1190"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90%</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ascii="宋体" w:hAnsi="宋体" w:eastAsia="宋体" w:cs="宋体"/>
                <w:color w:val="auto"/>
                <w:kern w:val="0"/>
                <w:sz w:val="18"/>
                <w:szCs w:val="18"/>
                <w:highlight w:val="none"/>
                <w:lang w:val="en-US" w:eastAsia="zh-CN"/>
              </w:rPr>
              <w:t>10</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w:t>
            </w:r>
          </w:p>
        </w:tc>
      </w:tr>
      <w:tr>
        <w:tblPrEx>
          <w:tblCellMar>
            <w:top w:w="0" w:type="dxa"/>
            <w:left w:w="108" w:type="dxa"/>
            <w:bottom w:w="0" w:type="dxa"/>
            <w:right w:w="108" w:type="dxa"/>
          </w:tblCellMar>
        </w:tblPrEx>
        <w:trPr>
          <w:trHeight w:val="646" w:hRule="exact"/>
          <w:jc w:val="center"/>
        </w:trPr>
        <w:tc>
          <w:tcPr>
            <w:tcW w:w="6812"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总分</w:t>
            </w:r>
          </w:p>
        </w:tc>
        <w:tc>
          <w:tcPr>
            <w:tcW w:w="526" w:type="dxa"/>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18"/>
                <w:szCs w:val="18"/>
                <w:highlight w:val="none"/>
                <w:lang w:val="en-US" w:eastAsia="zh-CN"/>
              </w:rPr>
            </w:pPr>
            <w:r>
              <w:rPr>
                <w:rFonts w:hint="eastAsia" w:cs="宋体"/>
                <w:color w:val="auto"/>
                <w:kern w:val="0"/>
                <w:sz w:val="18"/>
                <w:szCs w:val="18"/>
                <w:highlight w:val="none"/>
                <w:lang w:val="en-US" w:eastAsia="zh-CN"/>
              </w:rPr>
              <w:t>100</w:t>
            </w:r>
          </w:p>
        </w:tc>
        <w:tc>
          <w:tcPr>
            <w:tcW w:w="808" w:type="dxa"/>
            <w:gridSpan w:val="2"/>
            <w:tcBorders>
              <w:top w:val="nil"/>
              <w:left w:val="nil"/>
              <w:bottom w:val="single" w:color="auto" w:sz="4" w:space="0"/>
              <w:right w:val="single" w:color="auto" w:sz="4" w:space="0"/>
            </w:tcBorders>
            <w:vAlign w:val="center"/>
          </w:tcPr>
          <w:p>
            <w:pPr>
              <w:widowControl/>
              <w:spacing w:line="240" w:lineRule="exact"/>
              <w:ind w:firstLine="0" w:firstLineChars="0"/>
              <w:jc w:val="center"/>
              <w:rPr>
                <w:rFonts w:hint="default" w:ascii="宋体" w:hAnsi="宋体" w:eastAsia="宋体" w:cs="宋体"/>
                <w:color w:val="auto"/>
                <w:kern w:val="0"/>
                <w:sz w:val="28"/>
                <w:szCs w:val="28"/>
                <w:highlight w:val="none"/>
                <w:lang w:val="en-US" w:eastAsia="zh-CN"/>
              </w:rPr>
            </w:pPr>
            <w:r>
              <w:rPr>
                <w:rFonts w:hint="eastAsia" w:cs="宋体"/>
                <w:color w:val="auto"/>
                <w:kern w:val="0"/>
                <w:sz w:val="18"/>
                <w:szCs w:val="18"/>
                <w:highlight w:val="none"/>
                <w:lang w:val="en-US" w:eastAsia="zh-CN"/>
              </w:rPr>
              <w:t>100</w:t>
            </w:r>
          </w:p>
        </w:tc>
        <w:tc>
          <w:tcPr>
            <w:tcW w:w="934" w:type="dxa"/>
            <w:gridSpan w:val="2"/>
            <w:tcBorders>
              <w:top w:val="single" w:color="auto" w:sz="4" w:space="0"/>
              <w:left w:val="nil"/>
              <w:bottom w:val="single" w:color="auto" w:sz="4" w:space="0"/>
              <w:right w:val="single" w:color="auto" w:sz="4" w:space="0"/>
            </w:tcBorders>
            <w:vAlign w:val="center"/>
          </w:tcPr>
          <w:p>
            <w:pPr>
              <w:widowControl/>
              <w:spacing w:line="240" w:lineRule="exact"/>
              <w:ind w:firstLine="0" w:firstLineChars="0"/>
              <w:jc w:val="center"/>
              <w:rPr>
                <w:rFonts w:ascii="宋体" w:hAnsi="宋体" w:eastAsia="宋体" w:cs="宋体"/>
                <w:color w:val="auto"/>
                <w:kern w:val="0"/>
                <w:sz w:val="28"/>
                <w:szCs w:val="28"/>
                <w:highlight w:val="none"/>
              </w:rPr>
            </w:pPr>
          </w:p>
        </w:tc>
      </w:tr>
    </w:tbl>
    <w:p>
      <w:pPr>
        <w:ind w:left="0" w:leftChars="0" w:firstLine="0" w:firstLineChars="0"/>
        <w:rPr>
          <w:rFonts w:hint="eastAsia"/>
          <w:color w:val="auto"/>
          <w:highlight w:val="none"/>
          <w:lang w:val="en-US" w:eastAsia="zh-CN"/>
        </w:rPr>
        <w:sectPr>
          <w:footerReference r:id="rId5" w:type="default"/>
          <w:pgSz w:w="11906" w:h="16838"/>
          <w:pgMar w:top="1440" w:right="1800" w:bottom="1440" w:left="1800" w:header="737" w:footer="851" w:gutter="0"/>
          <w:pgNumType w:fmt="decimal" w:start="1"/>
          <w:cols w:space="720" w:num="1"/>
          <w:docGrid w:type="lines" w:linePitch="408" w:charSpace="0"/>
        </w:sectPr>
      </w:pPr>
    </w:p>
    <w:p>
      <w:pPr>
        <w:keepNext/>
        <w:keepLines/>
        <w:widowControl w:val="0"/>
        <w:spacing w:before="0" w:beforeLines="0" w:beforeAutospacing="0" w:after="0" w:afterLines="0" w:afterAutospacing="0" w:line="240" w:lineRule="auto"/>
        <w:jc w:val="left"/>
        <w:outlineLvl w:val="1"/>
        <w:rPr>
          <w:rFonts w:hint="eastAsia" w:ascii="Arial" w:hAnsi="Arial" w:eastAsia="宋体" w:cs="Times New Roman"/>
          <w:b/>
          <w:bCs/>
          <w:color w:val="auto"/>
          <w:kern w:val="2"/>
          <w:sz w:val="32"/>
          <w:szCs w:val="24"/>
          <w:highlight w:val="none"/>
          <w:lang w:val="en-US" w:eastAsia="zh-CN" w:bidi="ar-SA"/>
        </w:rPr>
      </w:pPr>
      <w:r>
        <w:rPr>
          <w:rFonts w:hint="eastAsia" w:cs="宋体"/>
          <w:b/>
          <w:bCs/>
          <w:color w:val="auto"/>
          <w:kern w:val="2"/>
          <w:sz w:val="36"/>
          <w:szCs w:val="28"/>
          <w:highlight w:val="none"/>
          <w:lang w:val="en-US" w:eastAsia="zh-CN" w:bidi="ar-SA"/>
        </w:rPr>
        <w:t xml:space="preserve">附件二              </w:t>
      </w:r>
      <w:r>
        <w:rPr>
          <w:rFonts w:hint="eastAsia" w:ascii="宋体" w:hAnsi="宋体" w:eastAsia="宋体" w:cs="宋体"/>
          <w:b/>
          <w:bCs/>
          <w:color w:val="auto"/>
          <w:kern w:val="2"/>
          <w:sz w:val="36"/>
          <w:szCs w:val="28"/>
          <w:highlight w:val="none"/>
          <w:lang w:val="en-US" w:eastAsia="zh-CN" w:bidi="ar-SA"/>
        </w:rPr>
        <w:t>项目支出绩效评价指标体系打分表</w:t>
      </w:r>
    </w:p>
    <w:tbl>
      <w:tblPr>
        <w:tblStyle w:val="10"/>
        <w:tblW w:w="1392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61"/>
        <w:gridCol w:w="727"/>
        <w:gridCol w:w="820"/>
        <w:gridCol w:w="2141"/>
        <w:gridCol w:w="7821"/>
        <w:gridCol w:w="785"/>
        <w:gridCol w:w="7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861" w:type="dxa"/>
            <w:shd w:val="clear" w:color="auto" w:fill="FFFFFF"/>
            <w:vAlign w:val="center"/>
          </w:tcPr>
          <w:p>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一级指标</w:t>
            </w:r>
          </w:p>
        </w:tc>
        <w:tc>
          <w:tcPr>
            <w:tcW w:w="727" w:type="dxa"/>
            <w:shd w:val="clear" w:color="auto" w:fill="FFFFFF"/>
            <w:vAlign w:val="center"/>
          </w:tcPr>
          <w:p>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二级指标</w:t>
            </w:r>
          </w:p>
        </w:tc>
        <w:tc>
          <w:tcPr>
            <w:tcW w:w="820" w:type="dxa"/>
            <w:shd w:val="clear" w:color="auto" w:fill="FFFFFF"/>
            <w:vAlign w:val="center"/>
          </w:tcPr>
          <w:p>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三级指标</w:t>
            </w:r>
          </w:p>
        </w:tc>
        <w:tc>
          <w:tcPr>
            <w:tcW w:w="2141" w:type="dxa"/>
            <w:shd w:val="clear" w:color="auto" w:fill="FFFFFF"/>
            <w:vAlign w:val="center"/>
          </w:tcPr>
          <w:p>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指标解释</w:t>
            </w:r>
          </w:p>
        </w:tc>
        <w:tc>
          <w:tcPr>
            <w:tcW w:w="7821" w:type="dxa"/>
            <w:shd w:val="clear" w:color="auto" w:fill="FFFFFF"/>
            <w:vAlign w:val="center"/>
          </w:tcPr>
          <w:p>
            <w:pPr>
              <w:widowControl/>
              <w:spacing w:line="0" w:lineRule="atLeast"/>
              <w:ind w:firstLine="0" w:firstLineChars="0"/>
              <w:jc w:val="center"/>
              <w:rPr>
                <w:rFonts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指标说明</w:t>
            </w:r>
          </w:p>
        </w:tc>
        <w:tc>
          <w:tcPr>
            <w:tcW w:w="785" w:type="dxa"/>
            <w:shd w:val="clear" w:color="auto" w:fill="FFFFFF"/>
            <w:vAlign w:val="center"/>
          </w:tcPr>
          <w:p>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分值</w:t>
            </w:r>
          </w:p>
        </w:tc>
        <w:tc>
          <w:tcPr>
            <w:tcW w:w="769" w:type="dxa"/>
            <w:shd w:val="clear" w:color="auto" w:fill="FFFFFF"/>
            <w:vAlign w:val="center"/>
          </w:tcPr>
          <w:p>
            <w:pPr>
              <w:widowControl/>
              <w:spacing w:line="0" w:lineRule="atLeast"/>
              <w:ind w:firstLine="0" w:firstLineChars="0"/>
              <w:jc w:val="center"/>
              <w:rPr>
                <w:rFonts w:hint="eastAsia" w:ascii="宋体" w:hAnsi="宋体" w:eastAsia="宋体" w:cs="宋体"/>
                <w:b/>
                <w:bCs/>
                <w:color w:val="auto"/>
                <w:kern w:val="0"/>
                <w:sz w:val="22"/>
                <w:szCs w:val="22"/>
                <w:highlight w:val="none"/>
                <w:lang w:val="en-US" w:eastAsia="zh-CN"/>
              </w:rPr>
            </w:pPr>
            <w:r>
              <w:rPr>
                <w:rFonts w:hint="eastAsia" w:ascii="宋体" w:hAnsi="宋体" w:eastAsia="宋体" w:cs="宋体"/>
                <w:b/>
                <w:bCs/>
                <w:color w:val="auto"/>
                <w:kern w:val="0"/>
                <w:sz w:val="22"/>
                <w:szCs w:val="22"/>
                <w:highlight w:val="none"/>
                <w:lang w:val="en-US" w:eastAsia="zh-CN"/>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861"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727"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　</w:t>
            </w: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立项依据</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充分性</w:t>
            </w:r>
          </w:p>
        </w:tc>
        <w:tc>
          <w:tcPr>
            <w:tcW w:w="214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项目立项是否符合法律法规、相关政策、发展规划以及部门职责，用以反映和考核项目立项依据情况。</w:t>
            </w:r>
          </w:p>
        </w:tc>
        <w:tc>
          <w:tcPr>
            <w:tcW w:w="7821" w:type="dxa"/>
            <w:shd w:val="clear" w:color="auto" w:fill="FFFFFF"/>
            <w:vAlign w:val="center"/>
          </w:tcPr>
          <w:p>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①项目立项是否符合国家法律法规、国民经济发展规划和相关政策；</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②项目立项是否符合行业发展规划和政策要求；</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③项目立项是否与部门职责范围相符，属于部门履职所需；</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④项目是否属于公共财政支持范围，是否符合中央、地方事权支出责任划分原则；</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⑤项目是否与相关部门同类项目或部门内部相关项目重复。</w:t>
            </w:r>
          </w:p>
        </w:tc>
        <w:tc>
          <w:tcPr>
            <w:tcW w:w="785"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FFFFFF"/>
            <w:vAlign w:val="center"/>
          </w:tcPr>
          <w:p>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861" w:type="dxa"/>
            <w:vMerge w:val="continue"/>
            <w:shd w:val="clear" w:color="auto" w:fill="FFFFFF"/>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立项程序</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规范性</w:t>
            </w:r>
          </w:p>
        </w:tc>
        <w:tc>
          <w:tcPr>
            <w:tcW w:w="214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项目申请、设立过程是否符合相关要求，用以反映和考核项目立项的规范情况。</w:t>
            </w:r>
          </w:p>
        </w:tc>
        <w:tc>
          <w:tcPr>
            <w:tcW w:w="7821" w:type="dxa"/>
            <w:shd w:val="clear" w:color="auto" w:fill="FFFFFF"/>
            <w:vAlign w:val="center"/>
          </w:tcPr>
          <w:p>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①项目是否按照规定的程序申请设立；</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②审批文件、材料是否符合相关要求；</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③事前是否已经过必要的可行性研究、专家论证、风险评估、绩效评估、集体决策。</w:t>
            </w:r>
          </w:p>
        </w:tc>
        <w:tc>
          <w:tcPr>
            <w:tcW w:w="785"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FFFFFF"/>
            <w:vAlign w:val="center"/>
          </w:tcPr>
          <w:p>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861" w:type="dxa"/>
            <w:vMerge w:val="continue"/>
            <w:shd w:val="clear" w:color="auto" w:fill="FFFFFF"/>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　</w:t>
            </w: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项目所设定的绩效目标是否依据充分，是否符合客观实际，用以反映和考核项目绩效目标与项目实施的相符情况。</w:t>
            </w:r>
          </w:p>
        </w:tc>
        <w:tc>
          <w:tcPr>
            <w:tcW w:w="7821" w:type="dxa"/>
            <w:shd w:val="clear" w:color="000000" w:fill="FFFFFF"/>
            <w:vAlign w:val="center"/>
          </w:tcPr>
          <w:p>
            <w:pPr>
              <w:widowControl/>
              <w:spacing w:line="0" w:lineRule="atLeast"/>
              <w:ind w:firstLine="0" w:firstLineChars="0"/>
              <w:jc w:val="lef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（如未设定预算绩效目标，也可考核其他工作任务目标）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①项目是否有绩效目标；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②项目绩效目标与实际工作内容是否具有相关性；</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③项目预期产出效益和效果是否符合正常的业绩水平；</w:t>
            </w:r>
          </w:p>
          <w:p>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④是否与预算确定的项目投资额或资金量相匹配。</w:t>
            </w:r>
          </w:p>
        </w:tc>
        <w:tc>
          <w:tcPr>
            <w:tcW w:w="78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000000" w:fill="FFFFFF"/>
            <w:vAlign w:val="center"/>
          </w:tcPr>
          <w:p>
            <w:pPr>
              <w:widowControl/>
              <w:spacing w:line="0" w:lineRule="atLeast"/>
              <w:ind w:firstLine="0" w:firstLineChars="0"/>
              <w:jc w:val="lef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861"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决策　</w:t>
            </w:r>
          </w:p>
        </w:tc>
        <w:tc>
          <w:tcPr>
            <w:tcW w:w="727"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绩效目标</w:t>
            </w: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绩效指标</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明确性</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依据绩效目标设定的绩效指标是否清晰、细化、可衡量等，用以反映和考核项目绩效目标的明细化情况。</w:t>
            </w:r>
          </w:p>
        </w:tc>
        <w:tc>
          <w:tcPr>
            <w:tcW w:w="782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①是否将项目绩效目标细化分解为具体的绩效指标；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②是否通过清晰、可衡量的指标值予以体现；</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③是否与项目目标任务数或计划数相对应。</w:t>
            </w:r>
            <w:r>
              <w:rPr>
                <w:rFonts w:hint="eastAsia" w:ascii="宋体" w:hAnsi="宋体" w:eastAsia="宋体" w:cs="宋体"/>
                <w:color w:val="auto"/>
                <w:kern w:val="0"/>
                <w:sz w:val="22"/>
                <w:szCs w:val="22"/>
                <w:highlight w:val="none"/>
              </w:rPr>
              <w:br w:type="textWrapping"/>
            </w:r>
          </w:p>
        </w:tc>
        <w:tc>
          <w:tcPr>
            <w:tcW w:w="78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5</w:t>
            </w:r>
          </w:p>
        </w:tc>
        <w:tc>
          <w:tcPr>
            <w:tcW w:w="769"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861" w:type="dxa"/>
            <w:vMerge w:val="continue"/>
            <w:shd w:val="clear" w:color="auto" w:fill="FFFFFF"/>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资金投入</w:t>
            </w:r>
          </w:p>
          <w:p>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预算编制</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科学性</w:t>
            </w:r>
          </w:p>
        </w:tc>
        <w:tc>
          <w:tcPr>
            <w:tcW w:w="214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项目预算编制是否经过科学论证、有明确标准，资金额度与年度目标是否相适应，用以反映和考核项目预算编制的科学性、合理性情况。</w:t>
            </w:r>
          </w:p>
        </w:tc>
        <w:tc>
          <w:tcPr>
            <w:tcW w:w="782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①预算编制是否经过科学论证；</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②预算内容与项目内容是否匹配；</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③预算额度测算依据是否充分，是否按照标准编制；</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④预算确定的项目投资额或资金量是否与工作任务相匹配。</w:t>
            </w:r>
          </w:p>
        </w:tc>
        <w:tc>
          <w:tcPr>
            <w:tcW w:w="785"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2</w:t>
            </w:r>
          </w:p>
        </w:tc>
        <w:tc>
          <w:tcPr>
            <w:tcW w:w="769" w:type="dxa"/>
            <w:shd w:val="clear" w:color="auto"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861" w:type="dxa"/>
            <w:vMerge w:val="continue"/>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资金分配</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合理性</w:t>
            </w:r>
          </w:p>
        </w:tc>
        <w:tc>
          <w:tcPr>
            <w:tcW w:w="214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项目预算资金分配是否有测算依据，与补助单位或地方实际是否相适应，用以反映和考核项目预算资金分配的科学性、合理性情况。</w:t>
            </w:r>
          </w:p>
        </w:tc>
        <w:tc>
          <w:tcPr>
            <w:tcW w:w="782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①预算资金分配依据是否充分；</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②资金分配额度是否合理，与项目单位或地方实际是否相适应。</w:t>
            </w:r>
          </w:p>
        </w:tc>
        <w:tc>
          <w:tcPr>
            <w:tcW w:w="785"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3</w:t>
            </w:r>
          </w:p>
        </w:tc>
        <w:tc>
          <w:tcPr>
            <w:tcW w:w="769" w:type="dxa"/>
            <w:shd w:val="clear" w:color="auto"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861" w:type="dxa"/>
            <w:vMerge w:val="restart"/>
            <w:shd w:val="clear" w:color="auto" w:fill="FFFFFF"/>
            <w:vAlign w:val="center"/>
          </w:tcPr>
          <w:p>
            <w:pPr>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w:t>
            </w:r>
          </w:p>
        </w:tc>
        <w:tc>
          <w:tcPr>
            <w:tcW w:w="727" w:type="dxa"/>
            <w:vMerge w:val="restart"/>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820"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实际到位资金与预算资金的比率，用以反映和考核资金落实情况对项目实施的总体保障程度。</w:t>
            </w:r>
          </w:p>
        </w:tc>
        <w:tc>
          <w:tcPr>
            <w:tcW w:w="7821"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资金到位率=（实际到位资金/预算资金）×100%。</w:t>
            </w:r>
          </w:p>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实际到位资金：一定时期（本年度或项目期）内落实到具体项目的资金。</w:t>
            </w:r>
          </w:p>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预算资金：一定时期（本年度或项目期）内预算安排到具体项目的资金。</w:t>
            </w:r>
          </w:p>
        </w:tc>
        <w:tc>
          <w:tcPr>
            <w:tcW w:w="78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861" w:type="dxa"/>
            <w:vMerge w:val="continue"/>
            <w:shd w:val="clear" w:color="auto" w:fill="FFFFFF"/>
            <w:vAlign w:val="center"/>
          </w:tcPr>
          <w:p>
            <w:pPr>
              <w:spacing w:line="0" w:lineRule="atLeast"/>
              <w:ind w:firstLine="0" w:firstLineChars="0"/>
              <w:jc w:val="center"/>
              <w:rPr>
                <w:rFonts w:hint="eastAsia" w:ascii="宋体" w:hAnsi="宋体" w:eastAsia="宋体" w:cs="宋体"/>
                <w:color w:val="auto"/>
                <w:kern w:val="0"/>
                <w:sz w:val="22"/>
                <w:szCs w:val="22"/>
                <w:highlight w:val="none"/>
              </w:rPr>
            </w:pPr>
          </w:p>
        </w:tc>
        <w:tc>
          <w:tcPr>
            <w:tcW w:w="727" w:type="dxa"/>
            <w:vMerge w:val="continue"/>
            <w:shd w:val="clear" w:color="auto" w:fill="FFFFFF"/>
            <w:vAlign w:val="center"/>
          </w:tcPr>
          <w:p>
            <w:pPr>
              <w:spacing w:line="0" w:lineRule="atLeast"/>
              <w:ind w:firstLine="0" w:firstLineChars="0"/>
              <w:jc w:val="center"/>
              <w:rPr>
                <w:rFonts w:hint="eastAsia" w:ascii="宋体" w:hAnsi="宋体" w:eastAsia="宋体" w:cs="宋体"/>
                <w:color w:val="auto"/>
                <w:kern w:val="0"/>
                <w:sz w:val="22"/>
                <w:szCs w:val="22"/>
                <w:highlight w:val="none"/>
              </w:rPr>
            </w:pPr>
          </w:p>
        </w:tc>
        <w:tc>
          <w:tcPr>
            <w:tcW w:w="820"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预算执行率</w:t>
            </w:r>
          </w:p>
        </w:tc>
        <w:tc>
          <w:tcPr>
            <w:tcW w:w="214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项目预算资金是否按照计划执行，用以反映或考核项目预算执行情况。</w:t>
            </w:r>
          </w:p>
        </w:tc>
        <w:tc>
          <w:tcPr>
            <w:tcW w:w="782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预算执行率=（实际支出资金/实际到位资金）×100%。</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实际支出资金：一定时期（本年度或项目期）内项目实际拨付的资金。</w:t>
            </w:r>
          </w:p>
        </w:tc>
        <w:tc>
          <w:tcPr>
            <w:tcW w:w="785" w:type="dxa"/>
            <w:shd w:val="clear" w:color="auto"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auto"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p>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过程　</w:t>
            </w:r>
          </w:p>
        </w:tc>
        <w:tc>
          <w:tcPr>
            <w:tcW w:w="727"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资金管理</w:t>
            </w: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资金使用</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合规性</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项目资金使用是否符合相关的财务管理制度规定，用以反映和考核项目资金的规范运行情况。</w:t>
            </w:r>
          </w:p>
        </w:tc>
        <w:tc>
          <w:tcPr>
            <w:tcW w:w="782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①是否符合国家财经法规和财务管理制度以及有关专项资金管理办法的规定；</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②资金的拨付是否有完整的审批程序和手续；</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③是否符合项目预算批复或合同规定的用途；</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④是否存在截留、挤占、挪用、虚列支出等情况。</w:t>
            </w:r>
          </w:p>
        </w:tc>
        <w:tc>
          <w:tcPr>
            <w:tcW w:w="78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861" w:type="dxa"/>
            <w:vMerge w:val="continue"/>
            <w:shd w:val="clear" w:color="auto" w:fill="FFFFFF"/>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组织实施</w:t>
            </w:r>
          </w:p>
          <w:p>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　</w:t>
            </w: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管理制度</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健全性</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项目实施单位的财务和业务管理制度是否健全，用以反映和考核财务和业务管理制度对项目顺利实施的保障情况。</w:t>
            </w:r>
          </w:p>
        </w:tc>
        <w:tc>
          <w:tcPr>
            <w:tcW w:w="782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①是否已制定或具有相应的财务和业务管理制度；</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②财务和业务管理制度是否合法、合规、完整。</w:t>
            </w:r>
          </w:p>
        </w:tc>
        <w:tc>
          <w:tcPr>
            <w:tcW w:w="78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861" w:type="dxa"/>
            <w:vMerge w:val="continue"/>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FFFFFF"/>
            <w:vAlign w:val="center"/>
          </w:tcPr>
          <w:p>
            <w:pPr>
              <w:widowControl/>
              <w:spacing w:line="0" w:lineRule="atLeast"/>
              <w:ind w:firstLine="0" w:firstLineChars="0"/>
              <w:jc w:val="center"/>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制度执行</w:t>
            </w:r>
          </w:p>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有效性</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项目实施是否符合相关管理规定，用以反映和考核相关管理制度的有效执行情况。</w:t>
            </w:r>
          </w:p>
        </w:tc>
        <w:tc>
          <w:tcPr>
            <w:tcW w:w="782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评价要点：</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①是否遵守相关法律法规和相关管理规定；</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②项目调整及支出调整手续是否完备；</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③项目合同书、验收报告、技术鉴定等资料是否齐全并及时归档；</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④项目实施的人员条件、场地设备、信息支撑等是否落实到位。</w:t>
            </w:r>
          </w:p>
        </w:tc>
        <w:tc>
          <w:tcPr>
            <w:tcW w:w="785" w:type="dxa"/>
            <w:shd w:val="clear" w:color="000000" w:fill="FFFFFF"/>
            <w:vAlign w:val="center"/>
          </w:tcPr>
          <w:p>
            <w:pPr>
              <w:keepNext w:val="0"/>
              <w:keepLines w:val="0"/>
              <w:pageBreakBefore w:val="0"/>
              <w:widowControl/>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kern w:val="0"/>
                <w:sz w:val="20"/>
                <w:szCs w:val="20"/>
                <w:highlight w:val="none"/>
                <w:shd w:val="clear" w:color="auto" w:fill="auto"/>
                <w:lang w:val="en-US" w:eastAsia="zh-CN" w:bidi="ar-SA"/>
              </w:rPr>
            </w:pPr>
            <w:r>
              <w:rPr>
                <w:rFonts w:hint="eastAsia" w:ascii="宋体" w:hAnsi="宋体" w:eastAsia="宋体" w:cs="宋体"/>
                <w:color w:val="auto"/>
                <w:kern w:val="0"/>
                <w:sz w:val="20"/>
                <w:szCs w:val="20"/>
                <w:highlight w:val="none"/>
                <w:shd w:val="clear" w:color="auto" w:fill="auto"/>
                <w:lang w:val="en-US" w:eastAsia="zh-CN"/>
              </w:rPr>
              <w:t>4</w:t>
            </w:r>
          </w:p>
        </w:tc>
        <w:tc>
          <w:tcPr>
            <w:tcW w:w="769"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861"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产出数量</w:t>
            </w:r>
          </w:p>
        </w:tc>
        <w:tc>
          <w:tcPr>
            <w:tcW w:w="820"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实际完成率</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项目实施的实际产出数与计划产出数的比率，用以反映和考核项目产出数量目标的实现程度。</w:t>
            </w:r>
          </w:p>
        </w:tc>
        <w:tc>
          <w:tcPr>
            <w:tcW w:w="782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实际完成率=（实际产出数/计划产出数）×100%。</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实际产出数：一定时期（本年度或项目期）内项目实际产出的产品或提供的服务数量。</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计划产出数：项目绩效目标确定的在一定时期（本年度或项目期）内计划产出的产品或提供的服务数量。</w:t>
            </w:r>
          </w:p>
        </w:tc>
        <w:tc>
          <w:tcPr>
            <w:tcW w:w="785" w:type="dxa"/>
            <w:shd w:val="clear" w:color="000000"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10</w:t>
            </w:r>
          </w:p>
        </w:tc>
        <w:tc>
          <w:tcPr>
            <w:tcW w:w="769" w:type="dxa"/>
            <w:shd w:val="clear" w:color="000000"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861"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w:t>
            </w:r>
          </w:p>
        </w:tc>
        <w:tc>
          <w:tcPr>
            <w:tcW w:w="727"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产出质量</w:t>
            </w:r>
          </w:p>
        </w:tc>
        <w:tc>
          <w:tcPr>
            <w:tcW w:w="820"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质量达标率</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项目完成的质量达标产出数与实际产出数的比率，用以反映和考核项目产出质量目标的实现程度。</w:t>
            </w:r>
          </w:p>
        </w:tc>
        <w:tc>
          <w:tcPr>
            <w:tcW w:w="7821"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质量达标率=（质量达标产出数/实际产出数）×100%。</w:t>
            </w:r>
          </w:p>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785" w:type="dxa"/>
            <w:shd w:val="clear" w:color="000000"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10</w:t>
            </w:r>
          </w:p>
        </w:tc>
        <w:tc>
          <w:tcPr>
            <w:tcW w:w="769" w:type="dxa"/>
            <w:shd w:val="clear" w:color="000000"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861" w:type="dxa"/>
            <w:vMerge w:val="continue"/>
            <w:shd w:val="clear" w:color="auto" w:fill="FFFFFF"/>
            <w:vAlign w:val="center"/>
          </w:tcPr>
          <w:p>
            <w:pPr>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FFFFFF"/>
            <w:vAlign w:val="center"/>
          </w:tcPr>
          <w:p>
            <w:pPr>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产出时效</w:t>
            </w:r>
          </w:p>
        </w:tc>
        <w:tc>
          <w:tcPr>
            <w:tcW w:w="820"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完成及时性</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项目实际完成时间与计划完成时间的比较，用以反映和考核项目产出时效目标的实现程度。</w:t>
            </w:r>
          </w:p>
        </w:tc>
        <w:tc>
          <w:tcPr>
            <w:tcW w:w="782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实际完成时间：项目实施单位完成该项目实际所耗用的时间。</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计划完成时间：按照项目实施计划或相关规定完成该项目所需的时间。</w:t>
            </w:r>
          </w:p>
        </w:tc>
        <w:tc>
          <w:tcPr>
            <w:tcW w:w="785"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c>
          <w:tcPr>
            <w:tcW w:w="769"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861" w:type="dxa"/>
            <w:vMerge w:val="continue"/>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产出成本</w:t>
            </w:r>
          </w:p>
        </w:tc>
        <w:tc>
          <w:tcPr>
            <w:tcW w:w="820"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成本节约率</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完成项目计划工作目标的实际节约成本与计划成本的比率，用以反映和考核项目的成本节约程度。</w:t>
            </w:r>
          </w:p>
        </w:tc>
        <w:tc>
          <w:tcPr>
            <w:tcW w:w="782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成本节约率=[（计划成本-实际成本）/计划成本]×100%。</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实际成本：项目实施单位如期、保质、保量完成既定工作目标实际所耗费的支出。</w:t>
            </w:r>
            <w:r>
              <w:rPr>
                <w:rFonts w:hint="eastAsia" w:ascii="宋体" w:hAnsi="宋体" w:eastAsia="宋体" w:cs="宋体"/>
                <w:color w:val="auto"/>
                <w:kern w:val="0"/>
                <w:sz w:val="22"/>
                <w:szCs w:val="22"/>
                <w:highlight w:val="none"/>
              </w:rPr>
              <w:br w:type="textWrapping"/>
            </w:r>
            <w:r>
              <w:rPr>
                <w:rFonts w:hint="eastAsia" w:ascii="宋体" w:hAnsi="宋体" w:eastAsia="宋体" w:cs="宋体"/>
                <w:color w:val="auto"/>
                <w:kern w:val="0"/>
                <w:sz w:val="22"/>
                <w:szCs w:val="22"/>
                <w:highlight w:val="none"/>
              </w:rPr>
              <w:t>计划成本：项目实施单位为完成工作目标计划安排的支出，一般以项目预算为参考。</w:t>
            </w:r>
          </w:p>
        </w:tc>
        <w:tc>
          <w:tcPr>
            <w:tcW w:w="785"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c>
          <w:tcPr>
            <w:tcW w:w="769" w:type="dxa"/>
            <w:shd w:val="clear" w:color="000000" w:fill="FFFFFF"/>
            <w:vAlign w:val="center"/>
          </w:tcPr>
          <w:p>
            <w:pPr>
              <w:widowControl/>
              <w:spacing w:line="0" w:lineRule="atLeast"/>
              <w:ind w:firstLine="0" w:firstLineChars="0"/>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889" w:hRule="atLeast"/>
          <w:jc w:val="center"/>
        </w:trPr>
        <w:tc>
          <w:tcPr>
            <w:tcW w:w="861"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lang w:eastAsia="zh-CN"/>
              </w:rPr>
              <w:t>5</w:t>
            </w:r>
            <w:r>
              <w:rPr>
                <w:rFonts w:hint="eastAsia" w:ascii="宋体" w:hAnsi="宋体" w:eastAsia="宋体" w:cs="宋体"/>
                <w:color w:val="auto"/>
                <w:kern w:val="0"/>
                <w:sz w:val="22"/>
                <w:szCs w:val="22"/>
                <w:highlight w:val="none"/>
              </w:rPr>
              <w:t>效益　</w:t>
            </w:r>
          </w:p>
        </w:tc>
        <w:tc>
          <w:tcPr>
            <w:tcW w:w="727" w:type="dxa"/>
            <w:vMerge w:val="restart"/>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项目效益　</w:t>
            </w:r>
          </w:p>
        </w:tc>
        <w:tc>
          <w:tcPr>
            <w:tcW w:w="820"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实施效益</w:t>
            </w:r>
          </w:p>
        </w:tc>
        <w:tc>
          <w:tcPr>
            <w:tcW w:w="2141" w:type="dxa"/>
            <w:shd w:val="clear" w:color="auto" w:fill="FFFFFF"/>
            <w:vAlign w:val="center"/>
          </w:tcPr>
          <w:p>
            <w:pPr>
              <w:widowControl/>
              <w:spacing w:line="0" w:lineRule="atLeast"/>
              <w:ind w:firstLine="0" w:firstLineChars="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项目实施所产生的效益。</w:t>
            </w:r>
          </w:p>
        </w:tc>
        <w:tc>
          <w:tcPr>
            <w:tcW w:w="7821" w:type="dxa"/>
            <w:shd w:val="clear" w:color="auto"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项目实施所产生的社会效益、经济效益、生态效益、可持续影响等。可根据项目实际情况有选择地设置和细化。</w:t>
            </w:r>
          </w:p>
        </w:tc>
        <w:tc>
          <w:tcPr>
            <w:tcW w:w="785" w:type="dxa"/>
            <w:shd w:val="clear" w:color="auto"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20</w:t>
            </w:r>
          </w:p>
        </w:tc>
        <w:tc>
          <w:tcPr>
            <w:tcW w:w="769" w:type="dxa"/>
            <w:shd w:val="clear" w:color="auto"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137" w:hRule="atLeast"/>
          <w:jc w:val="center"/>
        </w:trPr>
        <w:tc>
          <w:tcPr>
            <w:tcW w:w="861" w:type="dxa"/>
            <w:vMerge w:val="continue"/>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727" w:type="dxa"/>
            <w:vMerge w:val="continue"/>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p>
        </w:tc>
        <w:tc>
          <w:tcPr>
            <w:tcW w:w="820" w:type="dxa"/>
            <w:shd w:val="clear" w:color="auto" w:fill="FFFFFF"/>
            <w:vAlign w:val="center"/>
          </w:tcPr>
          <w:p>
            <w:pPr>
              <w:widowControl/>
              <w:spacing w:line="0" w:lineRule="atLeast"/>
              <w:ind w:firstLine="0" w:firstLineChars="0"/>
              <w:jc w:val="center"/>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满意度</w:t>
            </w:r>
          </w:p>
        </w:tc>
        <w:tc>
          <w:tcPr>
            <w:tcW w:w="214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社会公众或服务对象对项目实施效果的满意程度。</w:t>
            </w:r>
          </w:p>
        </w:tc>
        <w:tc>
          <w:tcPr>
            <w:tcW w:w="7821" w:type="dxa"/>
            <w:shd w:val="clear" w:color="000000" w:fill="FFFFFF"/>
            <w:vAlign w:val="center"/>
          </w:tcPr>
          <w:p>
            <w:pPr>
              <w:widowControl/>
              <w:spacing w:line="0" w:lineRule="atLeast"/>
              <w:ind w:firstLine="0" w:firstLineChars="0"/>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社会公众或服务对象是指因该项目实施而受到影响的部门（单位）、群体或个人。一般采取社会调查的方式。</w:t>
            </w:r>
          </w:p>
        </w:tc>
        <w:tc>
          <w:tcPr>
            <w:tcW w:w="785" w:type="dxa"/>
            <w:shd w:val="clear" w:color="000000" w:fill="FFFFFF"/>
            <w:vAlign w:val="center"/>
          </w:tcPr>
          <w:p>
            <w:pPr>
              <w:widowControl/>
              <w:tabs>
                <w:tab w:val="left" w:pos="348"/>
              </w:tabs>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c>
          <w:tcPr>
            <w:tcW w:w="769" w:type="dxa"/>
            <w:shd w:val="clear" w:color="000000" w:fill="FFFFFF"/>
            <w:vAlign w:val="center"/>
          </w:tcPr>
          <w:p>
            <w:pPr>
              <w:widowControl/>
              <w:spacing w:line="0" w:lineRule="atLeast"/>
              <w:ind w:firstLine="0" w:firstLineChars="0"/>
              <w:rPr>
                <w:rFonts w:hint="default" w:ascii="宋体" w:hAnsi="宋体" w:eastAsia="宋体" w:cs="宋体"/>
                <w:color w:val="auto"/>
                <w:kern w:val="0"/>
                <w:sz w:val="22"/>
                <w:szCs w:val="22"/>
                <w:highlight w:val="none"/>
                <w:lang w:val="en-US" w:eastAsia="zh-CN"/>
              </w:rPr>
            </w:pPr>
            <w:r>
              <w:rPr>
                <w:rFonts w:hint="eastAsia" w:cs="宋体"/>
                <w:color w:val="auto"/>
                <w:kern w:val="0"/>
                <w:sz w:val="22"/>
                <w:szCs w:val="22"/>
                <w:highlight w:val="none"/>
                <w:lang w:val="en-US" w:eastAsia="zh-CN"/>
              </w:rPr>
              <w:t>10</w:t>
            </w:r>
          </w:p>
        </w:tc>
      </w:tr>
    </w:tbl>
    <w:p>
      <w:pPr>
        <w:rPr>
          <w:rFonts w:hint="eastAsia"/>
          <w:color w:val="auto"/>
          <w:highlight w:val="none"/>
          <w:lang w:val="en-US" w:eastAsia="zh-CN"/>
        </w:rPr>
        <w:sectPr>
          <w:pgSz w:w="16838" w:h="11906" w:orient="landscape"/>
          <w:pgMar w:top="1800" w:right="1440" w:bottom="1800" w:left="1440" w:header="737" w:footer="851" w:gutter="0"/>
          <w:pgNumType w:fmt="decimal" w:start="1"/>
          <w:cols w:space="720" w:num="1"/>
          <w:docGrid w:type="lines" w:linePitch="408" w:charSpace="0"/>
        </w:sectPr>
      </w:pPr>
      <w:bookmarkStart w:id="14" w:name="_GoBack"/>
      <w:bookmarkEnd w:id="14"/>
    </w:p>
    <w:p>
      <w:pPr>
        <w:pStyle w:val="2"/>
        <w:ind w:left="0" w:leftChars="0" w:firstLine="0" w:firstLineChars="0"/>
        <w:rPr>
          <w:rFonts w:hint="eastAsia"/>
          <w:color w:val="auto"/>
          <w:highlight w:val="none"/>
          <w:lang w:val="en-US" w:eastAsia="zh-CN"/>
        </w:rPr>
      </w:pPr>
    </w:p>
    <w:sectPr>
      <w:pgSz w:w="11906" w:h="16838"/>
      <w:pgMar w:top="1440" w:right="1800" w:bottom="1440" w:left="1800" w:header="737" w:footer="851" w:gutter="0"/>
      <w:pgNumType w:fmt="decimal" w:start="1"/>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Arial Unicode MS">
    <w:panose1 w:val="020B0604020202020204"/>
    <w:charset w:val="86"/>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C92B9"/>
    <w:multiLevelType w:val="singleLevel"/>
    <w:tmpl w:val="826C92B9"/>
    <w:lvl w:ilvl="0" w:tentative="0">
      <w:start w:val="2"/>
      <w:numFmt w:val="chineseCounting"/>
      <w:suff w:val="nothing"/>
      <w:lvlText w:val="（%1）"/>
      <w:lvlJc w:val="left"/>
      <w:rPr>
        <w:rFonts w:hint="eastAsia"/>
      </w:rPr>
    </w:lvl>
  </w:abstractNum>
  <w:abstractNum w:abstractNumId="1">
    <w:nsid w:val="F8E64B2D"/>
    <w:multiLevelType w:val="singleLevel"/>
    <w:tmpl w:val="F8E64B2D"/>
    <w:lvl w:ilvl="0" w:tentative="0">
      <w:start w:val="3"/>
      <w:numFmt w:val="chineseCounting"/>
      <w:suff w:val="nothing"/>
      <w:lvlText w:val="%1、"/>
      <w:lvlJc w:val="left"/>
      <w:rPr>
        <w:rFonts w:hint="eastAsia"/>
      </w:rPr>
    </w:lvl>
  </w:abstractNum>
  <w:abstractNum w:abstractNumId="2">
    <w:nsid w:val="1FFA6D59"/>
    <w:multiLevelType w:val="singleLevel"/>
    <w:tmpl w:val="1FFA6D59"/>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MzQzZDYyZjcyNWJiNzliN2RkODRjMjFiYTkzNjIifQ=="/>
  </w:docVars>
  <w:rsids>
    <w:rsidRoot w:val="68291A1A"/>
    <w:rsid w:val="01470C4C"/>
    <w:rsid w:val="01821FE0"/>
    <w:rsid w:val="0185435D"/>
    <w:rsid w:val="02200440"/>
    <w:rsid w:val="02284B43"/>
    <w:rsid w:val="02B015E2"/>
    <w:rsid w:val="03A845BB"/>
    <w:rsid w:val="04D63993"/>
    <w:rsid w:val="05FC3BE0"/>
    <w:rsid w:val="060A5284"/>
    <w:rsid w:val="07CF2CFE"/>
    <w:rsid w:val="09781BD6"/>
    <w:rsid w:val="0BDA7DFE"/>
    <w:rsid w:val="0CA01396"/>
    <w:rsid w:val="0D4452F3"/>
    <w:rsid w:val="0DF519DD"/>
    <w:rsid w:val="0F5E5042"/>
    <w:rsid w:val="10510571"/>
    <w:rsid w:val="12CF0947"/>
    <w:rsid w:val="12F1313F"/>
    <w:rsid w:val="136C678E"/>
    <w:rsid w:val="13EB2FF5"/>
    <w:rsid w:val="15217D45"/>
    <w:rsid w:val="165825BC"/>
    <w:rsid w:val="16DF72B6"/>
    <w:rsid w:val="16E94CD4"/>
    <w:rsid w:val="176F36D7"/>
    <w:rsid w:val="18394277"/>
    <w:rsid w:val="18456B1E"/>
    <w:rsid w:val="19120481"/>
    <w:rsid w:val="1C1171C5"/>
    <w:rsid w:val="1DA41A79"/>
    <w:rsid w:val="1DF53469"/>
    <w:rsid w:val="1E1F7353"/>
    <w:rsid w:val="1E58492F"/>
    <w:rsid w:val="1E5B6757"/>
    <w:rsid w:val="1ED10AC6"/>
    <w:rsid w:val="1FC0575D"/>
    <w:rsid w:val="21B00C1D"/>
    <w:rsid w:val="23917691"/>
    <w:rsid w:val="245E1E24"/>
    <w:rsid w:val="2668001A"/>
    <w:rsid w:val="27900EAD"/>
    <w:rsid w:val="279B538A"/>
    <w:rsid w:val="28531B59"/>
    <w:rsid w:val="29314FBC"/>
    <w:rsid w:val="2C927671"/>
    <w:rsid w:val="2D7C5CD6"/>
    <w:rsid w:val="2E483E7E"/>
    <w:rsid w:val="2F1A793C"/>
    <w:rsid w:val="2F454B19"/>
    <w:rsid w:val="316576B2"/>
    <w:rsid w:val="31E3230A"/>
    <w:rsid w:val="31E9223C"/>
    <w:rsid w:val="33356F64"/>
    <w:rsid w:val="33944516"/>
    <w:rsid w:val="366C7598"/>
    <w:rsid w:val="38782EDD"/>
    <w:rsid w:val="3B42664A"/>
    <w:rsid w:val="3C591A03"/>
    <w:rsid w:val="3D3A1029"/>
    <w:rsid w:val="3FBE0BC5"/>
    <w:rsid w:val="4048103A"/>
    <w:rsid w:val="420F2705"/>
    <w:rsid w:val="422968BD"/>
    <w:rsid w:val="42947A49"/>
    <w:rsid w:val="435241E2"/>
    <w:rsid w:val="439E3FA7"/>
    <w:rsid w:val="44496B2A"/>
    <w:rsid w:val="44FC64F4"/>
    <w:rsid w:val="466E3FEF"/>
    <w:rsid w:val="467F4585"/>
    <w:rsid w:val="470628CB"/>
    <w:rsid w:val="47555BD4"/>
    <w:rsid w:val="48E12B50"/>
    <w:rsid w:val="49207646"/>
    <w:rsid w:val="499441BE"/>
    <w:rsid w:val="4A2138F0"/>
    <w:rsid w:val="4B706919"/>
    <w:rsid w:val="4B9F6E02"/>
    <w:rsid w:val="4BC54DEE"/>
    <w:rsid w:val="4C7E3811"/>
    <w:rsid w:val="4DA700D2"/>
    <w:rsid w:val="4E6E48A8"/>
    <w:rsid w:val="4EEC036B"/>
    <w:rsid w:val="4FE150A5"/>
    <w:rsid w:val="501D2673"/>
    <w:rsid w:val="516C6697"/>
    <w:rsid w:val="51852833"/>
    <w:rsid w:val="51A15404"/>
    <w:rsid w:val="52560D91"/>
    <w:rsid w:val="53446A77"/>
    <w:rsid w:val="53555F0F"/>
    <w:rsid w:val="572324EC"/>
    <w:rsid w:val="583C7AE0"/>
    <w:rsid w:val="59216F96"/>
    <w:rsid w:val="600370D9"/>
    <w:rsid w:val="60116C09"/>
    <w:rsid w:val="66E508BD"/>
    <w:rsid w:val="67394C7D"/>
    <w:rsid w:val="68126B38"/>
    <w:rsid w:val="68291A1A"/>
    <w:rsid w:val="683E052D"/>
    <w:rsid w:val="691B1594"/>
    <w:rsid w:val="696676DF"/>
    <w:rsid w:val="6A17429C"/>
    <w:rsid w:val="6A567EA3"/>
    <w:rsid w:val="6AA32C10"/>
    <w:rsid w:val="6B4B4368"/>
    <w:rsid w:val="6D8E0C28"/>
    <w:rsid w:val="6E557973"/>
    <w:rsid w:val="6E786E93"/>
    <w:rsid w:val="6F0D6C22"/>
    <w:rsid w:val="6F47657F"/>
    <w:rsid w:val="6F942D9B"/>
    <w:rsid w:val="704C6726"/>
    <w:rsid w:val="70670707"/>
    <w:rsid w:val="70FD2D1E"/>
    <w:rsid w:val="720F4124"/>
    <w:rsid w:val="732764B3"/>
    <w:rsid w:val="73BC1986"/>
    <w:rsid w:val="75E5007C"/>
    <w:rsid w:val="77861774"/>
    <w:rsid w:val="78E85C0C"/>
    <w:rsid w:val="79300B45"/>
    <w:rsid w:val="7936440C"/>
    <w:rsid w:val="793C675A"/>
    <w:rsid w:val="794D3E18"/>
    <w:rsid w:val="79F3729A"/>
    <w:rsid w:val="7AED0B4D"/>
    <w:rsid w:val="7C1344BB"/>
    <w:rsid w:val="7C1E4487"/>
    <w:rsid w:val="7C215E02"/>
    <w:rsid w:val="7C613298"/>
    <w:rsid w:val="7CF23764"/>
    <w:rsid w:val="7FC52D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723" w:firstLineChars="200"/>
      <w:jc w:val="both"/>
    </w:pPr>
    <w:rPr>
      <w:rFonts w:ascii="宋体" w:hAnsi="宋体" w:eastAsia="宋体" w:cs="宋体"/>
      <w:kern w:val="2"/>
      <w:sz w:val="28"/>
      <w:szCs w:val="28"/>
      <w:lang w:val="en-US" w:eastAsia="zh-CN" w:bidi="ar-SA"/>
    </w:rPr>
  </w:style>
  <w:style w:type="paragraph" w:styleId="3">
    <w:name w:val="heading 1"/>
    <w:basedOn w:val="1"/>
    <w:next w:val="1"/>
    <w:qFormat/>
    <w:uiPriority w:val="0"/>
    <w:pPr>
      <w:keepNext/>
      <w:keepLines/>
      <w:spacing w:beforeLines="0" w:beforeAutospacing="0" w:afterLines="0" w:afterAutospacing="0" w:line="560" w:lineRule="exact"/>
      <w:ind w:firstLine="964" w:firstLineChars="200"/>
      <w:outlineLvl w:val="0"/>
    </w:pPr>
    <w:rPr>
      <w:rFonts w:ascii="Times New Roman" w:hAnsi="Times New Roman" w:eastAsia="黑体"/>
      <w:kern w:val="44"/>
      <w:sz w:val="32"/>
      <w:szCs w:val="22"/>
    </w:rPr>
  </w:style>
  <w:style w:type="paragraph" w:styleId="4">
    <w:name w:val="heading 2"/>
    <w:basedOn w:val="1"/>
    <w:next w:val="1"/>
    <w:unhideWhenUsed/>
    <w:qFormat/>
    <w:uiPriority w:val="0"/>
    <w:pPr>
      <w:keepNext/>
      <w:keepLines/>
      <w:spacing w:beforeLines="0" w:beforeAutospacing="0" w:afterLines="0" w:afterAutospacing="0" w:line="560" w:lineRule="exact"/>
      <w:ind w:firstLine="964" w:firstLineChars="200"/>
      <w:outlineLvl w:val="1"/>
    </w:pPr>
    <w:rPr>
      <w:rFonts w:ascii="Arial" w:hAnsi="Arial" w:eastAsia="楷体"/>
      <w:b/>
      <w:sz w:val="32"/>
    </w:rPr>
  </w:style>
  <w:style w:type="paragraph" w:styleId="5">
    <w:name w:val="heading 3"/>
    <w:basedOn w:val="1"/>
    <w:next w:val="1"/>
    <w:qFormat/>
    <w:uiPriority w:val="99"/>
    <w:pPr>
      <w:keepNext/>
      <w:keepLines/>
      <w:spacing w:line="560" w:lineRule="exact"/>
      <w:ind w:firstLine="883" w:firstLineChars="200"/>
      <w:outlineLvl w:val="2"/>
    </w:pPr>
    <w:rPr>
      <w:rFonts w:ascii="仿宋_GB2312" w:hAnsi="仿宋_GB2312" w:eastAsia="仿宋_GB2312"/>
      <w:b/>
      <w:bCs/>
      <w:kern w:val="0"/>
      <w:sz w:val="28"/>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after="60" w:afterLines="0"/>
      <w:jc w:val="left"/>
      <w:outlineLvl w:val="0"/>
    </w:pPr>
    <w:rPr>
      <w:rFonts w:ascii="MS Sans Serif" w:hAnsi="MS Sans Serif" w:eastAsia="宋体" w:cs="MS Sans Serif"/>
      <w:b/>
      <w:bCs/>
      <w:sz w:val="24"/>
      <w:szCs w:val="32"/>
    </w:rPr>
  </w:style>
  <w:style w:type="paragraph" w:styleId="6">
    <w:name w:val="annotation text"/>
    <w:basedOn w:val="1"/>
    <w:qFormat/>
    <w:uiPriority w:val="0"/>
    <w:pPr>
      <w:jc w:val="left"/>
    </w:pPr>
  </w:style>
  <w:style w:type="paragraph" w:styleId="7">
    <w:name w:val="Body Text"/>
    <w:basedOn w:val="1"/>
    <w:qFormat/>
    <w:uiPriority w:val="0"/>
    <w:pPr>
      <w:adjustRightInd w:val="0"/>
      <w:spacing w:line="312" w:lineRule="atLeast"/>
      <w:jc w:val="center"/>
      <w:textAlignment w:val="baseline"/>
    </w:pPr>
    <w:rPr>
      <w:kern w:val="0"/>
      <w:szCs w:val="21"/>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2">
    <w:name w:val="Strong"/>
    <w:basedOn w:val="11"/>
    <w:qFormat/>
    <w:uiPriority w:val="0"/>
    <w:rPr>
      <w:b/>
      <w:bCs/>
    </w:rPr>
  </w:style>
  <w:style w:type="paragraph" w:customStyle="1" w:styleId="13">
    <w:name w:val="正文 A"/>
    <w:qFormat/>
    <w:uiPriority w:val="99"/>
    <w:pPr>
      <w:widowControl w:val="0"/>
      <w:spacing w:before="50" w:after="50" w:line="360" w:lineRule="auto"/>
    </w:pPr>
    <w:rPr>
      <w:rFonts w:ascii="Times New Roman" w:hAnsi="Arial Unicode MS" w:eastAsia="Arial Unicode MS" w:cs="Arial Unicode MS"/>
      <w:color w:val="000000"/>
      <w:kern w:val="2"/>
      <w:sz w:val="28"/>
      <w:szCs w:val="28"/>
      <w:u w:color="000000"/>
      <w:lang w:val="en-US" w:eastAsia="zh-CN" w:bidi="ar-SA"/>
    </w:rPr>
  </w:style>
  <w:style w:type="paragraph" w:customStyle="1" w:styleId="14">
    <w:name w:val="Body text|1"/>
    <w:basedOn w:val="1"/>
    <w:qFormat/>
    <w:uiPriority w:val="0"/>
    <w:pPr>
      <w:spacing w:line="480" w:lineRule="auto"/>
      <w:ind w:firstLine="400"/>
    </w:pPr>
    <w:rPr>
      <w:rFonts w:ascii="宋体" w:hAnsi="宋体" w:eastAsia="宋体" w:cs="宋体"/>
      <w:sz w:val="26"/>
      <w:szCs w:val="26"/>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11520</Words>
  <Characters>12099</Characters>
  <Lines>0</Lines>
  <Paragraphs>0</Paragraphs>
  <TotalTime>3</TotalTime>
  <ScaleCrop>false</ScaleCrop>
  <LinksUpToDate>false</LinksUpToDate>
  <CharactersWithSpaces>12200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2020-04-01T11:28:00Z</dcterms:created>
  <dc:creator>驰远天合-柴万顺-18690160103</dc:creator>
  <cp:lastModifiedBy>Administrator</cp:lastModifiedBy>
  <dcterms:modified xsi:type="dcterms:W3CDTF">2023-09-04T03:20:51Z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544F357B5FE34CCD99257DACE47908A5</vt:lpwstr>
  </property>
</Properties>
</file>