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400"/>
        <w:jc w:val="both"/>
        <w:textAlignment w:val="auto"/>
        <w:rPr>
          <w:rFonts w:hint="eastAsia" w:cs="宋体"/>
          <w:b/>
          <w:bCs/>
          <w:color w:val="auto"/>
          <w:sz w:val="40"/>
          <w:szCs w:val="40"/>
          <w:highlight w:val="none"/>
          <w:shd w:val="clear" w:color="auto" w:fill="auto"/>
          <w:lang w:val="en-US" w:eastAsia="zh-CN"/>
        </w:rPr>
      </w:pPr>
      <w:r>
        <w:rPr>
          <w:rFonts w:hint="eastAsia" w:cs="宋体"/>
          <w:b/>
          <w:bCs/>
          <w:color w:val="auto"/>
          <w:sz w:val="40"/>
          <w:szCs w:val="40"/>
          <w:highlight w:val="none"/>
          <w:shd w:val="clear" w:color="auto" w:fill="auto"/>
          <w:lang w:val="en-US" w:eastAsia="zh-CN"/>
        </w:rPr>
        <w:t>昌吉州阜康市自然资源局</w:t>
      </w:r>
    </w:p>
    <w:p>
      <w:pPr>
        <w:keepNext w:val="0"/>
        <w:keepLines w:val="0"/>
        <w:pageBreakBefore w:val="0"/>
        <w:widowControl w:val="0"/>
        <w:kinsoku/>
        <w:wordWrap/>
        <w:overflowPunct/>
        <w:topLinePunct w:val="0"/>
        <w:autoSpaceDE/>
        <w:autoSpaceDN/>
        <w:bidi w:val="0"/>
        <w:adjustRightInd/>
        <w:snapToGrid/>
        <w:spacing w:line="360" w:lineRule="auto"/>
        <w:ind w:firstLine="2008" w:firstLineChars="500"/>
        <w:jc w:val="both"/>
        <w:textAlignment w:val="auto"/>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cs="宋体"/>
          <w:b/>
          <w:bCs/>
          <w:color w:val="auto"/>
          <w:sz w:val="40"/>
          <w:szCs w:val="40"/>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w:t>
      </w:r>
      <w:r>
        <w:rPr>
          <w:rFonts w:hint="eastAsia" w:cs="宋体"/>
          <w:b/>
          <w:color w:val="auto"/>
          <w:kern w:val="2"/>
          <w:sz w:val="28"/>
          <w:szCs w:val="28"/>
          <w:highlight w:val="none"/>
          <w:shd w:val="clear" w:color="auto" w:fill="auto"/>
          <w:lang w:val="en-US" w:eastAsia="zh-CN"/>
        </w:rPr>
        <w:t>新高速改扩建项目林木补偿费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阜康市自然资源局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p>
    <w:p>
      <w:pPr>
        <w:pStyle w:val="2"/>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highlight w:val="none"/>
          <w:lang w:val="en-US" w:eastAsia="zh-CN"/>
        </w:rPr>
        <w:sectPr>
          <w:pgSz w:w="11906" w:h="16838"/>
          <w:pgMar w:top="1928" w:right="1531" w:bottom="1701" w:left="1531" w:header="737" w:footer="851" w:gutter="0"/>
          <w:cols w:space="720" w:num="1"/>
          <w:docGrid w:type="lines" w:linePitch="408" w:charSpace="0"/>
        </w:sectPr>
      </w:pPr>
    </w:p>
    <w:p>
      <w:pPr>
        <w:pageBreakBefore w:val="0"/>
        <w:kinsoku/>
        <w:wordWrap/>
        <w:overflowPunct/>
        <w:topLinePunct w:val="0"/>
        <w:autoSpaceDE/>
        <w:autoSpaceDN/>
        <w:bidi w:val="0"/>
        <w:spacing w:line="560" w:lineRule="exact"/>
        <w:jc w:val="center"/>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eastAsia="宋体" w:cs="宋体"/>
          <w:b/>
          <w:bCs/>
          <w:color w:val="auto"/>
          <w:sz w:val="36"/>
          <w:szCs w:val="36"/>
          <w:highlight w:val="none"/>
          <w:shd w:val="clear" w:color="auto" w:fill="auto"/>
          <w:lang w:val="en-US" w:eastAsia="zh-CN"/>
        </w:rPr>
        <w:t>京新高速改扩建项目林木补偿费</w:t>
      </w:r>
    </w:p>
    <w:p>
      <w:pPr>
        <w:pageBreakBefore w:val="0"/>
        <w:kinsoku/>
        <w:wordWrap/>
        <w:overflowPunct/>
        <w:topLinePunct w:val="0"/>
        <w:autoSpaceDE/>
        <w:autoSpaceDN/>
        <w:bidi w:val="0"/>
        <w:spacing w:line="560" w:lineRule="exact"/>
        <w:jc w:val="center"/>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（一）项目概况</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p>
    <w:p>
      <w:pPr>
        <w:pageBreakBefore w:val="0"/>
        <w:kinsoku/>
        <w:wordWrap/>
        <w:overflowPunct/>
        <w:topLinePunct w:val="0"/>
        <w:autoSpaceDE/>
        <w:autoSpaceDN/>
        <w:bidi w:val="0"/>
        <w:spacing w:line="560" w:lineRule="exact"/>
        <w:ind w:firstLine="560" w:firstLineChars="200"/>
        <w:outlineLvl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京新高速（G7）大黄山至乌鲁木齐段扩建项目，是《国家公路网2013-2030年》中提出的重点建设的公路项目，本项目建设对进一步完善区域路网，改善交通出行条件和路网的运输效率，对“西部大开发”以及《丝绸之路经济带》重大战略的实施提供了重点的基础保障，对扩大对外贸易，维护社会稳定，巩固边防，加强民族团结，实现精准扶贫，构建“和谐社会”均均有重要意义。其中涉及的林木补偿、征地补偿是项目建设的前提和关键。</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p>
    <w:p>
      <w:pPr>
        <w:pageBreakBefore w:val="0"/>
        <w:widowControl w:val="0"/>
        <w:kinsoku/>
        <w:wordWrap/>
        <w:overflowPunct/>
        <w:topLinePunct w:val="0"/>
        <w:autoSpaceDE/>
        <w:autoSpaceDN/>
        <w:bidi w:val="0"/>
        <w:adjustRightInd w:val="0"/>
        <w:snapToGrid w:val="0"/>
        <w:spacing w:beforeAutospacing="0" w:line="560" w:lineRule="exact"/>
        <w:ind w:left="0" w:leftChars="0" w:right="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该项目为需征用阜康市上户沟哈萨克民族乡、滋泥泉子镇、九运街镇、城关镇、三工河哈萨克民族乡和水磨沟乡的土地。按照新京高速扩能改造项目土地补偿协议，完成160亩林木补偿，补偿总费用200万元，2022年5月完成了资金拨付任务，预期达到保障补偿企业合法经济利益，进一步提高的土地节约集约利用效率。</w:t>
      </w:r>
      <w:r>
        <w:rPr>
          <w:rFonts w:hint="eastAsia" w:asciiTheme="minorEastAsia" w:hAnsiTheme="minorEastAsia" w:eastAsiaTheme="minorEastAsia" w:cstheme="minorEastAsia"/>
          <w:color w:val="auto"/>
          <w:sz w:val="28"/>
          <w:szCs w:val="28"/>
        </w:rPr>
        <w:t xml:space="preserve">     </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3.资金投入和使用情况</w:t>
      </w:r>
    </w:p>
    <w:p>
      <w:pPr>
        <w:pStyle w:val="14"/>
        <w:pageBreakBefore w:val="0"/>
        <w:kinsoku/>
        <w:wordWrap/>
        <w:overflowPunct/>
        <w:topLinePunct w:val="0"/>
        <w:autoSpaceDE/>
        <w:autoSpaceDN/>
        <w:bidi w:val="0"/>
        <w:spacing w:line="560" w:lineRule="exact"/>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（1）项目资金安排落实、总投入等情况分析</w:t>
      </w:r>
    </w:p>
    <w:p>
      <w:pPr>
        <w:pStyle w:val="14"/>
        <w:pageBreakBefore w:val="0"/>
        <w:kinsoku/>
        <w:wordWrap/>
        <w:overflowPunct/>
        <w:topLinePunct w:val="0"/>
        <w:autoSpaceDE/>
        <w:autoSpaceDN/>
        <w:bidi w:val="0"/>
        <w:spacing w:line="560" w:lineRule="exact"/>
        <w:ind w:firstLine="640"/>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新高速改扩建项目林木补偿费预算金额</w:t>
      </w:r>
      <w:r>
        <w:rPr>
          <w:rFonts w:hint="eastAsia" w:asciiTheme="minorEastAsia" w:hAnsiTheme="minorEastAsia" w:eastAsiaTheme="minorEastAsia" w:cstheme="minorEastAsia"/>
          <w:color w:val="auto"/>
          <w:kern w:val="2"/>
          <w:sz w:val="28"/>
          <w:szCs w:val="28"/>
          <w:lang w:val="en-US" w:eastAsia="zh-CN" w:bidi="ar-SA"/>
        </w:rPr>
        <w:t>200万</w:t>
      </w:r>
      <w:r>
        <w:rPr>
          <w:rStyle w:val="12"/>
          <w:rFonts w:hint="eastAsia" w:asciiTheme="minorEastAsia" w:hAnsiTheme="minorEastAsia" w:eastAsiaTheme="minorEastAsia" w:cstheme="minorEastAsia"/>
          <w:b w:val="0"/>
          <w:color w:val="auto"/>
          <w:spacing w:val="-4"/>
          <w:sz w:val="28"/>
          <w:szCs w:val="28"/>
          <w:lang w:val="en-US" w:eastAsia="zh-CN"/>
        </w:rPr>
        <w:t>元</w:t>
      </w:r>
      <w:r>
        <w:rPr>
          <w:rFonts w:hint="eastAsia" w:asciiTheme="minorEastAsia" w:hAnsiTheme="minorEastAsia" w:eastAsiaTheme="minorEastAsia" w:cstheme="minorEastAsia"/>
          <w:color w:val="auto"/>
          <w:sz w:val="28"/>
          <w:szCs w:val="28"/>
          <w:lang w:val="en-US" w:eastAsia="zh-CN" w:bidi="ar-SA"/>
        </w:rPr>
        <w:t>，实际到位预算资金</w:t>
      </w:r>
      <w:r>
        <w:rPr>
          <w:rFonts w:hint="eastAsia" w:asciiTheme="minorEastAsia" w:hAnsiTheme="minorEastAsia" w:eastAsiaTheme="minorEastAsia" w:cstheme="minorEastAsia"/>
          <w:color w:val="auto"/>
          <w:kern w:val="2"/>
          <w:sz w:val="28"/>
          <w:szCs w:val="28"/>
          <w:lang w:val="en-US" w:eastAsia="zh-CN" w:bidi="ar-SA"/>
        </w:rPr>
        <w:t>200万</w:t>
      </w:r>
      <w:r>
        <w:rPr>
          <w:rStyle w:val="12"/>
          <w:rFonts w:hint="eastAsia" w:asciiTheme="minorEastAsia" w:hAnsiTheme="minorEastAsia" w:eastAsiaTheme="minorEastAsia" w:cstheme="minorEastAsia"/>
          <w:b w:val="0"/>
          <w:color w:val="auto"/>
          <w:spacing w:val="-4"/>
          <w:sz w:val="28"/>
          <w:szCs w:val="28"/>
          <w:lang w:val="en-US" w:eastAsia="zh-CN"/>
        </w:rPr>
        <w:t>元</w:t>
      </w:r>
      <w:r>
        <w:rPr>
          <w:rFonts w:hint="eastAsia" w:asciiTheme="minorEastAsia" w:hAnsiTheme="minorEastAsia" w:eastAsiaTheme="minorEastAsia" w:cstheme="minorEastAsia"/>
          <w:color w:val="auto"/>
          <w:sz w:val="28"/>
          <w:szCs w:val="28"/>
          <w:lang w:val="en-US" w:eastAsia="zh-CN" w:bidi="ar-SA"/>
        </w:rPr>
        <w:t>，资金到位率100%。</w:t>
      </w:r>
    </w:p>
    <w:p>
      <w:pPr>
        <w:pStyle w:val="14"/>
        <w:pageBreakBefore w:val="0"/>
        <w:kinsoku/>
        <w:wordWrap/>
        <w:overflowPunct/>
        <w:topLinePunct w:val="0"/>
        <w:autoSpaceDE/>
        <w:autoSpaceDN/>
        <w:bidi w:val="0"/>
        <w:spacing w:line="560" w:lineRule="exact"/>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（2）项目资金实际使用情况分析</w:t>
      </w:r>
    </w:p>
    <w:p>
      <w:pPr>
        <w:pStyle w:val="7"/>
        <w:pageBreakBefore w:val="0"/>
        <w:widowControl w:val="0"/>
        <w:kinsoku/>
        <w:wordWrap/>
        <w:overflowPunct/>
        <w:topLinePunct w:val="0"/>
        <w:autoSpaceDE/>
        <w:autoSpaceDN/>
        <w:bidi w:val="0"/>
        <w:adjustRightInd w:val="0"/>
        <w:snapToGrid/>
        <w:spacing w:before="0" w:after="0" w:line="560" w:lineRule="exact"/>
        <w:ind w:left="0" w:leftChars="0" w:right="0" w:firstLine="0" w:firstLineChars="0"/>
        <w:jc w:val="left"/>
        <w:textAlignment w:val="baseline"/>
        <w:outlineLvl w:val="9"/>
        <w:rPr>
          <w:rFonts w:hint="eastAsia" w:asciiTheme="minorEastAsia" w:hAnsiTheme="minorEastAsia" w:eastAsiaTheme="minorEastAsia" w:cstheme="minorEastAsia"/>
          <w:color w:val="auto"/>
          <w:sz w:val="28"/>
          <w:szCs w:val="28"/>
        </w:rPr>
      </w:pPr>
      <w:r>
        <w:rPr>
          <w:rStyle w:val="12"/>
          <w:rFonts w:hint="eastAsia" w:asciiTheme="minorEastAsia" w:hAnsiTheme="minorEastAsia" w:eastAsiaTheme="minorEastAsia" w:cstheme="minorEastAsia"/>
          <w:b w:val="0"/>
          <w:color w:val="auto"/>
          <w:spacing w:val="-4"/>
          <w:sz w:val="28"/>
          <w:szCs w:val="28"/>
          <w:lang w:val="en-US" w:eastAsia="zh-CN"/>
        </w:rPr>
        <w:t xml:space="preserve">    2022年年初预算为</w:t>
      </w:r>
      <w:r>
        <w:rPr>
          <w:rFonts w:hint="eastAsia" w:asciiTheme="minorEastAsia" w:hAnsiTheme="minorEastAsia" w:eastAsiaTheme="minorEastAsia" w:cstheme="minorEastAsia"/>
          <w:color w:val="auto"/>
          <w:kern w:val="2"/>
          <w:sz w:val="28"/>
          <w:szCs w:val="28"/>
          <w:lang w:val="en-US" w:eastAsia="zh-CN" w:bidi="ar-SA"/>
        </w:rPr>
        <w:t>200万</w:t>
      </w:r>
      <w:r>
        <w:rPr>
          <w:rStyle w:val="12"/>
          <w:rFonts w:hint="eastAsia" w:asciiTheme="minorEastAsia" w:hAnsiTheme="minorEastAsia" w:eastAsiaTheme="minorEastAsia" w:cstheme="minorEastAsia"/>
          <w:b w:val="0"/>
          <w:color w:val="auto"/>
          <w:spacing w:val="-4"/>
          <w:sz w:val="28"/>
          <w:szCs w:val="28"/>
          <w:lang w:val="en-US" w:eastAsia="zh-CN"/>
        </w:rPr>
        <w:t>元，实际执行数</w:t>
      </w:r>
      <w:r>
        <w:rPr>
          <w:rFonts w:hint="eastAsia" w:asciiTheme="minorEastAsia" w:hAnsiTheme="minorEastAsia" w:eastAsiaTheme="minorEastAsia" w:cstheme="minorEastAsia"/>
          <w:color w:val="auto"/>
          <w:kern w:val="2"/>
          <w:sz w:val="28"/>
          <w:szCs w:val="28"/>
          <w:lang w:val="en-US" w:eastAsia="zh-CN" w:bidi="ar-SA"/>
        </w:rPr>
        <w:t>200万</w:t>
      </w:r>
      <w:r>
        <w:rPr>
          <w:rStyle w:val="12"/>
          <w:rFonts w:hint="eastAsia" w:asciiTheme="minorEastAsia" w:hAnsiTheme="minorEastAsia" w:eastAsiaTheme="minorEastAsia" w:cstheme="minorEastAsia"/>
          <w:b w:val="0"/>
          <w:color w:val="auto"/>
          <w:spacing w:val="-4"/>
          <w:sz w:val="28"/>
          <w:szCs w:val="28"/>
          <w:lang w:val="en-US" w:eastAsia="zh-CN"/>
        </w:rPr>
        <w:t>元；</w:t>
      </w:r>
      <w:r>
        <w:rPr>
          <w:rFonts w:hint="eastAsia" w:asciiTheme="minorEastAsia" w:hAnsiTheme="minorEastAsia" w:eastAsiaTheme="minorEastAsia" w:cstheme="minorEastAsia"/>
          <w:color w:val="auto"/>
          <w:sz w:val="28"/>
          <w:szCs w:val="28"/>
        </w:rPr>
        <w:t>预算执行率</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p>
    <w:p>
      <w:pPr>
        <w:pStyle w:val="4"/>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项目绩效目标</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1.总体目标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Theme="minorEastAsia" w:hAnsiTheme="minorEastAsia" w:eastAsiaTheme="minorEastAsia" w:cstheme="minorEastAsia"/>
          <w:color w:val="auto"/>
          <w:sz w:val="28"/>
          <w:szCs w:val="28"/>
          <w:lang w:val="en-US" w:eastAsia="zh-CN"/>
        </w:rPr>
        <w:t>通过新高速改扩建项目林木补偿工作，确保京新高速（G7）大黄山至乌鲁木齐段扩建项目顺利建设</w:t>
      </w:r>
      <w:r>
        <w:rPr>
          <w:rFonts w:hint="eastAsia" w:asciiTheme="minorEastAsia" w:hAnsiTheme="minorEastAsia" w:eastAsiaTheme="minorEastAsia" w:cstheme="minorEastAsia"/>
          <w:color w:val="auto"/>
          <w:sz w:val="28"/>
          <w:szCs w:val="28"/>
          <w:lang w:val="zh-CN" w:eastAsia="zh-CN"/>
        </w:rPr>
        <w:t>，</w:t>
      </w:r>
      <w:r>
        <w:rPr>
          <w:rFonts w:hint="eastAsia" w:asciiTheme="minorEastAsia" w:hAnsiTheme="minorEastAsia" w:eastAsiaTheme="minorEastAsia" w:cstheme="minorEastAsia"/>
          <w:color w:val="auto"/>
          <w:sz w:val="28"/>
          <w:szCs w:val="28"/>
          <w:lang w:val="en-US" w:eastAsia="zh-CN"/>
        </w:rPr>
        <w:t>从而进一步完善区域路网，改善交通出行条件和路网的运输效率，同时切实加快征地征收工作进程，提高征地征收工作效率，依法维护国家、集体和失地农民的经济利益和合法权利，提升合理用地和节约集约用地效率，进一步保障生态平衡，减少土地植被破坏</w:t>
      </w:r>
      <w:r>
        <w:rPr>
          <w:rFonts w:hint="eastAsia" w:asciiTheme="minorEastAsia" w:hAnsiTheme="minorEastAsia" w:eastAsiaTheme="minorEastAsia" w:cstheme="minorEastAsia"/>
          <w:color w:val="auto"/>
          <w:sz w:val="28"/>
          <w:szCs w:val="28"/>
          <w:lang w:val="zh-CN" w:eastAsia="zh-CN"/>
        </w:rPr>
        <w:t>。</w:t>
      </w:r>
      <w:r>
        <w:rPr>
          <w:rFonts w:hint="eastAsia" w:asciiTheme="minorEastAsia" w:hAnsiTheme="minorEastAsia" w:eastAsiaTheme="minorEastAsia" w:cstheme="minorEastAsia"/>
          <w:color w:val="auto"/>
          <w:sz w:val="28"/>
          <w:szCs w:val="28"/>
          <w:lang w:val="en-US" w:eastAsia="zh-CN"/>
        </w:rPr>
        <w:t xml:space="preserve">   </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auto"/>
          <w:lang w:eastAsia="zh-CN"/>
        </w:rPr>
      </w:pPr>
      <w:r>
        <w:rPr>
          <w:rFonts w:hint="eastAsia" w:asciiTheme="minorEastAsia" w:hAnsiTheme="minorEastAsia" w:eastAsiaTheme="minorEastAsia" w:cstheme="minorEastAsia"/>
          <w:bCs/>
          <w:color w:val="auto"/>
          <w:sz w:val="28"/>
          <w:szCs w:val="28"/>
          <w:highlight w:val="none"/>
          <w:shd w:val="clear" w:color="auto" w:fill="auto"/>
          <w:lang w:eastAsia="zh-CN"/>
        </w:rPr>
        <w:t>根据《预算法》、《财政支出绩效评价管理暂行办法》（财预〔20</w:t>
      </w:r>
      <w:r>
        <w:rPr>
          <w:rFonts w:hint="eastAsia" w:asciiTheme="minorEastAsia" w:hAnsiTheme="minorEastAsia" w:eastAsiaTheme="minorEastAsia" w:cstheme="minorEastAsia"/>
          <w:bCs/>
          <w:color w:val="auto"/>
          <w:sz w:val="28"/>
          <w:szCs w:val="28"/>
          <w:highlight w:val="none"/>
          <w:shd w:val="clear" w:color="auto" w:fill="auto"/>
          <w:lang w:val="en-US" w:eastAsia="zh-CN"/>
        </w:rPr>
        <w:t>20</w:t>
      </w:r>
      <w:r>
        <w:rPr>
          <w:rFonts w:hint="eastAsia" w:asciiTheme="minorEastAsia" w:hAnsiTheme="minorEastAsia" w:eastAsiaTheme="minorEastAsia" w:cstheme="minorEastAsia"/>
          <w:bCs/>
          <w:color w:val="auto"/>
          <w:sz w:val="28"/>
          <w:szCs w:val="28"/>
          <w:highlight w:val="none"/>
          <w:shd w:val="clear" w:color="auto" w:fill="auto"/>
          <w:lang w:eastAsia="zh-CN"/>
        </w:rPr>
        <w:t>〕</w:t>
      </w:r>
      <w:r>
        <w:rPr>
          <w:rFonts w:hint="eastAsia" w:asciiTheme="minorEastAsia" w:hAnsiTheme="minorEastAsia" w:eastAsiaTheme="minorEastAsia" w:cstheme="minorEastAsia"/>
          <w:bCs/>
          <w:color w:val="auto"/>
          <w:sz w:val="28"/>
          <w:szCs w:val="28"/>
          <w:highlight w:val="none"/>
          <w:shd w:val="clear" w:color="auto" w:fill="auto"/>
          <w:lang w:val="en-US" w:eastAsia="zh-CN"/>
        </w:rPr>
        <w:t>10</w:t>
      </w:r>
      <w:r>
        <w:rPr>
          <w:rFonts w:hint="eastAsia" w:asciiTheme="minorEastAsia" w:hAnsiTheme="minorEastAsia" w:eastAsiaTheme="minorEastAsia" w:cstheme="minorEastAsia"/>
          <w:bCs/>
          <w:color w:val="auto"/>
          <w:sz w:val="28"/>
          <w:szCs w:val="28"/>
          <w:highlight w:val="none"/>
          <w:shd w:val="clear" w:color="auto" w:fill="auto"/>
          <w:lang w:eastAsia="zh-CN"/>
        </w:rPr>
        <w:t>号）、《自治区党委自治区人民政府关于全面实施预算绩效管理的实施意见》（新党发〔2018〕30号）、</w:t>
      </w:r>
      <w:r>
        <w:rPr>
          <w:rFonts w:hint="eastAsia" w:asciiTheme="minorEastAsia" w:hAnsiTheme="minorEastAsia" w:eastAsiaTheme="minorEastAsia" w:cstheme="minorEastAsia"/>
          <w:color w:val="auto"/>
          <w:sz w:val="28"/>
          <w:szCs w:val="28"/>
          <w:highlight w:val="none"/>
          <w:shd w:val="clear" w:color="auto" w:fill="auto"/>
        </w:rPr>
        <w:t>《自治区财政支出绩效评价管理暂行办法》</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rPr>
        <w:t>新财预〔2018〕189号</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等文件</w:t>
      </w:r>
      <w:r>
        <w:rPr>
          <w:rFonts w:hint="eastAsia" w:asciiTheme="minorEastAsia" w:hAnsiTheme="minorEastAsia" w:eastAsiaTheme="minorEastAsia" w:cstheme="minorEastAsia"/>
          <w:bCs/>
          <w:color w:val="auto"/>
          <w:sz w:val="28"/>
          <w:szCs w:val="28"/>
          <w:highlight w:val="none"/>
          <w:shd w:val="clear" w:color="auto" w:fill="auto"/>
          <w:lang w:eastAsia="zh-CN"/>
        </w:rPr>
        <w:t>的规定，结合项目实施单位的规章制度以及财务相关资料，评价小组对项目绩效目标进行了进一步的完善，完善</w:t>
      </w:r>
      <w:r>
        <w:rPr>
          <w:rFonts w:hint="eastAsia" w:asciiTheme="minorEastAsia" w:hAnsiTheme="minorEastAsia" w:eastAsiaTheme="minorEastAsia" w:cstheme="minorEastAsia"/>
          <w:bCs/>
          <w:color w:val="auto"/>
          <w:sz w:val="28"/>
          <w:szCs w:val="28"/>
          <w:highlight w:val="none"/>
          <w:shd w:val="clear" w:color="auto" w:fill="auto"/>
          <w:lang w:val="en-US" w:eastAsia="zh-CN"/>
        </w:rPr>
        <w:t>后</w:t>
      </w:r>
      <w:r>
        <w:rPr>
          <w:rFonts w:hint="eastAsia" w:asciiTheme="minorEastAsia" w:hAnsiTheme="minorEastAsia" w:eastAsiaTheme="minorEastAsia" w:cstheme="minorEastAsia"/>
          <w:bCs/>
          <w:color w:val="auto"/>
          <w:sz w:val="28"/>
          <w:szCs w:val="28"/>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补偿林木面积</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指标，预期指标值为160亩；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合同执行违规率%</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指标，预期指标值为无违规；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③时效指标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资金拨付及时率</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资金拨付完成时间</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指标，预期指标值为2022年5月；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④成本指标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每亩成本</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w:t>
      </w:r>
      <w:r>
        <w:rPr>
          <w:rFonts w:hint="eastAsia"/>
          <w:color w:val="auto"/>
          <w:lang w:val="en-US" w:eastAsia="zh-CN"/>
        </w:rPr>
        <w:t>≤1.25万</w:t>
      </w:r>
      <w:r>
        <w:rPr>
          <w:rFonts w:hint="eastAsia" w:asciiTheme="minorEastAsia" w:hAnsiTheme="minorEastAsia" w:eastAsiaTheme="minorEastAsia" w:cstheme="minorEastAsia"/>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补偿费用</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w:t>
      </w:r>
      <w:r>
        <w:rPr>
          <w:rFonts w:hint="eastAsia"/>
          <w:color w:val="auto"/>
          <w:lang w:val="en-US" w:eastAsia="zh-CN"/>
        </w:rPr>
        <w:t>≤200万元</w:t>
      </w:r>
      <w:r>
        <w:rPr>
          <w:rFonts w:hint="eastAsia" w:asciiTheme="minorEastAsia" w:hAnsiTheme="minorEastAsia" w:eastAsiaTheme="minorEastAsia" w:cstheme="minorEastAsia"/>
          <w:color w:val="auto"/>
          <w:sz w:val="28"/>
          <w:szCs w:val="28"/>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eastAsia="zh-CN"/>
        </w:rPr>
      </w:pPr>
      <w:r>
        <w:rPr>
          <w:rFonts w:hint="eastAsia" w:asciiTheme="minorEastAsia" w:hAnsiTheme="minorEastAsia" w:eastAsiaTheme="minorEastAsia" w:cstheme="minorEastAsia"/>
          <w:color w:val="auto"/>
          <w:sz w:val="28"/>
          <w:szCs w:val="28"/>
          <w:highlight w:val="none"/>
          <w:shd w:val="clear" w:color="auto" w:fill="auto"/>
        </w:rPr>
        <w:t>（</w:t>
      </w:r>
      <w:r>
        <w:rPr>
          <w:rFonts w:hint="eastAsia" w:asciiTheme="minorEastAsia" w:hAnsiTheme="minorEastAsia" w:eastAsiaTheme="minorEastAsia" w:cstheme="minorEastAsia"/>
          <w:color w:val="auto"/>
          <w:sz w:val="28"/>
          <w:szCs w:val="28"/>
          <w:highlight w:val="none"/>
          <w:shd w:val="clear" w:color="auto" w:fill="auto"/>
          <w:lang w:val="en-US" w:eastAsia="zh-CN"/>
        </w:rPr>
        <w:t>2</w:t>
      </w:r>
      <w:r>
        <w:rPr>
          <w:rFonts w:hint="eastAsia" w:asciiTheme="minorEastAsia" w:hAnsiTheme="minorEastAsia" w:eastAsiaTheme="minorEastAsia" w:cstheme="minorEastAsia"/>
          <w:color w:val="auto"/>
          <w:sz w:val="28"/>
          <w:szCs w:val="28"/>
          <w:highlight w:val="none"/>
          <w:shd w:val="clear" w:color="auto" w:fill="auto"/>
        </w:rPr>
        <w:t>）项目效益</w:t>
      </w:r>
      <w:r>
        <w:rPr>
          <w:rFonts w:hint="eastAsia" w:asciiTheme="minorEastAsia" w:hAnsiTheme="minorEastAsia" w:eastAsiaTheme="minorEastAsia" w:cstheme="minorEastAsia"/>
          <w:color w:val="auto"/>
          <w:sz w:val="28"/>
          <w:szCs w:val="28"/>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保障补偿企业合法经济利益</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指标，预期指标值为100%；</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8"/>
          <w:szCs w:val="28"/>
          <w:highlight w:val="none"/>
          <w:shd w:val="clear" w:color="auto" w:fill="auto"/>
          <w:lang w:val="en-US" w:eastAsia="zh-CN" w:bidi="ar-SA"/>
        </w:rPr>
        <w:t xml:space="preserve"> 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③生态效益指标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进一步提高的土地节约集约利用效率</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指标，预期指标值为提高；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 xml:space="preserve"> 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⑤满意度指标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受益群众满意度</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指标，预期指标值为≥90%。</w:t>
      </w:r>
    </w:p>
    <w:p>
      <w:pPr>
        <w:pStyle w:val="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二、绩效评价工作开展情况</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0" w:name="_Toc5462343"/>
      <w:bookmarkStart w:id="1" w:name="_Toc22169_WPSOffice_Level2"/>
      <w:bookmarkStart w:id="2" w:name="_Toc21664"/>
      <w:bookmarkStart w:id="3" w:name="_Toc26632"/>
      <w:bookmarkStart w:id="4" w:name="_Toc22922"/>
      <w:bookmarkStart w:id="5" w:name="_Toc5258"/>
      <w:bookmarkStart w:id="6" w:name="_Toc480473081"/>
      <w:bookmarkStart w:id="7" w:name="_Toc12868"/>
      <w:r>
        <w:rPr>
          <w:rFonts w:hint="eastAsia" w:ascii="宋体" w:hAnsi="宋体" w:eastAsia="宋体" w:cs="宋体"/>
          <w:color w:val="auto"/>
          <w:sz w:val="32"/>
          <w:szCs w:val="32"/>
          <w:highlight w:val="none"/>
          <w:shd w:val="clear" w:color="auto" w:fill="auto"/>
          <w:lang w:eastAsia="zh-CN"/>
        </w:rPr>
        <w:t>绩效评价的目的</w:t>
      </w:r>
      <w:bookmarkEnd w:id="0"/>
      <w:bookmarkEnd w:id="1"/>
      <w:bookmarkEnd w:id="2"/>
      <w:bookmarkEnd w:id="3"/>
      <w:bookmarkEnd w:id="4"/>
      <w:bookmarkEnd w:id="5"/>
      <w:bookmarkEnd w:id="6"/>
      <w:bookmarkEnd w:id="7"/>
      <w:r>
        <w:rPr>
          <w:rFonts w:hint="eastAsia" w:ascii="宋体" w:hAnsi="宋体" w:eastAsia="宋体" w:cs="宋体"/>
          <w:color w:val="auto"/>
          <w:sz w:val="32"/>
          <w:szCs w:val="32"/>
          <w:highlight w:val="none"/>
          <w:shd w:val="clear" w:color="auto" w:fill="auto"/>
          <w:lang w:eastAsia="zh-CN"/>
        </w:rPr>
        <w:t>、对象和范围</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1.</w:t>
      </w:r>
      <w:r>
        <w:rPr>
          <w:rFonts w:hint="eastAsia" w:ascii="宋体" w:hAnsi="宋体" w:eastAsia="宋体" w:cs="宋体"/>
          <w:color w:val="auto"/>
          <w:sz w:val="28"/>
          <w:szCs w:val="28"/>
          <w:highlight w:val="none"/>
          <w:shd w:val="clear" w:color="auto" w:fill="auto"/>
          <w:lang w:eastAsia="zh-CN"/>
        </w:rPr>
        <w:t>绩效评价的目的</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京新高速改扩建项目林木补偿</w:t>
      </w:r>
      <w:r>
        <w:rPr>
          <w:rFonts w:hint="eastAsia" w:ascii="宋体" w:hAnsi="宋体" w:eastAsia="宋体" w:cs="宋体"/>
          <w:color w:val="auto"/>
          <w:sz w:val="28"/>
          <w:szCs w:val="28"/>
        </w:rPr>
        <w:t>资金的使用情况以及取得的综合绩效，以便总结</w:t>
      </w:r>
      <w:r>
        <w:rPr>
          <w:rFonts w:hint="eastAsia" w:ascii="宋体" w:hAnsi="宋体" w:eastAsia="宋体" w:cs="宋体"/>
          <w:color w:val="auto"/>
          <w:sz w:val="28"/>
          <w:szCs w:val="28"/>
          <w:lang w:val="en-US" w:eastAsia="zh-CN"/>
        </w:rPr>
        <w:t>征地工作</w:t>
      </w:r>
      <w:r>
        <w:rPr>
          <w:rFonts w:hint="eastAsia" w:ascii="宋体" w:hAnsi="宋体" w:eastAsia="宋体" w:cs="宋体"/>
          <w:color w:val="auto"/>
          <w:sz w:val="28"/>
          <w:szCs w:val="28"/>
        </w:rPr>
        <w:t>实施经验，发现</w:t>
      </w:r>
      <w:r>
        <w:rPr>
          <w:rFonts w:hint="eastAsia" w:ascii="宋体" w:hAnsi="宋体" w:eastAsia="宋体" w:cs="宋体"/>
          <w:color w:val="auto"/>
          <w:sz w:val="28"/>
          <w:szCs w:val="28"/>
          <w:lang w:val="en-US" w:eastAsia="zh-CN"/>
        </w:rPr>
        <w:t>征地</w:t>
      </w:r>
      <w:r>
        <w:rPr>
          <w:rFonts w:hint="eastAsia" w:ascii="宋体" w:hAnsi="宋体" w:eastAsia="宋体" w:cs="宋体"/>
          <w:color w:val="auto"/>
          <w:sz w:val="28"/>
          <w:szCs w:val="28"/>
        </w:rPr>
        <w:t>过程中存在的问题，进一步加强和规范</w:t>
      </w:r>
      <w:r>
        <w:rPr>
          <w:rFonts w:hint="eastAsia" w:ascii="宋体" w:hAnsi="宋体" w:eastAsia="宋体" w:cs="宋体"/>
          <w:color w:val="auto"/>
          <w:sz w:val="28"/>
          <w:szCs w:val="28"/>
          <w:lang w:val="en-US" w:eastAsia="zh-CN"/>
        </w:rPr>
        <w:t>征地补偿</w:t>
      </w:r>
      <w:r>
        <w:rPr>
          <w:rFonts w:hint="eastAsia" w:ascii="宋体" w:hAnsi="宋体" w:eastAsia="宋体" w:cs="宋体"/>
          <w:color w:val="auto"/>
          <w:sz w:val="28"/>
          <w:szCs w:val="28"/>
        </w:rPr>
        <w:t>资金管理，完善</w:t>
      </w:r>
      <w:r>
        <w:rPr>
          <w:rFonts w:hint="eastAsia" w:ascii="宋体" w:hAnsi="宋体" w:eastAsia="宋体" w:cs="宋体"/>
          <w:color w:val="auto"/>
          <w:sz w:val="28"/>
          <w:szCs w:val="28"/>
          <w:lang w:val="en-US" w:eastAsia="zh-CN"/>
        </w:rPr>
        <w:t>征地</w:t>
      </w:r>
      <w:r>
        <w:rPr>
          <w:rFonts w:hint="eastAsia" w:ascii="宋体" w:hAnsi="宋体" w:eastAsia="宋体" w:cs="宋体"/>
          <w:color w:val="auto"/>
          <w:sz w:val="28"/>
          <w:szCs w:val="28"/>
        </w:rPr>
        <w:t>资金管理办法，指导预算编制和申报绩效目标、优化财政支出结构提供决策参考和依据，以保证项目资金使用管理的规范性、安全性和有效性，决定对</w:t>
      </w:r>
      <w:r>
        <w:rPr>
          <w:rFonts w:hint="eastAsia" w:ascii="宋体" w:hAnsi="宋体" w:eastAsia="宋体" w:cs="宋体"/>
          <w:color w:val="auto"/>
          <w:sz w:val="28"/>
          <w:szCs w:val="28"/>
          <w:lang w:val="en-US" w:eastAsia="zh-CN"/>
        </w:rPr>
        <w:t>京新高速改扩建项目林木补偿费</w:t>
      </w:r>
      <w:r>
        <w:rPr>
          <w:rFonts w:hint="eastAsia" w:ascii="宋体" w:hAnsi="宋体" w:eastAsia="宋体" w:cs="宋体"/>
          <w:color w:val="auto"/>
          <w:sz w:val="28"/>
          <w:szCs w:val="28"/>
        </w:rPr>
        <w:t>进行绩效评价。</w:t>
      </w:r>
    </w:p>
    <w:p>
      <w:pPr>
        <w:pStyle w:val="14"/>
        <w:pageBreakBefore w:val="0"/>
        <w:kinsoku/>
        <w:wordWrap/>
        <w:overflowPunct/>
        <w:topLinePunct w:val="0"/>
        <w:autoSpaceDE/>
        <w:autoSpaceDN/>
        <w:bidi w:val="0"/>
        <w:spacing w:line="560" w:lineRule="exact"/>
        <w:ind w:firstLine="6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通过资料收集、访谈、数据统计分析等形式，总结本项目的经验，发现资金管理和征地过程中存在的问题并分析产生原因，提出有针对性的合理化建议。以提高今后其他项目或者类似项目的经费的使用效率及效益。</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2021</w:t>
      </w:r>
      <w:r>
        <w:rPr>
          <w:rFonts w:hint="eastAsia" w:ascii="宋体" w:hAnsi="宋体" w:eastAsia="宋体" w:cs="宋体"/>
          <w:color w:val="auto"/>
          <w:highlight w:val="none"/>
          <w:shd w:val="clear" w:color="auto" w:fill="auto"/>
          <w:lang w:val="en-US" w:eastAsia="zh-CN"/>
        </w:rPr>
        <w:t>年度我单位实施的</w:t>
      </w:r>
      <w:r>
        <w:rPr>
          <w:rFonts w:hint="eastAsia" w:ascii="宋体" w:hAnsi="宋体" w:eastAsia="宋体" w:cs="宋体"/>
          <w:color w:val="auto"/>
          <w:sz w:val="28"/>
          <w:szCs w:val="28"/>
          <w:lang w:val="en-US" w:eastAsia="zh-CN"/>
        </w:rPr>
        <w:t>新高速改扩建项目林木补偿、征地补偿</w:t>
      </w:r>
      <w:r>
        <w:rPr>
          <w:rFonts w:hint="eastAsia" w:ascii="宋体" w:hAnsi="宋体" w:eastAsia="宋体" w:cs="宋体"/>
          <w:color w:val="auto"/>
          <w:sz w:val="28"/>
          <w:szCs w:val="28"/>
        </w:rPr>
        <w:t>资金</w:t>
      </w:r>
      <w:r>
        <w:rPr>
          <w:rFonts w:hint="eastAsia" w:ascii="宋体" w:hAnsi="宋体" w:eastAsia="宋体" w:cs="宋体"/>
          <w:color w:val="auto"/>
          <w:highlight w:val="none"/>
          <w:shd w:val="clear" w:color="auto" w:fill="auto"/>
          <w:lang w:val="en-US" w:eastAsia="zh-CN"/>
        </w:rPr>
        <w:t>项目开展部门绩效评价。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numPr>
          <w:ilvl w:val="0"/>
          <w:numId w:val="2"/>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绩效评价原则、评分指标体系（附表说明）、评价方法、评价标准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依据《预算法》、</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、《自治区党委自治区人民政府关于全面实施预算绩效管理的实施意见》（新党发〔2018〕30号）、《自治区财政支出绩效评价管理暂行办法》（新财预〔2018〕189号）</w:t>
      </w:r>
      <w:r>
        <w:rPr>
          <w:rFonts w:hint="eastAsia" w:ascii="宋体" w:hAnsi="宋体" w:eastAsia="宋体" w:cs="宋体"/>
          <w:color w:val="auto"/>
          <w:highlight w:val="none"/>
          <w:shd w:val="clear" w:color="auto" w:fill="auto"/>
          <w:lang w:val="en-US" w:eastAsia="zh-CN"/>
        </w:rPr>
        <w:t>等</w:t>
      </w:r>
      <w:r>
        <w:rPr>
          <w:rFonts w:hint="eastAsia" w:ascii="宋体" w:hAnsi="宋体" w:eastAsia="宋体" w:cs="宋体"/>
          <w:color w:val="auto"/>
          <w:highlight w:val="none"/>
          <w:shd w:val="clear" w:color="auto" w:fill="auto"/>
          <w:lang w:eastAsia="zh-CN"/>
        </w:rPr>
        <w:t>要求，本次绩效评价秉承科学规范、公正公开、分级分类、绩效相关等原则，按照从投入、过程到产出效果和影响的绩效逻辑路径，结合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购买服务（商贸城保安工资）</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（一）科学公正。绩效评价应当运用科学合理的方法，按照规范的程序，对项目绩效进行客观、公正的反映。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（二）统筹兼顾。单位自评、部门评价和财政评价应职责明确，各有侧重，相互衔接。单位自评应由项目单位自主实施，即“谁支出、谁自评”。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（三）激励约束。绩效评价结果应与预算安排、政策调整、改进管理实质性挂钩，体现奖优罚劣和激励相容导向，有效要安排、低效要压减、无效要问责。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（四）公开透明。绩效评价结果应依法依规公开，并自觉接受社会监督。</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8" w:name="_Toc419984722"/>
      <w:bookmarkStart w:id="9" w:name="_Toc1913"/>
      <w:bookmarkStart w:id="10" w:name="_Toc26131"/>
      <w:bookmarkStart w:id="11" w:name="_Toc428278230"/>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8"/>
      <w:bookmarkEnd w:id="9"/>
      <w:bookmarkEnd w:id="10"/>
      <w:bookmarkEnd w:id="11"/>
      <w:r>
        <w:rPr>
          <w:rFonts w:hint="eastAsia" w:ascii="宋体" w:hAnsi="宋体" w:eastAsia="宋体" w:cs="宋体"/>
          <w:color w:val="auto"/>
          <w:highlight w:val="none"/>
          <w:shd w:val="clear" w:color="auto" w:fill="auto"/>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资料研读及前期调研，结合项目的实际开展情况，将项目的指标体系进行了调整和完善</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p>
    <w:tbl>
      <w:tblPr>
        <w:tblStyle w:val="10"/>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对项目绩效目标预期指标值与实施情况进行比较，以及采取公众问卷及抽样调查等方式进行评判的方法对京新高速改扩建项目林木补偿资金项目进行评价。</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购买服务（商贸城保安工资）项目实施内容、目标信息、预算信息以及其他的一些项目基本信息，有了初步了解，为制定绩效评价工作方案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绩效评价项目小组根据有关规定和评价对象的特点以及前期调研收集的一些信息，拟定详细的绩效评价工作方案，报经批准后实施。工作方案的主要内容包括：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①评价工作的计划安排。包括评价工作的总体起始时间，每个实施阶段的具体工作任务及具体实施时间等。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②拟采用的评价方法。详细说明拟采用的评价方法，并对评价方法的运用作出明细规定。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③评价依据。绩效</w:t>
      </w:r>
      <w:r>
        <w:rPr>
          <w:rFonts w:hint="eastAsia" w:ascii="宋体" w:hAnsi="宋体" w:cs="宋体"/>
          <w:b w:val="0"/>
          <w:bCs w:val="0"/>
          <w:color w:val="auto"/>
          <w:kern w:val="2"/>
          <w:sz w:val="28"/>
          <w:szCs w:val="24"/>
          <w:highlight w:val="none"/>
          <w:shd w:val="clear" w:color="auto" w:fill="auto"/>
          <w:lang w:val="en-US" w:eastAsia="zh-CN" w:bidi="ar-SA"/>
        </w:rPr>
        <w:t>自评</w:t>
      </w:r>
      <w:r>
        <w:rPr>
          <w:rFonts w:hint="eastAsia" w:ascii="宋体" w:hAnsi="宋体" w:eastAsia="宋体" w:cs="宋体"/>
          <w:b w:val="0"/>
          <w:bCs w:val="0"/>
          <w:color w:val="auto"/>
          <w:kern w:val="2"/>
          <w:sz w:val="28"/>
          <w:szCs w:val="24"/>
          <w:highlight w:val="none"/>
          <w:shd w:val="clear" w:color="auto" w:fill="auto"/>
          <w:lang w:val="en-US" w:eastAsia="zh-CN" w:bidi="ar-SA"/>
        </w:rPr>
        <w:t>工作开展所依据的主要内容。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2.具体实施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⑥审计报告；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⑦其他必要的相关资料等。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p>
    <w:p>
      <w:pPr>
        <w:pStyle w:val="3"/>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购买服务（商贸城保安工资）</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97.18</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分值如下表所示：</w:t>
      </w:r>
    </w:p>
    <w:tbl>
      <w:tblPr>
        <w:tblStyle w:val="10"/>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ascii="宋体" w:hAnsi="宋体" w:eastAsia="宋体" w:cs="宋体"/>
                <w:color w:val="auto"/>
                <w:highlight w:val="none"/>
                <w:shd w:val="clear" w:color="auto" w:fill="auto"/>
                <w:lang w:val="en-US" w:eastAsia="zh-CN"/>
              </w:rPr>
              <w:t>京新高速改扩建项目林木补偿</w:t>
            </w:r>
            <w:r>
              <w:rPr>
                <w:rFonts w:hint="eastAsia" w:ascii="宋体" w:hAnsi="宋体" w:eastAsia="宋体" w:cs="宋体"/>
                <w:b/>
                <w:bCs/>
                <w:color w:val="auto"/>
                <w:kern w:val="0"/>
                <w:sz w:val="28"/>
                <w:szCs w:val="28"/>
                <w:highlight w:val="none"/>
                <w:shd w:val="clear" w:color="auto" w:fill="auto"/>
                <w:lang w:val="en-US" w:eastAsia="zh-CN"/>
              </w:rPr>
              <w:t>项目得分表</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四、绩效评价指标分析</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0"/>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1.立项依据充分性</w:t>
      </w:r>
    </w:p>
    <w:p>
      <w:pPr>
        <w:bidi w:val="0"/>
        <w:rPr>
          <w:rFonts w:hint="default"/>
          <w:color w:val="auto"/>
          <w:highlight w:val="none"/>
          <w:lang w:val="en-US" w:eastAsia="zh-CN"/>
        </w:rPr>
      </w:pPr>
      <w:r>
        <w:rPr>
          <w:rFonts w:hint="eastAsia"/>
          <w:color w:val="auto"/>
          <w:highlight w:val="none"/>
          <w:lang w:eastAsia="zh-CN"/>
        </w:rPr>
        <w:t>①</w:t>
      </w:r>
      <w:r>
        <w:rPr>
          <w:rFonts w:hint="eastAsia"/>
          <w:color w:val="auto"/>
          <w:lang w:eastAsia="zh-CN"/>
        </w:rPr>
        <w:t>项目立</w:t>
      </w:r>
      <w:r>
        <w:rPr>
          <w:rFonts w:hint="eastAsia"/>
          <w:color w:val="auto"/>
          <w:lang w:val="en-US" w:eastAsia="zh-CN"/>
        </w:rPr>
        <w:t>项根据新发改交通【2016】1474号文件，</w:t>
      </w:r>
      <w:r>
        <w:rPr>
          <w:rFonts w:hint="eastAsia"/>
          <w:color w:val="auto"/>
          <w:highlight w:val="none"/>
          <w:lang w:eastAsia="zh-CN"/>
        </w:rPr>
        <w:t>符合国家法律法规、国民经济发展规划和相关</w:t>
      </w:r>
    </w:p>
    <w:p>
      <w:pPr>
        <w:bidi w:val="0"/>
        <w:rPr>
          <w:rFonts w:hint="eastAsia"/>
          <w:color w:val="auto"/>
          <w:highlight w:val="none"/>
          <w:lang w:eastAsia="zh-CN"/>
        </w:rPr>
      </w:pPr>
      <w:r>
        <w:rPr>
          <w:rFonts w:hint="eastAsia"/>
          <w:color w:val="auto"/>
          <w:highlight w:val="none"/>
          <w:lang w:eastAsia="zh-CN"/>
        </w:rPr>
        <w:t>③预算额度测算依据是否充分，是否按照标准编制；</w:t>
      </w:r>
    </w:p>
    <w:p>
      <w:pPr>
        <w:bidi w:val="0"/>
        <w:rPr>
          <w:rFonts w:hint="eastAsia"/>
          <w:color w:val="auto"/>
          <w:highlight w:val="none"/>
          <w:lang w:eastAsia="zh-CN"/>
        </w:rPr>
      </w:pPr>
      <w:r>
        <w:rPr>
          <w:rFonts w:hint="eastAsia"/>
          <w:color w:val="auto"/>
          <w:highlight w:val="none"/>
          <w:lang w:eastAsia="zh-CN"/>
        </w:rPr>
        <w:t>④预算确定的项目投资额或资金量是否与工作任务相匹配。</w:t>
      </w:r>
    </w:p>
    <w:p>
      <w:pPr>
        <w:bidi w:val="0"/>
        <w:rPr>
          <w:rFonts w:hint="eastAsia"/>
          <w:b/>
          <w:bCs/>
          <w:color w:val="auto"/>
          <w:highlight w:val="none"/>
          <w:lang w:val="en-US" w:eastAsia="zh-CN"/>
        </w:rPr>
      </w:pPr>
      <w:r>
        <w:rPr>
          <w:rFonts w:hint="eastAsia"/>
          <w:b/>
          <w:bCs/>
          <w:color w:val="auto"/>
          <w:highlight w:val="none"/>
          <w:lang w:val="en-US" w:eastAsia="zh-CN"/>
        </w:rPr>
        <w:t>综上，该项指标满分2分，扣分0分，得分2分。</w:t>
      </w:r>
    </w:p>
    <w:p>
      <w:pPr>
        <w:bidi w:val="0"/>
        <w:rPr>
          <w:rFonts w:hint="default"/>
          <w:b/>
          <w:bCs/>
          <w:color w:val="auto"/>
          <w:lang w:val="en-US" w:eastAsia="zh-CN"/>
        </w:rPr>
      </w:pPr>
      <w:r>
        <w:rPr>
          <w:rFonts w:hint="eastAsia"/>
          <w:b/>
          <w:bCs/>
          <w:color w:val="auto"/>
          <w:lang w:val="en-US" w:eastAsia="zh-CN"/>
        </w:rPr>
        <w:t>2.立项程序规范性</w:t>
      </w:r>
    </w:p>
    <w:p>
      <w:pPr>
        <w:bidi w:val="0"/>
        <w:rPr>
          <w:rFonts w:hint="eastAsia"/>
          <w:color w:val="auto"/>
          <w:lang w:eastAsia="zh-CN"/>
        </w:rPr>
      </w:pPr>
      <w:r>
        <w:rPr>
          <w:rFonts w:hint="eastAsia"/>
          <w:color w:val="auto"/>
          <w:lang w:eastAsia="zh-CN"/>
        </w:rPr>
        <w:t>①项目根据发改委立项文件并按规定的程序申请设立；</w:t>
      </w:r>
    </w:p>
    <w:p>
      <w:pPr>
        <w:bidi w:val="0"/>
        <w:rPr>
          <w:rFonts w:hint="eastAsia"/>
          <w:color w:val="auto"/>
          <w:lang w:eastAsia="zh-CN"/>
        </w:rPr>
      </w:pPr>
      <w:r>
        <w:rPr>
          <w:rFonts w:hint="eastAsia"/>
          <w:color w:val="auto"/>
          <w:lang w:eastAsia="zh-CN"/>
        </w:rPr>
        <w:t>②审批文件、材料符合相关要求；</w:t>
      </w:r>
    </w:p>
    <w:p>
      <w:pPr>
        <w:bidi w:val="0"/>
        <w:rPr>
          <w:rFonts w:hint="eastAsia"/>
          <w:color w:val="auto"/>
          <w:lang w:eastAsia="zh-CN"/>
        </w:rPr>
      </w:pPr>
      <w:r>
        <w:rPr>
          <w:rFonts w:hint="eastAsia"/>
          <w:color w:val="auto"/>
          <w:lang w:eastAsia="zh-CN"/>
        </w:rPr>
        <w:t>③事前已经过必要的可行性研究、专家论证、风险评估、绩效评估、集体决策。</w:t>
      </w:r>
    </w:p>
    <w:p>
      <w:pPr>
        <w:bidi w:val="0"/>
        <w:rPr>
          <w:rFonts w:hint="eastAsia"/>
          <w:color w:val="auto"/>
          <w:lang w:eastAsia="zh-CN"/>
        </w:rPr>
      </w:pPr>
      <w:r>
        <w:rPr>
          <w:rFonts w:hint="eastAsia"/>
          <w:b/>
          <w:bCs/>
          <w:color w:val="auto"/>
          <w:lang w:val="en-US" w:eastAsia="zh-CN"/>
        </w:rPr>
        <w:t>综上，该项指标满分3分，得分3分。</w:t>
      </w:r>
    </w:p>
    <w:p>
      <w:pPr>
        <w:bidi w:val="0"/>
        <w:rPr>
          <w:rFonts w:hint="default"/>
          <w:b/>
          <w:bCs/>
          <w:color w:val="auto"/>
          <w:lang w:val="en-US" w:eastAsia="zh-CN"/>
        </w:rPr>
      </w:pPr>
      <w:r>
        <w:rPr>
          <w:rFonts w:hint="eastAsia"/>
          <w:b/>
          <w:bCs/>
          <w:color w:val="auto"/>
          <w:lang w:val="en-US" w:eastAsia="zh-CN"/>
        </w:rPr>
        <w:t>3.绩效目标合理性</w:t>
      </w:r>
    </w:p>
    <w:p>
      <w:pPr>
        <w:bidi w:val="0"/>
        <w:rPr>
          <w:rFonts w:hint="eastAsia"/>
          <w:color w:val="auto"/>
          <w:lang w:eastAsia="zh-CN"/>
        </w:rPr>
      </w:pPr>
      <w:r>
        <w:rPr>
          <w:rFonts w:hint="eastAsia"/>
          <w:color w:val="auto"/>
          <w:lang w:eastAsia="zh-CN"/>
        </w:rPr>
        <w:t>①项目有绩效目标；</w:t>
      </w:r>
    </w:p>
    <w:p>
      <w:pPr>
        <w:bidi w:val="0"/>
        <w:rPr>
          <w:rFonts w:hint="eastAsia"/>
          <w:color w:val="auto"/>
          <w:lang w:eastAsia="zh-CN"/>
        </w:rPr>
      </w:pPr>
      <w:r>
        <w:rPr>
          <w:rFonts w:hint="eastAsia"/>
          <w:color w:val="auto"/>
          <w:lang w:eastAsia="zh-CN"/>
        </w:rPr>
        <w:t>②项目绩效目标与实际工作内容具有相关性；</w:t>
      </w:r>
    </w:p>
    <w:p>
      <w:pPr>
        <w:bidi w:val="0"/>
        <w:rPr>
          <w:rFonts w:hint="eastAsia"/>
          <w:color w:val="auto"/>
          <w:lang w:eastAsia="zh-CN"/>
        </w:rPr>
      </w:pPr>
      <w:r>
        <w:rPr>
          <w:rFonts w:hint="eastAsia"/>
          <w:color w:val="auto"/>
          <w:lang w:eastAsia="zh-CN"/>
        </w:rPr>
        <w:t>③项目预期产出效益和效果符合正常的业绩水平；</w:t>
      </w:r>
    </w:p>
    <w:p>
      <w:pPr>
        <w:bidi w:val="0"/>
        <w:rPr>
          <w:rFonts w:hint="eastAsia"/>
          <w:color w:val="auto"/>
          <w:lang w:eastAsia="zh-CN"/>
        </w:rPr>
      </w:pPr>
      <w:r>
        <w:rPr>
          <w:rFonts w:hint="eastAsia"/>
          <w:color w:val="auto"/>
          <w:lang w:eastAsia="zh-CN"/>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4.绩效指标明确性</w:t>
      </w:r>
    </w:p>
    <w:p>
      <w:pPr>
        <w:bidi w:val="0"/>
        <w:rPr>
          <w:rFonts w:hint="eastAsia"/>
          <w:color w:val="auto"/>
          <w:lang w:eastAsia="zh-CN"/>
        </w:rPr>
      </w:pPr>
      <w:r>
        <w:rPr>
          <w:rFonts w:hint="eastAsia"/>
          <w:color w:val="auto"/>
          <w:lang w:eastAsia="zh-CN"/>
        </w:rPr>
        <w:t>①将项目绩效目标细化分解为具体的绩效指标；</w:t>
      </w:r>
    </w:p>
    <w:p>
      <w:pPr>
        <w:bidi w:val="0"/>
        <w:rPr>
          <w:rFonts w:hint="eastAsia"/>
          <w:color w:val="auto"/>
          <w:lang w:eastAsia="zh-CN"/>
        </w:rPr>
      </w:pPr>
      <w:r>
        <w:rPr>
          <w:rFonts w:hint="eastAsia"/>
          <w:color w:val="auto"/>
          <w:lang w:eastAsia="zh-CN"/>
        </w:rPr>
        <w:t>②通过清晰、可衡量的指标值予以体现；</w:t>
      </w:r>
    </w:p>
    <w:p>
      <w:pPr>
        <w:bidi w:val="0"/>
        <w:rPr>
          <w:rFonts w:hint="eastAsia"/>
          <w:color w:val="auto"/>
          <w:lang w:eastAsia="zh-CN"/>
        </w:rPr>
      </w:pPr>
      <w:r>
        <w:rPr>
          <w:rFonts w:hint="eastAsia"/>
          <w:color w:val="auto"/>
          <w:lang w:eastAsia="zh-CN"/>
        </w:rPr>
        <w:t>③与项目目标任务数或计划数相对应。</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5.预算编制科学性</w:t>
      </w:r>
    </w:p>
    <w:p>
      <w:pPr>
        <w:bidi w:val="0"/>
        <w:rPr>
          <w:rFonts w:hint="eastAsia"/>
          <w:color w:val="auto"/>
          <w:lang w:eastAsia="zh-CN"/>
        </w:rPr>
      </w:pPr>
      <w:r>
        <w:rPr>
          <w:rFonts w:hint="eastAsia"/>
          <w:color w:val="auto"/>
          <w:lang w:eastAsia="zh-CN"/>
        </w:rPr>
        <w:t>①预算编制经过科学论证；</w:t>
      </w:r>
    </w:p>
    <w:p>
      <w:pPr>
        <w:bidi w:val="0"/>
        <w:rPr>
          <w:rFonts w:hint="eastAsia"/>
          <w:color w:val="auto"/>
          <w:lang w:eastAsia="zh-CN"/>
        </w:rPr>
      </w:pPr>
      <w:r>
        <w:rPr>
          <w:rFonts w:hint="eastAsia"/>
          <w:color w:val="auto"/>
          <w:lang w:eastAsia="zh-CN"/>
        </w:rPr>
        <w:t>②预算内容与项目内容匹配；</w:t>
      </w:r>
    </w:p>
    <w:p>
      <w:pPr>
        <w:bidi w:val="0"/>
        <w:rPr>
          <w:rFonts w:hint="eastAsia"/>
          <w:color w:val="auto"/>
          <w:lang w:eastAsia="zh-CN"/>
        </w:rPr>
      </w:pPr>
      <w:r>
        <w:rPr>
          <w:rFonts w:hint="eastAsia"/>
          <w:color w:val="auto"/>
          <w:lang w:eastAsia="zh-CN"/>
        </w:rPr>
        <w:t>③预算额度测算依据充分，按照标准编制；</w:t>
      </w:r>
    </w:p>
    <w:p>
      <w:pPr>
        <w:bidi w:val="0"/>
        <w:rPr>
          <w:rFonts w:hint="eastAsia"/>
          <w:color w:val="auto"/>
          <w:lang w:eastAsia="zh-CN"/>
        </w:rPr>
      </w:pPr>
      <w:r>
        <w:rPr>
          <w:rFonts w:hint="eastAsia"/>
          <w:color w:val="auto"/>
          <w:lang w:eastAsia="zh-CN"/>
        </w:rPr>
        <w:t>④预算确定的项目投资额或资金量与工作任务相匹配。</w:t>
      </w:r>
    </w:p>
    <w:p>
      <w:pPr>
        <w:bidi w:val="0"/>
        <w:rPr>
          <w:rFonts w:hint="eastAsia"/>
          <w:color w:val="auto"/>
          <w:lang w:eastAsia="zh-CN"/>
        </w:rPr>
      </w:pPr>
      <w:r>
        <w:rPr>
          <w:rFonts w:hint="eastAsia"/>
          <w:b/>
          <w:bCs/>
          <w:color w:val="auto"/>
          <w:lang w:val="en-US" w:eastAsia="zh-CN"/>
        </w:rPr>
        <w:t>综上，该项指标满分2分，得分2分。</w:t>
      </w:r>
    </w:p>
    <w:p>
      <w:pPr>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 xml:space="preserve">    6.资金分配合理性</w:t>
      </w:r>
    </w:p>
    <w:p>
      <w:pPr>
        <w:bidi w:val="0"/>
        <w:rPr>
          <w:rFonts w:hint="eastAsia"/>
          <w:color w:val="auto"/>
          <w:highlight w:val="none"/>
          <w:lang w:eastAsia="zh-CN"/>
        </w:rPr>
      </w:pPr>
      <w:r>
        <w:rPr>
          <w:rFonts w:hint="eastAsia"/>
          <w:color w:val="auto"/>
          <w:highlight w:val="none"/>
          <w:lang w:eastAsia="zh-CN"/>
        </w:rPr>
        <w:t>①预算资金分配依据是否充分；</w:t>
      </w:r>
    </w:p>
    <w:p>
      <w:pPr>
        <w:bidi w:val="0"/>
        <w:rPr>
          <w:rFonts w:hint="eastAsia"/>
          <w:color w:val="auto"/>
          <w:highlight w:val="none"/>
          <w:lang w:eastAsia="zh-CN"/>
        </w:rPr>
      </w:pPr>
      <w:r>
        <w:rPr>
          <w:rFonts w:hint="eastAsia"/>
          <w:color w:val="auto"/>
          <w:highlight w:val="none"/>
          <w:lang w:eastAsia="zh-CN"/>
        </w:rPr>
        <w:t>②资金分配额度是否合理，与项目单位或地方实际是否相适应。</w:t>
      </w:r>
    </w:p>
    <w:p>
      <w:pPr>
        <w:bidi w:val="0"/>
        <w:rPr>
          <w:rFonts w:hint="eastAsia"/>
          <w:color w:val="auto"/>
          <w:highlight w:val="none"/>
          <w:lang w:eastAsia="zh-CN"/>
        </w:rPr>
      </w:pPr>
      <w:r>
        <w:rPr>
          <w:rFonts w:hint="eastAsia"/>
          <w:b/>
          <w:bCs/>
          <w:color w:val="auto"/>
          <w:highlight w:val="none"/>
          <w:lang w:val="en-US" w:eastAsia="zh-CN"/>
        </w:rPr>
        <w:t>综上，该项指标满分3分，扣分0分，得分3分。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3"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90"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1.资金到位率</w:t>
      </w:r>
    </w:p>
    <w:p>
      <w:pPr>
        <w:bidi w:val="0"/>
        <w:rPr>
          <w:rFonts w:hint="eastAsia"/>
          <w:color w:val="auto"/>
          <w:highlight w:val="none"/>
          <w:lang w:eastAsia="zh-CN"/>
        </w:rPr>
      </w:pPr>
      <w:r>
        <w:rPr>
          <w:rFonts w:hint="eastAsia"/>
          <w:color w:val="auto"/>
          <w:highlight w:val="none"/>
          <w:lang w:eastAsia="zh-CN"/>
        </w:rPr>
        <w:t>资金到位率=（</w:t>
      </w:r>
      <w:r>
        <w:rPr>
          <w:rFonts w:hint="eastAsia"/>
          <w:color w:val="auto"/>
          <w:lang w:val="en-US" w:eastAsia="zh-CN"/>
        </w:rPr>
        <w:t>200</w:t>
      </w:r>
      <w:r>
        <w:rPr>
          <w:rFonts w:hint="eastAsia"/>
          <w:color w:val="auto"/>
          <w:lang w:eastAsia="zh-CN"/>
        </w:rPr>
        <w:t>/</w:t>
      </w:r>
      <w:r>
        <w:rPr>
          <w:rFonts w:hint="eastAsia"/>
          <w:color w:val="auto"/>
          <w:lang w:val="en-US" w:eastAsia="zh-CN"/>
        </w:rPr>
        <w:t>200</w:t>
      </w:r>
      <w:r>
        <w:rPr>
          <w:rFonts w:hint="eastAsia"/>
          <w:color w:val="auto"/>
          <w:highlight w:val="none"/>
          <w:lang w:eastAsia="zh-CN"/>
        </w:rPr>
        <w:t>）×100%。</w:t>
      </w:r>
    </w:p>
    <w:p>
      <w:pPr>
        <w:bidi w:val="0"/>
        <w:rPr>
          <w:rFonts w:hint="eastAsia"/>
          <w:color w:val="auto"/>
          <w:highlight w:val="none"/>
          <w:lang w:eastAsia="zh-CN"/>
        </w:rPr>
      </w:pPr>
      <w:r>
        <w:rPr>
          <w:rFonts w:hint="eastAsia"/>
          <w:color w:val="auto"/>
          <w:highlight w:val="none"/>
          <w:lang w:eastAsia="zh-CN"/>
        </w:rPr>
        <w:t>实际到位资金：一定时期（本年度或项目期）内落实到具体项目的资金。</w:t>
      </w:r>
    </w:p>
    <w:p>
      <w:pPr>
        <w:bidi w:val="0"/>
        <w:rPr>
          <w:rFonts w:hint="eastAsia"/>
          <w:color w:val="auto"/>
          <w:highlight w:val="none"/>
          <w:lang w:eastAsia="zh-CN"/>
        </w:rPr>
      </w:pPr>
      <w:r>
        <w:rPr>
          <w:rFonts w:hint="eastAsia"/>
          <w:color w:val="auto"/>
          <w:highlight w:val="none"/>
          <w:lang w:eastAsia="zh-CN"/>
        </w:rPr>
        <w:t>预算资金：一定时期（本年度或项目期）内预算安排到具体项目的资金。</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2.预算执行率</w:t>
      </w:r>
    </w:p>
    <w:p>
      <w:pPr>
        <w:bidi w:val="0"/>
        <w:rPr>
          <w:rFonts w:hint="eastAsia"/>
          <w:color w:val="auto"/>
          <w:highlight w:val="none"/>
          <w:lang w:eastAsia="zh-CN"/>
        </w:rPr>
      </w:pPr>
      <w:r>
        <w:rPr>
          <w:rFonts w:hint="eastAsia"/>
          <w:color w:val="auto"/>
          <w:highlight w:val="none"/>
          <w:lang w:eastAsia="zh-CN"/>
        </w:rPr>
        <w:t>预算执行率=（</w:t>
      </w:r>
      <w:r>
        <w:rPr>
          <w:rFonts w:hint="eastAsia"/>
          <w:color w:val="auto"/>
          <w:lang w:val="en-US" w:eastAsia="zh-CN"/>
        </w:rPr>
        <w:t>200</w:t>
      </w:r>
      <w:r>
        <w:rPr>
          <w:rFonts w:hint="eastAsia"/>
          <w:color w:val="auto"/>
          <w:lang w:eastAsia="zh-CN"/>
        </w:rPr>
        <w:t>/</w:t>
      </w:r>
      <w:r>
        <w:rPr>
          <w:rFonts w:hint="eastAsia"/>
          <w:color w:val="auto"/>
          <w:lang w:val="en-US" w:eastAsia="zh-CN"/>
        </w:rPr>
        <w:t>200</w:t>
      </w:r>
      <w:r>
        <w:rPr>
          <w:rFonts w:hint="eastAsia"/>
          <w:color w:val="auto"/>
          <w:highlight w:val="none"/>
          <w:lang w:eastAsia="zh-CN"/>
        </w:rPr>
        <w:t>）×100%。</w:t>
      </w:r>
    </w:p>
    <w:p>
      <w:pPr>
        <w:bidi w:val="0"/>
        <w:rPr>
          <w:rFonts w:hint="eastAsia"/>
          <w:color w:val="auto"/>
          <w:highlight w:val="none"/>
          <w:lang w:eastAsia="zh-CN"/>
        </w:rPr>
      </w:pPr>
      <w:r>
        <w:rPr>
          <w:rFonts w:hint="eastAsia"/>
          <w:color w:val="auto"/>
          <w:highlight w:val="none"/>
          <w:lang w:eastAsia="zh-CN"/>
        </w:rPr>
        <w:t>实际支出资金：一定时期（本年度或项目期）内项目实际拨付的资金。</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3.资金使用合规率</w:t>
      </w:r>
    </w:p>
    <w:p>
      <w:pPr>
        <w:bidi w:val="0"/>
        <w:rPr>
          <w:rFonts w:hint="eastAsia"/>
          <w:color w:val="auto"/>
          <w:highlight w:val="none"/>
          <w:lang w:eastAsia="zh-CN"/>
        </w:rPr>
      </w:pPr>
      <w:r>
        <w:rPr>
          <w:rFonts w:hint="eastAsia"/>
          <w:color w:val="auto"/>
          <w:highlight w:val="none"/>
          <w:lang w:eastAsia="zh-CN"/>
        </w:rPr>
        <w:t>①是否符合国家财经法规和财务管理制度以及有关专项资金管理办法的规定；</w:t>
      </w:r>
    </w:p>
    <w:p>
      <w:pPr>
        <w:bidi w:val="0"/>
        <w:rPr>
          <w:rFonts w:hint="eastAsia"/>
          <w:color w:val="auto"/>
          <w:lang w:eastAsia="zh-CN"/>
        </w:rPr>
      </w:pPr>
      <w:r>
        <w:rPr>
          <w:rFonts w:hint="eastAsia"/>
          <w:color w:val="auto"/>
          <w:highlight w:val="none"/>
          <w:lang w:eastAsia="zh-CN"/>
        </w:rPr>
        <w:t>②</w:t>
      </w:r>
      <w:r>
        <w:rPr>
          <w:rFonts w:hint="eastAsia"/>
          <w:color w:val="auto"/>
          <w:lang w:eastAsia="zh-CN"/>
        </w:rPr>
        <w:t>资金的拨付根据阜康市阜财经办字【</w:t>
      </w:r>
      <w:r>
        <w:rPr>
          <w:rFonts w:hint="eastAsia"/>
          <w:color w:val="auto"/>
          <w:lang w:val="en-US" w:eastAsia="zh-CN"/>
        </w:rPr>
        <w:t>2020】8号文件，</w:t>
      </w:r>
      <w:r>
        <w:rPr>
          <w:rFonts w:hint="eastAsia"/>
          <w:color w:val="auto"/>
          <w:lang w:eastAsia="zh-CN"/>
        </w:rPr>
        <w:t>有完整的审批程序和手续；</w:t>
      </w:r>
    </w:p>
    <w:p>
      <w:pPr>
        <w:bidi w:val="0"/>
        <w:rPr>
          <w:rFonts w:hint="eastAsia"/>
          <w:color w:val="auto"/>
          <w:highlight w:val="none"/>
          <w:lang w:eastAsia="zh-CN"/>
        </w:rPr>
      </w:pPr>
      <w:r>
        <w:rPr>
          <w:rFonts w:hint="eastAsia"/>
          <w:color w:val="auto"/>
          <w:highlight w:val="none"/>
          <w:lang w:eastAsia="zh-CN"/>
        </w:rPr>
        <w:t>③是否符合项目预算批复或合同规定的用途；</w:t>
      </w:r>
    </w:p>
    <w:p>
      <w:pPr>
        <w:bidi w:val="0"/>
        <w:rPr>
          <w:rFonts w:hint="eastAsia"/>
          <w:color w:val="auto"/>
          <w:highlight w:val="none"/>
          <w:lang w:eastAsia="zh-CN"/>
        </w:rPr>
      </w:pPr>
      <w:r>
        <w:rPr>
          <w:rFonts w:hint="eastAsia"/>
          <w:color w:val="auto"/>
          <w:highlight w:val="none"/>
          <w:lang w:eastAsia="zh-CN"/>
        </w:rPr>
        <w:t>④是否存在截留、挤占、挪用、虚列支出等情况。</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4.管理制度健全性</w:t>
      </w:r>
    </w:p>
    <w:p>
      <w:pPr>
        <w:bidi w:val="0"/>
        <w:rPr>
          <w:rFonts w:hint="eastAsia"/>
          <w:color w:val="auto"/>
          <w:highlight w:val="none"/>
          <w:lang w:eastAsia="zh-CN"/>
        </w:rPr>
      </w:pPr>
      <w:r>
        <w:rPr>
          <w:rFonts w:hint="eastAsia"/>
          <w:color w:val="auto"/>
          <w:highlight w:val="none"/>
          <w:lang w:eastAsia="zh-CN"/>
        </w:rPr>
        <w:t>①是否已制定或具有相应的财务和业务管理制度；</w:t>
      </w:r>
    </w:p>
    <w:p>
      <w:pPr>
        <w:bidi w:val="0"/>
        <w:rPr>
          <w:rFonts w:hint="eastAsia"/>
          <w:color w:val="auto"/>
          <w:highlight w:val="none"/>
          <w:lang w:eastAsia="zh-CN"/>
        </w:rPr>
      </w:pPr>
      <w:r>
        <w:rPr>
          <w:rFonts w:hint="eastAsia"/>
          <w:color w:val="auto"/>
          <w:highlight w:val="none"/>
          <w:lang w:eastAsia="zh-CN"/>
        </w:rPr>
        <w:t>②财务和业务管理制度是否合法、合规、完整。</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5.制度执行有效性</w:t>
      </w:r>
    </w:p>
    <w:p>
      <w:pPr>
        <w:bidi w:val="0"/>
        <w:rPr>
          <w:rFonts w:hint="eastAsia"/>
          <w:color w:val="auto"/>
          <w:highlight w:val="none"/>
          <w:lang w:eastAsia="zh-CN"/>
        </w:rPr>
      </w:pPr>
      <w:r>
        <w:rPr>
          <w:rFonts w:hint="eastAsia"/>
          <w:color w:val="auto"/>
          <w:highlight w:val="none"/>
          <w:lang w:eastAsia="zh-CN"/>
        </w:rPr>
        <w:t>①是否遵守相关法律法规和相关管理规定；</w:t>
      </w:r>
    </w:p>
    <w:p>
      <w:pPr>
        <w:bidi w:val="0"/>
        <w:rPr>
          <w:rFonts w:hint="eastAsia"/>
          <w:color w:val="auto"/>
          <w:highlight w:val="none"/>
          <w:lang w:eastAsia="zh-CN"/>
        </w:rPr>
      </w:pPr>
      <w:r>
        <w:rPr>
          <w:rFonts w:hint="eastAsia"/>
          <w:color w:val="auto"/>
          <w:highlight w:val="none"/>
          <w:lang w:eastAsia="zh-CN"/>
        </w:rPr>
        <w:t>②项目调整及支出调整手续是否完备；</w:t>
      </w:r>
    </w:p>
    <w:p>
      <w:pPr>
        <w:bidi w:val="0"/>
        <w:rPr>
          <w:rFonts w:hint="eastAsia"/>
          <w:color w:val="auto"/>
          <w:highlight w:val="none"/>
          <w:lang w:eastAsia="zh-CN"/>
        </w:rPr>
      </w:pPr>
      <w:r>
        <w:rPr>
          <w:rFonts w:hint="eastAsia"/>
          <w:color w:val="auto"/>
          <w:highlight w:val="none"/>
          <w:lang w:eastAsia="zh-CN"/>
        </w:rPr>
        <w:t>③项目合同书、验收报告、技术鉴定等资料是否齐全并及时归档；</w:t>
      </w:r>
    </w:p>
    <w:p>
      <w:pPr>
        <w:bidi w:val="0"/>
        <w:rPr>
          <w:rFonts w:hint="eastAsia"/>
          <w:color w:val="auto"/>
          <w:highlight w:val="none"/>
          <w:lang w:eastAsia="zh-CN"/>
        </w:rPr>
      </w:pPr>
      <w:r>
        <w:rPr>
          <w:rFonts w:hint="eastAsia"/>
          <w:color w:val="auto"/>
          <w:highlight w:val="none"/>
          <w:lang w:eastAsia="zh-CN"/>
        </w:rPr>
        <w:t>④项目实施的人员条件、场地设备、信息支撑等是否落实到位。</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补偿林木面积</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160亩</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160亩</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合同执行违规率%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资金拨付及时率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资金拨付完成时间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w:t>
            </w:r>
            <w:r>
              <w:rPr>
                <w:rFonts w:hint="eastAsia" w:cs="宋体"/>
                <w:color w:val="auto"/>
                <w:kern w:val="0"/>
                <w:sz w:val="20"/>
                <w:szCs w:val="20"/>
                <w:highlight w:val="none"/>
                <w:shd w:val="clear" w:color="auto" w:fill="auto"/>
                <w:lang w:val="en-US" w:eastAsia="zh-CN"/>
              </w:rPr>
              <w:t>2年5月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w:t>
            </w:r>
            <w:r>
              <w:rPr>
                <w:rFonts w:hint="eastAsia" w:cs="宋体"/>
                <w:color w:val="auto"/>
                <w:kern w:val="0"/>
                <w:sz w:val="20"/>
                <w:szCs w:val="20"/>
                <w:highlight w:val="none"/>
                <w:shd w:val="clear" w:color="auto" w:fill="auto"/>
                <w:lang w:val="en-US" w:eastAsia="zh-CN"/>
              </w:rPr>
              <w:t>2年5月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每亩成本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≤1.25万</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1.25万</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补偿费用</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olor w:val="auto"/>
                <w:sz w:val="20"/>
                <w:szCs w:val="20"/>
                <w:lang w:val="en-US" w:eastAsia="zh-CN"/>
              </w:rPr>
            </w:pPr>
            <w:r>
              <w:rPr>
                <w:rFonts w:hint="eastAsia"/>
                <w:color w:val="auto"/>
                <w:sz w:val="20"/>
                <w:szCs w:val="20"/>
                <w:lang w:val="en-US" w:eastAsia="zh-CN"/>
              </w:rPr>
              <w:t>≤200万元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olor w:val="auto"/>
                <w:sz w:val="20"/>
                <w:szCs w:val="20"/>
                <w:lang w:val="en-US" w:eastAsia="zh-CN"/>
              </w:rPr>
            </w:pPr>
            <w:r>
              <w:rPr>
                <w:rFonts w:hint="eastAsia"/>
                <w:color w:val="auto"/>
                <w:sz w:val="20"/>
                <w:szCs w:val="20"/>
                <w:lang w:val="en-US" w:eastAsia="zh-CN"/>
              </w:rPr>
              <w:t>200万元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eastAsia"/>
          <w:color w:val="auto"/>
          <w:highlight w:val="none"/>
          <w:lang w:eastAsia="zh-CN"/>
        </w:rPr>
      </w:pPr>
    </w:p>
    <w:p>
      <w:pPr>
        <w:bidi w:val="0"/>
        <w:rPr>
          <w:rFonts w:hint="default"/>
          <w:b/>
          <w:bCs/>
          <w:color w:val="auto"/>
          <w:lang w:val="en-US" w:eastAsia="zh-CN"/>
        </w:rPr>
      </w:pPr>
      <w:r>
        <w:rPr>
          <w:rFonts w:hint="eastAsia"/>
          <w:b/>
          <w:bCs/>
          <w:color w:val="auto"/>
          <w:lang w:val="en-US" w:eastAsia="zh-CN"/>
        </w:rPr>
        <w:t>1.项目完成数量</w:t>
      </w:r>
    </w:p>
    <w:p>
      <w:pPr>
        <w:bidi w:val="0"/>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补偿林木面积</w:t>
      </w:r>
      <w:r>
        <w:rPr>
          <w:rFonts w:hint="eastAsia"/>
          <w:color w:val="auto"/>
          <w:sz w:val="28"/>
          <w:szCs w:val="28"/>
          <w:lang w:eastAsia="zh-CN"/>
        </w:rPr>
        <w:t>”</w:t>
      </w:r>
      <w:r>
        <w:rPr>
          <w:rFonts w:hint="eastAsia"/>
          <w:color w:val="auto"/>
          <w:sz w:val="28"/>
          <w:szCs w:val="28"/>
          <w:lang w:val="en-US" w:eastAsia="zh-CN"/>
        </w:rPr>
        <w:t>指标，预期指标值为160亩，实际完成为160亩。实际完成率=（160亩/160亩）×100%=100%。</w:t>
      </w:r>
    </w:p>
    <w:p>
      <w:pPr>
        <w:bidi w:val="0"/>
        <w:rPr>
          <w:rFonts w:hint="eastAsia"/>
          <w:b/>
          <w:bCs/>
          <w:color w:val="auto"/>
          <w:sz w:val="30"/>
          <w:szCs w:val="30"/>
          <w:lang w:val="en-US" w:eastAsia="zh-CN"/>
        </w:rPr>
      </w:pPr>
      <w:r>
        <w:rPr>
          <w:rFonts w:hint="eastAsia"/>
          <w:b/>
          <w:bCs/>
          <w:color w:val="auto"/>
          <w:sz w:val="28"/>
          <w:szCs w:val="28"/>
          <w:lang w:val="en-US" w:eastAsia="zh-CN"/>
        </w:rPr>
        <w:t>综上，该项指标满分10分，得分10分</w:t>
      </w:r>
      <w:r>
        <w:rPr>
          <w:rFonts w:hint="eastAsia"/>
          <w:b/>
          <w:bCs/>
          <w:color w:val="auto"/>
          <w:sz w:val="30"/>
          <w:szCs w:val="30"/>
          <w:lang w:val="en-US" w:eastAsia="zh-CN"/>
        </w:rPr>
        <w:t>。</w:t>
      </w:r>
    </w:p>
    <w:p>
      <w:pPr>
        <w:bidi w:val="0"/>
        <w:rPr>
          <w:rFonts w:hint="eastAsia"/>
          <w:b/>
          <w:bCs/>
          <w:color w:val="auto"/>
          <w:sz w:val="28"/>
          <w:szCs w:val="28"/>
          <w:lang w:val="en-US" w:eastAsia="zh-CN"/>
        </w:rPr>
      </w:pPr>
      <w:r>
        <w:rPr>
          <w:rFonts w:hint="eastAsia"/>
          <w:b/>
          <w:bCs/>
          <w:color w:val="auto"/>
          <w:sz w:val="30"/>
          <w:szCs w:val="30"/>
          <w:lang w:val="en-US" w:eastAsia="zh-CN"/>
        </w:rPr>
        <w:t>2.</w:t>
      </w:r>
      <w:r>
        <w:rPr>
          <w:rFonts w:hint="eastAsia"/>
          <w:b/>
          <w:bCs/>
          <w:color w:val="auto"/>
          <w:sz w:val="28"/>
          <w:szCs w:val="28"/>
          <w:lang w:val="en-US" w:eastAsia="zh-CN"/>
        </w:rPr>
        <w:t>项目完成质量</w:t>
      </w:r>
    </w:p>
    <w:p>
      <w:pPr>
        <w:numPr>
          <w:ilvl w:val="0"/>
          <w:numId w:val="0"/>
        </w:numPr>
        <w:bidi w:val="0"/>
        <w:rPr>
          <w:rFonts w:hint="eastAsia"/>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ascii="Times New Roman" w:hAnsi="Times New Roman" w:cs="Times New Roman"/>
          <w:color w:val="auto"/>
          <w:sz w:val="28"/>
          <w:szCs w:val="28"/>
          <w:lang w:val="en-US" w:eastAsia="zh-CN"/>
        </w:rPr>
        <w:t>合同执行违规率%</w:t>
      </w:r>
      <w:r>
        <w:rPr>
          <w:rFonts w:hint="eastAsia"/>
          <w:color w:val="auto"/>
          <w:sz w:val="28"/>
          <w:szCs w:val="28"/>
          <w:lang w:eastAsia="zh-CN"/>
        </w:rPr>
        <w:t>”</w:t>
      </w:r>
      <w:r>
        <w:rPr>
          <w:rFonts w:hint="eastAsia"/>
          <w:color w:val="auto"/>
          <w:sz w:val="28"/>
          <w:szCs w:val="28"/>
          <w:lang w:val="en-US" w:eastAsia="zh-CN"/>
        </w:rPr>
        <w:t>指标，预期指标值为100%，实际完成为100%。</w:t>
      </w:r>
    </w:p>
    <w:p>
      <w:pPr>
        <w:bidi w:val="0"/>
        <w:rPr>
          <w:rFonts w:hint="eastAsia"/>
          <w:color w:val="auto"/>
          <w:sz w:val="28"/>
          <w:szCs w:val="28"/>
          <w:lang w:eastAsia="zh-CN"/>
        </w:rPr>
      </w:pPr>
      <w:r>
        <w:rPr>
          <w:rFonts w:hint="eastAsia"/>
          <w:b/>
          <w:bCs/>
          <w:color w:val="auto"/>
          <w:sz w:val="28"/>
          <w:szCs w:val="28"/>
          <w:lang w:val="en-US" w:eastAsia="zh-CN"/>
        </w:rPr>
        <w:t>综上，该项指标满分10分，得分10分。</w:t>
      </w:r>
    </w:p>
    <w:p>
      <w:pPr>
        <w:numPr>
          <w:ilvl w:val="0"/>
          <w:numId w:val="0"/>
        </w:numPr>
        <w:bidi w:val="0"/>
        <w:ind w:leftChars="0"/>
        <w:rPr>
          <w:rFonts w:hint="eastAsia"/>
          <w:b/>
          <w:bCs/>
          <w:color w:val="auto"/>
          <w:sz w:val="28"/>
          <w:szCs w:val="28"/>
          <w:lang w:val="en-US" w:eastAsia="zh-CN"/>
        </w:rPr>
      </w:pPr>
      <w:r>
        <w:rPr>
          <w:rFonts w:hint="eastAsia"/>
          <w:b/>
          <w:bCs/>
          <w:color w:val="auto"/>
          <w:sz w:val="30"/>
          <w:szCs w:val="30"/>
          <w:lang w:val="en-US" w:eastAsia="zh-CN"/>
        </w:rPr>
        <w:t xml:space="preserve">    3.</w:t>
      </w:r>
      <w:r>
        <w:rPr>
          <w:rFonts w:hint="eastAsia"/>
          <w:b/>
          <w:bCs/>
          <w:color w:val="auto"/>
          <w:sz w:val="28"/>
          <w:szCs w:val="28"/>
          <w:lang w:val="en-US" w:eastAsia="zh-CN"/>
        </w:rPr>
        <w:t>项目完成时效</w:t>
      </w:r>
    </w:p>
    <w:p>
      <w:pPr>
        <w:numPr>
          <w:ilvl w:val="0"/>
          <w:numId w:val="0"/>
        </w:numPr>
        <w:bidi w:val="0"/>
        <w:ind w:leftChars="0"/>
        <w:rPr>
          <w:rFonts w:hint="eastAsia"/>
          <w:color w:val="auto"/>
          <w:sz w:val="28"/>
          <w:szCs w:val="28"/>
          <w:lang w:eastAsia="zh-CN"/>
        </w:rPr>
      </w:pPr>
      <w:r>
        <w:rPr>
          <w:rFonts w:hint="eastAsia"/>
          <w:color w:val="auto"/>
          <w:sz w:val="30"/>
          <w:szCs w:val="30"/>
          <w:lang w:val="en-US" w:eastAsia="zh-CN"/>
        </w:rPr>
        <w:t xml:space="preserve">  </w:t>
      </w:r>
      <w:r>
        <w:rPr>
          <w:rFonts w:hint="eastAsia"/>
          <w:color w:val="auto"/>
          <w:sz w:val="30"/>
          <w:szCs w:val="30"/>
          <w:lang w:eastAsia="zh-CN"/>
        </w:rPr>
        <w:t>“</w:t>
      </w:r>
      <w:r>
        <w:rPr>
          <w:rFonts w:hint="eastAsia"/>
          <w:color w:val="auto"/>
          <w:sz w:val="28"/>
          <w:szCs w:val="28"/>
          <w:lang w:val="en-US" w:eastAsia="zh-CN"/>
        </w:rPr>
        <w:t>资金拨付及时率</w:t>
      </w:r>
      <w:r>
        <w:rPr>
          <w:rFonts w:hint="eastAsia"/>
          <w:color w:val="auto"/>
          <w:sz w:val="28"/>
          <w:szCs w:val="28"/>
          <w:lang w:eastAsia="zh-CN"/>
        </w:rPr>
        <w:t>”</w:t>
      </w:r>
      <w:r>
        <w:rPr>
          <w:rFonts w:hint="eastAsia"/>
          <w:color w:val="auto"/>
          <w:sz w:val="28"/>
          <w:szCs w:val="28"/>
          <w:lang w:val="en-US" w:eastAsia="zh-CN"/>
        </w:rPr>
        <w:t>指标，预期指标值为100%，实际完成为100%。</w:t>
      </w:r>
    </w:p>
    <w:p>
      <w:pPr>
        <w:bidi w:val="0"/>
        <w:rPr>
          <w:rFonts w:hint="eastAsia"/>
          <w:color w:val="auto"/>
          <w:sz w:val="30"/>
          <w:szCs w:val="30"/>
          <w:lang w:eastAsia="zh-CN"/>
        </w:rPr>
      </w:pPr>
      <w:r>
        <w:rPr>
          <w:rFonts w:hint="eastAsia"/>
          <w:b/>
          <w:bCs/>
          <w:color w:val="auto"/>
          <w:sz w:val="28"/>
          <w:szCs w:val="28"/>
          <w:lang w:val="en-US" w:eastAsia="zh-CN"/>
        </w:rPr>
        <w:t>综上，该项指标满分5分，得分5分</w:t>
      </w:r>
      <w:r>
        <w:rPr>
          <w:rFonts w:hint="eastAsia"/>
          <w:b/>
          <w:bCs/>
          <w:color w:val="auto"/>
          <w:sz w:val="30"/>
          <w:szCs w:val="30"/>
          <w:lang w:val="en-US" w:eastAsia="zh-CN"/>
        </w:rPr>
        <w:t>。</w:t>
      </w:r>
    </w:p>
    <w:p>
      <w:pPr>
        <w:numPr>
          <w:ilvl w:val="0"/>
          <w:numId w:val="0"/>
        </w:numPr>
        <w:bidi w:val="0"/>
        <w:ind w:leftChars="0"/>
        <w:rPr>
          <w:rFonts w:hint="eastAsia"/>
          <w:b/>
          <w:bCs/>
          <w:color w:val="auto"/>
          <w:sz w:val="28"/>
          <w:szCs w:val="28"/>
          <w:lang w:val="en-US" w:eastAsia="zh-CN"/>
        </w:rPr>
      </w:pPr>
      <w:r>
        <w:rPr>
          <w:rFonts w:hint="eastAsia"/>
          <w:b/>
          <w:bCs/>
          <w:color w:val="auto"/>
          <w:sz w:val="28"/>
          <w:szCs w:val="28"/>
          <w:lang w:val="en-US" w:eastAsia="zh-CN"/>
        </w:rPr>
        <w:t xml:space="preserve">    4.项目完成成本</w:t>
      </w:r>
    </w:p>
    <w:p>
      <w:pPr>
        <w:numPr>
          <w:ilvl w:val="0"/>
          <w:numId w:val="0"/>
        </w:numPr>
        <w:bidi w:val="0"/>
        <w:ind w:leftChars="0"/>
        <w:rPr>
          <w:rFonts w:hint="eastAsia"/>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补偿费用”指标，预期指标值为200</w:t>
      </w:r>
      <w:r>
        <w:rPr>
          <w:rFonts w:hint="eastAsia" w:ascii="宋体" w:hAnsi="宋体" w:eastAsia="宋体" w:cs="宋体"/>
          <w:color w:val="auto"/>
          <w:kern w:val="0"/>
          <w:sz w:val="28"/>
          <w:szCs w:val="28"/>
          <w:highlight w:val="none"/>
          <w:shd w:val="clear" w:color="auto" w:fill="auto"/>
          <w:lang w:val="en-US" w:eastAsia="zh-CN"/>
        </w:rPr>
        <w:t>万</w:t>
      </w:r>
      <w:r>
        <w:rPr>
          <w:rFonts w:hint="eastAsia"/>
          <w:color w:val="auto"/>
          <w:sz w:val="28"/>
          <w:szCs w:val="28"/>
          <w:lang w:val="en-US" w:eastAsia="zh-CN"/>
        </w:rPr>
        <w:t>元，实际完成为200</w:t>
      </w:r>
      <w:r>
        <w:rPr>
          <w:rFonts w:hint="eastAsia" w:ascii="宋体" w:hAnsi="宋体" w:eastAsia="宋体" w:cs="宋体"/>
          <w:color w:val="auto"/>
          <w:kern w:val="0"/>
          <w:sz w:val="28"/>
          <w:szCs w:val="28"/>
          <w:highlight w:val="none"/>
          <w:shd w:val="clear" w:color="auto" w:fill="auto"/>
          <w:lang w:val="en-US" w:eastAsia="zh-CN"/>
        </w:rPr>
        <w:t>万</w:t>
      </w:r>
      <w:r>
        <w:rPr>
          <w:rFonts w:hint="eastAsia"/>
          <w:color w:val="auto"/>
          <w:sz w:val="28"/>
          <w:szCs w:val="28"/>
          <w:lang w:val="en-US" w:eastAsia="zh-CN"/>
        </w:rPr>
        <w:t>元。实际完成率=（200</w:t>
      </w:r>
      <w:r>
        <w:rPr>
          <w:rFonts w:hint="eastAsia" w:ascii="宋体" w:hAnsi="宋体" w:eastAsia="宋体" w:cs="宋体"/>
          <w:color w:val="auto"/>
          <w:kern w:val="0"/>
          <w:sz w:val="28"/>
          <w:szCs w:val="28"/>
          <w:highlight w:val="none"/>
          <w:shd w:val="clear" w:color="auto" w:fill="auto"/>
          <w:lang w:val="en-US" w:eastAsia="zh-CN"/>
        </w:rPr>
        <w:t>万</w:t>
      </w:r>
      <w:r>
        <w:rPr>
          <w:rFonts w:hint="eastAsia"/>
          <w:color w:val="auto"/>
          <w:sz w:val="28"/>
          <w:szCs w:val="28"/>
          <w:lang w:val="en-US" w:eastAsia="zh-CN"/>
        </w:rPr>
        <w:t>/200</w:t>
      </w:r>
      <w:r>
        <w:rPr>
          <w:rFonts w:hint="eastAsia" w:ascii="宋体" w:hAnsi="宋体" w:eastAsia="宋体" w:cs="宋体"/>
          <w:color w:val="auto"/>
          <w:kern w:val="0"/>
          <w:sz w:val="28"/>
          <w:szCs w:val="28"/>
          <w:highlight w:val="none"/>
          <w:shd w:val="clear" w:color="auto" w:fill="auto"/>
          <w:lang w:val="en-US" w:eastAsia="zh-CN"/>
        </w:rPr>
        <w:t>万</w:t>
      </w:r>
      <w:r>
        <w:rPr>
          <w:rFonts w:hint="eastAsia"/>
          <w:color w:val="auto"/>
          <w:sz w:val="28"/>
          <w:szCs w:val="28"/>
          <w:lang w:val="en-US" w:eastAsia="zh-CN"/>
        </w:rPr>
        <w:t>）×100%=100%。</w:t>
      </w:r>
    </w:p>
    <w:p>
      <w:pPr>
        <w:bidi w:val="0"/>
        <w:rPr>
          <w:rFonts w:hint="eastAsia"/>
          <w:b/>
          <w:bCs/>
          <w:color w:val="auto"/>
          <w:sz w:val="28"/>
          <w:szCs w:val="28"/>
          <w:lang w:val="en-US" w:eastAsia="zh-CN"/>
        </w:rPr>
      </w:pPr>
      <w:r>
        <w:rPr>
          <w:rFonts w:hint="eastAsia"/>
          <w:b/>
          <w:bCs/>
          <w:color w:val="auto"/>
          <w:sz w:val="28"/>
          <w:szCs w:val="28"/>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highlight w:val="none"/>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保障补偿企业合法经济利益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保障</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进一步提高的土地节约集约利用效率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补偿企业满意度</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群众满意度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numPr>
          <w:ilvl w:val="0"/>
          <w:numId w:val="0"/>
        </w:num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    1. 经济效益指标</w:t>
      </w:r>
    </w:p>
    <w:p>
      <w:pPr>
        <w:numPr>
          <w:ilvl w:val="0"/>
          <w:numId w:val="0"/>
        </w:numPr>
        <w:bidi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保障补偿企业合法经济利益</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指标，预期指标值为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100%</w:t>
      </w:r>
      <w:r>
        <w:rPr>
          <w:rFonts w:hint="eastAsia" w:asciiTheme="minorEastAsia" w:hAnsiTheme="minorEastAsia" w:eastAsiaTheme="minorEastAsia" w:cstheme="minorEastAsia"/>
          <w:color w:val="auto"/>
          <w:sz w:val="28"/>
          <w:szCs w:val="28"/>
          <w:lang w:val="en-US" w:eastAsia="zh-CN"/>
        </w:rPr>
        <w:t>，实际完成为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100%</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b w:val="0"/>
          <w:bCs w:val="0"/>
          <w:color w:val="auto"/>
          <w:sz w:val="28"/>
          <w:szCs w:val="28"/>
          <w:lang w:val="en-US" w:eastAsia="zh-CN"/>
        </w:rPr>
        <w:t>项目的实施，企业的合法经济利益得到了保障，</w:t>
      </w:r>
      <w:r>
        <w:rPr>
          <w:rFonts w:hint="eastAsia" w:asciiTheme="minorEastAsia" w:hAnsiTheme="minorEastAsia" w:eastAsiaTheme="minorEastAsia" w:cstheme="minorEastAsia"/>
          <w:b/>
          <w:bCs/>
          <w:color w:val="auto"/>
          <w:sz w:val="28"/>
          <w:szCs w:val="28"/>
          <w:lang w:val="en-US" w:eastAsia="zh-CN"/>
        </w:rPr>
        <w:t>综上，该项指标满分10分，得分10分。</w:t>
      </w:r>
    </w:p>
    <w:p>
      <w:pPr>
        <w:numPr>
          <w:ilvl w:val="0"/>
          <w:numId w:val="0"/>
        </w:numPr>
        <w:bidi w:val="0"/>
        <w:ind w:leftChars="0" w:firstLine="562"/>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2.生态效益指标</w:t>
      </w:r>
    </w:p>
    <w:p>
      <w:pPr>
        <w:numPr>
          <w:ilvl w:val="0"/>
          <w:numId w:val="0"/>
        </w:numPr>
        <w:bidi w:val="0"/>
        <w:ind w:leftChars="0" w:firstLine="562"/>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进一步提高的土地节约集约利用效率</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指标，预期指标值为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有效</w:t>
      </w:r>
      <w:r>
        <w:rPr>
          <w:rFonts w:hint="eastAsia" w:asciiTheme="minorEastAsia" w:hAnsiTheme="minorEastAsia" w:eastAsiaTheme="minorEastAsia" w:cstheme="minorEastAsia"/>
          <w:color w:val="auto"/>
          <w:sz w:val="28"/>
          <w:szCs w:val="28"/>
          <w:lang w:val="en-US" w:eastAsia="zh-CN"/>
        </w:rPr>
        <w:t>，实际完成为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有效。</w:t>
      </w:r>
      <w:r>
        <w:rPr>
          <w:rFonts w:hint="eastAsia" w:asciiTheme="minorEastAsia" w:hAnsiTheme="minorEastAsia" w:eastAsiaTheme="minorEastAsia" w:cstheme="minorEastAsia"/>
          <w:b w:val="0"/>
          <w:bCs w:val="0"/>
          <w:color w:val="auto"/>
          <w:sz w:val="28"/>
          <w:szCs w:val="28"/>
          <w:lang w:val="en-US" w:eastAsia="zh-CN"/>
        </w:rPr>
        <w:t>通过项目的实施，保护了生态环境，进一步提高了土地的节约集约利用效率，</w:t>
      </w:r>
      <w:r>
        <w:rPr>
          <w:rFonts w:hint="eastAsia" w:asciiTheme="minorEastAsia" w:hAnsiTheme="minorEastAsia" w:eastAsiaTheme="minorEastAsia" w:cstheme="minorEastAsia"/>
          <w:b/>
          <w:bCs/>
          <w:color w:val="auto"/>
          <w:sz w:val="28"/>
          <w:szCs w:val="28"/>
          <w:lang w:val="en-US" w:eastAsia="zh-CN"/>
        </w:rPr>
        <w:t>综上，该项指标满分10分，得分10分。</w:t>
      </w:r>
    </w:p>
    <w:p>
      <w:p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3.满意度指标</w:t>
      </w:r>
    </w:p>
    <w:p>
      <w:p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群众满意度”指标，预期指标值为100%，实际完成为100%。</w:t>
      </w:r>
    </w:p>
    <w:p>
      <w:p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综上，该项指标满分10分，得分10分。</w:t>
      </w:r>
    </w:p>
    <w:p>
      <w:pPr>
        <w:bidi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b/>
          <w:bCs/>
          <w:color w:val="auto"/>
          <w:highlight w:val="none"/>
          <w:shd w:val="clear" w:color="auto" w:fill="auto"/>
        </w:rPr>
        <w:t>主要经验及做法、存在的问题及原因分析</w:t>
      </w:r>
    </w:p>
    <w:p>
      <w:pPr>
        <w:numPr>
          <w:ilvl w:val="0"/>
          <w:numId w:val="0"/>
        </w:numPr>
        <w:bidi w:val="0"/>
        <w:ind w:left="560" w:leftChars="0"/>
        <w:rPr>
          <w:rFonts w:hint="eastAsia"/>
          <w:b/>
          <w:bCs/>
          <w:color w:val="auto"/>
          <w:highlight w:val="none"/>
          <w:lang w:eastAsia="zh-CN"/>
        </w:rPr>
      </w:pPr>
      <w:bookmarkStart w:id="12" w:name="_Toc28290"/>
      <w:bookmarkStart w:id="13"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京新高速改扩建项目林木补偿项目2022年年初预算为200万元，1-12月累计支出200万元，预算支出完成率为100%。</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阜康市自然资源局建立健全了预算管理规章制度，各部门严格按预算编制的原则和要求做好当年预算编制工作，在预算绩效管理工作中，做到合理安排各项资金，重点保障基本支出，按轻重缓急顺序原则，优先安排了阜康市自然资源局事业发展中关系民生与稳定的项目，切实优化资源配置，提高了资金使用的效率和效果。</w:t>
      </w:r>
    </w:p>
    <w:bookmarkEnd w:id="12"/>
    <w:bookmarkEnd w:id="13"/>
    <w:p>
      <w:pPr>
        <w:bidi w:val="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p>
    <w:p>
      <w:pPr>
        <w:bidi w:val="0"/>
        <w:rPr>
          <w:rFonts w:hint="eastAsia" w:cs="宋体"/>
          <w:color w:val="auto"/>
          <w:highlight w:val="none"/>
          <w:lang w:val="en-US" w:eastAsia="zh-CN"/>
        </w:rPr>
      </w:pPr>
      <w:r>
        <w:rPr>
          <w:rFonts w:hint="eastAsia" w:cs="宋体"/>
          <w:color w:val="auto"/>
          <w:highlight w:val="none"/>
          <w:lang w:val="en-US" w:eastAsia="zh-CN"/>
        </w:rPr>
        <w:t>1、 绩效目标编制不够规范，需要加强学习和培训。</w:t>
      </w:r>
    </w:p>
    <w:p>
      <w:pPr>
        <w:bidi w:val="0"/>
        <w:rPr>
          <w:rFonts w:hint="default"/>
          <w:color w:val="auto"/>
          <w:highlight w:val="none"/>
          <w:lang w:val="en-US" w:eastAsia="zh-CN"/>
        </w:rPr>
      </w:pPr>
      <w:r>
        <w:rPr>
          <w:rFonts w:hint="eastAsia" w:cs="宋体"/>
          <w:color w:val="auto"/>
          <w:highlight w:val="none"/>
          <w:lang w:val="en-US" w:eastAsia="zh-CN"/>
        </w:rPr>
        <w:t>2、</w:t>
      </w:r>
      <w:r>
        <w:rPr>
          <w:rFonts w:hint="eastAsia" w:ascii="宋体" w:hAnsi="宋体" w:eastAsia="宋体" w:cs="宋体"/>
          <w:color w:val="auto"/>
          <w:highlight w:val="none"/>
          <w:lang w:val="en-US" w:eastAsia="zh-CN"/>
        </w:rPr>
        <w:t>资金管理目前使用的一体化大平台资金管理手续过于繁琐，致使资金支付时间较长。</w:t>
      </w:r>
    </w:p>
    <w:p>
      <w:pPr>
        <w:pStyle w:val="5"/>
        <w:rPr>
          <w:rFonts w:hint="eastAsia" w:ascii="宋体" w:hAnsi="宋体" w:eastAsia="宋体" w:cs="宋体"/>
          <w:b/>
          <w:bCs/>
          <w:color w:val="auto"/>
          <w:highlight w:val="none"/>
          <w:shd w:val="clear" w:color="auto" w:fill="auto"/>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 w:val="32"/>
          <w:szCs w:val="32"/>
          <w:highlight w:val="none"/>
          <w:shd w:val="clear" w:color="auto" w:fill="auto"/>
          <w:lang w:val="en-US" w:eastAsia="zh-CN"/>
        </w:rPr>
        <w:t>六、</w:t>
      </w:r>
      <w:r>
        <w:rPr>
          <w:rFonts w:hint="eastAsia" w:ascii="宋体" w:hAnsi="宋体" w:eastAsia="宋体" w:cs="宋体"/>
          <w:b/>
          <w:bCs/>
          <w:color w:val="auto"/>
          <w:sz w:val="32"/>
          <w:szCs w:val="32"/>
          <w:highlight w:val="none"/>
          <w:shd w:val="clear" w:color="auto" w:fill="auto"/>
        </w:rPr>
        <w:t>有关建议</w:t>
      </w:r>
    </w:p>
    <w:p>
      <w:pPr>
        <w:bidi w:val="0"/>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加强绩效目标编制培训，强化目标审核</w:t>
      </w:r>
    </w:p>
    <w:p>
      <w:pPr>
        <w:bidi w:val="0"/>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是加强预算绩效目标编制的培训学习。如：财政部《中央部门项目支出核心绩效目标和指标设臵及取值指引（试行）》（财预〔2021〕101号）、《自治区分行业分领域共性项目绩效指标体系（2021年度）》、2021年9月3日自治区财政厅绩效评价中心下发的《关于2022年度部门预算项目支出绩效目标</w:t>
      </w:r>
      <w:r>
        <w:rPr>
          <w:rFonts w:hint="eastAsia" w:asciiTheme="minorEastAsia" w:hAnsiTheme="minorEastAsia" w:eastAsiaTheme="minorEastAsia" w:cstheme="minorEastAsia"/>
          <w:color w:val="auto"/>
          <w:sz w:val="28"/>
          <w:szCs w:val="28"/>
          <w:lang w:val="en-US" w:eastAsia="zh-CN"/>
        </w:rPr>
        <w:t>设置</w:t>
      </w:r>
      <w:r>
        <w:rPr>
          <w:rFonts w:hint="eastAsia" w:asciiTheme="minorEastAsia" w:hAnsiTheme="minorEastAsia" w:eastAsiaTheme="minorEastAsia" w:cstheme="minorEastAsia"/>
          <w:color w:val="auto"/>
          <w:sz w:val="28"/>
          <w:szCs w:val="28"/>
        </w:rPr>
        <w:t>及审核要求的提示通知》，提高绩效目标编制质量，确保绩效目标“够得着、能实现”。</w:t>
      </w:r>
    </w:p>
    <w:p>
      <w:pPr>
        <w:pStyle w:val="4"/>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2、资金管理  建议简化程序提高工作效率。</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七</w:t>
      </w:r>
      <w:r>
        <w:rPr>
          <w:rFonts w:hint="eastAsia" w:ascii="宋体" w:hAnsi="宋体" w:eastAsia="宋体" w:cs="宋体"/>
          <w:b/>
          <w:bCs/>
          <w:color w:val="auto"/>
          <w:highlight w:val="none"/>
          <w:shd w:val="clear" w:color="auto" w:fill="auto"/>
        </w:rPr>
        <w:t>、其他需要说明的问题</w:t>
      </w:r>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p>
    <w:p>
      <w:pPr>
        <w:ind w:left="0" w:leftChars="0" w:firstLine="0" w:firstLineChars="0"/>
        <w:rPr>
          <w:rFonts w:hint="eastAsia" w:ascii="宋体" w:hAnsi="宋体" w:eastAsia="宋体" w:cs="宋体"/>
          <w:color w:val="auto"/>
          <w:highlight w:val="none"/>
          <w:shd w:val="clear" w:color="auto" w:fill="auto"/>
          <w:lang w:val="en-US" w:eastAsia="zh-CN"/>
        </w:rPr>
      </w:pPr>
    </w:p>
    <w:tbl>
      <w:tblPr>
        <w:tblStyle w:val="10"/>
        <w:tblW w:w="9080" w:type="dxa"/>
        <w:jc w:val="center"/>
        <w:tblLayout w:type="fixed"/>
        <w:tblCellMar>
          <w:top w:w="0" w:type="dxa"/>
          <w:left w:w="108" w:type="dxa"/>
          <w:bottom w:w="0" w:type="dxa"/>
          <w:right w:w="108" w:type="dxa"/>
        </w:tblCellMar>
      </w:tblPr>
      <w:tblGrid>
        <w:gridCol w:w="588"/>
        <w:gridCol w:w="980"/>
        <w:gridCol w:w="1112"/>
        <w:gridCol w:w="730"/>
        <w:gridCol w:w="1072"/>
        <w:gridCol w:w="62"/>
        <w:gridCol w:w="1078"/>
        <w:gridCol w:w="1190"/>
        <w:gridCol w:w="526"/>
        <w:gridCol w:w="183"/>
        <w:gridCol w:w="625"/>
        <w:gridCol w:w="226"/>
        <w:gridCol w:w="708"/>
      </w:tblGrid>
      <w:tr>
        <w:tblPrEx>
          <w:tblCellMar>
            <w:top w:w="0" w:type="dxa"/>
            <w:left w:w="108" w:type="dxa"/>
            <w:bottom w:w="0" w:type="dxa"/>
            <w:right w:w="108" w:type="dxa"/>
          </w:tblCellMar>
        </w:tblPrEx>
        <w:trPr>
          <w:trHeight w:val="454" w:hRule="exact"/>
          <w:jc w:val="center"/>
        </w:trPr>
        <w:tc>
          <w:tcPr>
            <w:tcW w:w="9080" w:type="dxa"/>
            <w:gridSpan w:val="1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both"/>
              <w:rPr>
                <w:rFonts w:ascii="宋体" w:hAnsi="宋体" w:eastAsia="宋体" w:cs="宋体"/>
                <w:b w:val="0"/>
                <w:bCs w:val="0"/>
                <w:color w:val="auto"/>
                <w:kern w:val="0"/>
                <w:sz w:val="32"/>
                <w:szCs w:val="32"/>
                <w:highlight w:val="none"/>
              </w:rPr>
            </w:pPr>
            <w:r>
              <w:rPr>
                <w:rFonts w:hint="eastAsia" w:ascii="宋体" w:hAnsi="宋体" w:eastAsia="宋体" w:cs="宋体"/>
                <w:b w:val="0"/>
                <w:bCs w:val="0"/>
                <w:color w:val="auto"/>
                <w:kern w:val="0"/>
                <w:sz w:val="32"/>
                <w:szCs w:val="32"/>
                <w:highlight w:val="none"/>
                <w:lang w:val="en-US" w:eastAsia="zh-CN"/>
              </w:rPr>
              <w:t xml:space="preserve">附件一             </w:t>
            </w:r>
            <w:r>
              <w:rPr>
                <w:rFonts w:hint="eastAsia" w:ascii="宋体" w:hAnsi="宋体" w:eastAsia="宋体" w:cs="宋体"/>
                <w:b w:val="0"/>
                <w:bCs w:val="0"/>
                <w:color w:val="auto"/>
                <w:kern w:val="0"/>
                <w:sz w:val="32"/>
                <w:szCs w:val="32"/>
                <w:highlight w:val="none"/>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single" w:color="auto" w:sz="4" w:space="0"/>
              <w:left w:val="nil"/>
              <w:bottom w:val="nil"/>
              <w:right w:val="nil"/>
            </w:tcBorders>
            <w:vAlign w:val="top"/>
          </w:tcPr>
          <w:p>
            <w:pPr>
              <w:widowControl/>
              <w:spacing w:line="24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202</w:t>
            </w:r>
            <w:r>
              <w:rPr>
                <w:rFonts w:hint="eastAsia"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京新高速改扩建项目林木补偿费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主管部门</w:t>
            </w:r>
          </w:p>
        </w:tc>
        <w:tc>
          <w:tcPr>
            <w:tcW w:w="4054"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阜康市自然资源局</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阜康市自然资源局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项目资金</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年初预算数</w:t>
            </w: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全年预算数</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执行率</w:t>
            </w: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r>
      <w:tr>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107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1190"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100</w:t>
            </w:r>
            <w:r>
              <w:rPr>
                <w:rFonts w:hint="eastAsia" w:ascii="宋体" w:hAnsi="宋体" w:eastAsia="宋体" w:cs="宋体"/>
                <w:color w:val="auto"/>
                <w:kern w:val="0"/>
                <w:sz w:val="18"/>
                <w:szCs w:val="18"/>
                <w:highlight w:val="none"/>
                <w:lang w:val="en-US" w:eastAsia="zh-CN"/>
              </w:rPr>
              <w:t>%</w:t>
            </w: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107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1190"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200</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eastAsia="zh-CN"/>
              </w:rPr>
            </w:pPr>
            <w:r>
              <w:rPr>
                <w:rFonts w:hint="eastAsia" w:cs="宋体"/>
                <w:color w:val="auto"/>
                <w:kern w:val="0"/>
                <w:sz w:val="18"/>
                <w:szCs w:val="18"/>
                <w:highlight w:val="none"/>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年度总体目标</w:t>
            </w:r>
          </w:p>
        </w:tc>
        <w:tc>
          <w:tcPr>
            <w:tcW w:w="503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预期目标</w:t>
            </w:r>
          </w:p>
        </w:tc>
        <w:tc>
          <w:tcPr>
            <w:tcW w:w="345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实际完成情况</w:t>
            </w:r>
          </w:p>
        </w:tc>
      </w:tr>
      <w:tr>
        <w:tblPrEx>
          <w:tblCellMar>
            <w:top w:w="0" w:type="dxa"/>
            <w:left w:w="108" w:type="dxa"/>
            <w:bottom w:w="0" w:type="dxa"/>
            <w:right w:w="108" w:type="dxa"/>
          </w:tblCellMar>
        </w:tblPrEx>
        <w:trPr>
          <w:trHeight w:val="166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503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按照新京高速扩能改造项目土地补偿协议，完成160亩林木补偿，补偿总费用200万元，2022年5月完成了资金拨付任务，预期达到保障补偿企业合法经济利益，进一步提高的土地节约集约利用效率。</w:t>
            </w:r>
          </w:p>
        </w:tc>
        <w:tc>
          <w:tcPr>
            <w:tcW w:w="345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截止2022年5月，按照新京高速扩能改造项目土地补偿协议，完成160亩林木补偿，补偿总费用200万元， 于2022年5月完成了资金拨付任务，保障补偿企业合法经济利益，进一步提高的土地节约集约利用效率。</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绩</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效</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指</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标</w:t>
            </w:r>
          </w:p>
        </w:tc>
        <w:tc>
          <w:tcPr>
            <w:tcW w:w="98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一级指标</w:t>
            </w:r>
          </w:p>
        </w:tc>
        <w:tc>
          <w:tcPr>
            <w:tcW w:w="1112"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三级指标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指标值</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完成值</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560"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补偿林木面积</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160亩</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160亩</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445"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质量指标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合同执行违规率%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57"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时效指标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资金拨付及时率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57"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资金拨付完成时间</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2022年5月</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2022年5月</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7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每亩成本</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≤1.25万</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1.25万</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7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补偿费用</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≤200万元</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200万元</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23"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经济效益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保障补偿企业合法经济利益</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eastAsia="zh-CN"/>
              </w:rPr>
            </w:pPr>
            <w:r>
              <w:rPr>
                <w:rFonts w:hint="eastAsia" w:cs="宋体"/>
                <w:color w:val="auto"/>
                <w:kern w:val="0"/>
                <w:sz w:val="18"/>
                <w:szCs w:val="18"/>
                <w:highlight w:val="none"/>
                <w:lang w:eastAsia="zh-CN"/>
              </w:rPr>
              <w:t>保障</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713"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生态效益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进一步提高的土地节约集约利用</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提高</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满意度</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服务对象满意度指标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群众满意度</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≥95%</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95%</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46" w:hRule="exact"/>
          <w:jc w:val="center"/>
        </w:trPr>
        <w:tc>
          <w:tcPr>
            <w:tcW w:w="68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总分</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28"/>
                <w:szCs w:val="28"/>
                <w:highlight w:val="none"/>
                <w:lang w:val="en-US" w:eastAsia="zh-CN"/>
              </w:rPr>
            </w:pPr>
            <w:r>
              <w:rPr>
                <w:rFonts w:hint="eastAsia" w:cs="宋体"/>
                <w:color w:val="auto"/>
                <w:kern w:val="0"/>
                <w:sz w:val="18"/>
                <w:szCs w:val="18"/>
                <w:highlight w:val="none"/>
                <w:lang w:val="en-US" w:eastAsia="zh-CN"/>
              </w:rPr>
              <w:t>100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28"/>
                <w:szCs w:val="28"/>
                <w:highlight w:val="none"/>
              </w:rPr>
            </w:pPr>
          </w:p>
        </w:tc>
      </w:tr>
    </w:tbl>
    <w:p>
      <w:pPr>
        <w:ind w:left="0" w:leftChars="0" w:firstLine="0" w:firstLineChars="0"/>
        <w:rPr>
          <w:rFonts w:hint="eastAsia"/>
          <w:color w:val="auto"/>
          <w:highlight w:val="none"/>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auto"/>
          <w:kern w:val="2"/>
          <w:sz w:val="32"/>
          <w:szCs w:val="24"/>
          <w:highlight w:val="none"/>
          <w:lang w:val="en-US" w:eastAsia="zh-CN" w:bidi="ar-SA"/>
        </w:rPr>
      </w:pPr>
      <w:r>
        <w:rPr>
          <w:rFonts w:hint="eastAsia" w:cs="宋体"/>
          <w:b/>
          <w:bCs/>
          <w:color w:val="auto"/>
          <w:kern w:val="2"/>
          <w:sz w:val="36"/>
          <w:szCs w:val="28"/>
          <w:highlight w:val="none"/>
          <w:lang w:val="en-US" w:eastAsia="zh-CN" w:bidi="ar-SA"/>
        </w:rPr>
        <w:t xml:space="preserve">附件二              </w:t>
      </w:r>
      <w:r>
        <w:rPr>
          <w:rFonts w:hint="eastAsia" w:ascii="宋体" w:hAnsi="宋体" w:eastAsia="宋体" w:cs="宋体"/>
          <w:b/>
          <w:bCs/>
          <w:color w:val="auto"/>
          <w:kern w:val="2"/>
          <w:sz w:val="36"/>
          <w:szCs w:val="28"/>
          <w:highlight w:val="none"/>
          <w:lang w:val="en-US" w:eastAsia="zh-CN" w:bidi="ar-SA"/>
        </w:rPr>
        <w:t>项目支出绩效评价指标体系打分表</w:t>
      </w:r>
    </w:p>
    <w:tbl>
      <w:tblPr>
        <w:tblStyle w:val="10"/>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FFFFFF"/>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FFFFFF"/>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①项目立项是否符合国家法律法规、国民经济发展规划和相关政策；</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②项目立项是否符合行业发展规划和政策要求；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③项目立项是否与部门职责范围相符，属于部门履职所需；</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④项目是否属于公共财政支持范围，是否符合中央、地方事权支出责任划分原则；</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①项目是否按照规定的程序申请设立；</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②审批文件、材料是否符合相关要求；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000000"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（如未设定预算绩效目标，也可考核其他工作任务目标）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①项目是否有绩效目标；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②项目绩效目标与实际工作内容是否具有相关性；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①是否将项目绩效目标细化分解为具体的绩效指标；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②是否通过清晰、可衡量的指标值予以体现；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③是否与项目目标任务数或计划数相对应。</w:t>
            </w:r>
            <w:r>
              <w:rPr>
                <w:rFonts w:hint="eastAsia" w:ascii="宋体" w:hAnsi="宋体" w:eastAsia="宋体" w:cs="宋体"/>
                <w:color w:val="auto"/>
                <w:kern w:val="0"/>
                <w:sz w:val="22"/>
                <w:szCs w:val="22"/>
                <w:highlight w:val="none"/>
              </w:rPr>
              <w:br w:type="textWrapping"/>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①预算编制是否经过科学论证；</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②预算内容与项目内容是否匹配；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③预算额度测算依据是否充分，是否按照标准编制；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①预算资金分配依据是否充分；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预算执行率=（实际支出资金/实际到位资金）×100%。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①是否符合国家财经法规和财务管理制度以及有关专项资金管理办法的规定；</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②资金的拨付是否有完整的审批程序和手续；</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③是否符合项目预算批复或合同规定的用途；</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①是否已制定或具有相应的财务和业务管理制度；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①是否遵守相关法律法规和相关管理规定；</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②项目调整及支出调整手续是否完备；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③项目合同书、验收报告、技术鉴定等资料是否齐全并及时归档；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实际完成率=（实际产出数/计划产出数）×100%。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实际产出数：一定时期（本年度或项目期）内项目实际产出的产品或提供的服务数量。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完成及时性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实际完成时间：项目实施单位完成该项目实际所耗用的时间。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成本节约率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成本节约率=[（计划成本-实际成本）/计划成本]×100%。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实际成本：项目实施单位如期、保质、保量完成既定工作目标实际所耗费的支出。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5</w:t>
            </w:r>
            <w:r>
              <w:rPr>
                <w:rFonts w:hint="eastAsia" w:ascii="宋体" w:hAnsi="宋体" w:eastAsia="宋体" w:cs="宋体"/>
                <w:color w:val="auto"/>
                <w:kern w:val="0"/>
                <w:sz w:val="22"/>
                <w:szCs w:val="22"/>
                <w:highlight w:val="none"/>
              </w:rPr>
              <w:t>效益　</w:t>
            </w: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实施效益</w:t>
            </w:r>
          </w:p>
        </w:tc>
        <w:tc>
          <w:tcPr>
            <w:tcW w:w="214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w:t>
            </w:r>
            <w:r>
              <w:rPr>
                <w:rFonts w:hint="eastAsia" w:cs="宋体"/>
                <w:color w:val="auto"/>
                <w:kern w:val="0"/>
                <w:sz w:val="22"/>
                <w:szCs w:val="22"/>
                <w:highlight w:val="none"/>
                <w:lang w:val="en-US" w:eastAsia="zh-CN"/>
              </w:rPr>
              <w:t>+00</w:t>
            </w:r>
            <w:r>
              <w:rPr>
                <w:rFonts w:hint="eastAsia" w:ascii="宋体" w:hAnsi="宋体" w:eastAsia="宋体" w:cs="宋体"/>
                <w:color w:val="auto"/>
                <w:kern w:val="0"/>
                <w:sz w:val="22"/>
                <w:szCs w:val="22"/>
                <w:highlight w:val="none"/>
              </w:rPr>
              <w:t>益、可持续影响等。可根据项目实际情况有选择地设置和细化。</w:t>
            </w:r>
          </w:p>
        </w:tc>
        <w:tc>
          <w:tcPr>
            <w:tcW w:w="785"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c>
          <w:tcPr>
            <w:tcW w:w="769"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bl>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highlight w:val="none"/>
          <w:lang w:val="en-US" w:eastAsia="zh-CN"/>
        </w:rPr>
        <w:sectPr>
          <w:pgSz w:w="16838" w:h="11906" w:orient="landscape"/>
          <w:pgMar w:top="1800" w:right="1440" w:bottom="1800" w:left="1440" w:header="737" w:footer="851" w:gutter="0"/>
          <w:pgNumType w:fmt="decimal" w:start="1"/>
          <w:cols w:space="720" w:num="1"/>
          <w:docGrid w:type="lines" w:linePitch="408" w:charSpace="0"/>
        </w:sectPr>
      </w:pPr>
    </w:p>
    <w:p>
      <w:pPr>
        <w:pStyle w:val="2"/>
        <w:ind w:left="0" w:leftChars="0" w:firstLine="0" w:firstLineChars="0"/>
        <w:rPr>
          <w:rFonts w:hint="eastAsia"/>
          <w:color w:val="auto"/>
          <w:highlight w:val="none"/>
          <w:lang w:val="en-US" w:eastAsia="zh-CN"/>
        </w:rPr>
      </w:pPr>
      <w:bookmarkStart w:id="14" w:name="_GoBack"/>
      <w:bookmarkEnd w:id="14"/>
    </w:p>
    <w:sectPr>
      <w:pgSz w:w="11906" w:h="16838"/>
      <w:pgMar w:top="1440" w:right="1800" w:bottom="1440" w:left="1800" w:header="737" w:footer="851" w:gutter="0"/>
      <w:pgNumType w:fmt="decimal"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TY1Mjg5YTkwYTQzODE5MGVlMDdjY2YxMTFmODYifQ=="/>
  </w:docVars>
  <w:rsids>
    <w:rsidRoot w:val="68291A1A"/>
    <w:rsid w:val="01470C4C"/>
    <w:rsid w:val="01821FE0"/>
    <w:rsid w:val="0185435D"/>
    <w:rsid w:val="02200440"/>
    <w:rsid w:val="02284B43"/>
    <w:rsid w:val="02B015E2"/>
    <w:rsid w:val="03A845BB"/>
    <w:rsid w:val="04D63993"/>
    <w:rsid w:val="060A5284"/>
    <w:rsid w:val="07CF2CFE"/>
    <w:rsid w:val="09781BD6"/>
    <w:rsid w:val="0BDA7DFE"/>
    <w:rsid w:val="0D4452F3"/>
    <w:rsid w:val="0DF519DD"/>
    <w:rsid w:val="0F5E5042"/>
    <w:rsid w:val="10510571"/>
    <w:rsid w:val="12CF0947"/>
    <w:rsid w:val="12F1313F"/>
    <w:rsid w:val="136C678E"/>
    <w:rsid w:val="13EB2FF5"/>
    <w:rsid w:val="15217D45"/>
    <w:rsid w:val="165825BC"/>
    <w:rsid w:val="16DF72B6"/>
    <w:rsid w:val="176F36D7"/>
    <w:rsid w:val="18394277"/>
    <w:rsid w:val="18456B1E"/>
    <w:rsid w:val="19120481"/>
    <w:rsid w:val="191327AD"/>
    <w:rsid w:val="1C1171C5"/>
    <w:rsid w:val="1DA41A79"/>
    <w:rsid w:val="1DF53469"/>
    <w:rsid w:val="1E1F7353"/>
    <w:rsid w:val="1E58492F"/>
    <w:rsid w:val="1E5B6757"/>
    <w:rsid w:val="1ED10AC6"/>
    <w:rsid w:val="1FC0575D"/>
    <w:rsid w:val="21B00C1D"/>
    <w:rsid w:val="23917691"/>
    <w:rsid w:val="245E1E24"/>
    <w:rsid w:val="2668001A"/>
    <w:rsid w:val="27900EAD"/>
    <w:rsid w:val="279B538A"/>
    <w:rsid w:val="28531B59"/>
    <w:rsid w:val="29314FBC"/>
    <w:rsid w:val="2C927671"/>
    <w:rsid w:val="2D7C5CD6"/>
    <w:rsid w:val="2E483E7E"/>
    <w:rsid w:val="2F1A793C"/>
    <w:rsid w:val="2F454B19"/>
    <w:rsid w:val="31E3230A"/>
    <w:rsid w:val="31E9223C"/>
    <w:rsid w:val="33356F64"/>
    <w:rsid w:val="33944516"/>
    <w:rsid w:val="3632584E"/>
    <w:rsid w:val="366C7598"/>
    <w:rsid w:val="38782EDD"/>
    <w:rsid w:val="3B42664A"/>
    <w:rsid w:val="3C591A03"/>
    <w:rsid w:val="3FBE0BC5"/>
    <w:rsid w:val="4048103A"/>
    <w:rsid w:val="420F2705"/>
    <w:rsid w:val="422968BD"/>
    <w:rsid w:val="435241E2"/>
    <w:rsid w:val="439E3FA7"/>
    <w:rsid w:val="44496B2A"/>
    <w:rsid w:val="44FC64F4"/>
    <w:rsid w:val="466E3FEF"/>
    <w:rsid w:val="467F4585"/>
    <w:rsid w:val="470628CB"/>
    <w:rsid w:val="47555BD4"/>
    <w:rsid w:val="48E12B50"/>
    <w:rsid w:val="49207646"/>
    <w:rsid w:val="499441BE"/>
    <w:rsid w:val="4A2138F0"/>
    <w:rsid w:val="4B9F6E02"/>
    <w:rsid w:val="4BC54DEE"/>
    <w:rsid w:val="4C7E3811"/>
    <w:rsid w:val="4DA700D2"/>
    <w:rsid w:val="4E6E48A8"/>
    <w:rsid w:val="4EEC036B"/>
    <w:rsid w:val="4FE150A5"/>
    <w:rsid w:val="501D2673"/>
    <w:rsid w:val="516C6697"/>
    <w:rsid w:val="51852833"/>
    <w:rsid w:val="51A15404"/>
    <w:rsid w:val="52560D91"/>
    <w:rsid w:val="53446A77"/>
    <w:rsid w:val="53555F0F"/>
    <w:rsid w:val="572324EC"/>
    <w:rsid w:val="583C7AE0"/>
    <w:rsid w:val="59216F96"/>
    <w:rsid w:val="5CC52E42"/>
    <w:rsid w:val="600370D9"/>
    <w:rsid w:val="60116C09"/>
    <w:rsid w:val="66E508BD"/>
    <w:rsid w:val="67394C7D"/>
    <w:rsid w:val="68126B38"/>
    <w:rsid w:val="68291A1A"/>
    <w:rsid w:val="683E052D"/>
    <w:rsid w:val="691B1594"/>
    <w:rsid w:val="696676DF"/>
    <w:rsid w:val="6A17429C"/>
    <w:rsid w:val="6A567EA3"/>
    <w:rsid w:val="6AA32C10"/>
    <w:rsid w:val="6B4B4368"/>
    <w:rsid w:val="6D8E0C28"/>
    <w:rsid w:val="6E557973"/>
    <w:rsid w:val="6E786E93"/>
    <w:rsid w:val="6F0D6C22"/>
    <w:rsid w:val="6F47657F"/>
    <w:rsid w:val="6F942D9B"/>
    <w:rsid w:val="704C6726"/>
    <w:rsid w:val="70670707"/>
    <w:rsid w:val="720F4124"/>
    <w:rsid w:val="732764B3"/>
    <w:rsid w:val="73BC1986"/>
    <w:rsid w:val="75DC7665"/>
    <w:rsid w:val="75E5007C"/>
    <w:rsid w:val="77861774"/>
    <w:rsid w:val="78E85C0C"/>
    <w:rsid w:val="79300B45"/>
    <w:rsid w:val="7936440C"/>
    <w:rsid w:val="793C675A"/>
    <w:rsid w:val="794D3E18"/>
    <w:rsid w:val="79F3729A"/>
    <w:rsid w:val="7AED0B4D"/>
    <w:rsid w:val="7C1344BB"/>
    <w:rsid w:val="7C1E4487"/>
    <w:rsid w:val="7C215E02"/>
    <w:rsid w:val="7C613298"/>
    <w:rsid w:val="7CF23764"/>
    <w:rsid w:val="7EFA0B5A"/>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qFormat/>
    <w:uiPriority w:val="0"/>
    <w:pPr>
      <w:adjustRightInd w:val="0"/>
      <w:spacing w:line="312" w:lineRule="atLeast"/>
      <w:jc w:val="center"/>
      <w:textAlignment w:val="baseline"/>
    </w:pPr>
    <w:rPr>
      <w:kern w:val="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bCs/>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paragraph" w:customStyle="1" w:styleId="14">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11518</Words>
  <Characters>12034</Characters>
  <Lines>0</Lines>
  <Paragraphs>0</Paragraphs>
  <TotalTime>3</TotalTime>
  <ScaleCrop>false</ScaleCrop>
  <LinksUpToDate>false</LinksUpToDate>
  <CharactersWithSpaces>12130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WPS_1591167138</cp:lastModifiedBy>
  <dcterms:modified xsi:type="dcterms:W3CDTF">2023-09-15T07:05:35Z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544F357B5FE34CCD99257DACE47908A5</vt:lpwstr>
  </property>
</Properties>
</file>