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0"/>
          <w:szCs w:val="40"/>
          <w:highlight w:val="none"/>
          <w:shd w:val="clear" w:color="auto" w:fill="auto"/>
          <w:lang w:val="en-US" w:eastAsia="zh-CN"/>
        </w:rPr>
      </w:pPr>
      <w:r>
        <w:rPr>
          <w:rFonts w:hint="eastAsia" w:ascii="宋体" w:hAnsi="宋体" w:eastAsia="宋体" w:cs="宋体"/>
          <w:b/>
          <w:bCs/>
          <w:color w:val="auto"/>
          <w:sz w:val="40"/>
          <w:szCs w:val="40"/>
          <w:highlight w:val="none"/>
          <w:shd w:val="clear" w:color="auto" w:fill="auto"/>
          <w:lang w:val="en-US" w:eastAsia="zh-CN"/>
        </w:rPr>
        <w:t>昌吉州阜康市生态屏障基础设施建设项目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rPr>
        <w:t>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项目名称：昌吉州阜康市生态屏障基础设施建设项目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实施单位：阜康市林业和草原局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主管部门：阜康市林业和草原局</w:t>
      </w:r>
    </w:p>
    <w:p>
      <w:pPr>
        <w:pStyle w:val="10"/>
        <w:rPr>
          <w:rFonts w:hint="eastAsia" w:ascii="宋体" w:hAnsi="宋体" w:eastAsia="宋体" w:cs="宋体"/>
          <w:b/>
          <w:color w:val="auto"/>
          <w:kern w:val="2"/>
          <w:sz w:val="28"/>
          <w:szCs w:val="28"/>
          <w:highlight w:val="none"/>
          <w:shd w:val="clear" w:color="auto" w:fill="auto"/>
          <w:lang w:val="en-US" w:eastAsia="zh-CN"/>
        </w:rPr>
      </w:pPr>
    </w:p>
    <w:p>
      <w:pPr>
        <w:rPr>
          <w:rFonts w:hint="eastAsia"/>
          <w:color w:val="auto"/>
          <w:lang w:val="en-US" w:eastAsia="zh-CN"/>
        </w:rPr>
        <w:sectPr>
          <w:pgSz w:w="11906" w:h="16838"/>
          <w:pgMar w:top="1440" w:right="1800" w:bottom="1440" w:left="1800" w:header="737" w:footer="850" w:gutter="0"/>
          <w:cols w:space="0" w:num="1"/>
          <w:rtlGutter w:val="0"/>
          <w:docGrid w:type="lines" w:linePitch="408"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lang w:val="en-US" w:eastAsia="zh-CN"/>
        </w:rPr>
      </w:pPr>
      <w:r>
        <w:rPr>
          <w:rFonts w:hint="eastAsia" w:ascii="宋体" w:hAnsi="宋体" w:eastAsia="宋体" w:cs="宋体"/>
          <w:b/>
          <w:bCs/>
          <w:color w:val="auto"/>
          <w:sz w:val="36"/>
          <w:szCs w:val="36"/>
          <w:highlight w:val="none"/>
          <w:shd w:val="clear" w:color="auto" w:fill="auto"/>
          <w:lang w:val="en-US" w:eastAsia="zh-CN"/>
        </w:rPr>
        <w:t>昌吉州阜康市生态屏障基础设施建设项目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sz w:val="36"/>
          <w:szCs w:val="36"/>
          <w:highlight w:val="none"/>
          <w:shd w:val="clear" w:color="auto" w:fill="auto"/>
        </w:rPr>
        <w:t>支出绩效评价报告</w:t>
      </w:r>
    </w:p>
    <w:p>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一、基本情况</w:t>
      </w:r>
    </w:p>
    <w:p>
      <w:pPr>
        <w:pStyle w:val="5"/>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（一）项目概况</w:t>
      </w:r>
    </w:p>
    <w:p>
      <w:pPr>
        <w:bidi w:val="0"/>
        <w:rPr>
          <w:rFonts w:hint="eastAsia"/>
          <w:color w:val="auto"/>
          <w:lang w:eastAsia="zh-CN"/>
        </w:rPr>
      </w:pPr>
      <w:r>
        <w:rPr>
          <w:rFonts w:hint="eastAsia"/>
          <w:color w:val="auto"/>
          <w:lang w:val="en-US" w:eastAsia="zh-CN"/>
        </w:rPr>
        <w:t>1.</w:t>
      </w:r>
      <w:r>
        <w:rPr>
          <w:rFonts w:hint="eastAsia"/>
          <w:color w:val="auto"/>
        </w:rPr>
        <w:t>项目背景</w:t>
      </w:r>
    </w:p>
    <w:p>
      <w:pPr>
        <w:bidi w:val="0"/>
        <w:rPr>
          <w:rFonts w:hint="eastAsia" w:eastAsia="仿宋_GB2312"/>
          <w:color w:val="auto"/>
          <w:lang w:val="en-US" w:eastAsia="zh-CN"/>
        </w:rPr>
      </w:pPr>
      <w:r>
        <w:rPr>
          <w:rFonts w:hint="eastAsia" w:ascii="仿宋_GB2312" w:hAnsi="仿宋_GB2312" w:eastAsia="仿宋_GB2312" w:cs="仿宋_GB2312"/>
          <w:color w:val="auto"/>
          <w:sz w:val="30"/>
          <w:szCs w:val="30"/>
        </w:rPr>
        <w:t>根据</w:t>
      </w:r>
      <w:r>
        <w:rPr>
          <w:rFonts w:hint="eastAsia" w:ascii="仿宋_GB2312" w:hAnsi="仿宋_GB2312" w:eastAsia="仿宋_GB2312" w:cs="仿宋_GB2312"/>
          <w:color w:val="auto"/>
          <w:sz w:val="30"/>
          <w:szCs w:val="30"/>
          <w:lang w:val="en-US" w:eastAsia="zh-CN"/>
        </w:rPr>
        <w:t>《关于《昌吉州阜康市生态屏障基础设施建设项目可行性研究报告》的批复》（阜发改投资〔2022〕100号）文件</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实施昌吉州阜康市生态屏障基础设施建设项目下达预</w:t>
      </w:r>
      <w:r>
        <w:rPr>
          <w:rFonts w:hint="eastAsia" w:ascii="仿宋_GB2312" w:hAnsi="仿宋_GB2312" w:eastAsia="仿宋_GB2312" w:cs="仿宋_GB2312"/>
          <w:color w:val="auto"/>
          <w:sz w:val="30"/>
          <w:szCs w:val="30"/>
        </w:rPr>
        <w:t>算资金为</w:t>
      </w:r>
      <w:r>
        <w:rPr>
          <w:rFonts w:hint="eastAsia" w:ascii="仿宋_GB2312" w:hAnsi="仿宋_GB2312" w:eastAsia="仿宋_GB2312" w:cs="仿宋_GB2312"/>
          <w:color w:val="auto"/>
          <w:sz w:val="30"/>
          <w:szCs w:val="30"/>
          <w:lang w:val="en-US" w:eastAsia="zh-CN"/>
        </w:rPr>
        <w:t>1000</w:t>
      </w:r>
      <w:r>
        <w:rPr>
          <w:rFonts w:hint="eastAsia" w:ascii="仿宋_GB2312" w:hAnsi="仿宋_GB2312" w:eastAsia="仿宋_GB2312" w:cs="仿宋_GB2312"/>
          <w:color w:val="auto"/>
          <w:sz w:val="30"/>
          <w:szCs w:val="30"/>
        </w:rPr>
        <w:t>万元，资金来源为</w:t>
      </w:r>
      <w:r>
        <w:rPr>
          <w:rFonts w:hint="eastAsia" w:ascii="仿宋_GB2312" w:hAnsi="仿宋_GB2312" w:eastAsia="仿宋_GB2312" w:cs="仿宋_GB2312"/>
          <w:color w:val="auto"/>
          <w:sz w:val="30"/>
          <w:szCs w:val="30"/>
          <w:lang w:val="en-US" w:eastAsia="zh-CN"/>
        </w:rPr>
        <w:t>地方性政府一般债资金</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highlight w:val="none"/>
        </w:rPr>
        <w:t>根据</w:t>
      </w:r>
      <w:r>
        <w:rPr>
          <w:rFonts w:hint="eastAsia" w:ascii="仿宋_GB2312" w:hAnsi="仿宋_GB2312" w:eastAsia="仿宋_GB2312" w:cs="仿宋_GB2312"/>
          <w:color w:val="auto"/>
          <w:sz w:val="30"/>
          <w:szCs w:val="30"/>
          <w:highlight w:val="none"/>
          <w:lang w:eastAsia="zh-CN"/>
        </w:rPr>
        <w:t>《关于</w:t>
      </w:r>
      <w:r>
        <w:rPr>
          <w:rFonts w:hint="eastAsia" w:ascii="仿宋_GB2312" w:hAnsi="仿宋_GB2312" w:eastAsia="仿宋_GB2312" w:cs="仿宋_GB2312"/>
          <w:color w:val="auto"/>
          <w:sz w:val="30"/>
          <w:szCs w:val="30"/>
          <w:highlight w:val="none"/>
          <w:lang w:val="en-US" w:eastAsia="zh-CN"/>
        </w:rPr>
        <w:t>同意将阜康市2022年财政衔接推进乡村振兴补助资金项目纳入项目库并实施</w:t>
      </w:r>
      <w:r>
        <w:rPr>
          <w:rFonts w:hint="eastAsia" w:ascii="仿宋_GB2312" w:hAnsi="仿宋_GB2312" w:eastAsia="仿宋_GB2312" w:cs="仿宋_GB2312"/>
          <w:color w:val="auto"/>
          <w:sz w:val="30"/>
          <w:szCs w:val="30"/>
          <w:highlight w:val="none"/>
          <w:lang w:eastAsia="zh-CN"/>
        </w:rPr>
        <w:t>的批复》</w:t>
      </w:r>
      <w:r>
        <w:rPr>
          <w:rFonts w:hint="eastAsia" w:ascii="仿宋_GB2312" w:hAnsi="仿宋_GB2312" w:eastAsia="仿宋_GB2312" w:cs="仿宋_GB2312"/>
          <w:color w:val="auto"/>
          <w:sz w:val="30"/>
          <w:szCs w:val="30"/>
          <w:highlight w:val="none"/>
        </w:rPr>
        <w:t>，项目于202</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月启动</w:t>
      </w:r>
      <w:r>
        <w:rPr>
          <w:rFonts w:hint="eastAsia" w:ascii="仿宋_GB2312" w:hAnsi="仿宋_GB2312" w:eastAsia="仿宋_GB2312" w:cs="仿宋_GB2312"/>
          <w:color w:val="auto"/>
          <w:sz w:val="30"/>
          <w:szCs w:val="30"/>
          <w:highlight w:val="none"/>
          <w:lang w:val="en-US" w:eastAsia="zh-CN"/>
        </w:rPr>
        <w:t>。</w:t>
      </w:r>
    </w:p>
    <w:p>
      <w:pPr>
        <w:bidi w:val="0"/>
        <w:rPr>
          <w:rFonts w:hint="eastAsia"/>
          <w:color w:val="auto"/>
        </w:rPr>
      </w:pPr>
      <w:r>
        <w:rPr>
          <w:rFonts w:hint="eastAsia"/>
          <w:color w:val="auto"/>
          <w:lang w:val="en-US" w:eastAsia="zh-CN"/>
        </w:rPr>
        <w:t>2.</w:t>
      </w:r>
      <w:r>
        <w:rPr>
          <w:rFonts w:hint="eastAsia"/>
          <w:color w:val="auto"/>
        </w:rPr>
        <w:t>主要内容及实施情况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w:t>
      </w:r>
      <w:r>
        <w:rPr>
          <w:rFonts w:hint="eastAsia" w:ascii="仿宋_GB2312" w:hAnsi="仿宋_GB2312" w:eastAsia="仿宋_GB2312" w:cs="仿宋_GB2312"/>
          <w:color w:val="auto"/>
          <w:sz w:val="30"/>
          <w:szCs w:val="30"/>
          <w:lang w:val="en-US" w:eastAsia="zh-CN"/>
        </w:rPr>
        <w:t>1、实施上户沟乡阜滋公路上户沟段50公里围栏建设；2、在九运街新湖村、东湾林业基地实施灌溉管网敷设，平整林地等工程；3、城关镇龙王庙西村基础设施项目、城关镇山坡村一期基础设施建设项目及畜牧产业园生态基础设施建设项目，主要实施土地平整、机械及人工、灌溉管网敷设等。本项目实施将降低土地盐碱化和土地沙化，促使农村剩余劳动力得到高效利用，提高劳动生产率。沿线阀门井26个等附属配套设施。</w:t>
      </w:r>
    </w:p>
    <w:p>
      <w:pPr>
        <w:bidi w:val="0"/>
        <w:rPr>
          <w:rFonts w:hint="eastAsia" w:ascii="仿宋_GB2312" w:hAnsi="仿宋_GB2312" w:eastAsia="仿宋_GB2312" w:cs="仿宋_GB2312"/>
          <w:color w:val="auto"/>
          <w:sz w:val="30"/>
          <w:szCs w:val="30"/>
          <w:highlight w:val="none"/>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w:t>
      </w:r>
      <w:r>
        <w:rPr>
          <w:rFonts w:hint="eastAsia" w:ascii="仿宋_GB2312" w:hAnsi="仿宋_GB2312" w:eastAsia="仿宋_GB2312" w:cs="仿宋_GB2312"/>
          <w:color w:val="auto"/>
          <w:sz w:val="30"/>
          <w:szCs w:val="30"/>
          <w:highlight w:val="none"/>
        </w:rPr>
        <w:t>该项目采取招标和直接委托方式确定合同单位。按照《中华人民共和国招标投标法》的规定,</w:t>
      </w:r>
      <w:r>
        <w:rPr>
          <w:rFonts w:hint="eastAsia" w:ascii="仿宋_GB2312" w:hAnsi="仿宋_GB2312" w:eastAsia="仿宋_GB2312" w:cs="仿宋_GB2312"/>
          <w:color w:val="auto"/>
          <w:sz w:val="30"/>
          <w:szCs w:val="30"/>
          <w:highlight w:val="none"/>
          <w:lang w:val="en-US" w:eastAsia="zh-CN"/>
        </w:rPr>
        <w:t>阜康市林业和草原局</w:t>
      </w:r>
      <w:r>
        <w:rPr>
          <w:rFonts w:hint="eastAsia" w:ascii="仿宋_GB2312" w:hAnsi="仿宋_GB2312" w:eastAsia="仿宋_GB2312" w:cs="仿宋_GB2312"/>
          <w:color w:val="auto"/>
          <w:sz w:val="30"/>
          <w:szCs w:val="30"/>
          <w:highlight w:val="none"/>
        </w:rPr>
        <w:t>委托</w:t>
      </w:r>
      <w:r>
        <w:rPr>
          <w:rFonts w:hint="eastAsia" w:ascii="仿宋_GB2312" w:hAnsi="仿宋_GB2312" w:eastAsia="仿宋_GB2312" w:cs="仿宋_GB2312"/>
          <w:color w:val="auto"/>
          <w:sz w:val="30"/>
          <w:szCs w:val="30"/>
          <w:highlight w:val="none"/>
          <w:lang w:val="en-US" w:eastAsia="zh-CN"/>
        </w:rPr>
        <w:t>新疆永盛祥工程招标代理有限公司</w:t>
      </w:r>
      <w:r>
        <w:rPr>
          <w:rFonts w:hint="eastAsia" w:ascii="仿宋_GB2312" w:hAnsi="仿宋_GB2312" w:eastAsia="仿宋_GB2312" w:cs="仿宋_GB2312"/>
          <w:color w:val="auto"/>
          <w:sz w:val="30"/>
          <w:szCs w:val="30"/>
          <w:highlight w:val="none"/>
        </w:rPr>
        <w:t>通过公开招标方式确定施工单位；采取直接委托方式确定设计单位、</w:t>
      </w:r>
      <w:r>
        <w:rPr>
          <w:rFonts w:hint="eastAsia" w:ascii="仿宋_GB2312" w:hAnsi="仿宋_GB2312" w:eastAsia="仿宋_GB2312" w:cs="仿宋_GB2312"/>
          <w:color w:val="auto"/>
          <w:sz w:val="30"/>
          <w:szCs w:val="30"/>
          <w:highlight w:val="none"/>
          <w:lang w:eastAsia="zh-CN"/>
        </w:rPr>
        <w:t>招标代理</w:t>
      </w:r>
      <w:r>
        <w:rPr>
          <w:rFonts w:hint="eastAsia" w:ascii="仿宋_GB2312" w:hAnsi="仿宋_GB2312" w:eastAsia="仿宋_GB2312" w:cs="仿宋_GB2312"/>
          <w:color w:val="auto"/>
          <w:sz w:val="30"/>
          <w:szCs w:val="30"/>
          <w:highlight w:val="none"/>
        </w:rPr>
        <w:t>单位等。</w:t>
      </w:r>
    </w:p>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highlight w:val="none"/>
          <w:shd w:val="clear" w:color="auto" w:fill="auto"/>
          <w:lang w:val="en-US" w:eastAsia="zh-CN"/>
        </w:rPr>
      </w:pPr>
      <w:r>
        <w:rPr>
          <w:rFonts w:hint="eastAsia" w:ascii="仿宋_GB2312" w:hAnsi="仿宋_GB2312" w:eastAsia="仿宋_GB2312" w:cs="仿宋_GB2312"/>
          <w:color w:val="auto"/>
          <w:sz w:val="30"/>
          <w:szCs w:val="30"/>
          <w:highlight w:val="none"/>
        </w:rPr>
        <w:t>①20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4月1日</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阜康市林业和草原局</w:t>
      </w:r>
      <w:r>
        <w:rPr>
          <w:rFonts w:hint="eastAsia" w:ascii="仿宋_GB2312" w:hAnsi="仿宋_GB2312" w:eastAsia="仿宋_GB2312" w:cs="仿宋_GB2312"/>
          <w:color w:val="auto"/>
          <w:sz w:val="30"/>
          <w:szCs w:val="30"/>
          <w:highlight w:val="none"/>
        </w:rPr>
        <w:t>与</w:t>
      </w:r>
      <w:r>
        <w:rPr>
          <w:rFonts w:hint="eastAsia" w:ascii="仿宋_GB2312" w:hAnsi="仿宋_GB2312" w:eastAsia="仿宋_GB2312" w:cs="仿宋_GB2312"/>
          <w:color w:val="auto"/>
          <w:sz w:val="30"/>
          <w:szCs w:val="30"/>
          <w:highlight w:val="none"/>
          <w:lang w:val="en-US" w:eastAsia="zh-CN"/>
        </w:rPr>
        <w:t>中地设计集团有限公司</w:t>
      </w:r>
      <w:r>
        <w:rPr>
          <w:rFonts w:hint="eastAsia" w:ascii="仿宋_GB2312" w:hAnsi="仿宋_GB2312" w:eastAsia="仿宋_GB2312" w:cs="仿宋_GB2312"/>
          <w:color w:val="auto"/>
          <w:sz w:val="30"/>
          <w:szCs w:val="30"/>
          <w:highlight w:val="none"/>
        </w:rPr>
        <w:t>签订</w:t>
      </w:r>
      <w:r>
        <w:rPr>
          <w:rFonts w:hint="eastAsia" w:ascii="仿宋_GB2312" w:hAnsi="仿宋_GB2312" w:eastAsia="仿宋_GB2312" w:cs="仿宋_GB2312"/>
          <w:color w:val="auto"/>
          <w:sz w:val="30"/>
          <w:szCs w:val="30"/>
          <w:lang w:val="en-US" w:eastAsia="zh-CN"/>
        </w:rPr>
        <w:t>昌吉州阜康市生态屏障基础设施建设项目</w:t>
      </w:r>
      <w:r>
        <w:rPr>
          <w:rFonts w:hint="eastAsia" w:ascii="仿宋_GB2312" w:hAnsi="仿宋_GB2312" w:eastAsia="仿宋_GB2312" w:cs="仿宋_GB2312"/>
          <w:color w:val="auto"/>
          <w:sz w:val="30"/>
          <w:szCs w:val="30"/>
          <w:highlight w:val="none"/>
          <w:lang w:eastAsia="zh-CN"/>
        </w:rPr>
        <w:t>设计合同</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②</w:t>
      </w: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25</w:t>
      </w:r>
      <w:r>
        <w:rPr>
          <w:rFonts w:hint="eastAsia" w:ascii="仿宋_GB2312" w:hAnsi="仿宋_GB2312" w:eastAsia="仿宋_GB2312" w:cs="仿宋_GB2312"/>
          <w:color w:val="auto"/>
          <w:sz w:val="30"/>
          <w:szCs w:val="30"/>
          <w:highlight w:val="none"/>
        </w:rPr>
        <w:t>日,</w:t>
      </w:r>
      <w:r>
        <w:rPr>
          <w:rFonts w:hint="eastAsia" w:ascii="仿宋_GB2312" w:hAnsi="仿宋_GB2312" w:eastAsia="仿宋_GB2312" w:cs="仿宋_GB2312"/>
          <w:color w:val="auto"/>
          <w:sz w:val="30"/>
          <w:szCs w:val="30"/>
          <w:highlight w:val="none"/>
          <w:lang w:val="en-US" w:eastAsia="zh-CN"/>
        </w:rPr>
        <w:t>阜康市林业和草原局</w:t>
      </w:r>
      <w:r>
        <w:rPr>
          <w:rFonts w:hint="eastAsia" w:ascii="仿宋_GB2312" w:hAnsi="仿宋_GB2312" w:eastAsia="仿宋_GB2312" w:cs="仿宋_GB2312"/>
          <w:color w:val="auto"/>
          <w:sz w:val="30"/>
          <w:szCs w:val="30"/>
          <w:highlight w:val="none"/>
        </w:rPr>
        <w:t>与</w:t>
      </w:r>
      <w:r>
        <w:rPr>
          <w:rFonts w:hint="eastAsia" w:ascii="仿宋_GB2312" w:hAnsi="仿宋_GB2312" w:eastAsia="仿宋_GB2312" w:cs="仿宋_GB2312"/>
          <w:color w:val="auto"/>
          <w:sz w:val="30"/>
          <w:szCs w:val="30"/>
          <w:highlight w:val="none"/>
          <w:lang w:val="en-US" w:eastAsia="zh-CN"/>
        </w:rPr>
        <w:t>新疆吉安顺建设工程有限公司</w:t>
      </w:r>
      <w:r>
        <w:rPr>
          <w:rFonts w:hint="eastAsia" w:ascii="仿宋_GB2312" w:hAnsi="仿宋_GB2312" w:eastAsia="仿宋_GB2312" w:cs="仿宋_GB2312"/>
          <w:color w:val="auto"/>
          <w:sz w:val="30"/>
          <w:szCs w:val="30"/>
          <w:highlight w:val="none"/>
        </w:rPr>
        <w:t>签订</w:t>
      </w:r>
      <w:r>
        <w:rPr>
          <w:rFonts w:hint="eastAsia" w:ascii="仿宋_GB2312" w:hAnsi="仿宋_GB2312" w:eastAsia="仿宋_GB2312" w:cs="仿宋_GB2312"/>
          <w:color w:val="auto"/>
          <w:sz w:val="30"/>
          <w:szCs w:val="30"/>
          <w:lang w:val="en-US" w:eastAsia="zh-CN"/>
        </w:rPr>
        <w:t>昌吉州阜康市生态屏障基础设施建设项目</w:t>
      </w:r>
      <w:r>
        <w:rPr>
          <w:rFonts w:hint="eastAsia" w:ascii="仿宋_GB2312" w:hAnsi="仿宋_GB2312" w:eastAsia="仿宋_GB2312" w:cs="仿宋_GB2312"/>
          <w:color w:val="auto"/>
          <w:sz w:val="30"/>
          <w:szCs w:val="30"/>
          <w:highlight w:val="none"/>
          <w:lang w:eastAsia="zh-CN"/>
        </w:rPr>
        <w:t>施工合同</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该项目于2022年4月开展前期准备工作，2022年5月正式开工，现在该项目已完成95%的项目施工建设，剩余5%围栏为不影响春季任务结束后拉设。</w:t>
      </w:r>
    </w:p>
    <w:p>
      <w:pPr>
        <w:bidi w:val="0"/>
        <w:rPr>
          <w:rFonts w:hint="eastAsia"/>
          <w:color w:val="auto"/>
          <w:lang w:val="en-US" w:eastAsia="zh-CN"/>
        </w:rPr>
      </w:pPr>
      <w:r>
        <w:rPr>
          <w:rFonts w:hint="eastAsia"/>
          <w:color w:val="auto"/>
          <w:lang w:val="en-US" w:eastAsia="zh-CN"/>
        </w:rPr>
        <w:t>3.资金投入和使用情况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昌吉州阜康市生态屏障基础设施建设项目预算安排总额为</w:t>
      </w:r>
      <w:r>
        <w:rPr>
          <w:rFonts w:hint="eastAsia" w:cs="宋体"/>
          <w:color w:val="auto"/>
          <w:highlight w:val="none"/>
          <w:shd w:val="clear" w:color="auto" w:fill="auto"/>
          <w:lang w:val="en-US" w:eastAsia="zh-CN"/>
        </w:rPr>
        <w:t>1000</w:t>
      </w:r>
      <w:r>
        <w:rPr>
          <w:rFonts w:hint="eastAsia" w:ascii="宋体" w:hAnsi="宋体" w:eastAsia="宋体" w:cs="宋体"/>
          <w:color w:val="auto"/>
          <w:highlight w:val="none"/>
          <w:shd w:val="clear" w:color="auto" w:fill="auto"/>
          <w:lang w:val="en-US" w:eastAsia="zh-CN"/>
        </w:rPr>
        <w:t>万元，其中地方性政府一般债资金</w:t>
      </w:r>
      <w:r>
        <w:rPr>
          <w:rFonts w:hint="eastAsia" w:cs="宋体"/>
          <w:color w:val="auto"/>
          <w:highlight w:val="none"/>
          <w:shd w:val="clear" w:color="auto" w:fill="auto"/>
          <w:lang w:val="en-US" w:eastAsia="zh-CN"/>
        </w:rPr>
        <w:t>1000</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300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2022</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1000</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截止2022年12月31日，昌吉州阜康市生态屏障基础设施建设项目</w:t>
      </w:r>
      <w:r>
        <w:rPr>
          <w:rFonts w:hint="eastAsia" w:ascii="宋体" w:hAnsi="宋体" w:eastAsia="宋体" w:cs="宋体"/>
          <w:color w:val="auto"/>
          <w:highlight w:val="none"/>
          <w:shd w:val="clear" w:color="auto" w:fill="auto"/>
        </w:rPr>
        <w:t>实际支付资金</w:t>
      </w:r>
      <w:r>
        <w:rPr>
          <w:rFonts w:hint="eastAsia" w:cs="宋体"/>
          <w:color w:val="auto"/>
          <w:highlight w:val="none"/>
          <w:shd w:val="clear" w:color="auto" w:fill="auto"/>
          <w:lang w:val="en-US" w:eastAsia="zh-CN"/>
        </w:rPr>
        <w:t>1000</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项目资金主要用于</w:t>
      </w:r>
      <w:r>
        <w:rPr>
          <w:rFonts w:hint="eastAsia" w:ascii="宋体" w:hAnsi="宋体" w:eastAsia="宋体" w:cs="宋体"/>
          <w:color w:val="auto"/>
          <w:highlight w:val="none"/>
          <w:shd w:val="clear" w:color="auto" w:fill="auto"/>
          <w:lang w:val="en-US" w:eastAsia="zh-CN"/>
        </w:rPr>
        <w:t>基础设施建设</w:t>
      </w:r>
      <w:r>
        <w:rPr>
          <w:rFonts w:hint="eastAsia" w:cs="宋体"/>
          <w:color w:val="auto"/>
          <w:highlight w:val="none"/>
          <w:shd w:val="clear" w:color="auto" w:fill="auto"/>
          <w:lang w:val="en-US" w:eastAsia="zh-CN"/>
        </w:rPr>
        <w:t>等方面。</w:t>
      </w:r>
    </w:p>
    <w:p>
      <w:pPr>
        <w:pStyle w:val="5"/>
        <w:pageBreakBefore w:val="0"/>
        <w:numPr>
          <w:ilvl w:val="0"/>
          <w:numId w:val="1"/>
        </w:numPr>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项目绩效目标</w:t>
      </w:r>
    </w:p>
    <w:p>
      <w:pPr>
        <w:pStyle w:val="6"/>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1.总体目标</w:t>
      </w:r>
    </w:p>
    <w:p>
      <w:pPr>
        <w:pageBreakBefore w:val="0"/>
        <w:kinsoku/>
        <w:wordWrap/>
        <w:overflowPunct/>
        <w:topLinePunct w:val="0"/>
        <w:autoSpaceDE/>
        <w:autoSpaceDN/>
        <w:bidi w:val="0"/>
        <w:adjustRightInd/>
        <w:snapToGrid/>
        <w:spacing w:line="560" w:lineRule="exact"/>
        <w:ind w:firstLine="640"/>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昌吉州阜康市生态屏障基础设施建设项目绩效总体目标为：</w:t>
      </w:r>
      <w:r>
        <w:rPr>
          <w:rFonts w:hint="eastAsia" w:ascii="仿宋_GB2312" w:hAnsi="仿宋_GB2312" w:eastAsia="仿宋_GB2312" w:cs="仿宋_GB2312"/>
          <w:bCs/>
          <w:color w:val="auto"/>
          <w:sz w:val="30"/>
          <w:szCs w:val="30"/>
          <w:lang w:val="en-US" w:eastAsia="zh-CN"/>
        </w:rPr>
        <w:t>1、</w:t>
      </w:r>
      <w:r>
        <w:rPr>
          <w:rFonts w:hint="eastAsia" w:ascii="仿宋_GB2312" w:hAnsi="仿宋_GB2312" w:eastAsia="仿宋_GB2312" w:cs="仿宋_GB2312"/>
          <w:bCs/>
          <w:color w:val="auto"/>
          <w:sz w:val="30"/>
          <w:szCs w:val="30"/>
          <w:lang w:eastAsia="zh-CN"/>
        </w:rPr>
        <w:t>实施上户沟乡阜滋公路上户沟段50公里围栏建设；2、在九运街新湖村、东湾林业基地实施灌溉管网敷设，平整林地等工程；3、城关镇龙王庙西村基础设施项目、城关镇山坡村一期基础设施建设项目及畜牧产业园生态基础设施建设项目，主要实施土地平整、机械及人工、灌溉管网敷设等。本项目实施将降低土地盐碱化和土地沙化，促使农村剩余劳动力得到高效利用，提高劳动生产率。</w:t>
      </w:r>
      <w:r>
        <w:rPr>
          <w:rFonts w:hint="eastAsia" w:ascii="仿宋_GB2312" w:hAnsi="仿宋_GB2312" w:eastAsia="仿宋_GB2312" w:cs="仿宋_GB2312"/>
          <w:bCs/>
          <w:color w:val="auto"/>
          <w:sz w:val="30"/>
          <w:szCs w:val="30"/>
        </w:rPr>
        <w:t>沿线阀门井26个等附属配套设施。</w:t>
      </w:r>
    </w:p>
    <w:p>
      <w:pPr>
        <w:pStyle w:val="6"/>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2.阶段性目标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城关镇龙王庙西村基础设施项目面积92004㎡；城关镇山坡村一期基础设施建设项目面积70026㎡；畜牧产业园生态基础设施建设项目面积273521㎡；畜牧产业园生态基础设施建设项目围栏面积7650㎡。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pPr>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项目（工程）验收合格率</w:t>
      </w:r>
      <w:r>
        <w:rPr>
          <w:rFonts w:hint="eastAsia" w:ascii="仿宋_GB2312" w:hAnsi="仿宋_GB2312" w:eastAsia="仿宋_GB2312" w:cs="仿宋_GB2312"/>
          <w:color w:val="auto"/>
          <w:sz w:val="30"/>
          <w:szCs w:val="30"/>
          <w:lang w:val="en-US" w:eastAsia="zh-CN"/>
        </w:rPr>
        <w:t>100</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pPr>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项目完成时间</w:t>
      </w:r>
      <w:r>
        <w:rPr>
          <w:rFonts w:hint="eastAsia" w:ascii="仿宋_GB2312" w:hAnsi="仿宋_GB2312" w:eastAsia="仿宋_GB2312" w:cs="仿宋_GB2312"/>
          <w:color w:val="auto"/>
          <w:sz w:val="30"/>
          <w:szCs w:val="30"/>
          <w:lang w:val="en-US" w:eastAsia="zh-CN"/>
        </w:rPr>
        <w:t>2023.4、</w:t>
      </w:r>
      <w:r>
        <w:rPr>
          <w:rFonts w:hint="eastAsia" w:ascii="仿宋_GB2312" w:hAnsi="仿宋_GB2312" w:eastAsia="仿宋_GB2312" w:cs="仿宋_GB2312"/>
          <w:color w:val="auto"/>
          <w:sz w:val="30"/>
          <w:szCs w:val="30"/>
        </w:rPr>
        <w:t>项目完成及时率</w:t>
      </w:r>
      <w:r>
        <w:rPr>
          <w:rFonts w:hint="eastAsia" w:ascii="仿宋_GB2312" w:hAnsi="仿宋_GB2312" w:eastAsia="仿宋_GB2312" w:cs="仿宋_GB2312"/>
          <w:color w:val="auto"/>
          <w:sz w:val="30"/>
          <w:szCs w:val="30"/>
          <w:lang w:val="en-US" w:eastAsia="zh-CN"/>
        </w:rPr>
        <w:t>100</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④成本指标</w:t>
      </w:r>
    </w:p>
    <w:p>
      <w:pPr>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城关镇龙王庙西村基础设施成本</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城关镇山坡村一期基础设施建设成本</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畜牧产业园生态基础设施建设成本</w:t>
      </w:r>
      <w:r>
        <w:rPr>
          <w:rFonts w:hint="eastAsia" w:ascii="仿宋_GB2312" w:hAnsi="仿宋_GB2312" w:eastAsia="仿宋_GB2312" w:cs="仿宋_GB2312"/>
          <w:color w:val="auto"/>
          <w:sz w:val="30"/>
          <w:szCs w:val="30"/>
          <w:lang w:eastAsia="zh-CN"/>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①可持续影响</w:t>
      </w:r>
    </w:p>
    <w:p>
      <w:pPr>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项目工程使用年限≥</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eastAsia="zh-CN"/>
        </w:rPr>
        <w:t>；</w:t>
      </w:r>
    </w:p>
    <w:p>
      <w:pPr>
        <w:pStyle w:val="2"/>
        <w:rPr>
          <w:rFonts w:hint="eastAsia"/>
          <w:color w:val="auto"/>
          <w:lang w:val="en-US" w:eastAsia="zh-CN"/>
        </w:rPr>
      </w:pPr>
      <w:r>
        <w:rPr>
          <w:rFonts w:hint="eastAsia" w:ascii="宋体" w:hAnsi="宋体" w:eastAsia="宋体" w:cs="宋体"/>
          <w:color w:val="auto"/>
          <w:highlight w:val="none"/>
          <w:shd w:val="clear" w:color="auto" w:fill="auto"/>
          <w:lang w:val="en-US" w:eastAsia="zh-CN"/>
        </w:rPr>
        <w:t>②</w:t>
      </w:r>
      <w:r>
        <w:rPr>
          <w:rFonts w:hint="eastAsia"/>
          <w:color w:val="auto"/>
          <w:lang w:val="en-US" w:eastAsia="zh-CN"/>
        </w:rPr>
        <w:t>社会效益指标</w:t>
      </w:r>
    </w:p>
    <w:p>
      <w:pPr>
        <w:pStyle w:val="3"/>
        <w:ind w:firstLine="560" w:firstLineChars="200"/>
        <w:rPr>
          <w:rFonts w:hint="eastAsia"/>
          <w:color w:val="auto"/>
          <w:lang w:val="en-US" w:eastAsia="zh-CN"/>
        </w:rPr>
      </w:pPr>
      <w:r>
        <w:rPr>
          <w:rFonts w:hint="eastAsia"/>
          <w:color w:val="auto"/>
          <w:lang w:val="en-US" w:eastAsia="zh-CN"/>
        </w:rPr>
        <w:t>是否进一步改善阜康市的生态环境，拉动地方经济，实现生态、经济、社会三大效益协调统一.</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是否改善项目区域人居环境，为阜康市项目周边环境发展提供基础保障，为今后阜康市生态环境改善及可持续发展创造有利条件。</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满意度指标</w:t>
      </w:r>
    </w:p>
    <w:p>
      <w:pPr>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受益</w:t>
      </w:r>
      <w:r>
        <w:rPr>
          <w:rFonts w:hint="eastAsia" w:ascii="仿宋_GB2312" w:hAnsi="仿宋_GB2312" w:eastAsia="仿宋_GB2312" w:cs="仿宋_GB2312"/>
          <w:color w:val="auto"/>
          <w:sz w:val="30"/>
          <w:szCs w:val="30"/>
          <w:lang w:eastAsia="zh-CN"/>
        </w:rPr>
        <w:t>群众</w:t>
      </w:r>
      <w:r>
        <w:rPr>
          <w:rFonts w:hint="eastAsia" w:ascii="仿宋_GB2312" w:hAnsi="仿宋_GB2312" w:eastAsia="仿宋_GB2312" w:cs="仿宋_GB2312"/>
          <w:color w:val="auto"/>
          <w:sz w:val="30"/>
          <w:szCs w:val="30"/>
        </w:rPr>
        <w:t>满意度≥</w:t>
      </w:r>
      <w:r>
        <w:rPr>
          <w:rFonts w:hint="eastAsia" w:ascii="仿宋_GB2312" w:hAnsi="仿宋_GB2312" w:eastAsia="仿宋_GB2312" w:cs="仿宋_GB2312"/>
          <w:color w:val="auto"/>
          <w:sz w:val="30"/>
          <w:szCs w:val="30"/>
          <w:lang w:val="en-US" w:eastAsia="zh-CN"/>
        </w:rPr>
        <w:t>95</w:t>
      </w:r>
      <w:r>
        <w:rPr>
          <w:rFonts w:hint="eastAsia" w:ascii="仿宋_GB2312" w:hAnsi="仿宋_GB2312" w:eastAsia="仿宋_GB2312" w:cs="仿宋_GB2312"/>
          <w:color w:val="auto"/>
          <w:sz w:val="30"/>
          <w:szCs w:val="30"/>
        </w:rPr>
        <w:t>%。</w:t>
      </w:r>
    </w:p>
    <w:p>
      <w:pPr>
        <w:pStyle w:val="4"/>
        <w:bidi w:val="0"/>
        <w:rPr>
          <w:rFonts w:hint="eastAsia" w:ascii="宋体" w:hAnsi="宋体" w:eastAsia="宋体" w:cs="宋体"/>
          <w:b/>
          <w:bCs/>
          <w:color w:val="auto"/>
          <w:lang w:val="en-US" w:eastAsia="zh-CN"/>
        </w:rPr>
      </w:pPr>
      <w:r>
        <w:rPr>
          <w:rFonts w:hint="eastAsia" w:ascii="宋体" w:hAnsi="宋体" w:eastAsia="宋体" w:cs="宋体"/>
          <w:b/>
          <w:bCs/>
          <w:color w:val="auto"/>
        </w:rPr>
        <w:t>二、绩效评价工作开展情况</w:t>
      </w:r>
    </w:p>
    <w:p>
      <w:pPr>
        <w:pStyle w:val="5"/>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0" w:name="_Toc22922"/>
      <w:bookmarkStart w:id="1" w:name="_Toc480473081"/>
      <w:bookmarkStart w:id="2" w:name="_Toc5258"/>
      <w:bookmarkStart w:id="3" w:name="_Toc5462343"/>
      <w:bookmarkStart w:id="4" w:name="_Toc21664"/>
      <w:bookmarkStart w:id="5" w:name="_Toc22169_WPSOffice_Level2"/>
      <w:bookmarkStart w:id="6" w:name="_Toc12868"/>
      <w:bookmarkStart w:id="7" w:name="_Toc26632"/>
      <w:r>
        <w:rPr>
          <w:rFonts w:hint="eastAsia" w:ascii="宋体" w:hAnsi="宋体" w:eastAsia="宋体" w:cs="宋体"/>
          <w:color w:val="auto"/>
          <w:sz w:val="32"/>
          <w:szCs w:val="32"/>
          <w:highlight w:val="none"/>
          <w:shd w:val="clear" w:color="auto" w:fill="auto"/>
          <w:lang w:eastAsia="zh-CN"/>
        </w:rPr>
        <w:t>绩效评价的目的</w:t>
      </w:r>
      <w:bookmarkEnd w:id="0"/>
      <w:bookmarkEnd w:id="1"/>
      <w:bookmarkEnd w:id="2"/>
      <w:bookmarkEnd w:id="3"/>
      <w:bookmarkEnd w:id="4"/>
      <w:bookmarkEnd w:id="5"/>
      <w:bookmarkEnd w:id="6"/>
      <w:bookmarkEnd w:id="7"/>
      <w:r>
        <w:rPr>
          <w:rFonts w:hint="eastAsia" w:ascii="宋体" w:hAnsi="宋体" w:eastAsia="宋体" w:cs="宋体"/>
          <w:color w:val="auto"/>
          <w:sz w:val="32"/>
          <w:szCs w:val="32"/>
          <w:highlight w:val="none"/>
          <w:shd w:val="clear" w:color="auto" w:fill="auto"/>
          <w:lang w:eastAsia="zh-CN"/>
        </w:rPr>
        <w:t>、对象和范围</w:t>
      </w:r>
    </w:p>
    <w:p>
      <w:pPr>
        <w:pStyle w:val="6"/>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2.绩效评价的对象和范围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2022</w:t>
      </w:r>
      <w:r>
        <w:rPr>
          <w:rFonts w:hint="eastAsia" w:ascii="宋体" w:hAnsi="宋体" w:eastAsia="宋体" w:cs="宋体"/>
          <w:color w:val="auto"/>
          <w:highlight w:val="none"/>
          <w:shd w:val="clear" w:color="auto" w:fill="auto"/>
          <w:lang w:val="en-US" w:eastAsia="zh-CN"/>
        </w:rPr>
        <w:t>年度我单位实施的昌吉州阜康市生态屏障基础设施建设项目开展部门绩效评价。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5"/>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p>
    <w:p>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ascii="宋体" w:hAnsi="宋体" w:eastAsia="宋体" w:cs="宋体"/>
          <w:color w:val="auto"/>
          <w:highlight w:val="none"/>
          <w:shd w:val="clear" w:color="auto" w:fill="auto"/>
          <w:lang w:val="en-US" w:eastAsia="zh-CN"/>
        </w:rPr>
        <w:t>昌吉州阜康市生态屏障基础设施建设项目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8" w:name="_Toc428278230"/>
      <w:bookmarkStart w:id="9" w:name="_Toc419984722"/>
      <w:bookmarkStart w:id="10" w:name="_Toc26131"/>
      <w:bookmarkStart w:id="11" w:name="_Toc1913"/>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8"/>
      <w:bookmarkEnd w:id="9"/>
      <w:bookmarkEnd w:id="10"/>
      <w:bookmarkEnd w:id="11"/>
      <w:r>
        <w:rPr>
          <w:rFonts w:hint="eastAsia" w:ascii="宋体" w:hAnsi="宋体" w:eastAsia="宋体" w:cs="宋体"/>
          <w:color w:val="auto"/>
          <w:highlight w:val="none"/>
          <w:shd w:val="clear" w:color="auto" w:fill="auto"/>
          <w:lang w:val="en-US" w:eastAsia="zh-CN"/>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pPr>
        <w:jc w:val="center"/>
        <w:rPr>
          <w:rFonts w:hint="default"/>
          <w:b/>
          <w:bCs/>
          <w:color w:val="auto"/>
          <w:sz w:val="28"/>
          <w:szCs w:val="28"/>
          <w:lang w:val="en-US" w:eastAsia="zh-CN"/>
        </w:rPr>
      </w:pPr>
      <w:r>
        <w:rPr>
          <w:rFonts w:hint="eastAsia"/>
          <w:b/>
          <w:bCs/>
          <w:color w:val="auto"/>
          <w:sz w:val="28"/>
          <w:szCs w:val="28"/>
          <w:lang w:val="zh-TW" w:eastAsia="zh-TW"/>
        </w:rPr>
        <w:t>项目绩效评价指标体系</w:t>
      </w:r>
    </w:p>
    <w:tbl>
      <w:tblPr>
        <w:tblStyle w:val="11"/>
        <w:tblW w:w="867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70" w:hRule="atLeast"/>
          <w:tblHeader/>
          <w:jc w:val="center"/>
        </w:trPr>
        <w:tc>
          <w:tcPr>
            <w:tcW w:w="642"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44"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9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768"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77"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restart"/>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2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49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7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45"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66"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对项目绩效目标预期指标值与实施情况进行比较，以及采取公众问卷及抽样调查等方式进行评判的方法对昌吉州阜康市生态屏障基础设施建设项目进行评价。</w:t>
      </w:r>
    </w:p>
    <w:p>
      <w:pPr>
        <w:pStyle w:val="6"/>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pPr>
        <w:pStyle w:val="6"/>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1.前期准备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昌吉州阜康市生态屏障基础设施建设项目实施内容、目标信息、预算信息以及其他的一些项目基本信息，有了初步了解，为制定绩效评价工作方案做好准备。</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2.具体实施</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default"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b w:val="0"/>
          <w:bCs w:val="0"/>
          <w:color w:val="auto"/>
          <w:sz w:val="28"/>
          <w:szCs w:val="28"/>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p>
    <w:p>
      <w:pPr>
        <w:pStyle w:val="4"/>
        <w:pageBreakBefore w:val="0"/>
        <w:numPr>
          <w:ilvl w:val="0"/>
          <w:numId w:val="3"/>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综合评价情况及评价结论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对昌吉州阜康市生态屏障基础设施建设项目绩效进行客观评价，最终评分结果：总分为</w:t>
      </w:r>
      <w:r>
        <w:rPr>
          <w:rFonts w:hint="eastAsia" w:ascii="宋体" w:hAnsi="宋体" w:eastAsia="宋体"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tblInd w:w="0" w:type="dxa"/>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Layout w:type="fixed"/>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表3-1：昌吉州阜康市生态屏障基础设施建设项目得分表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r>
    </w:tbl>
    <w:p>
      <w:pPr>
        <w:pStyle w:val="4"/>
        <w:keepNext/>
        <w:keepLines/>
        <w:pageBreakBefore w:val="0"/>
        <w:widowControl w:val="0"/>
        <w:kinsoku/>
        <w:wordWrap/>
        <w:overflowPunct/>
        <w:topLinePunct w:val="0"/>
        <w:autoSpaceDE/>
        <w:autoSpaceDN/>
        <w:bidi w:val="0"/>
        <w:adjustRightInd/>
        <w:snapToGrid/>
        <w:spacing w:beforeLines="0" w:afterLines="0" w:line="360" w:lineRule="auto"/>
        <w:ind w:left="0" w:leftChars="0" w:firstLine="643" w:firstLineChars="200"/>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四、绩效评价指标分析</w:t>
      </w:r>
    </w:p>
    <w:p>
      <w:pPr>
        <w:pStyle w:val="5"/>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20</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1"/>
        <w:tblW w:w="8447" w:type="dxa"/>
        <w:jc w:val="center"/>
        <w:tblInd w:w="0" w:type="dxa"/>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Layout w:type="fixed"/>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Layout w:type="fixed"/>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lang w:val="en-US" w:eastAsia="zh-CN"/>
        </w:rPr>
      </w:pPr>
      <w:r>
        <w:rPr>
          <w:rFonts w:hint="eastAsia"/>
          <w:b/>
          <w:bCs/>
          <w:color w:val="auto"/>
          <w:lang w:val="en-US" w:eastAsia="zh-CN"/>
        </w:rPr>
        <w:t>1.立项依据充分性</w:t>
      </w:r>
    </w:p>
    <w:p>
      <w:pPr>
        <w:bidi w:val="0"/>
        <w:rPr>
          <w:rFonts w:hint="eastAsia"/>
          <w:color w:val="auto"/>
          <w:lang w:eastAsia="zh-CN"/>
        </w:rPr>
      </w:pPr>
      <w:r>
        <w:rPr>
          <w:rFonts w:hint="eastAsia"/>
          <w:color w:val="auto"/>
          <w:lang w:eastAsia="zh-CN"/>
        </w:rPr>
        <w:t>①项目立项符合国家法律法规、国民经济发展规划和相关政策；</w:t>
      </w:r>
    </w:p>
    <w:p>
      <w:pPr>
        <w:bidi w:val="0"/>
        <w:rPr>
          <w:rFonts w:hint="eastAsia"/>
          <w:color w:val="auto"/>
          <w:lang w:eastAsia="zh-CN"/>
        </w:rPr>
      </w:pPr>
      <w:r>
        <w:rPr>
          <w:rFonts w:hint="eastAsia"/>
          <w:color w:val="auto"/>
          <w:lang w:eastAsia="zh-CN"/>
        </w:rPr>
        <w:t>②项目立项符合行业发展规划和政策要求；</w:t>
      </w:r>
    </w:p>
    <w:p>
      <w:pPr>
        <w:bidi w:val="0"/>
        <w:rPr>
          <w:rFonts w:hint="eastAsia"/>
          <w:color w:val="auto"/>
          <w:lang w:eastAsia="zh-CN"/>
        </w:rPr>
      </w:pPr>
      <w:r>
        <w:rPr>
          <w:rFonts w:hint="eastAsia"/>
          <w:color w:val="auto"/>
          <w:lang w:eastAsia="zh-CN"/>
        </w:rPr>
        <w:t>③项目立项与部门职责范围相符，属于部门履职所需；</w:t>
      </w:r>
    </w:p>
    <w:p>
      <w:pPr>
        <w:bidi w:val="0"/>
        <w:rPr>
          <w:rFonts w:hint="eastAsia"/>
          <w:color w:val="auto"/>
          <w:lang w:eastAsia="zh-CN"/>
        </w:rPr>
      </w:pPr>
      <w:r>
        <w:rPr>
          <w:rFonts w:hint="eastAsia"/>
          <w:color w:val="auto"/>
          <w:lang w:eastAsia="zh-CN"/>
        </w:rPr>
        <w:t>④项目属于公共财政支持范围，符合中央、地方事权支出责任划分原则；</w:t>
      </w:r>
    </w:p>
    <w:p>
      <w:pPr>
        <w:bidi w:val="0"/>
        <w:rPr>
          <w:rFonts w:hint="eastAsia"/>
          <w:color w:val="auto"/>
          <w:lang w:eastAsia="zh-CN"/>
        </w:rPr>
      </w:pPr>
      <w:r>
        <w:rPr>
          <w:rFonts w:hint="eastAsia"/>
          <w:color w:val="auto"/>
          <w:lang w:eastAsia="zh-CN"/>
        </w:rPr>
        <w:t>⑤项目与部门内部相关项目</w:t>
      </w:r>
      <w:r>
        <w:rPr>
          <w:rFonts w:hint="eastAsia"/>
          <w:color w:val="auto"/>
          <w:lang w:val="en-US" w:eastAsia="zh-CN"/>
        </w:rPr>
        <w:t>不</w:t>
      </w:r>
      <w:r>
        <w:rPr>
          <w:rFonts w:hint="eastAsia"/>
          <w:color w:val="auto"/>
          <w:lang w:eastAsia="zh-CN"/>
        </w:rPr>
        <w:t>重复。</w:t>
      </w:r>
    </w:p>
    <w:p>
      <w:pPr>
        <w:bidi w:val="0"/>
        <w:rPr>
          <w:rFonts w:hint="default"/>
          <w:color w:val="auto"/>
          <w:lang w:val="en-US" w:eastAsia="zh-CN"/>
        </w:rPr>
      </w:pPr>
      <w:r>
        <w:rPr>
          <w:rFonts w:hint="eastAsia"/>
          <w:b/>
          <w:bCs/>
          <w:color w:val="auto"/>
          <w:lang w:val="en-US" w:eastAsia="zh-CN"/>
        </w:rPr>
        <w:t>综上，该项指标满分2分，得分2分。</w:t>
      </w:r>
    </w:p>
    <w:p>
      <w:pPr>
        <w:bidi w:val="0"/>
        <w:rPr>
          <w:rFonts w:hint="default"/>
          <w:b/>
          <w:bCs/>
          <w:color w:val="auto"/>
          <w:lang w:val="en-US" w:eastAsia="zh-CN"/>
        </w:rPr>
      </w:pPr>
      <w:r>
        <w:rPr>
          <w:rFonts w:hint="eastAsia"/>
          <w:b/>
          <w:bCs/>
          <w:color w:val="auto"/>
          <w:lang w:val="en-US" w:eastAsia="zh-CN"/>
        </w:rPr>
        <w:t>2.立项程序规范性</w:t>
      </w:r>
    </w:p>
    <w:p>
      <w:pPr>
        <w:bidi w:val="0"/>
        <w:rPr>
          <w:rFonts w:hint="eastAsia"/>
          <w:color w:val="auto"/>
          <w:lang w:eastAsia="zh-CN"/>
        </w:rPr>
      </w:pPr>
      <w:r>
        <w:rPr>
          <w:rFonts w:hint="eastAsia"/>
          <w:color w:val="auto"/>
          <w:lang w:eastAsia="zh-CN"/>
        </w:rPr>
        <w:t>①项目按照规定的程序申请设立；</w:t>
      </w:r>
    </w:p>
    <w:p>
      <w:pPr>
        <w:bidi w:val="0"/>
        <w:rPr>
          <w:rFonts w:hint="eastAsia"/>
          <w:color w:val="auto"/>
          <w:lang w:eastAsia="zh-CN"/>
        </w:rPr>
      </w:pPr>
      <w:r>
        <w:rPr>
          <w:rFonts w:hint="eastAsia"/>
          <w:color w:val="auto"/>
          <w:lang w:eastAsia="zh-CN"/>
        </w:rPr>
        <w:t>②审批文件、材料符合相关要求；</w:t>
      </w:r>
    </w:p>
    <w:p>
      <w:pPr>
        <w:bidi w:val="0"/>
        <w:rPr>
          <w:rFonts w:hint="eastAsia" w:ascii="宋体" w:hAnsi="宋体" w:eastAsia="宋体" w:cs="宋体"/>
          <w:color w:val="auto"/>
          <w:lang w:eastAsia="zh-CN"/>
        </w:rPr>
      </w:pPr>
      <w:r>
        <w:rPr>
          <w:rFonts w:hint="eastAsia" w:ascii="宋体" w:hAnsi="宋体" w:eastAsia="宋体" w:cs="宋体"/>
          <w:color w:val="auto"/>
          <w:lang w:eastAsia="zh-CN"/>
        </w:rPr>
        <w:t>③事前经过必要的可行性研究、集体决策。</w:t>
      </w:r>
    </w:p>
    <w:p>
      <w:pPr>
        <w:bidi w:val="0"/>
        <w:rPr>
          <w:rFonts w:hint="eastAsia"/>
          <w:color w:val="auto"/>
          <w:lang w:eastAsia="zh-CN"/>
        </w:rPr>
      </w:pPr>
      <w:r>
        <w:rPr>
          <w:rFonts w:hint="eastAsia"/>
          <w:b/>
          <w:bCs/>
          <w:color w:val="auto"/>
          <w:lang w:val="en-US" w:eastAsia="zh-CN"/>
        </w:rPr>
        <w:t>综上，该项指标满分3分，得分3分。</w:t>
      </w:r>
    </w:p>
    <w:p>
      <w:pPr>
        <w:bidi w:val="0"/>
        <w:rPr>
          <w:rFonts w:hint="default"/>
          <w:b/>
          <w:bCs/>
          <w:color w:val="auto"/>
          <w:lang w:val="en-US" w:eastAsia="zh-CN"/>
        </w:rPr>
      </w:pPr>
      <w:r>
        <w:rPr>
          <w:rFonts w:hint="eastAsia"/>
          <w:b/>
          <w:bCs/>
          <w:color w:val="auto"/>
          <w:lang w:val="en-US" w:eastAsia="zh-CN"/>
        </w:rPr>
        <w:t>3.绩效目标合理性</w:t>
      </w:r>
    </w:p>
    <w:p>
      <w:pPr>
        <w:bidi w:val="0"/>
        <w:rPr>
          <w:rFonts w:hint="eastAsia"/>
          <w:color w:val="auto"/>
          <w:lang w:eastAsia="zh-CN"/>
        </w:rPr>
      </w:pPr>
      <w:r>
        <w:rPr>
          <w:rFonts w:hint="eastAsia"/>
          <w:color w:val="auto"/>
          <w:lang w:eastAsia="zh-CN"/>
        </w:rPr>
        <w:t>①项目有绩效目标；</w:t>
      </w:r>
    </w:p>
    <w:p>
      <w:pPr>
        <w:bidi w:val="0"/>
        <w:rPr>
          <w:rFonts w:hint="eastAsia"/>
          <w:color w:val="auto"/>
          <w:lang w:eastAsia="zh-CN"/>
        </w:rPr>
      </w:pPr>
      <w:r>
        <w:rPr>
          <w:rFonts w:hint="eastAsia"/>
          <w:color w:val="auto"/>
          <w:lang w:eastAsia="zh-CN"/>
        </w:rPr>
        <w:t>②项目绩效目标与实际工作内容具有相关性；</w:t>
      </w:r>
    </w:p>
    <w:p>
      <w:pPr>
        <w:bidi w:val="0"/>
        <w:rPr>
          <w:rFonts w:hint="eastAsia"/>
          <w:color w:val="auto"/>
          <w:lang w:eastAsia="zh-CN"/>
        </w:rPr>
      </w:pPr>
      <w:r>
        <w:rPr>
          <w:rFonts w:hint="eastAsia"/>
          <w:color w:val="auto"/>
          <w:lang w:eastAsia="zh-CN"/>
        </w:rPr>
        <w:t>③项目预期产出效益和效果符合正常的业绩水平；</w:t>
      </w:r>
    </w:p>
    <w:p>
      <w:pPr>
        <w:bidi w:val="0"/>
        <w:rPr>
          <w:rFonts w:hint="eastAsia"/>
          <w:color w:val="auto"/>
          <w:lang w:eastAsia="zh-CN"/>
        </w:rPr>
      </w:pPr>
      <w:r>
        <w:rPr>
          <w:rFonts w:hint="eastAsia"/>
          <w:color w:val="auto"/>
          <w:lang w:eastAsia="zh-CN"/>
        </w:rPr>
        <w:t>④与预算确定的项目投资额相匹配。</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4.绩效指标明确性</w:t>
      </w:r>
    </w:p>
    <w:p>
      <w:pPr>
        <w:bidi w:val="0"/>
        <w:rPr>
          <w:rFonts w:hint="eastAsia"/>
          <w:color w:val="auto"/>
          <w:lang w:eastAsia="zh-CN"/>
        </w:rPr>
      </w:pPr>
      <w:r>
        <w:rPr>
          <w:rFonts w:hint="eastAsia"/>
          <w:color w:val="auto"/>
          <w:lang w:eastAsia="zh-CN"/>
        </w:rPr>
        <w:t>①将项目绩效目标细化分解为具体的绩效指标；</w:t>
      </w:r>
    </w:p>
    <w:p>
      <w:pPr>
        <w:bidi w:val="0"/>
        <w:rPr>
          <w:rFonts w:hint="eastAsia"/>
          <w:color w:val="auto"/>
          <w:lang w:eastAsia="zh-CN"/>
        </w:rPr>
      </w:pPr>
      <w:r>
        <w:rPr>
          <w:rFonts w:hint="eastAsia"/>
          <w:color w:val="auto"/>
          <w:lang w:eastAsia="zh-CN"/>
        </w:rPr>
        <w:t>②通过清晰、可衡量的指标值予以体现；</w:t>
      </w:r>
    </w:p>
    <w:p>
      <w:pPr>
        <w:bidi w:val="0"/>
        <w:rPr>
          <w:rFonts w:hint="eastAsia"/>
          <w:color w:val="auto"/>
          <w:lang w:eastAsia="zh-CN"/>
        </w:rPr>
      </w:pPr>
      <w:r>
        <w:rPr>
          <w:rFonts w:hint="eastAsia"/>
          <w:color w:val="auto"/>
          <w:lang w:eastAsia="zh-CN"/>
        </w:rPr>
        <w:t>③与项目目标任务数相对应。</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5.预算编制科学性</w:t>
      </w:r>
    </w:p>
    <w:p>
      <w:pPr>
        <w:bidi w:val="0"/>
        <w:rPr>
          <w:rFonts w:hint="eastAsia"/>
          <w:color w:val="auto"/>
          <w:lang w:eastAsia="zh-CN"/>
        </w:rPr>
      </w:pPr>
      <w:r>
        <w:rPr>
          <w:rFonts w:hint="eastAsia"/>
          <w:color w:val="auto"/>
          <w:lang w:eastAsia="zh-CN"/>
        </w:rPr>
        <w:t>①预算编制经过科学论证；</w:t>
      </w:r>
    </w:p>
    <w:p>
      <w:pPr>
        <w:bidi w:val="0"/>
        <w:rPr>
          <w:rFonts w:hint="eastAsia"/>
          <w:color w:val="auto"/>
          <w:lang w:eastAsia="zh-CN"/>
        </w:rPr>
      </w:pPr>
      <w:r>
        <w:rPr>
          <w:rFonts w:hint="eastAsia"/>
          <w:color w:val="auto"/>
          <w:lang w:eastAsia="zh-CN"/>
        </w:rPr>
        <w:t>②预算内容与项目内容匹配；</w:t>
      </w:r>
    </w:p>
    <w:p>
      <w:pPr>
        <w:bidi w:val="0"/>
        <w:rPr>
          <w:rFonts w:hint="eastAsia"/>
          <w:color w:val="auto"/>
          <w:lang w:eastAsia="zh-CN"/>
        </w:rPr>
      </w:pPr>
      <w:r>
        <w:rPr>
          <w:rFonts w:hint="eastAsia"/>
          <w:color w:val="auto"/>
          <w:lang w:eastAsia="zh-CN"/>
        </w:rPr>
        <w:t>③预算额度测算依据充分，按照标准编制；</w:t>
      </w:r>
    </w:p>
    <w:p>
      <w:pPr>
        <w:bidi w:val="0"/>
        <w:rPr>
          <w:rFonts w:hint="eastAsia"/>
          <w:color w:val="auto"/>
          <w:lang w:eastAsia="zh-CN"/>
        </w:rPr>
      </w:pPr>
      <w:r>
        <w:rPr>
          <w:rFonts w:hint="eastAsia"/>
          <w:color w:val="auto"/>
          <w:lang w:eastAsia="zh-CN"/>
        </w:rPr>
        <w:t>④预算确定的项目投资额与工作任务相匹配。</w:t>
      </w:r>
    </w:p>
    <w:p>
      <w:pPr>
        <w:bidi w:val="0"/>
        <w:rPr>
          <w:rFonts w:hint="eastAsia"/>
          <w:color w:val="auto"/>
          <w:lang w:eastAsia="zh-CN"/>
        </w:rPr>
      </w:pPr>
      <w:r>
        <w:rPr>
          <w:rFonts w:hint="eastAsia"/>
          <w:b/>
          <w:bCs/>
          <w:color w:val="auto"/>
          <w:lang w:val="en-US" w:eastAsia="zh-CN"/>
        </w:rPr>
        <w:t>综上，该项指标满分2分，得分2分。</w:t>
      </w:r>
    </w:p>
    <w:p>
      <w:pPr>
        <w:bidi w:val="0"/>
        <w:rPr>
          <w:rFonts w:hint="default"/>
          <w:b/>
          <w:bCs/>
          <w:color w:val="auto"/>
          <w:lang w:val="en-US" w:eastAsia="zh-CN"/>
        </w:rPr>
      </w:pPr>
      <w:r>
        <w:rPr>
          <w:rFonts w:hint="eastAsia"/>
          <w:b/>
          <w:bCs/>
          <w:color w:val="auto"/>
          <w:lang w:val="en-US" w:eastAsia="zh-CN"/>
        </w:rPr>
        <w:t>6.资金分配合理性</w:t>
      </w:r>
    </w:p>
    <w:p>
      <w:pPr>
        <w:bidi w:val="0"/>
        <w:rPr>
          <w:rFonts w:hint="eastAsia"/>
          <w:color w:val="auto"/>
          <w:lang w:eastAsia="zh-CN"/>
        </w:rPr>
      </w:pPr>
      <w:r>
        <w:rPr>
          <w:rFonts w:hint="eastAsia"/>
          <w:color w:val="auto"/>
          <w:lang w:eastAsia="zh-CN"/>
        </w:rPr>
        <w:t>①预算资金分配依据充分；</w:t>
      </w:r>
    </w:p>
    <w:p>
      <w:pPr>
        <w:bidi w:val="0"/>
        <w:rPr>
          <w:rFonts w:hint="eastAsia"/>
          <w:color w:val="auto"/>
          <w:lang w:eastAsia="zh-CN"/>
        </w:rPr>
      </w:pPr>
      <w:r>
        <w:rPr>
          <w:rFonts w:hint="eastAsia"/>
          <w:color w:val="auto"/>
          <w:lang w:eastAsia="zh-CN"/>
        </w:rPr>
        <w:t>②资金分配额度合理，与项目单位实际相适应。</w:t>
      </w:r>
    </w:p>
    <w:p>
      <w:pPr>
        <w:bidi w:val="0"/>
        <w:rPr>
          <w:rFonts w:hint="eastAsia"/>
          <w:color w:val="auto"/>
          <w:lang w:eastAsia="zh-CN"/>
        </w:rPr>
      </w:pPr>
      <w:r>
        <w:rPr>
          <w:rFonts w:hint="eastAsia"/>
          <w:b/>
          <w:bCs/>
          <w:color w:val="auto"/>
          <w:lang w:val="en-US" w:eastAsia="zh-CN"/>
        </w:rPr>
        <w:t>综上，该项指标满分3分，得分3分。</w:t>
      </w:r>
    </w:p>
    <w:p>
      <w:pPr>
        <w:pStyle w:val="5"/>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17" w:type="dxa"/>
        <w:jc w:val="center"/>
        <w:tblInd w:w="0" w:type="dxa"/>
        <w:tblLayout w:type="fixed"/>
        <w:tblCellMar>
          <w:top w:w="0" w:type="dxa"/>
          <w:left w:w="0" w:type="dxa"/>
          <w:bottom w:w="0" w:type="dxa"/>
          <w:right w:w="0" w:type="dxa"/>
        </w:tblCellMar>
      </w:tblPr>
      <w:tblGrid>
        <w:gridCol w:w="1182"/>
        <w:gridCol w:w="738"/>
        <w:gridCol w:w="1248"/>
        <w:gridCol w:w="1176"/>
        <w:gridCol w:w="1833"/>
        <w:gridCol w:w="987"/>
        <w:gridCol w:w="1153"/>
      </w:tblGrid>
      <w:tr>
        <w:tblPrEx>
          <w:tblLayout w:type="fixed"/>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Layout w:type="fixed"/>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highlight w:val="none"/>
          <w:lang w:val="en-US" w:eastAsia="zh-CN"/>
        </w:rPr>
      </w:pPr>
      <w:r>
        <w:rPr>
          <w:rFonts w:hint="eastAsia"/>
          <w:b/>
          <w:bCs/>
          <w:color w:val="auto"/>
          <w:highlight w:val="none"/>
          <w:lang w:val="en-US" w:eastAsia="zh-CN"/>
        </w:rPr>
        <w:t>1.资金到位率（算出到位率</w:t>
      </w:r>
      <w:r>
        <w:rPr>
          <w:rFonts w:hint="default" w:ascii="Arial" w:hAnsi="Arial" w:cs="Arial"/>
          <w:b/>
          <w:bCs/>
          <w:color w:val="auto"/>
          <w:highlight w:val="none"/>
          <w:lang w:val="en-US" w:eastAsia="zh-CN"/>
        </w:rPr>
        <w:t>×</w:t>
      </w:r>
      <w:r>
        <w:rPr>
          <w:rFonts w:hint="eastAsia" w:cs="宋体"/>
          <w:b/>
          <w:bCs/>
          <w:color w:val="auto"/>
          <w:highlight w:val="none"/>
          <w:lang w:val="en-US" w:eastAsia="zh-CN"/>
        </w:rPr>
        <w:t>4=得分，算出后删除批注</w:t>
      </w:r>
      <w:r>
        <w:rPr>
          <w:rFonts w:hint="eastAsia"/>
          <w:b/>
          <w:bCs/>
          <w:color w:val="auto"/>
          <w:highlight w:val="none"/>
          <w:lang w:val="en-US" w:eastAsia="zh-CN"/>
        </w:rPr>
        <w:t>）</w:t>
      </w:r>
    </w:p>
    <w:p>
      <w:pPr>
        <w:bidi w:val="0"/>
        <w:rPr>
          <w:rFonts w:hint="default"/>
          <w:b/>
          <w:bCs/>
          <w:color w:val="auto"/>
          <w:highlight w:val="none"/>
          <w:lang w:val="en-US" w:eastAsia="zh-CN"/>
        </w:rPr>
      </w:pPr>
      <w:r>
        <w:rPr>
          <w:rFonts w:hint="eastAsia"/>
          <w:color w:val="auto"/>
          <w:highlight w:val="none"/>
          <w:lang w:eastAsia="zh-CN"/>
        </w:rPr>
        <w:t>资金到位率=（实际到位资金</w:t>
      </w:r>
      <w:r>
        <w:rPr>
          <w:rFonts w:hint="eastAsia"/>
          <w:color w:val="auto"/>
          <w:highlight w:val="none"/>
          <w:lang w:val="en-US" w:eastAsia="zh-CN"/>
        </w:rPr>
        <w:t>数</w:t>
      </w:r>
      <w:r>
        <w:rPr>
          <w:rFonts w:hint="eastAsia"/>
          <w:color w:val="auto"/>
          <w:highlight w:val="none"/>
          <w:lang w:eastAsia="zh-CN"/>
        </w:rPr>
        <w:t>/预算资金</w:t>
      </w:r>
      <w:r>
        <w:rPr>
          <w:rFonts w:hint="eastAsia"/>
          <w:color w:val="auto"/>
          <w:highlight w:val="none"/>
          <w:lang w:val="en-US" w:eastAsia="zh-CN"/>
        </w:rPr>
        <w:t>数</w:t>
      </w:r>
      <w:r>
        <w:rPr>
          <w:rFonts w:hint="eastAsia"/>
          <w:color w:val="auto"/>
          <w:highlight w:val="none"/>
          <w:lang w:eastAsia="zh-CN"/>
        </w:rPr>
        <w:t>）×100%。</w:t>
      </w:r>
      <w:r>
        <w:rPr>
          <w:rFonts w:hint="eastAsia"/>
          <w:b/>
          <w:bCs/>
          <w:color w:val="auto"/>
          <w:highlight w:val="none"/>
          <w:lang w:val="en-US" w:eastAsia="zh-CN"/>
        </w:rPr>
        <w:t>=100%</w:t>
      </w:r>
    </w:p>
    <w:p>
      <w:pPr>
        <w:bidi w:val="0"/>
        <w:rPr>
          <w:rFonts w:hint="eastAsia"/>
          <w:color w:val="auto"/>
          <w:lang w:eastAsia="zh-CN"/>
        </w:rPr>
      </w:pPr>
      <w:r>
        <w:rPr>
          <w:rFonts w:hint="eastAsia"/>
          <w:b/>
          <w:bCs/>
          <w:color w:val="auto"/>
          <w:lang w:val="en-US" w:eastAsia="zh-CN"/>
        </w:rPr>
        <w:t>综上，该项指标满分4分，得分4分。</w:t>
      </w:r>
    </w:p>
    <w:p>
      <w:pPr>
        <w:bidi w:val="0"/>
        <w:rPr>
          <w:rFonts w:hint="default"/>
          <w:b/>
          <w:bCs/>
          <w:color w:val="auto"/>
          <w:highlight w:val="none"/>
          <w:lang w:val="en-US" w:eastAsia="zh-CN"/>
        </w:rPr>
      </w:pPr>
      <w:r>
        <w:rPr>
          <w:rFonts w:hint="eastAsia"/>
          <w:b/>
          <w:bCs/>
          <w:color w:val="auto"/>
          <w:highlight w:val="none"/>
          <w:lang w:val="en-US" w:eastAsia="zh-CN"/>
        </w:rPr>
        <w:t>2.预算执行率</w:t>
      </w:r>
    </w:p>
    <w:p>
      <w:pPr>
        <w:bidi w:val="0"/>
        <w:rPr>
          <w:rFonts w:hint="default"/>
          <w:color w:val="auto"/>
          <w:highlight w:val="none"/>
          <w:lang w:val="en-US" w:eastAsia="zh-CN"/>
        </w:rPr>
      </w:pPr>
      <w:r>
        <w:rPr>
          <w:rFonts w:hint="eastAsia"/>
          <w:color w:val="auto"/>
          <w:highlight w:val="none"/>
          <w:lang w:eastAsia="zh-CN"/>
        </w:rPr>
        <w:t>预算执行率=（实际支出资金/</w:t>
      </w:r>
      <w:r>
        <w:rPr>
          <w:rFonts w:hint="eastAsia"/>
          <w:color w:val="auto"/>
          <w:highlight w:val="none"/>
          <w:lang w:val="en-US" w:eastAsia="zh-CN"/>
        </w:rPr>
        <w:t>预算</w:t>
      </w:r>
      <w:r>
        <w:rPr>
          <w:rFonts w:hint="eastAsia"/>
          <w:color w:val="auto"/>
          <w:highlight w:val="none"/>
          <w:lang w:eastAsia="zh-CN"/>
        </w:rPr>
        <w:t>资金</w:t>
      </w:r>
      <w:r>
        <w:rPr>
          <w:rFonts w:hint="eastAsia"/>
          <w:color w:val="auto"/>
          <w:highlight w:val="none"/>
          <w:lang w:val="en-US" w:eastAsia="zh-CN"/>
        </w:rPr>
        <w:t>数</w:t>
      </w:r>
      <w:r>
        <w:rPr>
          <w:rFonts w:hint="eastAsia"/>
          <w:color w:val="auto"/>
          <w:highlight w:val="none"/>
          <w:lang w:eastAsia="zh-CN"/>
        </w:rPr>
        <w:t>）×100%。</w:t>
      </w:r>
      <w:r>
        <w:rPr>
          <w:rFonts w:hint="eastAsia"/>
          <w:b/>
          <w:bCs/>
          <w:color w:val="auto"/>
          <w:highlight w:val="none"/>
          <w:lang w:val="en-US" w:eastAsia="zh-CN"/>
        </w:rPr>
        <w:t>=100%</w:t>
      </w:r>
    </w:p>
    <w:p>
      <w:pPr>
        <w:bidi w:val="0"/>
        <w:rPr>
          <w:rFonts w:hint="eastAsia"/>
          <w:color w:val="auto"/>
          <w:highlight w:val="none"/>
          <w:lang w:eastAsia="zh-CN"/>
        </w:rPr>
      </w:pPr>
      <w:r>
        <w:rPr>
          <w:rFonts w:hint="eastAsia"/>
          <w:b/>
          <w:bCs/>
          <w:color w:val="auto"/>
          <w:highlight w:val="none"/>
          <w:lang w:val="en-US" w:eastAsia="zh-CN"/>
        </w:rPr>
        <w:t>综上，该项指标满分4分，得分4分。</w:t>
      </w:r>
    </w:p>
    <w:p>
      <w:pPr>
        <w:bidi w:val="0"/>
        <w:rPr>
          <w:rFonts w:hint="default"/>
          <w:b/>
          <w:bCs/>
          <w:color w:val="auto"/>
          <w:lang w:val="en-US" w:eastAsia="zh-CN"/>
        </w:rPr>
      </w:pPr>
      <w:r>
        <w:rPr>
          <w:rFonts w:hint="eastAsia"/>
          <w:b/>
          <w:bCs/>
          <w:color w:val="auto"/>
          <w:lang w:val="en-US" w:eastAsia="zh-CN"/>
        </w:rPr>
        <w:t>3.资金使用合规性</w:t>
      </w:r>
    </w:p>
    <w:p>
      <w:pPr>
        <w:bidi w:val="0"/>
        <w:rPr>
          <w:rFonts w:hint="eastAsia"/>
          <w:color w:val="auto"/>
          <w:lang w:eastAsia="zh-CN"/>
        </w:rPr>
      </w:pPr>
      <w:r>
        <w:rPr>
          <w:rFonts w:hint="eastAsia"/>
          <w:color w:val="auto"/>
          <w:lang w:eastAsia="zh-CN"/>
        </w:rPr>
        <w:t>①符合国家财经法规和财务管理制度以及有关专项资金管理办法的规定；</w:t>
      </w:r>
    </w:p>
    <w:p>
      <w:pPr>
        <w:bidi w:val="0"/>
        <w:rPr>
          <w:rFonts w:hint="eastAsia"/>
          <w:color w:val="auto"/>
          <w:lang w:eastAsia="zh-CN"/>
        </w:rPr>
      </w:pPr>
      <w:r>
        <w:rPr>
          <w:rFonts w:hint="eastAsia"/>
          <w:color w:val="auto"/>
          <w:lang w:eastAsia="zh-CN"/>
        </w:rPr>
        <w:t>②资金的拨付有完整的审批程序和手续；</w:t>
      </w:r>
    </w:p>
    <w:p>
      <w:pPr>
        <w:bidi w:val="0"/>
        <w:rPr>
          <w:rFonts w:hint="eastAsia"/>
          <w:color w:val="auto"/>
          <w:lang w:eastAsia="zh-CN"/>
        </w:rPr>
      </w:pPr>
      <w:r>
        <w:rPr>
          <w:rFonts w:hint="eastAsia"/>
          <w:color w:val="auto"/>
          <w:lang w:eastAsia="zh-CN"/>
        </w:rPr>
        <w:t>③符合项目合同规定的用途；</w:t>
      </w:r>
    </w:p>
    <w:p>
      <w:pPr>
        <w:bidi w:val="0"/>
        <w:rPr>
          <w:rFonts w:hint="eastAsia"/>
          <w:color w:val="auto"/>
          <w:lang w:eastAsia="zh-CN"/>
        </w:rPr>
      </w:pPr>
      <w:r>
        <w:rPr>
          <w:rFonts w:hint="eastAsia"/>
          <w:color w:val="auto"/>
          <w:lang w:eastAsia="zh-CN"/>
        </w:rPr>
        <w:t>④</w:t>
      </w:r>
      <w:r>
        <w:rPr>
          <w:rFonts w:hint="eastAsia"/>
          <w:color w:val="auto"/>
          <w:lang w:val="en-US" w:eastAsia="zh-CN"/>
        </w:rPr>
        <w:t>不</w:t>
      </w:r>
      <w:r>
        <w:rPr>
          <w:rFonts w:hint="eastAsia"/>
          <w:color w:val="auto"/>
          <w:lang w:eastAsia="zh-CN"/>
        </w:rPr>
        <w:t>存在截留、挤占、挪用、虚列支出等情况。</w:t>
      </w:r>
    </w:p>
    <w:p>
      <w:pPr>
        <w:bidi w:val="0"/>
        <w:rPr>
          <w:rFonts w:hint="eastAsia"/>
          <w:color w:val="auto"/>
          <w:lang w:eastAsia="zh-CN"/>
        </w:rPr>
      </w:pPr>
      <w:r>
        <w:rPr>
          <w:rFonts w:hint="eastAsia"/>
          <w:b/>
          <w:bCs/>
          <w:color w:val="auto"/>
          <w:lang w:val="en-US" w:eastAsia="zh-CN"/>
        </w:rPr>
        <w:t>综上，该项指标满分4分，得分4分。</w:t>
      </w:r>
    </w:p>
    <w:p>
      <w:pPr>
        <w:bidi w:val="0"/>
        <w:rPr>
          <w:rFonts w:hint="eastAsia"/>
          <w:b/>
          <w:bCs/>
          <w:color w:val="auto"/>
          <w:lang w:val="en-US" w:eastAsia="zh-CN"/>
        </w:rPr>
      </w:pPr>
      <w:r>
        <w:rPr>
          <w:rFonts w:hint="eastAsia"/>
          <w:b/>
          <w:bCs/>
          <w:color w:val="auto"/>
          <w:lang w:val="en-US" w:eastAsia="zh-CN"/>
        </w:rPr>
        <w:t>4.管理制度健全性</w:t>
      </w:r>
    </w:p>
    <w:p>
      <w:pPr>
        <w:bidi w:val="0"/>
        <w:rPr>
          <w:rFonts w:hint="eastAsia"/>
          <w:color w:val="auto"/>
          <w:highlight w:val="yellow"/>
          <w:lang w:eastAsia="zh-CN"/>
        </w:rPr>
      </w:pPr>
      <w:r>
        <w:rPr>
          <w:rFonts w:hint="eastAsia"/>
          <w:color w:val="auto"/>
          <w:highlight w:val="none"/>
          <w:lang w:eastAsia="zh-CN"/>
        </w:rPr>
        <w:t>①</w:t>
      </w:r>
      <w:r>
        <w:rPr>
          <w:rFonts w:hint="eastAsia"/>
          <w:color w:val="auto"/>
          <w:highlight w:val="none"/>
          <w:lang w:val="en-US" w:eastAsia="zh-CN"/>
        </w:rPr>
        <w:t>具有</w:t>
      </w:r>
      <w:r>
        <w:rPr>
          <w:rFonts w:hint="eastAsia"/>
          <w:color w:val="auto"/>
          <w:highlight w:val="none"/>
          <w:lang w:eastAsia="zh-CN"/>
        </w:rPr>
        <w:t>《</w:t>
      </w:r>
      <w:r>
        <w:rPr>
          <w:rFonts w:hint="eastAsia"/>
          <w:color w:val="auto"/>
          <w:highlight w:val="none"/>
          <w:lang w:val="en-US" w:eastAsia="zh-CN"/>
        </w:rPr>
        <w:t>阜康市林业和草原局财务管理制度</w:t>
      </w:r>
      <w:r>
        <w:rPr>
          <w:rFonts w:hint="eastAsia"/>
          <w:color w:val="auto"/>
          <w:highlight w:val="none"/>
          <w:lang w:eastAsia="zh-CN"/>
        </w:rPr>
        <w:t>》；</w:t>
      </w:r>
    </w:p>
    <w:p>
      <w:pPr>
        <w:bidi w:val="0"/>
        <w:rPr>
          <w:rFonts w:hint="eastAsia"/>
          <w:color w:val="auto"/>
          <w:lang w:eastAsia="zh-CN"/>
        </w:rPr>
      </w:pPr>
      <w:r>
        <w:rPr>
          <w:rFonts w:hint="eastAsia"/>
          <w:color w:val="auto"/>
          <w:lang w:eastAsia="zh-CN"/>
        </w:rPr>
        <w:t>②财务和业务管理制度合法、合规、完整。</w:t>
      </w:r>
    </w:p>
    <w:p>
      <w:pPr>
        <w:bidi w:val="0"/>
        <w:rPr>
          <w:rFonts w:hint="eastAsia"/>
          <w:color w:val="auto"/>
          <w:lang w:eastAsia="zh-CN"/>
        </w:rPr>
      </w:pPr>
      <w:r>
        <w:rPr>
          <w:rFonts w:hint="eastAsia"/>
          <w:b/>
          <w:bCs/>
          <w:color w:val="auto"/>
          <w:lang w:val="en-US" w:eastAsia="zh-CN"/>
        </w:rPr>
        <w:t>综上，该项指标满分4分，得分4分。</w:t>
      </w:r>
    </w:p>
    <w:p>
      <w:pPr>
        <w:bidi w:val="0"/>
        <w:ind w:left="1403" w:leftChars="200" w:hanging="843" w:hangingChars="300"/>
        <w:rPr>
          <w:rFonts w:hint="eastAsia"/>
          <w:b/>
          <w:bCs/>
          <w:color w:val="auto"/>
          <w:lang w:val="en-US" w:eastAsia="zh-CN"/>
        </w:rPr>
      </w:pPr>
      <w:r>
        <w:rPr>
          <w:rFonts w:hint="eastAsia"/>
          <w:b/>
          <w:bCs/>
          <w:color w:val="auto"/>
          <w:lang w:val="en-US" w:eastAsia="zh-CN"/>
        </w:rPr>
        <w:t>5.制度执行有效性</w:t>
      </w:r>
    </w:p>
    <w:p>
      <w:pPr>
        <w:bidi w:val="0"/>
        <w:rPr>
          <w:rFonts w:hint="eastAsia"/>
          <w:color w:val="auto"/>
          <w:lang w:eastAsia="zh-CN"/>
        </w:rPr>
      </w:pPr>
      <w:r>
        <w:rPr>
          <w:rFonts w:hint="eastAsia"/>
          <w:color w:val="auto"/>
          <w:lang w:eastAsia="zh-CN"/>
        </w:rPr>
        <w:t>①遵守相关法律法规和相关管理规定；</w:t>
      </w:r>
    </w:p>
    <w:p>
      <w:pPr>
        <w:bidi w:val="0"/>
        <w:rPr>
          <w:rFonts w:hint="eastAsia"/>
          <w:color w:val="auto"/>
          <w:lang w:eastAsia="zh-CN"/>
        </w:rPr>
      </w:pPr>
      <w:r>
        <w:rPr>
          <w:rFonts w:hint="eastAsia"/>
          <w:color w:val="auto"/>
          <w:lang w:eastAsia="zh-CN"/>
        </w:rPr>
        <w:t>②项目调整及支出调整手续完备；</w:t>
      </w:r>
    </w:p>
    <w:p>
      <w:pPr>
        <w:bidi w:val="0"/>
        <w:rPr>
          <w:rFonts w:hint="eastAsia"/>
          <w:color w:val="auto"/>
          <w:lang w:eastAsia="zh-CN"/>
        </w:rPr>
      </w:pPr>
      <w:r>
        <w:rPr>
          <w:rFonts w:hint="eastAsia"/>
          <w:color w:val="auto"/>
          <w:lang w:eastAsia="zh-CN"/>
        </w:rPr>
        <w:t>③项目合同书、验收报告、技术鉴定等资料齐全并及时归档；</w:t>
      </w:r>
    </w:p>
    <w:p>
      <w:pPr>
        <w:bidi w:val="0"/>
        <w:rPr>
          <w:rFonts w:hint="eastAsia"/>
          <w:color w:val="auto"/>
          <w:lang w:eastAsia="zh-CN"/>
        </w:rPr>
      </w:pPr>
      <w:r>
        <w:rPr>
          <w:rFonts w:hint="eastAsia"/>
          <w:color w:val="auto"/>
          <w:lang w:eastAsia="zh-CN"/>
        </w:rPr>
        <w:t>④项目实施的人员条件、场地设备、信息支撑等落实到位。</w:t>
      </w:r>
    </w:p>
    <w:p>
      <w:pPr>
        <w:bidi w:val="0"/>
        <w:rPr>
          <w:rFonts w:hint="eastAsia"/>
          <w:color w:val="auto"/>
          <w:highlight w:val="none"/>
          <w:lang w:eastAsia="zh-CN"/>
        </w:rPr>
      </w:pPr>
      <w:r>
        <w:rPr>
          <w:rFonts w:hint="eastAsia"/>
          <w:b/>
          <w:bCs/>
          <w:color w:val="auto"/>
          <w:highlight w:val="none"/>
          <w:lang w:val="en-US" w:eastAsia="zh-CN"/>
        </w:rPr>
        <w:t>综上，该项指标满分4分，得分4分。</w:t>
      </w:r>
    </w:p>
    <w:p>
      <w:pPr>
        <w:pStyle w:val="5"/>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27.69</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tblLayout w:type="fixed"/>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tblPrEx>
          <w:tblLayout w:type="fixed"/>
          <w:tblCellMar>
            <w:top w:w="0" w:type="dxa"/>
            <w:left w:w="0" w:type="dxa"/>
            <w:bottom w:w="0" w:type="dxa"/>
            <w:right w:w="0" w:type="dxa"/>
          </w:tblCellMar>
        </w:tblPrEx>
        <w:trPr>
          <w:trHeight w:val="390"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基础设施建设项目绿地面积</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435551㎡</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435551㎡</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基础设施建设项目围栏面积</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7650㎡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7650㎡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种植总数</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618934棵</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618934棵</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退化林修复验收合格率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项目完成</w:t>
            </w:r>
            <w:r>
              <w:rPr>
                <w:rFonts w:hint="eastAsia" w:cs="宋体"/>
                <w:color w:val="auto"/>
                <w:kern w:val="0"/>
                <w:sz w:val="20"/>
                <w:szCs w:val="20"/>
                <w:highlight w:val="none"/>
                <w:shd w:val="clear" w:color="auto" w:fill="auto"/>
                <w:lang w:val="en-US" w:eastAsia="zh-CN"/>
              </w:rPr>
              <w:t>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Layout w:type="fixed"/>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项目建设成本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1300万元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1000万元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7.69</w:t>
            </w:r>
          </w:p>
        </w:tc>
      </w:tr>
      <w:tr>
        <w:tblPrEx>
          <w:tblLayout w:type="fixed"/>
          <w:tblCellMar>
            <w:top w:w="0" w:type="dxa"/>
            <w:left w:w="0" w:type="dxa"/>
            <w:bottom w:w="0" w:type="dxa"/>
            <w:right w:w="0" w:type="dxa"/>
          </w:tblCellMar>
        </w:tblPrEx>
        <w:trPr>
          <w:trHeight w:val="90"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27.69</w:t>
            </w:r>
          </w:p>
        </w:tc>
      </w:tr>
    </w:tbl>
    <w:p>
      <w:pPr>
        <w:bidi w:val="0"/>
        <w:rPr>
          <w:rFonts w:hint="eastAsia"/>
          <w:b/>
          <w:bCs/>
          <w:color w:val="auto"/>
          <w:highlight w:val="none"/>
          <w:lang w:val="en-US" w:eastAsia="zh-CN"/>
        </w:rPr>
      </w:pPr>
      <w:r>
        <w:rPr>
          <w:rFonts w:hint="eastAsia"/>
          <w:b/>
          <w:bCs/>
          <w:color w:val="auto"/>
          <w:highlight w:val="none"/>
          <w:lang w:val="en-US" w:eastAsia="zh-CN"/>
        </w:rPr>
        <w:t>1.项目完成数量</w:t>
      </w:r>
    </w:p>
    <w:p>
      <w:pPr>
        <w:bidi w:val="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数量</w:t>
      </w:r>
      <w:r>
        <w:rPr>
          <w:rFonts w:hint="eastAsia"/>
          <w:color w:val="auto"/>
          <w:highlight w:val="none"/>
          <w:lang w:eastAsia="zh-CN"/>
        </w:rPr>
        <w:t>”</w:t>
      </w:r>
      <w:r>
        <w:rPr>
          <w:rFonts w:hint="eastAsia"/>
          <w:color w:val="auto"/>
          <w:highlight w:val="none"/>
          <w:lang w:val="en-US" w:eastAsia="zh-CN"/>
        </w:rPr>
        <w:t>指标，预期指标值内容与实际完成内容相同。实际完成率=（实际完成/预期完成）×100%=100%。</w:t>
      </w:r>
    </w:p>
    <w:p>
      <w:pPr>
        <w:bidi w:val="0"/>
        <w:rPr>
          <w:rFonts w:hint="eastAsia"/>
          <w:color w:val="auto"/>
          <w:highlight w:val="none"/>
          <w:lang w:eastAsia="zh-CN"/>
        </w:rPr>
      </w:pPr>
      <w:r>
        <w:rPr>
          <w:rFonts w:hint="eastAsia"/>
          <w:b/>
          <w:bCs/>
          <w:color w:val="auto"/>
          <w:highlight w:val="none"/>
          <w:lang w:val="en-US" w:eastAsia="zh-CN"/>
        </w:rPr>
        <w:t>综上，该项指标满分6分，得分6分。</w:t>
      </w:r>
    </w:p>
    <w:p>
      <w:pPr>
        <w:bidi w:val="0"/>
        <w:rPr>
          <w:rFonts w:hint="default"/>
          <w:b/>
          <w:bCs/>
          <w:color w:val="auto"/>
          <w:highlight w:val="none"/>
          <w:lang w:val="en-US" w:eastAsia="zh-CN"/>
        </w:rPr>
      </w:pPr>
      <w:r>
        <w:rPr>
          <w:rFonts w:hint="eastAsia"/>
          <w:b/>
          <w:bCs/>
          <w:color w:val="auto"/>
          <w:highlight w:val="none"/>
          <w:lang w:val="en-US" w:eastAsia="zh-CN"/>
        </w:rPr>
        <w:t>2.项目完成质量</w:t>
      </w:r>
    </w:p>
    <w:p>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质量</w:t>
      </w:r>
      <w:r>
        <w:rPr>
          <w:rFonts w:hint="eastAsia"/>
          <w:color w:val="auto"/>
          <w:highlight w:val="none"/>
          <w:lang w:eastAsia="zh-CN"/>
        </w:rPr>
        <w:t>”</w:t>
      </w:r>
      <w:r>
        <w:rPr>
          <w:rFonts w:hint="eastAsia"/>
          <w:color w:val="auto"/>
          <w:highlight w:val="none"/>
          <w:lang w:val="en-US" w:eastAsia="zh-CN"/>
        </w:rPr>
        <w:t>指标，预期指标值为100%，实际完成为100%。</w:t>
      </w:r>
    </w:p>
    <w:p>
      <w:pPr>
        <w:bidi w:val="0"/>
        <w:rPr>
          <w:rFonts w:hint="eastAsia"/>
          <w:color w:val="auto"/>
          <w:highlight w:val="none"/>
          <w:lang w:eastAsia="zh-CN"/>
        </w:rPr>
      </w:pPr>
      <w:r>
        <w:rPr>
          <w:rFonts w:hint="eastAsia"/>
          <w:b/>
          <w:bCs/>
          <w:color w:val="auto"/>
          <w:highlight w:val="none"/>
          <w:lang w:val="en-US" w:eastAsia="zh-CN"/>
        </w:rPr>
        <w:t>综上，该项指标满分4分，得分4分。</w:t>
      </w:r>
    </w:p>
    <w:p>
      <w:pPr>
        <w:bidi w:val="0"/>
        <w:rPr>
          <w:rFonts w:hint="default"/>
          <w:b/>
          <w:bCs/>
          <w:color w:val="auto"/>
          <w:highlight w:val="none"/>
          <w:lang w:val="en-US" w:eastAsia="zh-CN"/>
        </w:rPr>
      </w:pPr>
      <w:r>
        <w:rPr>
          <w:rFonts w:hint="eastAsia"/>
          <w:b/>
          <w:bCs/>
          <w:color w:val="auto"/>
          <w:highlight w:val="none"/>
          <w:lang w:val="en-US" w:eastAsia="zh-CN"/>
        </w:rPr>
        <w:t>3.项目完成时效</w:t>
      </w:r>
    </w:p>
    <w:p>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时效</w:t>
      </w:r>
      <w:r>
        <w:rPr>
          <w:rFonts w:hint="eastAsia"/>
          <w:color w:val="auto"/>
          <w:highlight w:val="none"/>
          <w:lang w:eastAsia="zh-CN"/>
        </w:rPr>
        <w:t>”</w:t>
      </w:r>
      <w:r>
        <w:rPr>
          <w:rFonts w:hint="eastAsia"/>
          <w:color w:val="auto"/>
          <w:highlight w:val="none"/>
          <w:lang w:val="en-US" w:eastAsia="zh-CN"/>
        </w:rPr>
        <w:t>指标，预期指标值为100%，实际完成为100%。</w:t>
      </w:r>
    </w:p>
    <w:p>
      <w:pPr>
        <w:bidi w:val="0"/>
        <w:rPr>
          <w:rFonts w:hint="eastAsia"/>
          <w:color w:val="auto"/>
          <w:highlight w:val="none"/>
          <w:lang w:eastAsia="zh-CN"/>
        </w:rPr>
      </w:pPr>
      <w:r>
        <w:rPr>
          <w:rFonts w:hint="eastAsia"/>
          <w:b/>
          <w:bCs/>
          <w:color w:val="auto"/>
          <w:highlight w:val="none"/>
          <w:lang w:val="en-US" w:eastAsia="zh-CN"/>
        </w:rPr>
        <w:t>综上，该项指标满分10分，得分10分。</w:t>
      </w:r>
    </w:p>
    <w:p>
      <w:pPr>
        <w:bidi w:val="0"/>
        <w:rPr>
          <w:rFonts w:hint="default"/>
          <w:b/>
          <w:bCs/>
          <w:color w:val="auto"/>
          <w:highlight w:val="none"/>
          <w:lang w:val="en-US" w:eastAsia="zh-CN"/>
        </w:rPr>
      </w:pPr>
      <w:r>
        <w:rPr>
          <w:rFonts w:hint="eastAsia"/>
          <w:b/>
          <w:bCs/>
          <w:color w:val="auto"/>
          <w:highlight w:val="none"/>
          <w:lang w:val="en-US" w:eastAsia="zh-CN"/>
        </w:rPr>
        <w:t>4.项目完成成本</w:t>
      </w:r>
    </w:p>
    <w:p>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成本</w:t>
      </w:r>
      <w:r>
        <w:rPr>
          <w:rFonts w:hint="eastAsia"/>
          <w:color w:val="auto"/>
          <w:highlight w:val="none"/>
          <w:lang w:eastAsia="zh-CN"/>
        </w:rPr>
        <w:t>”</w:t>
      </w:r>
      <w:r>
        <w:rPr>
          <w:rFonts w:hint="eastAsia"/>
          <w:color w:val="auto"/>
          <w:highlight w:val="none"/>
          <w:lang w:val="en-US" w:eastAsia="zh-CN"/>
        </w:rPr>
        <w:t>指标，预期指标值为1300万元，实际完成为1000万元。实际完成率=（实际完成/预期完成）×100%=76.92%。</w:t>
      </w:r>
    </w:p>
    <w:p>
      <w:pPr>
        <w:bidi w:val="0"/>
        <w:rPr>
          <w:rFonts w:hint="eastAsia"/>
          <w:color w:val="auto"/>
          <w:highlight w:val="none"/>
          <w:lang w:eastAsia="zh-CN"/>
        </w:rPr>
      </w:pPr>
      <w:r>
        <w:rPr>
          <w:rFonts w:hint="eastAsia"/>
          <w:b/>
          <w:bCs/>
          <w:color w:val="auto"/>
          <w:highlight w:val="none"/>
          <w:lang w:val="en-US" w:eastAsia="zh-CN"/>
        </w:rPr>
        <w:t>综上，该项指标满分10分，得分7.69分。</w:t>
      </w:r>
    </w:p>
    <w:p>
      <w:pPr>
        <w:pStyle w:val="5"/>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72" w:type="dxa"/>
        <w:jc w:val="center"/>
        <w:tblInd w:w="0" w:type="dxa"/>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tblLayout w:type="fixed"/>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Layout w:type="fixed"/>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是否进一步改善阜康市的生态环境，拉动地方经济，实现生态、经济、社会三大效益协调统一.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基本改善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是否改善项目区域人居环境，为阜康市项目周边环境发展提供基础保障，为今后阜康市生态环境改善及可持续发展创造有利条件。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基本改善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可持续使用年限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≥25年</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周边百姓满意度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w:t>
            </w:r>
            <w:r>
              <w:rPr>
                <w:rFonts w:hint="eastAsia" w:cs="宋体"/>
                <w:color w:val="auto"/>
                <w:kern w:val="0"/>
                <w:sz w:val="20"/>
                <w:szCs w:val="20"/>
                <w:highlight w:val="none"/>
                <w:shd w:val="clear" w:color="auto" w:fill="auto"/>
                <w:lang w:val="en-US" w:eastAsia="zh-CN"/>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trHeight w:val="436"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rPr>
          <w:rFonts w:hint="eastAsia"/>
          <w:b/>
          <w:bCs/>
          <w:color w:val="auto"/>
          <w:highlight w:val="none"/>
          <w:lang w:val="en-US" w:eastAsia="zh-CN"/>
        </w:rPr>
      </w:pPr>
      <w:r>
        <w:rPr>
          <w:rFonts w:hint="eastAsia"/>
          <w:b/>
          <w:bCs/>
          <w:color w:val="auto"/>
          <w:highlight w:val="none"/>
          <w:lang w:val="en-US" w:eastAsia="zh-CN"/>
        </w:rPr>
        <w:t>1.社会效益指标</w:t>
      </w:r>
    </w:p>
    <w:p>
      <w:pPr>
        <w:bidi w:val="0"/>
        <w:rPr>
          <w:rFonts w:hint="eastAsia"/>
          <w:b w:val="0"/>
          <w:bCs w:val="0"/>
          <w:color w:val="auto"/>
          <w:highlight w:val="none"/>
          <w:lang w:val="en-US" w:eastAsia="zh-CN"/>
        </w:rPr>
      </w:pPr>
      <w:r>
        <w:rPr>
          <w:rFonts w:hint="eastAsia"/>
          <w:color w:val="auto"/>
          <w:highlight w:val="none"/>
          <w:lang w:eastAsia="zh-CN"/>
        </w:rPr>
        <w:t>“</w:t>
      </w:r>
      <w:r>
        <w:rPr>
          <w:rFonts w:hint="eastAsia"/>
          <w:color w:val="auto"/>
          <w:highlight w:val="none"/>
          <w:lang w:val="en-US" w:eastAsia="zh-CN"/>
        </w:rPr>
        <w:t>社会效益</w:t>
      </w:r>
      <w:r>
        <w:rPr>
          <w:rFonts w:hint="eastAsia"/>
          <w:color w:val="auto"/>
          <w:highlight w:val="none"/>
          <w:lang w:eastAsia="zh-CN"/>
        </w:rPr>
        <w:t>”</w:t>
      </w:r>
      <w:r>
        <w:rPr>
          <w:rFonts w:hint="eastAsia"/>
          <w:color w:val="auto"/>
          <w:highlight w:val="none"/>
          <w:lang w:val="en-US" w:eastAsia="zh-CN"/>
        </w:rPr>
        <w:t>指标，预期指标值为基本改善，实际完成为100%。</w:t>
      </w:r>
    </w:p>
    <w:p>
      <w:pPr>
        <w:bidi w:val="0"/>
        <w:rPr>
          <w:rFonts w:hint="eastAsia"/>
          <w:color w:val="auto"/>
          <w:highlight w:val="none"/>
          <w:lang w:val="en-US" w:eastAsia="zh-CN"/>
        </w:rPr>
      </w:pPr>
      <w:r>
        <w:rPr>
          <w:rFonts w:hint="eastAsia"/>
          <w:b/>
          <w:bCs/>
          <w:color w:val="auto"/>
          <w:highlight w:val="none"/>
          <w:lang w:val="en-US" w:eastAsia="zh-CN"/>
        </w:rPr>
        <w:t>综上，该项指标满分10分，得分10分。</w:t>
      </w:r>
    </w:p>
    <w:p>
      <w:pPr>
        <w:bidi w:val="0"/>
        <w:rPr>
          <w:rFonts w:hint="eastAsia"/>
          <w:color w:val="auto"/>
          <w:highlight w:val="none"/>
          <w:lang w:val="en-US" w:eastAsia="zh-CN"/>
        </w:rPr>
      </w:pPr>
      <w:r>
        <w:rPr>
          <w:rFonts w:hint="eastAsia"/>
          <w:b/>
          <w:bCs/>
          <w:color w:val="auto"/>
          <w:highlight w:val="none"/>
          <w:lang w:val="en-US" w:eastAsia="zh-CN"/>
        </w:rPr>
        <w:t>2.生态效益指标</w:t>
      </w:r>
    </w:p>
    <w:p>
      <w:pPr>
        <w:bidi w:val="0"/>
        <w:rPr>
          <w:rFonts w:hint="eastAsia"/>
          <w:b w:val="0"/>
          <w:bCs w:val="0"/>
          <w:color w:val="auto"/>
          <w:highlight w:val="none"/>
          <w:lang w:val="en-US" w:eastAsia="zh-CN"/>
        </w:rPr>
      </w:pPr>
      <w:r>
        <w:rPr>
          <w:rFonts w:hint="eastAsia"/>
          <w:color w:val="auto"/>
          <w:highlight w:val="none"/>
          <w:lang w:eastAsia="zh-CN"/>
        </w:rPr>
        <w:t>“</w:t>
      </w:r>
      <w:r>
        <w:rPr>
          <w:rFonts w:hint="eastAsia"/>
          <w:color w:val="auto"/>
          <w:highlight w:val="none"/>
          <w:lang w:val="en-US" w:eastAsia="zh-CN"/>
        </w:rPr>
        <w:t>生态效益</w:t>
      </w:r>
      <w:r>
        <w:rPr>
          <w:rFonts w:hint="eastAsia"/>
          <w:color w:val="auto"/>
          <w:highlight w:val="none"/>
          <w:lang w:eastAsia="zh-CN"/>
        </w:rPr>
        <w:t>”</w:t>
      </w:r>
      <w:r>
        <w:rPr>
          <w:rFonts w:hint="eastAsia"/>
          <w:color w:val="auto"/>
          <w:highlight w:val="none"/>
          <w:lang w:val="en-US" w:eastAsia="zh-CN"/>
        </w:rPr>
        <w:t>指标，预期指标值为基本改善，实际完成为100%。</w:t>
      </w:r>
    </w:p>
    <w:p>
      <w:pPr>
        <w:bidi w:val="0"/>
        <w:rPr>
          <w:rFonts w:hint="eastAsia"/>
          <w:color w:val="auto"/>
          <w:highlight w:val="none"/>
          <w:lang w:val="en-US" w:eastAsia="zh-CN"/>
        </w:rPr>
      </w:pPr>
      <w:r>
        <w:rPr>
          <w:rFonts w:hint="eastAsia"/>
          <w:b/>
          <w:bCs/>
          <w:color w:val="auto"/>
          <w:highlight w:val="none"/>
          <w:lang w:val="en-US" w:eastAsia="zh-CN"/>
        </w:rPr>
        <w:t>综上，该项指标满分10分，得分10分。</w:t>
      </w:r>
    </w:p>
    <w:p>
      <w:pPr>
        <w:bidi w:val="0"/>
        <w:rPr>
          <w:rFonts w:hint="eastAsia"/>
          <w:b/>
          <w:bCs/>
          <w:color w:val="auto"/>
          <w:highlight w:val="none"/>
          <w:lang w:val="en-US" w:eastAsia="zh-CN"/>
        </w:rPr>
      </w:pPr>
      <w:r>
        <w:rPr>
          <w:rFonts w:hint="eastAsia"/>
          <w:b/>
          <w:bCs/>
          <w:color w:val="auto"/>
          <w:highlight w:val="none"/>
          <w:lang w:val="en-US" w:eastAsia="zh-CN"/>
        </w:rPr>
        <w:t>3.可持续影响指标</w:t>
      </w:r>
    </w:p>
    <w:p>
      <w:pPr>
        <w:bidi w:val="0"/>
        <w:rPr>
          <w:rFonts w:hint="eastAsia"/>
          <w:b w:val="0"/>
          <w:bCs w:val="0"/>
          <w:color w:val="auto"/>
          <w:highlight w:val="none"/>
          <w:lang w:val="en-US" w:eastAsia="zh-CN"/>
        </w:rPr>
      </w:pPr>
      <w:r>
        <w:rPr>
          <w:rFonts w:hint="eastAsia"/>
          <w:color w:val="auto"/>
          <w:highlight w:val="none"/>
          <w:lang w:eastAsia="zh-CN"/>
        </w:rPr>
        <w:t>“</w:t>
      </w:r>
      <w:r>
        <w:rPr>
          <w:rFonts w:hint="eastAsia"/>
          <w:color w:val="auto"/>
          <w:highlight w:val="none"/>
          <w:lang w:val="en-US" w:eastAsia="zh-CN"/>
        </w:rPr>
        <w:t>可持续影响</w:t>
      </w:r>
      <w:r>
        <w:rPr>
          <w:rFonts w:hint="eastAsia"/>
          <w:color w:val="auto"/>
          <w:highlight w:val="none"/>
          <w:lang w:eastAsia="zh-CN"/>
        </w:rPr>
        <w:t>”</w:t>
      </w:r>
      <w:r>
        <w:rPr>
          <w:rFonts w:hint="eastAsia"/>
          <w:color w:val="auto"/>
          <w:highlight w:val="none"/>
          <w:lang w:val="en-US" w:eastAsia="zh-CN"/>
        </w:rPr>
        <w:t>指标，预期指标值为≥25年，实际完成为25年。</w:t>
      </w:r>
    </w:p>
    <w:p>
      <w:pPr>
        <w:bidi w:val="0"/>
        <w:rPr>
          <w:rFonts w:hint="eastAsia"/>
          <w:color w:val="auto"/>
          <w:highlight w:val="none"/>
          <w:lang w:val="en-US" w:eastAsia="zh-CN"/>
        </w:rPr>
      </w:pPr>
      <w:r>
        <w:rPr>
          <w:rFonts w:hint="eastAsia"/>
          <w:b/>
          <w:bCs/>
          <w:color w:val="auto"/>
          <w:highlight w:val="none"/>
          <w:lang w:val="en-US" w:eastAsia="zh-CN"/>
        </w:rPr>
        <w:t>综上，该项指标满分5分，得分5分。</w:t>
      </w:r>
    </w:p>
    <w:p>
      <w:pPr>
        <w:bidi w:val="0"/>
        <w:rPr>
          <w:rFonts w:hint="eastAsia"/>
          <w:b/>
          <w:bCs/>
          <w:color w:val="auto"/>
          <w:highlight w:val="none"/>
          <w:lang w:val="en-US" w:eastAsia="zh-CN"/>
        </w:rPr>
      </w:pPr>
      <w:r>
        <w:rPr>
          <w:rFonts w:hint="eastAsia"/>
          <w:b/>
          <w:bCs/>
          <w:color w:val="auto"/>
          <w:highlight w:val="none"/>
          <w:lang w:val="en-US" w:eastAsia="zh-CN"/>
        </w:rPr>
        <w:t>4.满意度指标</w:t>
      </w:r>
    </w:p>
    <w:p>
      <w:pPr>
        <w:bidi w:val="0"/>
        <w:rPr>
          <w:rFonts w:hint="eastAsia"/>
          <w:b/>
          <w:bCs/>
          <w:color w:val="auto"/>
          <w:highlight w:val="none"/>
          <w:lang w:val="en-US" w:eastAsia="zh-CN"/>
        </w:rPr>
      </w:pPr>
      <w:r>
        <w:rPr>
          <w:rFonts w:hint="eastAsia"/>
          <w:color w:val="auto"/>
          <w:highlight w:val="none"/>
          <w:lang w:eastAsia="zh-CN"/>
        </w:rPr>
        <w:t>“</w:t>
      </w:r>
      <w:r>
        <w:rPr>
          <w:rFonts w:hint="eastAsia"/>
          <w:color w:val="auto"/>
          <w:highlight w:val="none"/>
          <w:lang w:val="en-US" w:eastAsia="zh-CN"/>
        </w:rPr>
        <w:t>满意度</w:t>
      </w:r>
      <w:r>
        <w:rPr>
          <w:rFonts w:hint="eastAsia"/>
          <w:color w:val="auto"/>
          <w:highlight w:val="none"/>
          <w:lang w:eastAsia="zh-CN"/>
        </w:rPr>
        <w:t>”</w:t>
      </w:r>
      <w:r>
        <w:rPr>
          <w:rFonts w:hint="eastAsia"/>
          <w:color w:val="auto"/>
          <w:highlight w:val="none"/>
          <w:lang w:val="en-US" w:eastAsia="zh-CN"/>
        </w:rPr>
        <w:t>指标，预期指标值为≥95%，实际完成为95%。</w:t>
      </w:r>
    </w:p>
    <w:p>
      <w:pPr>
        <w:bidi w:val="0"/>
        <w:rPr>
          <w:rFonts w:hint="eastAsia"/>
          <w:b/>
          <w:bCs/>
          <w:color w:val="auto"/>
          <w:highlight w:val="none"/>
          <w:lang w:val="en-US" w:eastAsia="zh-CN"/>
        </w:rPr>
      </w:pPr>
      <w:r>
        <w:rPr>
          <w:rFonts w:hint="eastAsia"/>
          <w:b/>
          <w:bCs/>
          <w:color w:val="auto"/>
          <w:highlight w:val="none"/>
          <w:lang w:val="en-US" w:eastAsia="zh-CN"/>
        </w:rPr>
        <w:t>综上，该项指标满分5分，得分5分。</w:t>
      </w:r>
    </w:p>
    <w:p>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五、</w:t>
      </w:r>
      <w:r>
        <w:rPr>
          <w:rFonts w:hint="eastAsia" w:ascii="宋体" w:hAnsi="宋体" w:eastAsia="宋体" w:cs="宋体"/>
          <w:b/>
          <w:bCs/>
          <w:color w:val="auto"/>
          <w:highlight w:val="none"/>
          <w:shd w:val="clear" w:color="auto" w:fill="auto"/>
        </w:rPr>
        <w:t>主要经验及做法、存在的问题及原因分析</w:t>
      </w:r>
    </w:p>
    <w:p>
      <w:pPr>
        <w:pStyle w:val="2"/>
        <w:rPr>
          <w:rFonts w:hint="default"/>
          <w:color w:val="auto"/>
          <w:lang w:val="en-US" w:eastAsia="zh-CN"/>
        </w:rPr>
      </w:pPr>
      <w:r>
        <w:rPr>
          <w:rFonts w:hint="eastAsia"/>
          <w:color w:val="auto"/>
          <w:lang w:val="en-US" w:eastAsia="zh-CN"/>
        </w:rPr>
        <w:t>本预算执行率为100%，指标总体完成率为100% ，二者之间的偏差值为0。因此，本项目较好地完成了年度总体目标，财政资金使用效益和效率较高。</w:t>
      </w:r>
    </w:p>
    <w:p>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六、</w:t>
      </w:r>
      <w:r>
        <w:rPr>
          <w:rFonts w:hint="eastAsia" w:ascii="宋体" w:hAnsi="宋体" w:eastAsia="宋体" w:cs="宋体"/>
          <w:b/>
          <w:bCs/>
          <w:color w:val="auto"/>
          <w:highlight w:val="none"/>
          <w:shd w:val="clear" w:color="auto" w:fill="auto"/>
        </w:rPr>
        <w:t>主要经验及做法、存在的问题及原因分析</w:t>
      </w:r>
    </w:p>
    <w:p>
      <w:pPr>
        <w:numPr>
          <w:ilvl w:val="0"/>
          <w:numId w:val="0"/>
        </w:numPr>
        <w:bidi w:val="0"/>
        <w:ind w:left="560" w:leftChars="0"/>
        <w:rPr>
          <w:rFonts w:hint="eastAsia"/>
          <w:b/>
          <w:bCs/>
          <w:color w:val="auto"/>
          <w:lang w:eastAsia="zh-CN"/>
        </w:rPr>
      </w:pPr>
      <w:bookmarkStart w:id="12" w:name="_Toc1921"/>
      <w:bookmarkStart w:id="13" w:name="_Toc28290"/>
      <w:r>
        <w:rPr>
          <w:rFonts w:hint="eastAsia"/>
          <w:b/>
          <w:bCs/>
          <w:color w:val="auto"/>
          <w:lang w:eastAsia="zh-CN"/>
        </w:rPr>
        <w:t>（</w:t>
      </w:r>
      <w:r>
        <w:rPr>
          <w:rFonts w:hint="eastAsia"/>
          <w:b/>
          <w:bCs/>
          <w:color w:val="auto"/>
          <w:lang w:val="en-US" w:eastAsia="zh-CN"/>
        </w:rPr>
        <w:t>一</w:t>
      </w:r>
      <w:r>
        <w:rPr>
          <w:rFonts w:hint="eastAsia"/>
          <w:b/>
          <w:bCs/>
          <w:color w:val="auto"/>
          <w:lang w:eastAsia="zh-CN"/>
        </w:rPr>
        <w:t>）</w:t>
      </w:r>
      <w:r>
        <w:rPr>
          <w:rFonts w:hint="eastAsia"/>
          <w:b/>
          <w:bCs/>
          <w:color w:val="auto"/>
        </w:rPr>
        <w:t>主要经验及做法</w:t>
      </w:r>
    </w:p>
    <w:p>
      <w:pPr>
        <w:bidi w:val="0"/>
        <w:rPr>
          <w:rFonts w:hint="eastAsia"/>
          <w:color w:val="auto"/>
          <w:lang w:eastAsia="zh-CN"/>
        </w:rPr>
      </w:pPr>
      <w:r>
        <w:rPr>
          <w:rFonts w:hint="eastAsia"/>
          <w:color w:val="auto"/>
          <w:lang w:val="en-US" w:eastAsia="zh-CN"/>
        </w:rPr>
        <w:t>昌吉州阜康市生态屏障基础设施建设项目</w:t>
      </w:r>
      <w:r>
        <w:rPr>
          <w:rFonts w:hint="eastAsia"/>
          <w:color w:val="auto"/>
          <w:lang w:eastAsia="zh-CN"/>
        </w:rPr>
        <w:t>20</w:t>
      </w:r>
      <w:r>
        <w:rPr>
          <w:rFonts w:hint="eastAsia"/>
          <w:color w:val="auto"/>
          <w:lang w:val="en-US" w:eastAsia="zh-CN"/>
        </w:rPr>
        <w:t>22</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1000</w:t>
      </w:r>
      <w:r>
        <w:rPr>
          <w:rFonts w:hint="eastAsia"/>
          <w:color w:val="auto"/>
          <w:lang w:eastAsia="zh-CN"/>
        </w:rPr>
        <w:t>万元，</w:t>
      </w:r>
      <w:r>
        <w:rPr>
          <w:rFonts w:hint="eastAsia"/>
          <w:color w:val="auto"/>
          <w:lang w:val="en-US" w:eastAsia="zh-CN"/>
        </w:rPr>
        <w:t>截至2022年12月31日共</w:t>
      </w:r>
      <w:r>
        <w:rPr>
          <w:rFonts w:hint="eastAsia"/>
          <w:color w:val="auto"/>
          <w:lang w:eastAsia="zh-CN"/>
        </w:rPr>
        <w:t>支出</w:t>
      </w:r>
      <w:r>
        <w:rPr>
          <w:rFonts w:hint="eastAsia"/>
          <w:color w:val="auto"/>
          <w:lang w:val="en-US" w:eastAsia="zh-CN"/>
        </w:rPr>
        <w:t>1000</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100</w:t>
      </w:r>
      <w:r>
        <w:rPr>
          <w:rFonts w:hint="eastAsia"/>
          <w:color w:val="auto"/>
          <w:lang w:eastAsia="zh-CN"/>
        </w:rPr>
        <w:t>%。</w:t>
      </w:r>
    </w:p>
    <w:p>
      <w:pPr>
        <w:bidi w:val="0"/>
        <w:rPr>
          <w:rFonts w:hint="eastAsia"/>
          <w:color w:val="auto"/>
          <w:lang w:eastAsia="zh-CN"/>
        </w:rPr>
      </w:pPr>
      <w:r>
        <w:rPr>
          <w:rFonts w:hint="eastAsia"/>
          <w:color w:val="auto"/>
          <w:lang w:val="en-US" w:eastAsia="zh-CN"/>
        </w:rPr>
        <w:t>阜康市林业和草原局</w:t>
      </w:r>
      <w:r>
        <w:rPr>
          <w:rFonts w:hint="eastAsia"/>
          <w:color w:val="auto"/>
          <w:lang w:eastAsia="zh-CN"/>
        </w:rPr>
        <w:t>建立健全了预算管理规章制度，各部门严格按预算编制的原则和要求做好当年预算编制工作，在预算绩效管理工作中，做到合理安排各项资金，重点保障基本支出，按轻重缓急顺序原则，优先安排了</w:t>
      </w:r>
      <w:r>
        <w:rPr>
          <w:rFonts w:hint="eastAsia"/>
          <w:color w:val="auto"/>
          <w:lang w:val="en-US" w:eastAsia="zh-CN"/>
        </w:rPr>
        <w:t>阜康市林业和草原局</w:t>
      </w:r>
      <w:r>
        <w:rPr>
          <w:rFonts w:hint="eastAsia"/>
          <w:color w:val="auto"/>
          <w:lang w:eastAsia="zh-CN"/>
        </w:rPr>
        <w:t>事业发展中关系民生与稳定的项目，切实优化资源配置，提高了资金使用的效率和效果。</w:t>
      </w:r>
    </w:p>
    <w:bookmarkEnd w:id="12"/>
    <w:bookmarkEnd w:id="13"/>
    <w:p>
      <w:pPr>
        <w:bidi w:val="0"/>
        <w:rPr>
          <w:rFonts w:hint="eastAsia"/>
          <w:b/>
          <w:bCs/>
          <w:color w:val="auto"/>
          <w:lang w:eastAsia="zh-CN"/>
        </w:rPr>
      </w:pPr>
      <w:r>
        <w:rPr>
          <w:rFonts w:hint="eastAsia"/>
          <w:b/>
          <w:bCs/>
          <w:color w:val="auto"/>
          <w:lang w:eastAsia="zh-CN"/>
        </w:rPr>
        <w:t>（</w:t>
      </w:r>
      <w:r>
        <w:rPr>
          <w:rFonts w:hint="eastAsia"/>
          <w:b/>
          <w:bCs/>
          <w:color w:val="auto"/>
          <w:lang w:val="en-US" w:eastAsia="zh-CN"/>
        </w:rPr>
        <w:t>二</w:t>
      </w:r>
      <w:r>
        <w:rPr>
          <w:rFonts w:hint="eastAsia"/>
          <w:b/>
          <w:bCs/>
          <w:color w:val="auto"/>
          <w:lang w:eastAsia="zh-CN"/>
        </w:rPr>
        <w:t>）</w:t>
      </w:r>
      <w:r>
        <w:rPr>
          <w:rFonts w:hint="eastAsia"/>
          <w:b/>
          <w:bCs/>
          <w:color w:val="auto"/>
        </w:rPr>
        <w:t>存在的问题及原因分析</w:t>
      </w:r>
    </w:p>
    <w:p>
      <w:pPr>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畜牧产业园生态基础设施建设项目围栏面积7650㎡</w:t>
      </w:r>
      <w:r>
        <w:rPr>
          <w:rFonts w:hint="eastAsia" w:ascii="仿宋_GB2312" w:hAnsi="仿宋_GB2312" w:eastAsia="仿宋_GB2312" w:cs="仿宋_GB2312"/>
          <w:color w:val="auto"/>
          <w:sz w:val="30"/>
          <w:szCs w:val="30"/>
          <w:lang w:val="en-US" w:eastAsia="zh-CN"/>
        </w:rPr>
        <w:t>实际完成值6</w:t>
      </w:r>
      <w:r>
        <w:rPr>
          <w:rFonts w:hint="eastAsia" w:ascii="仿宋_GB2312" w:hAnsi="仿宋_GB2312" w:eastAsia="仿宋_GB2312" w:cs="仿宋_GB2312"/>
          <w:color w:val="auto"/>
          <w:sz w:val="30"/>
          <w:szCs w:val="30"/>
          <w:lang w:eastAsia="zh-CN"/>
        </w:rPr>
        <w:t>650㎡</w:t>
      </w:r>
      <w:r>
        <w:rPr>
          <w:rFonts w:hint="eastAsia" w:ascii="仿宋_GB2312" w:hAnsi="仿宋_GB2312" w:eastAsia="仿宋_GB2312" w:cs="仿宋_GB2312"/>
          <w:color w:val="auto"/>
          <w:sz w:val="30"/>
          <w:szCs w:val="30"/>
          <w:lang w:val="en-US" w:eastAsia="zh-CN"/>
        </w:rPr>
        <w:t>，剩余5%围栏为不影响春季绿化任务待结束后拉设。</w:t>
      </w:r>
    </w:p>
    <w:p>
      <w:pPr>
        <w:pageBreakBefore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仿宋_GB2312" w:hAnsi="仿宋_GB2312" w:eastAsia="仿宋_GB2312" w:cs="仿宋_GB2312"/>
          <w:color w:val="auto"/>
          <w:sz w:val="30"/>
          <w:szCs w:val="30"/>
          <w:lang w:val="en-US" w:eastAsia="zh-CN"/>
        </w:rPr>
        <w:t>2.因剩余5%围栏未拉设，故项目未验收，验收合格率100%，实际完成值0%，指标完成率0%。</w:t>
      </w:r>
    </w:p>
    <w:p>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七、</w:t>
      </w:r>
      <w:r>
        <w:rPr>
          <w:rFonts w:hint="eastAsia" w:ascii="宋体" w:hAnsi="宋体" w:eastAsia="宋体" w:cs="宋体"/>
          <w:b/>
          <w:bCs/>
          <w:color w:val="auto"/>
          <w:highlight w:val="none"/>
          <w:shd w:val="clear" w:color="auto" w:fill="auto"/>
        </w:rPr>
        <w:t>有关建议</w:t>
      </w:r>
    </w:p>
    <w:p>
      <w:pPr>
        <w:bidi w:val="0"/>
        <w:rPr>
          <w:rFonts w:hint="eastAsia" w:ascii="仿宋_GB2312" w:hAnsi="仿宋_GB2312" w:eastAsia="仿宋_GB2312" w:cs="仿宋_GB2312"/>
          <w:color w:val="auto"/>
          <w:sz w:val="30"/>
          <w:szCs w:val="30"/>
          <w:lang w:val="en-US" w:eastAsia="zh-CN"/>
        </w:rPr>
      </w:pPr>
      <w:r>
        <w:rPr>
          <w:rFonts w:hint="eastAsia"/>
          <w:color w:val="auto"/>
          <w:lang w:val="en-US" w:eastAsia="zh-CN"/>
        </w:rPr>
        <w:t>1.</w:t>
      </w:r>
      <w:r>
        <w:rPr>
          <w:rFonts w:hint="eastAsia" w:ascii="仿宋_GB2312" w:hAnsi="仿宋_GB2312" w:eastAsia="仿宋_GB2312" w:cs="仿宋_GB2312"/>
          <w:color w:val="auto"/>
          <w:sz w:val="30"/>
          <w:szCs w:val="30"/>
          <w:lang w:eastAsia="zh-CN"/>
        </w:rPr>
        <w:t>畜牧产业园生态基础设施建设项目围栏因</w:t>
      </w:r>
      <w:r>
        <w:rPr>
          <w:rFonts w:hint="eastAsia" w:ascii="仿宋_GB2312" w:hAnsi="仿宋_GB2312" w:eastAsia="仿宋_GB2312" w:cs="仿宋_GB2312"/>
          <w:color w:val="auto"/>
          <w:sz w:val="30"/>
          <w:szCs w:val="30"/>
          <w:lang w:val="en-US" w:eastAsia="zh-CN"/>
        </w:rPr>
        <w:t>2023年春季绿化工作而暂停拉设。每年4-5月为春季造林期，待春季造林期结束后，阜康市林业和草原局将督促项目施工方尽快拉设剩余5%的围栏，确保项目实施到位。</w:t>
      </w:r>
    </w:p>
    <w:p>
      <w:pPr>
        <w:pStyle w:val="2"/>
        <w:rPr>
          <w:rFonts w:hint="default"/>
          <w:color w:val="auto"/>
          <w:lang w:val="en-US" w:eastAsia="zh-CN"/>
        </w:rPr>
      </w:pPr>
      <w:r>
        <w:rPr>
          <w:rFonts w:hint="eastAsia" w:ascii="仿宋_GB2312" w:hAnsi="仿宋_GB2312" w:eastAsia="仿宋_GB2312" w:cs="仿宋_GB2312"/>
          <w:color w:val="auto"/>
          <w:sz w:val="30"/>
          <w:szCs w:val="30"/>
          <w:lang w:val="en-US" w:eastAsia="zh-CN"/>
        </w:rPr>
        <w:t>2.待围栏全部拉设到位后，阜康市林业和草原局将及时组织相关部门对该项目进行验收，确保该项目保质保量完成。</w:t>
      </w:r>
    </w:p>
    <w:p>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八</w:t>
      </w:r>
      <w:r>
        <w:rPr>
          <w:rFonts w:hint="eastAsia" w:ascii="宋体" w:hAnsi="宋体" w:eastAsia="宋体" w:cs="宋体"/>
          <w:b/>
          <w:bCs/>
          <w:color w:val="auto"/>
          <w:highlight w:val="none"/>
          <w:shd w:val="clear" w:color="auto" w:fill="auto"/>
        </w:rPr>
        <w:t>、其他需要说明的问题</w:t>
      </w:r>
    </w:p>
    <w:p>
      <w:pPr>
        <w:bidi w:val="0"/>
        <w:rPr>
          <w:rFonts w:hint="default" w:ascii="宋体" w:hAnsi="宋体" w:eastAsia="宋体" w:cs="宋体"/>
          <w:color w:val="auto"/>
          <w:lang w:val="en-US" w:eastAsia="zh-CN"/>
        </w:rPr>
      </w:pPr>
      <w:r>
        <w:rPr>
          <w:rFonts w:hint="eastAsia" w:ascii="宋体" w:hAnsi="宋体" w:eastAsia="宋体" w:cs="宋体"/>
          <w:color w:val="auto"/>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cs="宋体"/>
          <w:color w:val="auto"/>
          <w:highlight w:val="none"/>
          <w:shd w:val="clear" w:color="auto" w:fill="auto"/>
          <w:lang w:val="en-US" w:eastAsia="zh-CN"/>
        </w:rPr>
      </w:pPr>
    </w:p>
    <w:p>
      <w:pPr>
        <w:ind w:left="0" w:leftChars="0" w:firstLine="0" w:firstLineChars="0"/>
        <w:rPr>
          <w:rFonts w:hint="eastAsia"/>
          <w:color w:val="auto"/>
          <w:lang w:val="en-US" w:eastAsia="zh-CN"/>
        </w:rPr>
      </w:pPr>
      <w:r>
        <w:rPr>
          <w:rFonts w:hint="eastAsia"/>
          <w:color w:val="auto"/>
          <w:lang w:val="en-US" w:eastAsia="zh-CN"/>
        </w:rPr>
        <w:br w:type="page"/>
      </w:r>
    </w:p>
    <w:tbl>
      <w:tblPr>
        <w:tblStyle w:val="11"/>
        <w:tblW w:w="9734"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80"/>
        <w:gridCol w:w="1112"/>
        <w:gridCol w:w="730"/>
        <w:gridCol w:w="1134"/>
        <w:gridCol w:w="284"/>
        <w:gridCol w:w="850"/>
        <w:gridCol w:w="851"/>
        <w:gridCol w:w="283"/>
        <w:gridCol w:w="284"/>
        <w:gridCol w:w="425"/>
        <w:gridCol w:w="142"/>
        <w:gridCol w:w="709"/>
        <w:gridCol w:w="70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734" w:type="dxa"/>
            <w:gridSpan w:val="14"/>
            <w:noWrap w:val="0"/>
            <w:vAlign w:val="center"/>
          </w:tcPr>
          <w:p>
            <w:pPr>
              <w:widowControl/>
              <w:spacing w:line="320" w:lineRule="exact"/>
              <w:ind w:firstLine="0" w:firstLineChars="0"/>
              <w:jc w:val="both"/>
              <w:rPr>
                <w:rFonts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 xml:space="preserve">附件一             </w:t>
            </w:r>
            <w:r>
              <w:rPr>
                <w:rFonts w:hint="eastAsia" w:ascii="宋体" w:hAnsi="宋体" w:eastAsia="宋体" w:cs="宋体"/>
                <w:b/>
                <w:bCs/>
                <w:color w:val="auto"/>
                <w:kern w:val="0"/>
                <w:sz w:val="32"/>
                <w:szCs w:val="32"/>
              </w:rPr>
              <w:t>项目支出绩效自评表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9734" w:type="dxa"/>
            <w:gridSpan w:val="14"/>
            <w:noWrap w:val="0"/>
            <w:vAlign w:val="top"/>
          </w:tcPr>
          <w:p>
            <w:pPr>
              <w:widowControl/>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w:t>
            </w:r>
            <w:r>
              <w:rPr>
                <w:rFonts w:hint="eastAsia" w:cs="宋体"/>
                <w:color w:val="auto"/>
                <w:kern w:val="0"/>
                <w:sz w:val="22"/>
                <w:szCs w:val="22"/>
                <w:lang w:val="en-US" w:eastAsia="zh-CN"/>
              </w:rPr>
              <w:t>2022</w:t>
            </w:r>
            <w:r>
              <w:rPr>
                <w:rFonts w:hint="eastAsia" w:ascii="宋体" w:hAnsi="宋体" w:eastAsia="宋体" w:cs="宋体"/>
                <w:color w:val="auto"/>
                <w:kern w:val="0"/>
                <w:sz w:val="22"/>
                <w:szCs w:val="22"/>
              </w:rPr>
              <w:t>年度）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2222"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昌吉州阜康市生态屏障基础设施建设项目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2222"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2222" w:type="dxa"/>
            <w:gridSpan w:val="2"/>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2222" w:type="dxa"/>
            <w:gridSpan w:val="2"/>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noWrap w:val="0"/>
            <w:vAlign w:val="center"/>
          </w:tcPr>
          <w:p>
            <w:pPr>
              <w:widowControl/>
              <w:spacing w:line="240" w:lineRule="exact"/>
              <w:ind w:firstLine="0" w:firstLineChars="0"/>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1300</w:t>
            </w:r>
          </w:p>
        </w:tc>
        <w:tc>
          <w:tcPr>
            <w:tcW w:w="1134"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1000</w:t>
            </w:r>
          </w:p>
        </w:tc>
        <w:tc>
          <w:tcPr>
            <w:tcW w:w="1134"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1000</w:t>
            </w:r>
          </w:p>
        </w:tc>
        <w:tc>
          <w:tcPr>
            <w:tcW w:w="709"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1"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w:t>
            </w:r>
            <w:r>
              <w:rPr>
                <w:rFonts w:hint="eastAsia" w:ascii="宋体" w:hAnsi="宋体" w:eastAsia="宋体" w:cs="宋体"/>
                <w:color w:val="auto"/>
                <w:kern w:val="0"/>
                <w:sz w:val="18"/>
                <w:szCs w:val="18"/>
              </w:rPr>
              <w:t>%</w:t>
            </w:r>
          </w:p>
        </w:tc>
        <w:tc>
          <w:tcPr>
            <w:tcW w:w="708" w:type="dxa"/>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2222" w:type="dxa"/>
            <w:gridSpan w:val="2"/>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1000</w:t>
            </w:r>
          </w:p>
        </w:tc>
        <w:tc>
          <w:tcPr>
            <w:tcW w:w="1134"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1000</w:t>
            </w:r>
          </w:p>
        </w:tc>
        <w:tc>
          <w:tcPr>
            <w:tcW w:w="1134"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1000</w:t>
            </w:r>
          </w:p>
        </w:tc>
        <w:tc>
          <w:tcPr>
            <w:tcW w:w="709"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8"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2222" w:type="dxa"/>
            <w:gridSpan w:val="2"/>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9"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8"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2222" w:type="dxa"/>
            <w:gridSpan w:val="2"/>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300</w:t>
            </w:r>
          </w:p>
        </w:tc>
        <w:tc>
          <w:tcPr>
            <w:tcW w:w="1134"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p>
        </w:tc>
        <w:tc>
          <w:tcPr>
            <w:tcW w:w="1134"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9"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8"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1242" w:type="dxa"/>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4"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5090" w:type="dxa"/>
            <w:gridSpan w:val="6"/>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实施上户沟乡阜滋公路上户沟段50公里围栏建设；2、在九运街新湖村、东湾林业基地实施灌溉管网敷设，平整林地等工程；3、城关镇龙王庙西村基础设施项目、城关镇山坡村一期基础设施建设项目及畜牧产业园生态绿化基础设施建设项目，主要实施土地平整、机械及人工、灌溉管网敷设等。本项目实施将降低土地盐碱化和土地沙化，促使农村剩余劳动力得到高效利用，提高劳动生产率。</w:t>
            </w:r>
          </w:p>
        </w:tc>
        <w:tc>
          <w:tcPr>
            <w:tcW w:w="3402" w:type="dxa"/>
            <w:gridSpan w:val="7"/>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截止2022年12月底，本单位完成1、实施上户沟乡阜滋公路上户沟段50公里围栏建设；2、在九运街新湖村、东湾林业基地实施灌溉管网敷设，平整林地等工程；3、城关镇龙王庙西村基础设施项目、城关镇山坡村一期基础设施建设项目及畜牧产业园生态绿化基础设施建设项目，主要实施土地平整、机械及人工、灌溉管网敷设等。达到拉动地方经济，实现生态、经济、社会三大效益协调统一的社会效益，满意度达95%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1242" w:type="dxa"/>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城关镇龙王庙西村基础设施项目绿地面积</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92004㎡</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92004㎡</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城关镇山坡村一期基础设施建设项目绿地面积</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70026㎡</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70026㎡</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畜牧产业园生态绿化基础设施建设项目绿地面积</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273521㎡</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273521㎡</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2148" w:type="dxa"/>
            <w:gridSpan w:val="3"/>
            <w:noWrap w:val="0"/>
            <w:vAlign w:val="center"/>
          </w:tcPr>
          <w:p>
            <w:pPr>
              <w:widowControl/>
              <w:spacing w:line="240" w:lineRule="exact"/>
              <w:ind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项目灌木木种植总数</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609800棵</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609800棵</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2148" w:type="dxa"/>
            <w:gridSpan w:val="3"/>
            <w:noWrap w:val="0"/>
            <w:vAlign w:val="center"/>
          </w:tcPr>
          <w:p>
            <w:pPr>
              <w:widowControl/>
              <w:spacing w:line="240" w:lineRule="exact"/>
              <w:ind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项目乔木种植总数</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9134棵</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9134棵</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2148" w:type="dxa"/>
            <w:gridSpan w:val="3"/>
            <w:noWrap w:val="0"/>
            <w:vAlign w:val="center"/>
          </w:tcPr>
          <w:p>
            <w:pPr>
              <w:widowControl/>
              <w:spacing w:line="240" w:lineRule="exact"/>
              <w:ind w:firstLine="0"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畜牧产业园生态绿化基础设施建设项目围栏面积</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7650㎡</w:t>
            </w:r>
          </w:p>
        </w:tc>
        <w:tc>
          <w:tcPr>
            <w:tcW w:w="851" w:type="dxa"/>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7650㎡</w:t>
            </w:r>
            <w:r>
              <w:rPr>
                <w:rFonts w:hint="eastAsia" w:cs="宋体"/>
                <w:color w:val="auto"/>
                <w:kern w:val="0"/>
                <w:sz w:val="18"/>
                <w:szCs w:val="18"/>
                <w:lang w:val="en-US" w:eastAsia="zh-CN"/>
              </w:rPr>
              <w:t>2</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567" w:type="dxa"/>
            <w:gridSpan w:val="2"/>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2</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工程验收合格率</w:t>
            </w:r>
          </w:p>
        </w:tc>
        <w:tc>
          <w:tcPr>
            <w:tcW w:w="850" w:type="dxa"/>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w:t>
            </w:r>
          </w:p>
        </w:tc>
        <w:tc>
          <w:tcPr>
            <w:tcW w:w="1417" w:type="dxa"/>
            <w:gridSpan w:val="2"/>
            <w:noWrap w:val="0"/>
            <w:vAlign w:val="center"/>
          </w:tcPr>
          <w:p>
            <w:pPr>
              <w:widowControl/>
              <w:spacing w:line="240" w:lineRule="exact"/>
              <w:ind w:firstLine="0" w:firstLineChars="0"/>
              <w:jc w:val="left"/>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项目完成时间</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2022-12-31</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2022-12-31</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9</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9</w:t>
            </w:r>
          </w:p>
        </w:tc>
        <w:tc>
          <w:tcPr>
            <w:tcW w:w="1417" w:type="dxa"/>
            <w:gridSpan w:val="2"/>
            <w:noWrap w:val="0"/>
            <w:vAlign w:val="center"/>
          </w:tcPr>
          <w:p>
            <w:pPr>
              <w:widowControl/>
              <w:spacing w:line="240" w:lineRule="exact"/>
              <w:ind w:firstLine="0" w:firstLineChars="0"/>
              <w:jc w:val="left"/>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项目完成及时率</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9</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9</w:t>
            </w:r>
          </w:p>
        </w:tc>
        <w:tc>
          <w:tcPr>
            <w:tcW w:w="1417" w:type="dxa"/>
            <w:gridSpan w:val="2"/>
            <w:noWrap w:val="0"/>
            <w:vAlign w:val="center"/>
          </w:tcPr>
          <w:p>
            <w:pPr>
              <w:widowControl/>
              <w:spacing w:line="240" w:lineRule="exact"/>
              <w:ind w:firstLine="0" w:firstLineChars="0"/>
              <w:jc w:val="left"/>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color w:val="auto"/>
                <w:sz w:val="18"/>
                <w:szCs w:val="18"/>
              </w:rPr>
              <w:t>项目建设成本</w:t>
            </w:r>
          </w:p>
        </w:tc>
        <w:tc>
          <w:tcPr>
            <w:tcW w:w="850" w:type="dxa"/>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1300万元</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1000万元</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w:t>
            </w:r>
          </w:p>
        </w:tc>
        <w:tc>
          <w:tcPr>
            <w:tcW w:w="56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w:t>
            </w:r>
          </w:p>
        </w:tc>
        <w:tc>
          <w:tcPr>
            <w:tcW w:w="1417" w:type="dxa"/>
            <w:gridSpan w:val="2"/>
            <w:noWrap w:val="0"/>
            <w:vAlign w:val="center"/>
          </w:tcPr>
          <w:p>
            <w:pPr>
              <w:widowControl/>
              <w:spacing w:line="240" w:lineRule="exact"/>
              <w:ind w:firstLine="0" w:firstLineChars="0"/>
              <w:jc w:val="left"/>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850" w:type="dxa"/>
            <w:vMerge w:val="restart"/>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基本改善</w:t>
            </w:r>
          </w:p>
        </w:tc>
        <w:tc>
          <w:tcPr>
            <w:tcW w:w="851" w:type="dxa"/>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6</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6</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0"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是否进一步改善阜康市的生态环境，拉动地方经济，实现生态、经济、社会三大效益协调统一.</w:t>
            </w:r>
          </w:p>
        </w:tc>
        <w:tc>
          <w:tcPr>
            <w:tcW w:w="850" w:type="dxa"/>
            <w:vMerge w:val="restart"/>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基本改善</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12</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12</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65"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是否改善项目区域人居环境，为阜康市项目周边环境发展提供基础保障，为今后阜康市生态环境改善及可持续发展创造有利条件。</w:t>
            </w:r>
          </w:p>
        </w:tc>
        <w:tc>
          <w:tcPr>
            <w:tcW w:w="850" w:type="dxa"/>
            <w:vMerge w:val="restart"/>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基本改善</w:t>
            </w:r>
          </w:p>
        </w:tc>
        <w:tc>
          <w:tcPr>
            <w:tcW w:w="851" w:type="dxa"/>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12</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12</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jc w:val="center"/>
        </w:trPr>
        <w:tc>
          <w:tcPr>
            <w:tcW w:w="1242" w:type="dxa"/>
            <w:vMerge w:val="continue"/>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周边百姓满意度</w:t>
            </w:r>
          </w:p>
        </w:tc>
        <w:tc>
          <w:tcPr>
            <w:tcW w:w="850"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≥95%</w:t>
            </w:r>
          </w:p>
        </w:tc>
        <w:tc>
          <w:tcPr>
            <w:tcW w:w="851" w:type="dxa"/>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95%</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7183" w:type="dxa"/>
            <w:gridSpan w:val="8"/>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w:t>
            </w:r>
          </w:p>
        </w:tc>
        <w:tc>
          <w:tcPr>
            <w:tcW w:w="567" w:type="dxa"/>
            <w:gridSpan w:val="2"/>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w:t>
            </w:r>
          </w:p>
        </w:tc>
        <w:tc>
          <w:tcPr>
            <w:tcW w:w="1417" w:type="dxa"/>
            <w:gridSpan w:val="2"/>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bl>
    <w:p>
      <w:pPr>
        <w:rPr>
          <w:rFonts w:hint="eastAsia"/>
          <w:color w:val="auto"/>
          <w:lang w:val="en-US" w:eastAsia="zh-CN"/>
        </w:rPr>
        <w:sectPr>
          <w:footerReference r:id="rId3" w:type="default"/>
          <w:pgSz w:w="11906" w:h="16838"/>
          <w:pgMar w:top="1440" w:right="1800" w:bottom="1440" w:left="1800" w:header="737" w:footer="851" w:gutter="0"/>
          <w:pgNumType w:fmt="decimal" w:start="1"/>
          <w:cols w:space="720" w:num="1"/>
          <w:docGrid w:type="lines" w:linePitch="408" w:charSpace="0"/>
        </w:sectPr>
      </w:pPr>
    </w:p>
    <w:p>
      <w:pPr>
        <w:keepNext/>
        <w:keepLines/>
        <w:widowControl w:val="0"/>
        <w:spacing w:before="0" w:beforeLines="0" w:beforeAutospacing="0" w:after="0" w:afterLines="0" w:afterAutospacing="0" w:line="240" w:lineRule="auto"/>
        <w:jc w:val="left"/>
        <w:outlineLvl w:val="1"/>
        <w:rPr>
          <w:rFonts w:hint="eastAsia" w:ascii="Arial" w:hAnsi="Arial" w:eastAsia="宋体" w:cs="Times New Roman"/>
          <w:b/>
          <w:bCs/>
          <w:color w:val="auto"/>
          <w:kern w:val="2"/>
          <w:sz w:val="32"/>
          <w:szCs w:val="24"/>
          <w:lang w:val="en-US" w:eastAsia="zh-CN" w:bidi="ar-SA"/>
        </w:rPr>
      </w:pPr>
      <w:r>
        <w:rPr>
          <w:rFonts w:hint="eastAsia" w:cs="宋体"/>
          <w:b/>
          <w:bCs/>
          <w:color w:val="auto"/>
          <w:kern w:val="2"/>
          <w:sz w:val="36"/>
          <w:szCs w:val="28"/>
          <w:lang w:val="en-US" w:eastAsia="zh-CN" w:bidi="ar-SA"/>
        </w:rPr>
        <w:t xml:space="preserve">附件二              </w:t>
      </w:r>
      <w:r>
        <w:rPr>
          <w:rFonts w:hint="eastAsia" w:ascii="宋体" w:hAnsi="宋体" w:eastAsia="宋体" w:cs="宋体"/>
          <w:b/>
          <w:bCs/>
          <w:color w:val="auto"/>
          <w:kern w:val="2"/>
          <w:sz w:val="36"/>
          <w:szCs w:val="28"/>
          <w:lang w:val="en-US" w:eastAsia="zh-CN" w:bidi="ar-SA"/>
        </w:rPr>
        <w:t>项目支出绩效评价指标体系打分表</w:t>
      </w:r>
    </w:p>
    <w:tbl>
      <w:tblPr>
        <w:tblStyle w:val="11"/>
        <w:tblW w:w="1392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861"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一级指标</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二级指标</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三级指标</w:t>
            </w:r>
          </w:p>
        </w:tc>
        <w:tc>
          <w:tcPr>
            <w:tcW w:w="2141"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指标解释</w:t>
            </w:r>
          </w:p>
        </w:tc>
        <w:tc>
          <w:tcPr>
            <w:tcW w:w="7821"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指标说明</w:t>
            </w:r>
          </w:p>
        </w:tc>
        <w:tc>
          <w:tcPr>
            <w:tcW w:w="785" w:type="dxa"/>
            <w:shd w:val="clear" w:color="auto" w:fill="FFFFFF"/>
            <w:noWrap w:val="0"/>
            <w:vAlign w:val="center"/>
          </w:tcPr>
          <w:p>
            <w:pPr>
              <w:widowControl/>
              <w:spacing w:line="0" w:lineRule="atLeast"/>
              <w:ind w:firstLine="0" w:firstLineChars="0"/>
              <w:jc w:val="center"/>
              <w:rPr>
                <w:rFonts w:hint="eastAsia" w:ascii="宋体" w:hAnsi="宋体" w:eastAsia="宋体" w:cs="宋体"/>
                <w:b/>
                <w:bCs/>
                <w:color w:val="auto"/>
                <w:kern w:val="0"/>
                <w:sz w:val="22"/>
                <w:szCs w:val="22"/>
                <w:lang w:val="en-US" w:eastAsia="zh-CN"/>
              </w:rPr>
            </w:pPr>
            <w:r>
              <w:rPr>
                <w:rFonts w:hint="eastAsia" w:ascii="宋体" w:hAnsi="宋体" w:eastAsia="宋体" w:cs="宋体"/>
                <w:b/>
                <w:bCs/>
                <w:color w:val="auto"/>
                <w:kern w:val="0"/>
                <w:sz w:val="22"/>
                <w:szCs w:val="22"/>
                <w:lang w:val="en-US" w:eastAsia="zh-CN"/>
              </w:rPr>
              <w:t>分值</w:t>
            </w:r>
          </w:p>
        </w:tc>
        <w:tc>
          <w:tcPr>
            <w:tcW w:w="769" w:type="dxa"/>
            <w:shd w:val="clear" w:color="auto" w:fill="FFFFFF"/>
            <w:noWrap w:val="0"/>
            <w:vAlign w:val="center"/>
          </w:tcPr>
          <w:p>
            <w:pPr>
              <w:widowControl/>
              <w:spacing w:line="0" w:lineRule="atLeast"/>
              <w:ind w:firstLine="0" w:firstLineChars="0"/>
              <w:jc w:val="center"/>
              <w:rPr>
                <w:rFonts w:hint="eastAsia" w:ascii="宋体" w:hAnsi="宋体" w:eastAsia="宋体" w:cs="宋体"/>
                <w:b/>
                <w:bCs/>
                <w:color w:val="auto"/>
                <w:kern w:val="0"/>
                <w:sz w:val="22"/>
                <w:szCs w:val="22"/>
                <w:lang w:val="en-US" w:eastAsia="zh-CN"/>
              </w:rPr>
            </w:pPr>
            <w:r>
              <w:rPr>
                <w:rFonts w:hint="eastAsia" w:ascii="宋体" w:hAnsi="宋体" w:eastAsia="宋体" w:cs="宋体"/>
                <w:b/>
                <w:bCs/>
                <w:color w:val="auto"/>
                <w:kern w:val="0"/>
                <w:sz w:val="22"/>
                <w:szCs w:val="22"/>
                <w:lang w:val="en-US" w:eastAsia="zh-CN"/>
              </w:rPr>
              <w:t>得分</w:t>
            </w:r>
            <w:bookmarkStart w:id="14" w:name="_GoBack"/>
            <w:bookmarkEnd w:id="14"/>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决策　</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项目立项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立项依据</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充分性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项目立项是否符合法律法规、相关政策、发展规划以及部门职责，用以反映和考核项目立项依据情况。</w:t>
            </w:r>
          </w:p>
        </w:tc>
        <w:tc>
          <w:tcPr>
            <w:tcW w:w="7821" w:type="dxa"/>
            <w:shd w:val="clear" w:color="auto" w:fill="FFFFFF"/>
            <w:noWrap w:val="0"/>
            <w:vAlign w:val="center"/>
          </w:tcPr>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①项目立项是否符合国家法律法规、国民经济发展规划和相关政策；</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②项目立项是否符合行业发展规划和政策要求；</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③项目立项是否与部门职责范围相符，属于部门履职所需；</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④项目是否属于公共财政支持范围，是否符合中央、地方事权支出责任划分原则；</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⑤项目是否与相关部门同类项目或部门内部相关项目重复。</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立项程序</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规范性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项目申请、设立过程是否符合相关要求，用以反映和考核项目立项的规范情况。</w:t>
            </w:r>
          </w:p>
        </w:tc>
        <w:tc>
          <w:tcPr>
            <w:tcW w:w="7821" w:type="dxa"/>
            <w:shd w:val="clear" w:color="auto" w:fill="FFFFFF"/>
            <w:noWrap w:val="0"/>
            <w:vAlign w:val="center"/>
          </w:tcPr>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①项目是否按照规定的程序申请设立；</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②审批文件、材料是否符合相关要求；</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③事前是否已经过必要的可行性研究、专家论证、风险评估、绩效评估、集体决策。</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绩效目标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绩效目标</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合理性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项目所设定的绩效目标是否依据充分，是否符合客观实际，用以反映和考核项目绩效目标与项目实施的相符情况。</w:t>
            </w:r>
          </w:p>
        </w:tc>
        <w:tc>
          <w:tcPr>
            <w:tcW w:w="7821" w:type="dxa"/>
            <w:shd w:val="clear" w:color="000000" w:fill="FFFFFF"/>
            <w:noWrap w:val="0"/>
            <w:vAlign w:val="center"/>
          </w:tcPr>
          <w:p>
            <w:pPr>
              <w:widowControl/>
              <w:spacing w:line="0" w:lineRule="atLeast"/>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（如未设定预算绩效目标，也可考核其他工作任务目标）</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①项目是否有绩效目标；</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②项目绩效目标与实际工作内容是否具有相关性；</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③项目预期产出效益和效果是否符合正常的业绩水平；</w:t>
            </w:r>
          </w:p>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④是否与预算确定的项目投资额或资金量相匹配。</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决策　</w:t>
            </w:r>
          </w:p>
        </w:tc>
        <w:tc>
          <w:tcPr>
            <w:tcW w:w="727"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绩效目标</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绩效指标</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明确性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依据绩效目标设定的绩效指标是否清晰、细化、可衡量等，用以反映和考核项目绩效目标的明细化情况。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①是否将项目绩效目标细化分解为具体的绩效指标；</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②是否通过清晰、可衡量的指标值予以体现；</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③是否与项目目标任务数或计划数相对应。</w:t>
            </w:r>
            <w:r>
              <w:rPr>
                <w:rFonts w:hint="eastAsia" w:ascii="宋体" w:hAnsi="宋体" w:eastAsia="宋体" w:cs="宋体"/>
                <w:color w:val="auto"/>
                <w:kern w:val="0"/>
                <w:sz w:val="22"/>
                <w:szCs w:val="22"/>
              </w:rPr>
              <w:br w:type="textWrapping"/>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资金投入</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预算编制</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科学性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①预算编制是否经过科学论证；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②预算内容与项目内容是否匹配；</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③预算额度测算依据是否充分，是否按照标准编制；</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④预算确定的项目投资额或资金量是否与工作任务相匹配。</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资金分配</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合理性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①预算资金分配依据是否充分；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②资金分配额度是否合理，与项目单位或地方实际是否相适应。</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861" w:type="dxa"/>
            <w:vMerge w:val="restart"/>
            <w:shd w:val="clear" w:color="auto" w:fill="FFFFFF"/>
            <w:noWrap w:val="0"/>
            <w:vAlign w:val="center"/>
          </w:tcPr>
          <w:p>
            <w:pPr>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过程</w:t>
            </w:r>
          </w:p>
        </w:tc>
        <w:tc>
          <w:tcPr>
            <w:tcW w:w="727" w:type="dxa"/>
            <w:vMerge w:val="restart"/>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资金管理</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资金到位率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实际到位资金与预算资金的比率，用以反映和考核资金落实情况对项目实施的总体保障程度。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资金到位率=（实际到位资金/预算资金）×100%。</w:t>
            </w:r>
          </w:p>
          <w:p>
            <w:pPr>
              <w:widowControl/>
              <w:spacing w:line="0" w:lineRule="atLeas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实际到位资金：一定时期（本年度或项目期）内落实到具体项目的资金。</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预算资金：一定时期（本年度或项目期）内预算安排到具体项目的资金。</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861" w:type="dxa"/>
            <w:vMerge w:val="continue"/>
            <w:shd w:val="clear" w:color="auto" w:fill="FFFFFF"/>
            <w:noWrap w:val="0"/>
            <w:vAlign w:val="center"/>
          </w:tcPr>
          <w:p>
            <w:pPr>
              <w:spacing w:line="0" w:lineRule="atLeast"/>
              <w:ind w:firstLine="0" w:firstLineChars="0"/>
              <w:jc w:val="center"/>
              <w:rPr>
                <w:rFonts w:hint="eastAsia" w:ascii="宋体" w:hAnsi="宋体" w:eastAsia="宋体" w:cs="宋体"/>
                <w:color w:val="auto"/>
                <w:kern w:val="0"/>
                <w:sz w:val="22"/>
                <w:szCs w:val="22"/>
              </w:rPr>
            </w:pPr>
          </w:p>
        </w:tc>
        <w:tc>
          <w:tcPr>
            <w:tcW w:w="727" w:type="dxa"/>
            <w:vMerge w:val="continue"/>
            <w:shd w:val="clear" w:color="auto" w:fill="FFFFFF"/>
            <w:noWrap w:val="0"/>
            <w:vAlign w:val="center"/>
          </w:tcPr>
          <w:p>
            <w:pPr>
              <w:spacing w:line="0" w:lineRule="atLeast"/>
              <w:ind w:firstLine="0" w:firstLineChars="0"/>
              <w:jc w:val="center"/>
              <w:rPr>
                <w:rFonts w:hint="eastAsia"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预算执行率</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项目预算资金是否按照计划执行，用以反映或考核项目预算执行情况。</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预算执行率=（实际支出资金/实际到位资金）×100%。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实际支出资金：一定时期（本年度或项目期）内项目实际拨付的资金。</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过程　</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资金管理</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资金使用</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合规性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项目资金使用是否符合相关的财务管理制度规定，用以反映和考核项目资金的规范运行情况。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①是否符合国家财经法规和财务管理制度以及有关专项资金管理办法的规定；</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②资金的拨付是否有完整的审批程序和手续；</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③是否符合项目预算批复或合同规定的用途；</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④是否存在截留、挤占、挪用、虚列支出等情况。</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组织实施</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管理制度</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健全性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项目实施单位的财务和业务管理制度是否健全，用以反映和考核财务和业务管理制度对项目顺利实施的保障情况。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①是否已制定或具有相应的财务和业务管理制度；</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②财务和业务管理制度是否合法、合规、完整。</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制度执行</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有效性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项目实施是否符合相关管理规定，用以反映和考核相关管理制度的有效执行情况。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①是否遵守相关法律法规和相关管理规定；</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②项目调整及支出调整手续是否完备；</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③项目合同书、验收报告、技术鉴定等资料是否齐全并及时归档；</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④项目实施的人员条件、场地设备、信息支撑等是否落实到位。</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7" w:hRule="atLeast"/>
          <w:jc w:val="center"/>
        </w:trPr>
        <w:tc>
          <w:tcPr>
            <w:tcW w:w="861"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产出数量</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实际完成率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项目实施的实际产出数与计划产出数的比率，用以反映和考核项目产出数量目标的实现程度。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实际完成率=（实际产出数/计划产出数）×100%。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实际产出数：一定时期（本年度或项目期）内项目实际产出的产品或提供的服务数量。</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计划产出数：项目绩效目标确定的在一定时期（本年度或项目期）内计划产出的产品或提供的服务数量。</w:t>
            </w:r>
          </w:p>
        </w:tc>
        <w:tc>
          <w:tcPr>
            <w:tcW w:w="785"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产出质量</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质量达标率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项目完成的质量达标产出数与实际产出数的比率，用以反映和考核项目产出质量目标的实现程度。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质量达标率=（质量达标产出数/实际产出数）×100%。</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c>
          <w:tcPr>
            <w:tcW w:w="769"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06"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产出时效</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完成及时性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项目实际完成时间与计划完成时间的比较，用以反映和考核项目产出时效目标的实现程度。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实际完成时间：项目实施单位完成该项目实际所耗用的时间。</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计划完成时间：按照项目实施计划或相关规定完成该项目所需的时间。</w:t>
            </w:r>
          </w:p>
        </w:tc>
        <w:tc>
          <w:tcPr>
            <w:tcW w:w="785"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产出成本</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成本节约率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完成项目计划工作目标的实际节约成本与计划成本的比率，用以反映和考核项目的成本节约程度。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成本节约率=[（计划成本-实际成本）/计划成本]×100%。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实际成本：项目实施单位如期、保质、保量完成既定工作目标实际所耗费的支出。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计划成本：项目实施单位为完成工作目标计划安排的支出，一般以项目预算为参考。</w:t>
            </w:r>
          </w:p>
        </w:tc>
        <w:tc>
          <w:tcPr>
            <w:tcW w:w="785"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c>
          <w:tcPr>
            <w:tcW w:w="769"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效益　</w:t>
            </w: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项目效益　</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实施效益</w:t>
            </w:r>
          </w:p>
        </w:tc>
        <w:tc>
          <w:tcPr>
            <w:tcW w:w="2141" w:type="dxa"/>
            <w:shd w:val="clear" w:color="auto" w:fill="FFFFFF"/>
            <w:noWrap w:val="0"/>
            <w:vAlign w:val="center"/>
          </w:tcPr>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项目实施所产生的效益。</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项目实施所产生的社会效益、生态效益、可持续影响等。可根据项目实际情况有选择地设置和细化。</w:t>
            </w:r>
          </w:p>
        </w:tc>
        <w:tc>
          <w:tcPr>
            <w:tcW w:w="785" w:type="dxa"/>
            <w:shd w:val="clear" w:color="auto"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25</w:t>
            </w:r>
          </w:p>
        </w:tc>
        <w:tc>
          <w:tcPr>
            <w:tcW w:w="769" w:type="dxa"/>
            <w:shd w:val="clear" w:color="auto"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37"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满意度</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社会公众或服务对象对项目实施效果的满意程度。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社会公众或服务对象是指因该项目实施而受到影响的部门（单位）、群体或个人。一般采取社会调查的方式。</w:t>
            </w:r>
          </w:p>
        </w:tc>
        <w:tc>
          <w:tcPr>
            <w:tcW w:w="785"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c>
          <w:tcPr>
            <w:tcW w:w="769" w:type="dxa"/>
            <w:shd w:val="clear" w:color="000000" w:fill="FFFFFF"/>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bl>
    <w:p>
      <w:pPr>
        <w:spacing w:line="240" w:lineRule="auto"/>
        <w:ind w:firstLine="0" w:firstLineChars="0"/>
        <w:rPr>
          <w:rFonts w:ascii="Times New Roman" w:hAnsi="Times New Roman" w:eastAsia="仿宋_GB2312" w:cs="Times New Roman"/>
          <w:color w:val="auto"/>
          <w:sz w:val="30"/>
          <w:szCs w:val="24"/>
        </w:rPr>
      </w:pPr>
    </w:p>
    <w:p>
      <w:pPr>
        <w:rPr>
          <w:rFonts w:hint="default"/>
          <w:lang w:val="en-US" w:eastAsia="zh-CN"/>
        </w:rPr>
      </w:pPr>
    </w:p>
    <w:sectPr>
      <w:pgSz w:w="16838" w:h="11906" w:orient="landscape"/>
      <w:pgMar w:top="1440" w:right="1800" w:bottom="1440" w:left="1800" w:header="737" w:footer="851" w:gutter="0"/>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C92B9"/>
    <w:multiLevelType w:val="singleLevel"/>
    <w:tmpl w:val="826C92B9"/>
    <w:lvl w:ilvl="0" w:tentative="0">
      <w:start w:val="2"/>
      <w:numFmt w:val="chineseCounting"/>
      <w:suff w:val="nothing"/>
      <w:lvlText w:val="（%1）"/>
      <w:lvlJc w:val="left"/>
      <w:rPr>
        <w:rFonts w:hint="eastAsia"/>
      </w:rPr>
    </w:lvl>
  </w:abstractNum>
  <w:abstractNum w:abstractNumId="1">
    <w:nsid w:val="F8E64B2D"/>
    <w:multiLevelType w:val="singleLevel"/>
    <w:tmpl w:val="F8E64B2D"/>
    <w:lvl w:ilvl="0" w:tentative="0">
      <w:start w:val="3"/>
      <w:numFmt w:val="chineseCounting"/>
      <w:suff w:val="nothing"/>
      <w:lvlText w:val="%1、"/>
      <w:lvlJc w:val="left"/>
      <w:rPr>
        <w:rFonts w:hint="eastAsia"/>
      </w:rPr>
    </w:lvl>
  </w:abstractNum>
  <w:abstractNum w:abstractNumId="2">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zY0N2ZiMTc1YzdiYzRlMTBkOGRhM2JhYjQ4MTIifQ=="/>
  </w:docVars>
  <w:rsids>
    <w:rsidRoot w:val="68291A1A"/>
    <w:rsid w:val="01470C4C"/>
    <w:rsid w:val="01AB4FB8"/>
    <w:rsid w:val="02200440"/>
    <w:rsid w:val="02284B43"/>
    <w:rsid w:val="02A55FC9"/>
    <w:rsid w:val="02B015E2"/>
    <w:rsid w:val="03172ABC"/>
    <w:rsid w:val="039C3BA0"/>
    <w:rsid w:val="03A845BB"/>
    <w:rsid w:val="04D63993"/>
    <w:rsid w:val="053E33E3"/>
    <w:rsid w:val="06FE62D4"/>
    <w:rsid w:val="07890F4F"/>
    <w:rsid w:val="07FF1DDA"/>
    <w:rsid w:val="0951041E"/>
    <w:rsid w:val="09781BD6"/>
    <w:rsid w:val="09F723E1"/>
    <w:rsid w:val="0AC00762"/>
    <w:rsid w:val="0BA6661F"/>
    <w:rsid w:val="0D252316"/>
    <w:rsid w:val="0D4452F3"/>
    <w:rsid w:val="0DB96026"/>
    <w:rsid w:val="0DC16E06"/>
    <w:rsid w:val="0F5E5042"/>
    <w:rsid w:val="10510571"/>
    <w:rsid w:val="117E2C8E"/>
    <w:rsid w:val="11CF3202"/>
    <w:rsid w:val="11FA6155"/>
    <w:rsid w:val="12802811"/>
    <w:rsid w:val="12806579"/>
    <w:rsid w:val="128802BE"/>
    <w:rsid w:val="12CF0947"/>
    <w:rsid w:val="12F1313F"/>
    <w:rsid w:val="136C678E"/>
    <w:rsid w:val="13EB2FF5"/>
    <w:rsid w:val="155377B4"/>
    <w:rsid w:val="15644DD9"/>
    <w:rsid w:val="165825BC"/>
    <w:rsid w:val="16A25E9B"/>
    <w:rsid w:val="176F36D7"/>
    <w:rsid w:val="18456B1E"/>
    <w:rsid w:val="193046DC"/>
    <w:rsid w:val="1C1171C5"/>
    <w:rsid w:val="1DA41A79"/>
    <w:rsid w:val="1DF53469"/>
    <w:rsid w:val="1E58492F"/>
    <w:rsid w:val="1E5B6757"/>
    <w:rsid w:val="1ED10AC6"/>
    <w:rsid w:val="1FC0575D"/>
    <w:rsid w:val="208D715D"/>
    <w:rsid w:val="20C85907"/>
    <w:rsid w:val="21B00C1D"/>
    <w:rsid w:val="22AE2582"/>
    <w:rsid w:val="23031BEB"/>
    <w:rsid w:val="23917691"/>
    <w:rsid w:val="244D65B8"/>
    <w:rsid w:val="245E1E24"/>
    <w:rsid w:val="26AD4A72"/>
    <w:rsid w:val="27661469"/>
    <w:rsid w:val="27900EAD"/>
    <w:rsid w:val="279B538A"/>
    <w:rsid w:val="280060E8"/>
    <w:rsid w:val="283B22E2"/>
    <w:rsid w:val="286F545C"/>
    <w:rsid w:val="29314FBC"/>
    <w:rsid w:val="29F22002"/>
    <w:rsid w:val="2C861934"/>
    <w:rsid w:val="2C927671"/>
    <w:rsid w:val="2D7C5CD6"/>
    <w:rsid w:val="2D9609E4"/>
    <w:rsid w:val="2E483E7E"/>
    <w:rsid w:val="2E610CC4"/>
    <w:rsid w:val="2F454B19"/>
    <w:rsid w:val="31E3230A"/>
    <w:rsid w:val="33356F64"/>
    <w:rsid w:val="33944516"/>
    <w:rsid w:val="34B62907"/>
    <w:rsid w:val="370A02CF"/>
    <w:rsid w:val="38782EDD"/>
    <w:rsid w:val="3965754E"/>
    <w:rsid w:val="3B42664A"/>
    <w:rsid w:val="3B4E12DF"/>
    <w:rsid w:val="3D836A4E"/>
    <w:rsid w:val="3DD0052B"/>
    <w:rsid w:val="3E8D0C49"/>
    <w:rsid w:val="3F394AB4"/>
    <w:rsid w:val="3FBE0BC5"/>
    <w:rsid w:val="4048103A"/>
    <w:rsid w:val="426A12E9"/>
    <w:rsid w:val="435241E2"/>
    <w:rsid w:val="439E3FA7"/>
    <w:rsid w:val="44B32266"/>
    <w:rsid w:val="44C475B0"/>
    <w:rsid w:val="44DB166A"/>
    <w:rsid w:val="44FC64F4"/>
    <w:rsid w:val="467F4585"/>
    <w:rsid w:val="470628CB"/>
    <w:rsid w:val="470D5B58"/>
    <w:rsid w:val="47555BD4"/>
    <w:rsid w:val="4760378D"/>
    <w:rsid w:val="48E12B50"/>
    <w:rsid w:val="499441BE"/>
    <w:rsid w:val="4A2138F0"/>
    <w:rsid w:val="4A583887"/>
    <w:rsid w:val="4B9F6E02"/>
    <w:rsid w:val="4D2807C7"/>
    <w:rsid w:val="4D36571F"/>
    <w:rsid w:val="4DCC051E"/>
    <w:rsid w:val="4E54294C"/>
    <w:rsid w:val="4E6E48A8"/>
    <w:rsid w:val="4EEC036B"/>
    <w:rsid w:val="501D2673"/>
    <w:rsid w:val="508D1A63"/>
    <w:rsid w:val="51852833"/>
    <w:rsid w:val="51A6200F"/>
    <w:rsid w:val="53555F0F"/>
    <w:rsid w:val="57451A99"/>
    <w:rsid w:val="57805BC8"/>
    <w:rsid w:val="583C7AE0"/>
    <w:rsid w:val="59216F96"/>
    <w:rsid w:val="5B9D2CCD"/>
    <w:rsid w:val="5C3D07BC"/>
    <w:rsid w:val="5F315A81"/>
    <w:rsid w:val="5F9A5E13"/>
    <w:rsid w:val="63CF42CA"/>
    <w:rsid w:val="64F1491D"/>
    <w:rsid w:val="67351ECA"/>
    <w:rsid w:val="67394C7D"/>
    <w:rsid w:val="68126B38"/>
    <w:rsid w:val="68291A1A"/>
    <w:rsid w:val="691B1594"/>
    <w:rsid w:val="6A17429C"/>
    <w:rsid w:val="6A567EA3"/>
    <w:rsid w:val="6ABE3D3D"/>
    <w:rsid w:val="6B4B4368"/>
    <w:rsid w:val="6E524DFE"/>
    <w:rsid w:val="6E557973"/>
    <w:rsid w:val="6F0D6C22"/>
    <w:rsid w:val="6F47657F"/>
    <w:rsid w:val="6FA2249E"/>
    <w:rsid w:val="70670707"/>
    <w:rsid w:val="71E1797B"/>
    <w:rsid w:val="71F83512"/>
    <w:rsid w:val="720E3691"/>
    <w:rsid w:val="72B166F8"/>
    <w:rsid w:val="732764B3"/>
    <w:rsid w:val="7365607D"/>
    <w:rsid w:val="75E5007C"/>
    <w:rsid w:val="75EC3784"/>
    <w:rsid w:val="773D596A"/>
    <w:rsid w:val="77612624"/>
    <w:rsid w:val="77861774"/>
    <w:rsid w:val="79300B45"/>
    <w:rsid w:val="794D3E18"/>
    <w:rsid w:val="79F3729A"/>
    <w:rsid w:val="7ACB0498"/>
    <w:rsid w:val="7AED0B4D"/>
    <w:rsid w:val="7C1E4487"/>
    <w:rsid w:val="7C215E02"/>
    <w:rsid w:val="7CF23764"/>
    <w:rsid w:val="7F421953"/>
    <w:rsid w:val="7FC52DC2"/>
    <w:rsid w:val="7FFD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5">
    <w:name w:val="heading 2"/>
    <w:basedOn w:val="1"/>
    <w:next w:val="1"/>
    <w:link w:val="14"/>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6">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customStyle="1" w:styleId="13">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5"/>
    <w:qFormat/>
    <w:uiPriority w:val="0"/>
    <w:rPr>
      <w:rFonts w:ascii="Arial" w:hAnsi="Arial" w:eastAsia="楷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12061</Words>
  <Characters>12660</Characters>
  <Lines>0</Lines>
  <Paragraphs>0</Paragraphs>
  <TotalTime>17</TotalTime>
  <ScaleCrop>false</ScaleCrop>
  <LinksUpToDate>false</LinksUpToDate>
  <CharactersWithSpaces>12709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cp:lastModifiedBy>
  <dcterms:modified xsi:type="dcterms:W3CDTF">2023-09-05T10:21:04Z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609135BFF68049A09093351FFB0CC4C2_13</vt:lpwstr>
  </property>
</Properties>
</file>