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widowControl/>
        <w:spacing w:before="100" w:beforeAutospacing="1" w:after="100" w:afterAutospacing="1"/>
        <w:outlineLvl w:val="1"/>
        <w:rPr>
          <w:rFonts w:ascii="黑体" w:hAnsi="黑体" w:eastAsia="黑体" w:cs="宋体"/>
          <w:color w:val="000000" w:themeColor="text1"/>
          <w:kern w:val="0"/>
          <w:sz w:val="32"/>
          <w:szCs w:val="32"/>
          <w:highlight w:val="none"/>
          <w14:textFill>
            <w14:solidFill>
              <w14:schemeClr w14:val="tx1"/>
            </w14:solidFill>
          </w14:textFill>
        </w:rPr>
      </w:pPr>
    </w:p>
    <w:p>
      <w:pPr>
        <w:widowControl/>
        <w:spacing w:before="100" w:beforeAutospacing="1" w:after="100" w:afterAutospacing="1"/>
        <w:outlineLvl w:val="1"/>
        <w:rPr>
          <w:rFonts w:ascii="黑体" w:hAnsi="黑体" w:eastAsia="黑体" w:cs="宋体"/>
          <w:color w:val="000000" w:themeColor="text1"/>
          <w:kern w:val="0"/>
          <w:sz w:val="32"/>
          <w:szCs w:val="32"/>
          <w:highlight w:val="none"/>
          <w14:textFill>
            <w14:solidFill>
              <w14:schemeClr w14:val="tx1"/>
            </w14:solidFill>
          </w14:textFill>
        </w:rPr>
      </w:pPr>
    </w:p>
    <w:p>
      <w:pPr>
        <w:widowControl/>
        <w:spacing w:before="100" w:beforeAutospacing="1" w:after="100" w:afterAutospacing="1"/>
        <w:outlineLvl w:val="1"/>
        <w:rPr>
          <w:rFonts w:ascii="宋体" w:hAnsi="宋体" w:cs="宋体"/>
          <w:b/>
          <w:bCs/>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hint="eastAsia" w:ascii="方正小标宋_GBK" w:hAnsi="宋体" w:eastAsia="方正小标宋_GBK"/>
          <w:color w:val="000000" w:themeColor="text1"/>
          <w:kern w:val="0"/>
          <w:sz w:val="44"/>
          <w:szCs w:val="44"/>
          <w:highlight w:val="none"/>
          <w:lang w:eastAsia="zh-CN"/>
          <w14:textFill>
            <w14:solidFill>
              <w14:schemeClr w14:val="tx1"/>
            </w14:solidFill>
          </w14:textFill>
        </w:rPr>
      </w:pPr>
      <w:r>
        <w:rPr>
          <w:rFonts w:hint="eastAsia" w:ascii="方正小标宋_GBK" w:hAnsi="宋体" w:eastAsia="方正小标宋_GBK"/>
          <w:color w:val="000000" w:themeColor="text1"/>
          <w:kern w:val="0"/>
          <w:sz w:val="44"/>
          <w:szCs w:val="44"/>
          <w:highlight w:val="none"/>
          <w14:textFill>
            <w14:solidFill>
              <w14:schemeClr w14:val="tx1"/>
            </w14:solidFill>
          </w14:textFill>
        </w:rPr>
        <w:t>昌吉州</w:t>
      </w:r>
      <w:r>
        <w:rPr>
          <w:rFonts w:hint="eastAsia" w:ascii="方正小标宋_GBK" w:hAnsi="宋体" w:eastAsia="方正小标宋_GBK"/>
          <w:color w:val="000000" w:themeColor="text1"/>
          <w:kern w:val="0"/>
          <w:sz w:val="44"/>
          <w:szCs w:val="44"/>
          <w:highlight w:val="none"/>
          <w:lang w:eastAsia="zh-CN"/>
          <w14:textFill>
            <w14:solidFill>
              <w14:schemeClr w14:val="tx1"/>
            </w14:solidFill>
          </w14:textFill>
        </w:rPr>
        <w:t>阜康市滋泥泉子镇人民政府</w:t>
      </w:r>
    </w:p>
    <w:p>
      <w:pPr>
        <w:widowControl/>
        <w:spacing w:before="100" w:beforeAutospacing="1" w:after="100" w:afterAutospacing="1"/>
        <w:jc w:val="center"/>
        <w:outlineLvl w:val="1"/>
        <w:rPr>
          <w:rFonts w:ascii="方正小标宋_GBK" w:hAnsi="宋体" w:eastAsia="方正小标宋_GBK"/>
          <w:color w:val="000000" w:themeColor="text1"/>
          <w:kern w:val="0"/>
          <w:sz w:val="44"/>
          <w:szCs w:val="44"/>
          <w:highlight w:val="none"/>
          <w14:textFill>
            <w14:solidFill>
              <w14:schemeClr w14:val="tx1"/>
            </w14:solidFill>
          </w14:textFill>
        </w:rPr>
      </w:pPr>
      <w:r>
        <w:rPr>
          <w:rFonts w:hint="eastAsia" w:ascii="方正小标宋_GBK" w:hAnsi="宋体" w:eastAsia="方正小标宋_GBK"/>
          <w:color w:val="000000" w:themeColor="text1"/>
          <w:kern w:val="0"/>
          <w:sz w:val="44"/>
          <w:szCs w:val="44"/>
          <w:highlight w:val="none"/>
          <w:lang w:val="en-US" w:eastAsia="zh-CN"/>
          <w14:textFill>
            <w14:solidFill>
              <w14:schemeClr w14:val="tx1"/>
            </w14:solidFill>
          </w14:textFill>
        </w:rPr>
        <w:t>2019</w:t>
      </w:r>
      <w:r>
        <w:rPr>
          <w:rFonts w:hint="eastAsia" w:ascii="方正小标宋_GBK" w:hAnsi="宋体" w:eastAsia="方正小标宋_GBK"/>
          <w:color w:val="000000" w:themeColor="text1"/>
          <w:kern w:val="0"/>
          <w:sz w:val="44"/>
          <w:szCs w:val="44"/>
          <w:highlight w:val="none"/>
          <w14:textFill>
            <w14:solidFill>
              <w14:schemeClr w14:val="tx1"/>
            </w14:solidFill>
          </w14:textFill>
        </w:rPr>
        <w:t>年部门预算公开</w:t>
      </w: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before="100" w:beforeAutospacing="1" w:after="100" w:afterAutospacing="1"/>
        <w:jc w:val="both"/>
        <w:outlineLvl w:val="1"/>
        <w:rPr>
          <w:rFonts w:ascii="宋体" w:hAnsi="宋体"/>
          <w:b/>
          <w:color w:val="000000" w:themeColor="text1"/>
          <w:kern w:val="0"/>
          <w:sz w:val="44"/>
          <w:szCs w:val="44"/>
          <w:highlight w:val="none"/>
          <w14:textFill>
            <w14:solidFill>
              <w14:schemeClr w14:val="tx1"/>
            </w14:solidFill>
          </w14:textFill>
        </w:rPr>
      </w:pPr>
    </w:p>
    <w:p>
      <w:pPr>
        <w:widowControl/>
        <w:spacing w:line="500" w:lineRule="exact"/>
        <w:jc w:val="center"/>
        <w:outlineLvl w:val="1"/>
        <w:rPr>
          <w:rFonts w:ascii="黑体" w:hAnsi="黑体" w:eastAsia="黑体"/>
          <w:color w:val="000000" w:themeColor="text1"/>
          <w:kern w:val="0"/>
          <w:sz w:val="44"/>
          <w:szCs w:val="44"/>
          <w:highlight w:val="none"/>
          <w14:textFill>
            <w14:solidFill>
              <w14:schemeClr w14:val="tx1"/>
            </w14:solidFill>
          </w14:textFill>
        </w:rPr>
      </w:pPr>
      <w:r>
        <w:rPr>
          <w:rFonts w:hint="eastAsia" w:ascii="黑体" w:hAnsi="黑体" w:eastAsia="黑体"/>
          <w:color w:val="000000" w:themeColor="text1"/>
          <w:kern w:val="0"/>
          <w:sz w:val="44"/>
          <w:szCs w:val="44"/>
          <w:highlight w:val="none"/>
          <w14:textFill>
            <w14:solidFill>
              <w14:schemeClr w14:val="tx1"/>
            </w14:solidFill>
          </w14:textFill>
        </w:rPr>
        <w:t>目录</w:t>
      </w:r>
    </w:p>
    <w:p>
      <w:pPr>
        <w:widowControl/>
        <w:spacing w:line="500" w:lineRule="exact"/>
        <w:jc w:val="center"/>
        <w:outlineLvl w:val="1"/>
        <w:rPr>
          <w:rFonts w:ascii="宋体" w:hAnsi="宋体"/>
          <w:b/>
          <w:color w:val="000000" w:themeColor="text1"/>
          <w:kern w:val="0"/>
          <w:sz w:val="44"/>
          <w:szCs w:val="44"/>
          <w:highlight w:val="none"/>
          <w14:textFill>
            <w14:solidFill>
              <w14:schemeClr w14:val="tx1"/>
            </w14:solidFill>
          </w14:textFill>
        </w:rPr>
      </w:pPr>
    </w:p>
    <w:p>
      <w:pPr>
        <w:widowControl/>
        <w:spacing w:line="460" w:lineRule="exac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 xml:space="preserve">第一部分 </w:t>
      </w:r>
      <w:r>
        <w:rPr>
          <w:rFonts w:hint="eastAsia" w:ascii="仿宋_GB2312" w:hAnsi="宋体" w:eastAsia="仿宋_GB2312"/>
          <w:b/>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b/>
          <w:color w:val="000000" w:themeColor="text1"/>
          <w:kern w:val="0"/>
          <w:sz w:val="32"/>
          <w:szCs w:val="32"/>
          <w:highlight w:val="none"/>
          <w14:textFill>
            <w14:solidFill>
              <w14:schemeClr w14:val="tx1"/>
            </w14:solidFill>
          </w14:textFill>
        </w:rPr>
        <w:t>单位概况</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一、主要职能</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二、机构设置及人员情况</w:t>
      </w:r>
    </w:p>
    <w:p>
      <w:pPr>
        <w:widowControl/>
        <w:spacing w:line="460" w:lineRule="exac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 xml:space="preserve">第二部分 </w:t>
      </w:r>
      <w:r>
        <w:rPr>
          <w:rFonts w:hint="eastAsia" w:ascii="仿宋_GB2312" w:hAnsi="宋体" w:eastAsia="仿宋_GB2312"/>
          <w:b/>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b/>
          <w:color w:val="000000" w:themeColor="text1"/>
          <w:kern w:val="0"/>
          <w:sz w:val="32"/>
          <w:szCs w:val="32"/>
          <w:highlight w:val="none"/>
          <w14:textFill>
            <w14:solidFill>
              <w14:schemeClr w14:val="tx1"/>
            </w14:solidFill>
          </w14:textFill>
        </w:rPr>
        <w:t>年部门预算公开表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一、部门收支总体情况表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二、部门收入总体情况表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三、部门支出总体情况表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四、财政拨款收支总体情况表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五、一般公共预算支出情况表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六、一般公共预算基本支出情况表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七、</w:t>
      </w:r>
      <w:r>
        <w:rPr>
          <w:rFonts w:hint="eastAsia" w:ascii="仿宋_GB2312" w:hAnsi="宋体" w:eastAsia="仿宋_GB2312"/>
          <w:bCs/>
          <w:color w:val="000000" w:themeColor="text1"/>
          <w:kern w:val="0"/>
          <w:sz w:val="32"/>
          <w:szCs w:val="32"/>
          <w:highlight w:val="none"/>
          <w14:textFill>
            <w14:solidFill>
              <w14:schemeClr w14:val="tx1"/>
            </w14:solidFill>
          </w14:textFill>
        </w:rPr>
        <w:t>项目支出情况表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八、一般公共预算“三公”经费支出情况表</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九、政府性基金预算支出情况表</w:t>
      </w:r>
    </w:p>
    <w:p>
      <w:pPr>
        <w:widowControl/>
        <w:spacing w:line="460" w:lineRule="exac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 xml:space="preserve">第三部分 </w:t>
      </w:r>
      <w:r>
        <w:rPr>
          <w:rFonts w:hint="eastAsia" w:ascii="仿宋_GB2312" w:hAnsi="宋体" w:eastAsia="仿宋_GB2312"/>
          <w:b/>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b/>
          <w:color w:val="000000" w:themeColor="text1"/>
          <w:kern w:val="0"/>
          <w:sz w:val="32"/>
          <w:szCs w:val="32"/>
          <w:highlight w:val="none"/>
          <w14:textFill>
            <w14:solidFill>
              <w14:schemeClr w14:val="tx1"/>
            </w14:solidFill>
          </w14:textFill>
        </w:rPr>
        <w:t>年部门预算情况说明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一、关于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年收支预算情况的总体说明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二、关于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年收入预算情况说明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三、关于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年支出预算情况说明</w:t>
      </w:r>
    </w:p>
    <w:p>
      <w:pPr>
        <w:widowControl/>
        <w:spacing w:line="460" w:lineRule="exact"/>
        <w:outlineLvl w:val="1"/>
        <w:rPr>
          <w:rFonts w:ascii="仿宋_GB2312" w:hAnsi="宋体" w:eastAsia="仿宋_GB2312"/>
          <w:bCs/>
          <w:color w:val="000000" w:themeColor="text1"/>
          <w:kern w:val="0"/>
          <w:sz w:val="32"/>
          <w:szCs w:val="32"/>
          <w:highlight w:val="none"/>
          <w14:textFill>
            <w14:solidFill>
              <w14:schemeClr w14:val="tx1"/>
            </w14:solidFill>
          </w14:textFill>
        </w:rPr>
      </w:pPr>
      <w:r>
        <w:rPr>
          <w:rFonts w:hint="eastAsia" w:ascii="仿宋_GB2312" w:hAnsi="宋体" w:eastAsia="仿宋_GB2312"/>
          <w:bCs/>
          <w:color w:val="000000" w:themeColor="text1"/>
          <w:kern w:val="0"/>
          <w:sz w:val="32"/>
          <w:szCs w:val="32"/>
          <w:highlight w:val="none"/>
          <w14:textFill>
            <w14:solidFill>
              <w14:schemeClr w14:val="tx1"/>
            </w14:solidFill>
          </w14:textFill>
        </w:rPr>
        <w:t>四、关于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w:t>
      </w:r>
      <w:r>
        <w:rPr>
          <w:rFonts w:hint="eastAsia" w:ascii="仿宋_GB2312" w:hAnsi="宋体" w:eastAsia="仿宋_GB2312"/>
          <w:bCs/>
          <w:color w:val="000000" w:themeColor="text1"/>
          <w:kern w:val="0"/>
          <w:sz w:val="32"/>
          <w:szCs w:val="32"/>
          <w:highlight w:val="none"/>
          <w14:textFill>
            <w14:solidFill>
              <w14:schemeClr w14:val="tx1"/>
            </w14:solidFill>
          </w14:textFill>
        </w:rPr>
        <w:t>财政拨款收支预算情况的总体说明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五、关于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年一般公共预算当年拨款情况说明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六、关于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年一般公共预算基本支出情况说明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七、关于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年项目支出情况说明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八、关于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年一般公共预算“三公”经费预算情况说明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九、关于</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olor w:val="000000" w:themeColor="text1"/>
          <w:kern w:val="0"/>
          <w:sz w:val="32"/>
          <w:szCs w:val="32"/>
          <w:highlight w:val="none"/>
          <w14:textFill>
            <w14:solidFill>
              <w14:schemeClr w14:val="tx1"/>
            </w14:solidFill>
          </w14:textFill>
        </w:rPr>
        <w:t>年年政府性基金预算拨款情况说明</w:t>
      </w:r>
    </w:p>
    <w:p>
      <w:pPr>
        <w:widowControl/>
        <w:spacing w:line="460" w:lineRule="exac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十、其他重要事项的情况说明</w:t>
      </w:r>
    </w:p>
    <w:p>
      <w:pPr>
        <w:widowControl/>
        <w:spacing w:line="460" w:lineRule="exac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第四部分 名词解释</w:t>
      </w: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第一部分 </w:t>
      </w:r>
      <w:r>
        <w:rPr>
          <w:rFonts w:hint="eastAsia" w:ascii="黑体" w:hAnsi="黑体" w:eastAsia="黑体"/>
          <w:color w:val="000000" w:themeColor="text1"/>
          <w:kern w:val="0"/>
          <w:sz w:val="32"/>
          <w:szCs w:val="32"/>
          <w:highlight w:val="none"/>
          <w:lang w:eastAsia="zh-CN"/>
          <w14:textFill>
            <w14:solidFill>
              <w14:schemeClr w14:val="tx1"/>
            </w14:solidFill>
          </w14:textFill>
        </w:rPr>
        <w:t>滋泥泉子镇人民政府</w:t>
      </w:r>
      <w:r>
        <w:rPr>
          <w:rFonts w:hint="eastAsia" w:ascii="黑体" w:hAnsi="黑体" w:eastAsia="黑体"/>
          <w:color w:val="000000" w:themeColor="text1"/>
          <w:kern w:val="0"/>
          <w:sz w:val="32"/>
          <w:szCs w:val="32"/>
          <w:highlight w:val="none"/>
          <w14:textFill>
            <w14:solidFill>
              <w14:schemeClr w14:val="tx1"/>
            </w14:solidFill>
          </w14:textFill>
        </w:rPr>
        <w:t>单位概况</w:t>
      </w:r>
    </w:p>
    <w:p>
      <w:pPr>
        <w:widowControl/>
        <w:jc w:val="center"/>
        <w:outlineLvl w:val="1"/>
        <w:rPr>
          <w:rFonts w:ascii="宋体" w:hAnsi="宋体"/>
          <w:b/>
          <w:color w:val="000000" w:themeColor="text1"/>
          <w:kern w:val="0"/>
          <w:sz w:val="32"/>
          <w:szCs w:val="32"/>
          <w:highlight w:val="none"/>
          <w14:textFill>
            <w14:solidFill>
              <w14:schemeClr w14:val="tx1"/>
            </w14:solidFill>
          </w14:textFill>
        </w:rPr>
      </w:pPr>
    </w:p>
    <w:p>
      <w:pPr>
        <w:widowControl/>
        <w:spacing w:line="560" w:lineRule="exact"/>
        <w:jc w:val="left"/>
        <w:rPr>
          <w:rFonts w:ascii="黑体" w:hAnsi="黑体" w:eastAsia="黑体" w:cs="宋体"/>
          <w:bCs/>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黑体" w:hAnsi="黑体" w:eastAsia="黑体" w:cs="宋体"/>
          <w:bCs/>
          <w:color w:val="000000" w:themeColor="text1"/>
          <w:kern w:val="0"/>
          <w:sz w:val="32"/>
          <w:szCs w:val="32"/>
          <w:highlight w:val="none"/>
          <w14:textFill>
            <w14:solidFill>
              <w14:schemeClr w14:val="tx1"/>
            </w14:solidFill>
          </w14:textFill>
        </w:rPr>
        <w:t>一、主要职能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cs="宋体"/>
          <w:bCs/>
          <w:color w:val="000000" w:themeColor="text1"/>
          <w:kern w:val="0"/>
          <w:sz w:val="32"/>
          <w:szCs w:val="32"/>
          <w:highlight w:val="none"/>
          <w14:textFill>
            <w14:solidFill>
              <w14:schemeClr w14:val="tx1"/>
            </w14:solidFill>
          </w14:textFill>
        </w:rPr>
      </w:pPr>
      <w:r>
        <w:rPr>
          <w:rFonts w:hint="eastAsia" w:ascii="仿宋_GB2312" w:hAnsi="黑体" w:eastAsia="仿宋_GB2312" w:cs="宋体"/>
          <w:bCs/>
          <w:color w:val="000000" w:themeColor="text1"/>
          <w:kern w:val="0"/>
          <w:sz w:val="32"/>
          <w:szCs w:val="32"/>
          <w:highlight w:val="none"/>
          <w14:textFill>
            <w14:solidFill>
              <w14:schemeClr w14:val="tx1"/>
            </w14:solidFill>
          </w14:textFill>
        </w:rPr>
        <w:t>滋泥泉子镇党委的主要职责：贯彻执行党的路线、方针、政策和上级党委以及本级镇党员代表大会的决定、决议；研究决定滋泥泉子镇经济社会发展中重大问题的意见、建议和决定；领导滋泥泉子镇政权机关和群众组织依照国家法律法规及章程充分行使职权；加强党委自身建设和以党（总）支部为核心的村级组织建设；负责对干部的教育、培养、选拔和监督工作；协助管理上级有关部门驻滋泥泉子镇单位的干部；领导滋泥泉子镇的社会主义民主法制建设和精神文明建设，做好社会管理综合治理工作，维护本镇的社会稳定。</w:t>
      </w:r>
    </w:p>
    <w:p>
      <w:pPr>
        <w:widowControl/>
        <w:spacing w:line="560" w:lineRule="exact"/>
        <w:ind w:firstLine="640"/>
        <w:jc w:val="left"/>
        <w:rPr>
          <w:rFonts w:hint="eastAsia" w:ascii="仿宋_GB2312" w:hAnsi="黑体" w:eastAsia="仿宋_GB2312" w:cs="宋体"/>
          <w:bCs/>
          <w:color w:val="000000" w:themeColor="text1"/>
          <w:kern w:val="0"/>
          <w:sz w:val="32"/>
          <w:szCs w:val="32"/>
          <w:highlight w:val="none"/>
          <w14:textFill>
            <w14:solidFill>
              <w14:schemeClr w14:val="tx1"/>
            </w14:solidFill>
          </w14:textFill>
        </w:rPr>
      </w:pPr>
      <w:r>
        <w:rPr>
          <w:rFonts w:hint="eastAsia" w:ascii="仿宋_GB2312" w:hAnsi="黑体" w:eastAsia="仿宋_GB2312" w:cs="宋体"/>
          <w:bCs/>
          <w:color w:val="000000" w:themeColor="text1"/>
          <w:kern w:val="0"/>
          <w:sz w:val="32"/>
          <w:szCs w:val="32"/>
          <w:highlight w:val="none"/>
          <w14:textFill>
            <w14:solidFill>
              <w14:schemeClr w14:val="tx1"/>
            </w14:solidFill>
          </w14:textFill>
        </w:rPr>
        <w:t>滋泥泉子镇人民政府的主要职责：贯彻执行党的路线、方针、政策和国家法律法规，贯彻执行上级行政机关的决定、命令及本级党委的决定，执行滋泥泉子镇人民代表大会的决议；对滋泥泉子镇人民代表大会及其主席团和上级行政机关负责并报告工作；编制和执行滋泥泉子镇的经济和社会发展规划、计划并执行财政预算；负责本行政区域经济和各项社会事业的行政工作；负责维护社会秩序，营造良好的发展环境，保护公民和各种经济组织的合法权益；指导、支持和帮助村民委员会工作；协调派驻滋泥泉子镇政府部门的相应事务；法律规定的其他职责。</w:t>
      </w:r>
    </w:p>
    <w:p>
      <w:pPr>
        <w:widowControl/>
        <w:spacing w:line="560" w:lineRule="exact"/>
        <w:ind w:firstLine="640"/>
        <w:jc w:val="left"/>
        <w:rPr>
          <w:rFonts w:hint="eastAsia" w:ascii="仿宋_GB2312" w:hAnsi="黑体" w:eastAsia="仿宋_GB2312" w:cs="宋体"/>
          <w:bCs/>
          <w:color w:val="000000" w:themeColor="text1"/>
          <w:kern w:val="0"/>
          <w:sz w:val="32"/>
          <w:szCs w:val="32"/>
          <w:highlight w:val="none"/>
          <w14:textFill>
            <w14:solidFill>
              <w14:schemeClr w14:val="tx1"/>
            </w14:solidFill>
          </w14:textFill>
        </w:rPr>
      </w:pPr>
    </w:p>
    <w:p>
      <w:pPr>
        <w:widowControl/>
        <w:spacing w:line="560" w:lineRule="exact"/>
        <w:ind w:firstLine="640"/>
        <w:jc w:val="left"/>
        <w:rPr>
          <w:rFonts w:hint="eastAsia" w:ascii="仿宋_GB2312" w:hAnsi="黑体" w:eastAsia="仿宋_GB2312" w:cs="宋体"/>
          <w:bCs/>
          <w:color w:val="000000" w:themeColor="text1"/>
          <w:kern w:val="0"/>
          <w:sz w:val="32"/>
          <w:szCs w:val="32"/>
          <w:highlight w:val="none"/>
          <w14:textFill>
            <w14:solidFill>
              <w14:schemeClr w14:val="tx1"/>
            </w14:solidFill>
          </w14:textFill>
        </w:rPr>
      </w:pPr>
    </w:p>
    <w:p>
      <w:pPr>
        <w:widowControl/>
        <w:numPr>
          <w:ilvl w:val="0"/>
          <w:numId w:val="1"/>
        </w:numPr>
        <w:spacing w:line="560" w:lineRule="exact"/>
        <w:ind w:left="640" w:leftChars="0" w:firstLine="0" w:firstLineChars="0"/>
        <w:jc w:val="left"/>
        <w:rPr>
          <w:rFonts w:hint="eastAsia" w:ascii="黑体" w:hAnsi="黑体" w:eastAsia="黑体" w:cs="宋体"/>
          <w:bCs/>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机构设置及人员情况</w:t>
      </w:r>
    </w:p>
    <w:p>
      <w:pPr>
        <w:widowControl/>
        <w:spacing w:line="560" w:lineRule="exact"/>
        <w:ind w:firstLine="640"/>
        <w:jc w:val="left"/>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黑体" w:eastAsia="仿宋_GB2312" w:cs="宋体"/>
          <w:bCs/>
          <w:color w:val="auto"/>
          <w:kern w:val="0"/>
          <w:sz w:val="32"/>
          <w:szCs w:val="32"/>
          <w:highlight w:val="none"/>
          <w:lang w:val="en-US" w:eastAsia="zh-CN"/>
        </w:rPr>
        <w:t>滋泥泉子镇</w:t>
      </w:r>
      <w:r>
        <w:rPr>
          <w:rFonts w:hint="eastAsia" w:ascii="仿宋_GB2312" w:hAnsi="黑体" w:eastAsia="仿宋_GB2312" w:cs="宋体"/>
          <w:bCs/>
          <w:color w:val="auto"/>
          <w:kern w:val="0"/>
          <w:sz w:val="32"/>
          <w:szCs w:val="32"/>
          <w:highlight w:val="none"/>
        </w:rPr>
        <w:t>人民政府无下属预算单位，下设</w:t>
      </w:r>
      <w:r>
        <w:rPr>
          <w:rFonts w:hint="eastAsia" w:ascii="仿宋_GB2312" w:hAnsi="黑体" w:eastAsia="仿宋_GB2312" w:cs="宋体"/>
          <w:bCs/>
          <w:color w:val="auto"/>
          <w:kern w:val="0"/>
          <w:sz w:val="32"/>
          <w:szCs w:val="32"/>
          <w:highlight w:val="none"/>
          <w:lang w:val="en-US" w:eastAsia="zh-CN"/>
        </w:rPr>
        <w:t>9</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val="en-US" w:eastAsia="zh-CN"/>
        </w:rPr>
        <w:t>科</w:t>
      </w:r>
      <w:r>
        <w:rPr>
          <w:rFonts w:hint="eastAsia" w:ascii="仿宋_GB2312" w:hAnsi="黑体" w:eastAsia="仿宋_GB2312" w:cs="宋体"/>
          <w:bCs/>
          <w:color w:val="auto"/>
          <w:kern w:val="0"/>
          <w:sz w:val="32"/>
          <w:szCs w:val="32"/>
          <w:highlight w:val="none"/>
        </w:rPr>
        <w:t>室，分别是：</w:t>
      </w:r>
      <w:r>
        <w:rPr>
          <w:rFonts w:hint="eastAsia" w:ascii="仿宋_GB2312" w:hAnsi="黑体" w:eastAsia="仿宋_GB2312" w:cs="宋体"/>
          <w:bCs/>
          <w:color w:val="000000" w:themeColor="text1"/>
          <w:kern w:val="0"/>
          <w:sz w:val="32"/>
          <w:szCs w:val="32"/>
          <w:highlight w:val="none"/>
          <w:lang w:eastAsia="zh-CN"/>
          <w14:textFill>
            <w14:solidFill>
              <w14:schemeClr w14:val="tx1"/>
            </w14:solidFill>
          </w14:textFill>
        </w:rPr>
        <w:t>政府</w:t>
      </w:r>
      <w:r>
        <w:rPr>
          <w:rFonts w:hint="eastAsia" w:ascii="仿宋_GB2312" w:hAnsi="黑体" w:eastAsia="仿宋_GB2312" w:cs="宋体"/>
          <w:bCs/>
          <w:color w:val="000000" w:themeColor="text1"/>
          <w:kern w:val="0"/>
          <w:sz w:val="32"/>
          <w:szCs w:val="32"/>
          <w:highlight w:val="none"/>
          <w:lang w:val="en-US" w:eastAsia="zh-CN"/>
          <w14:textFill>
            <w14:solidFill>
              <w14:schemeClr w14:val="tx1"/>
            </w14:solidFill>
          </w14:textFill>
        </w:rPr>
        <w:t>行政，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滋泥泉子镇司法所、</w:t>
      </w:r>
      <w:r>
        <w:rPr>
          <w:rFonts w:hint="eastAsia" w:ascii="仿宋_GB2312" w:hAnsi="黑体" w:eastAsia="仿宋_GB2312" w:cs="宋体"/>
          <w:bCs/>
          <w:color w:val="000000" w:themeColor="text1"/>
          <w:kern w:val="0"/>
          <w:sz w:val="32"/>
          <w:szCs w:val="32"/>
          <w:highlight w:val="none"/>
          <w:lang w:eastAsia="zh-CN"/>
          <w14:textFill>
            <w14:solidFill>
              <w14:schemeClr w14:val="tx1"/>
            </w14:solidFill>
          </w14:textFill>
        </w:rPr>
        <w:t>政府事业（</w:t>
      </w:r>
      <w:r>
        <w:rPr>
          <w:rFonts w:hint="eastAsia" w:ascii="仿宋_GB2312" w:hAnsi="黑体" w:eastAsia="仿宋_GB2312" w:cs="宋体"/>
          <w:bCs/>
          <w:color w:val="000000" w:themeColor="text1"/>
          <w:kern w:val="0"/>
          <w:sz w:val="32"/>
          <w:szCs w:val="32"/>
          <w:highlight w:val="none"/>
          <w:lang w:val="en-US" w:eastAsia="zh-CN"/>
          <w14:textFill>
            <w14:solidFill>
              <w14:schemeClr w14:val="tx1"/>
            </w14:solidFill>
          </w14:textFill>
        </w:rPr>
        <w:t>天山路</w:t>
      </w:r>
      <w:r>
        <w:rPr>
          <w:rFonts w:hint="eastAsia" w:ascii="仿宋_GB2312" w:hAnsi="黑体" w:eastAsia="仿宋_GB2312" w:cs="宋体"/>
          <w:bCs/>
          <w:color w:val="000000" w:themeColor="text1"/>
          <w:kern w:val="0"/>
          <w:sz w:val="32"/>
          <w:szCs w:val="32"/>
          <w:highlight w:val="none"/>
          <w:lang w:eastAsia="zh-CN"/>
          <w14:textFill>
            <w14:solidFill>
              <w14:schemeClr w14:val="tx1"/>
            </w14:solidFill>
          </w14:textFill>
        </w:rPr>
        <w:t>社区）、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滋泥泉子镇农业（畜牧业）发展服务中心、滋泥泉子镇文体广电服务中心、滋泥泉子镇财政所（农村合作经济经营管理服务站）、滋泥泉子镇社会保障（民政）服务中心、滋泥泉子镇村镇规划建设发展中心（环境保护工作站）、滋泥泉子镇食品药品监督管理站。</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color w:val="auto"/>
          <w:kern w:val="0"/>
          <w:sz w:val="32"/>
          <w:szCs w:val="32"/>
          <w:highlight w:val="none"/>
          <w:lang w:val="en-US" w:eastAsia="zh-CN"/>
        </w:rPr>
        <w:t>滋泥泉子镇</w:t>
      </w:r>
      <w:r>
        <w:rPr>
          <w:rFonts w:hint="eastAsia" w:ascii="仿宋_GB2312" w:hAnsi="黑体" w:eastAsia="仿宋_GB2312" w:cs="宋体"/>
          <w:bCs/>
          <w:color w:val="auto"/>
          <w:kern w:val="0"/>
          <w:sz w:val="32"/>
          <w:szCs w:val="32"/>
          <w:highlight w:val="none"/>
        </w:rPr>
        <w:t>人民政府</w:t>
      </w:r>
      <w:r>
        <w:rPr>
          <w:rFonts w:hint="eastAsia" w:ascii="仿宋_GB2312" w:hAnsi="宋体" w:eastAsia="仿宋_GB2312" w:cs="宋体"/>
          <w:kern w:val="0"/>
          <w:sz w:val="32"/>
          <w:szCs w:val="32"/>
        </w:rPr>
        <w:t xml:space="preserve">编制数 </w:t>
      </w:r>
      <w:r>
        <w:rPr>
          <w:rFonts w:hint="eastAsia" w:ascii="仿宋_GB2312" w:hAnsi="宋体" w:eastAsia="仿宋_GB2312" w:cs="宋体"/>
          <w:kern w:val="0"/>
          <w:sz w:val="32"/>
          <w:szCs w:val="32"/>
          <w:lang w:val="en-US" w:eastAsia="zh-CN"/>
        </w:rPr>
        <w:t>124</w:t>
      </w:r>
      <w:r>
        <w:rPr>
          <w:rFonts w:hint="eastAsia" w:ascii="仿宋_GB2312" w:hAnsi="宋体" w:eastAsia="仿宋_GB2312" w:cs="宋体"/>
          <w:kern w:val="0"/>
          <w:sz w:val="32"/>
          <w:szCs w:val="32"/>
        </w:rPr>
        <w:t xml:space="preserve"> ，实有人数</w:t>
      </w:r>
      <w:r>
        <w:rPr>
          <w:rFonts w:hint="eastAsia" w:ascii="仿宋_GB2312" w:hAnsi="宋体" w:eastAsia="仿宋_GB2312" w:cs="宋体"/>
          <w:color w:val="auto"/>
          <w:kern w:val="0"/>
          <w:sz w:val="32"/>
          <w:szCs w:val="32"/>
          <w:lang w:val="en-US" w:eastAsia="zh-CN"/>
        </w:rPr>
        <w:t>97</w:t>
      </w:r>
      <w:r>
        <w:rPr>
          <w:rFonts w:hint="eastAsia" w:ascii="仿宋_GB2312" w:hAnsi="宋体" w:eastAsia="仿宋_GB2312" w:cs="宋体"/>
          <w:kern w:val="0"/>
          <w:sz w:val="32"/>
          <w:szCs w:val="32"/>
        </w:rPr>
        <w:t xml:space="preserve"> 人，其中：在职</w:t>
      </w:r>
      <w:r>
        <w:rPr>
          <w:rFonts w:hint="eastAsia" w:ascii="仿宋_GB2312" w:hAnsi="宋体" w:eastAsia="仿宋_GB2312" w:cs="宋体"/>
          <w:kern w:val="0"/>
          <w:sz w:val="32"/>
          <w:szCs w:val="32"/>
          <w:lang w:val="en-US" w:eastAsia="zh-CN"/>
        </w:rPr>
        <w:t>97</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 退休</w:t>
      </w:r>
      <w:r>
        <w:rPr>
          <w:rFonts w:hint="eastAsia" w:ascii="仿宋_GB2312" w:hAnsi="宋体" w:eastAsia="仿宋_GB2312" w:cs="宋体"/>
          <w:kern w:val="0"/>
          <w:sz w:val="32"/>
          <w:szCs w:val="32"/>
          <w:lang w:val="en-US" w:eastAsia="zh-CN"/>
        </w:rPr>
        <w:t>35</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人；离休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p>
    <w:p>
      <w:pPr>
        <w:widowControl/>
        <w:spacing w:beforeLines="50"/>
        <w:jc w:val="center"/>
        <w:outlineLvl w:val="1"/>
        <w:rPr>
          <w:rFonts w:hint="eastAsia" w:ascii="黑体" w:hAnsi="黑体" w:eastAsia="黑体"/>
          <w:color w:val="000000" w:themeColor="text1"/>
          <w:kern w:val="0"/>
          <w:sz w:val="32"/>
          <w:szCs w:val="32"/>
          <w:highlight w:val="none"/>
          <w14:textFill>
            <w14:solidFill>
              <w14:schemeClr w14:val="tx1"/>
            </w14:solidFill>
          </w14:textFill>
        </w:rPr>
      </w:pPr>
    </w:p>
    <w:p>
      <w:pPr>
        <w:widowControl/>
        <w:spacing w:beforeLines="50"/>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第二部分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年部门预算公开表</w:t>
      </w: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表一：</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部门收支总体情况表</w:t>
      </w:r>
    </w:p>
    <w:p>
      <w:pPr>
        <w:widowControl/>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588.84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05"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110.94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199.19</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407.16</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表二：</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部门收入总体情况表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填报部门：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7"/>
        <w:tblW w:w="9654" w:type="dxa"/>
        <w:tblInd w:w="93" w:type="dxa"/>
        <w:tblLayout w:type="fixed"/>
        <w:tblCellMar>
          <w:top w:w="0" w:type="dxa"/>
          <w:left w:w="108" w:type="dxa"/>
          <w:bottom w:w="0" w:type="dxa"/>
          <w:right w:w="108" w:type="dxa"/>
        </w:tblCellMar>
      </w:tblPr>
      <w:tblGrid>
        <w:gridCol w:w="522"/>
        <w:gridCol w:w="420"/>
        <w:gridCol w:w="408"/>
        <w:gridCol w:w="2046"/>
        <w:gridCol w:w="894"/>
        <w:gridCol w:w="984"/>
        <w:gridCol w:w="552"/>
        <w:gridCol w:w="43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功能分类科目编码</w:t>
            </w:r>
          </w:p>
        </w:tc>
        <w:tc>
          <w:tcPr>
            <w:tcW w:w="204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功能分类科目名称</w:t>
            </w:r>
          </w:p>
        </w:tc>
        <w:tc>
          <w:tcPr>
            <w:tcW w:w="89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总  计</w:t>
            </w:r>
          </w:p>
        </w:tc>
        <w:tc>
          <w:tcPr>
            <w:tcW w:w="9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一般公共预算拨款</w:t>
            </w:r>
          </w:p>
        </w:tc>
        <w:tc>
          <w:tcPr>
            <w:tcW w:w="55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政府性基金预算拨款</w:t>
            </w:r>
          </w:p>
        </w:tc>
        <w:tc>
          <w:tcPr>
            <w:tcW w:w="4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themeColor="text1"/>
                <w:sz w:val="18"/>
                <w:szCs w:val="18"/>
                <w:highlight w:val="none"/>
                <w14:textFill>
                  <w14:solidFill>
                    <w14:schemeClr w14:val="tx1"/>
                  </w14:solidFill>
                </w14:textFill>
              </w:rPr>
            </w:pPr>
            <w:r>
              <w:rPr>
                <w:rFonts w:hint="eastAsia" w:ascii="仿宋_GB2312" w:eastAsia="仿宋_GB2312"/>
                <w:b/>
                <w:color w:val="000000" w:themeColor="text1"/>
                <w:sz w:val="18"/>
                <w:szCs w:val="18"/>
                <w:highlight w:val="none"/>
                <w14:textFill>
                  <w14:solidFill>
                    <w14:schemeClr w14:val="tx1"/>
                  </w14:solidFill>
                </w14:textFill>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类</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款</w:t>
            </w:r>
          </w:p>
        </w:tc>
        <w:tc>
          <w:tcPr>
            <w:tcW w:w="4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themeColor="text1"/>
                <w:sz w:val="20"/>
                <w:szCs w:val="20"/>
                <w:highlight w:val="none"/>
                <w14:textFill>
                  <w14:solidFill>
                    <w14:schemeClr w14:val="tx1"/>
                  </w14:solidFill>
                </w14:textFill>
              </w:rPr>
            </w:pPr>
            <w:r>
              <w:rPr>
                <w:rFonts w:hint="eastAsia" w:ascii="仿宋_GB2312" w:eastAsia="仿宋_GB2312"/>
                <w:b/>
                <w:color w:val="000000" w:themeColor="text1"/>
                <w:sz w:val="20"/>
                <w:szCs w:val="20"/>
                <w:highlight w:val="none"/>
                <w14:textFill>
                  <w14:solidFill>
                    <w14:schemeClr w14:val="tx1"/>
                  </w14:solidFill>
                </w14:textFill>
              </w:rPr>
              <w:t>项</w:t>
            </w:r>
          </w:p>
        </w:tc>
        <w:tc>
          <w:tcPr>
            <w:tcW w:w="204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89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9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5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4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themeColor="text1"/>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984"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552"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000000"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56"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08</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代表工作</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31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204</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归口管理的行政单位离退休</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事业单位离退休</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机关事业单位基本养老保险缴费支出</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07</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16</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计划生育机构</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行政单位医疗</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事业单位医疗</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公务员医疗补助</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04</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事业运行</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52</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对高校毕业生到基层任职补助</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221</w:t>
            </w: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住房公积金</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r>
        <w:tblPrEx>
          <w:tblLayout w:type="fixed"/>
          <w:tblCellMar>
            <w:top w:w="0" w:type="dxa"/>
            <w:left w:w="108" w:type="dxa"/>
            <w:bottom w:w="0" w:type="dxa"/>
            <w:right w:w="108" w:type="dxa"/>
          </w:tblCellMar>
        </w:tblPrEx>
        <w:trPr>
          <w:trHeight w:val="465"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p>
        </w:tc>
        <w:tc>
          <w:tcPr>
            <w:tcW w:w="42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p>
        </w:tc>
        <w:tc>
          <w:tcPr>
            <w:tcW w:w="4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p>
        </w:tc>
        <w:tc>
          <w:tcPr>
            <w:tcW w:w="204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合计</w:t>
            </w:r>
          </w:p>
        </w:tc>
        <w:tc>
          <w:tcPr>
            <w:tcW w:w="89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98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55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p>
        </w:tc>
        <w:tc>
          <w:tcPr>
            <w:tcW w:w="68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c>
          <w:tcPr>
            <w:tcW w:w="67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　</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表三：</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部门支出总体情况表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7"/>
        <w:tblW w:w="9229" w:type="dxa"/>
        <w:tblInd w:w="93" w:type="dxa"/>
        <w:tblLayout w:type="fixed"/>
        <w:tblCellMar>
          <w:top w:w="0" w:type="dxa"/>
          <w:left w:w="108" w:type="dxa"/>
          <w:bottom w:w="0" w:type="dxa"/>
          <w:right w:w="108" w:type="dxa"/>
        </w:tblCellMar>
      </w:tblPr>
      <w:tblGrid>
        <w:gridCol w:w="498"/>
        <w:gridCol w:w="432"/>
        <w:gridCol w:w="372"/>
        <w:gridCol w:w="2503"/>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支出预算</w:t>
            </w:r>
          </w:p>
        </w:tc>
      </w:tr>
      <w:tr>
        <w:tblPrEx>
          <w:tblLayout w:type="fixed"/>
        </w:tblPrEx>
        <w:trPr>
          <w:trHeight w:val="480" w:hRule="atLeast"/>
        </w:trPr>
        <w:tc>
          <w:tcPr>
            <w:tcW w:w="130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功能分类科目编码</w:t>
            </w:r>
          </w:p>
        </w:tc>
        <w:tc>
          <w:tcPr>
            <w:tcW w:w="250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270"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类</w:t>
            </w:r>
          </w:p>
        </w:tc>
        <w:tc>
          <w:tcPr>
            <w:tcW w:w="4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款</w:t>
            </w:r>
          </w:p>
        </w:tc>
        <w:tc>
          <w:tcPr>
            <w:tcW w:w="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项</w:t>
            </w:r>
          </w:p>
        </w:tc>
        <w:tc>
          <w:tcPr>
            <w:tcW w:w="250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08</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代表工作</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cs="宋体"/>
                <w:b/>
                <w:bCs/>
                <w:color w:val="000000" w:themeColor="text1"/>
                <w:kern w:val="0"/>
                <w:sz w:val="22"/>
                <w:szCs w:val="22"/>
                <w:highlight w:val="none"/>
                <w:lang w:val="en-US"/>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31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204</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归口管理的行政单位离退休</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事业单位离退休</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机关事业单位基本养老保险缴费支出</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07</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16</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计划生育机构</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行政单位医疗</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事业单位医疗</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公务员医疗补助</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04</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事业运行</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52</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对高校毕业生到基层任职补助</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221</w:t>
            </w: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住房公积金</w:t>
            </w: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43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37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16"/>
                <w:szCs w:val="16"/>
                <w:highlight w:val="none"/>
                <w14:textFill>
                  <w14:solidFill>
                    <w14:schemeClr w14:val="tx1"/>
                  </w14:solidFill>
                </w14:textFill>
              </w:rPr>
            </w:pPr>
          </w:p>
        </w:tc>
        <w:tc>
          <w:tcPr>
            <w:tcW w:w="250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85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856"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themeColor="text1"/>
                <w:kern w:val="0"/>
                <w:sz w:val="22"/>
                <w:szCs w:val="22"/>
                <w:highlight w:val="none"/>
                <w14:textFill>
                  <w14:solidFill>
                    <w14:schemeClr w14:val="tx1"/>
                  </w14:solidFill>
                </w14:textFill>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5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4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6"/>
                <w:szCs w:val="16"/>
                <w:highlight w:val="none"/>
                <w14:textFill>
                  <w14:solidFill>
                    <w14:schemeClr w14:val="tx1"/>
                  </w14:solidFill>
                </w14:textFill>
              </w:rPr>
            </w:pPr>
            <w:r>
              <w:rPr>
                <w:rFonts w:hint="eastAsia" w:ascii="宋体" w:hAnsi="宋体" w:cs="宋体"/>
                <w:b/>
                <w:bCs/>
                <w:color w:val="000000" w:themeColor="text1"/>
                <w:kern w:val="0"/>
                <w:sz w:val="16"/>
                <w:szCs w:val="16"/>
                <w:highlight w:val="none"/>
                <w14:textFill>
                  <w14:solidFill>
                    <w14:schemeClr w14:val="tx1"/>
                  </w14:solidFill>
                </w14:textFill>
              </w:rPr>
              <w:t>　</w:t>
            </w:r>
          </w:p>
        </w:tc>
        <w:tc>
          <w:tcPr>
            <w:tcW w:w="25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5" w:hRule="atLeast"/>
        </w:trPr>
        <w:tc>
          <w:tcPr>
            <w:tcW w:w="49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43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3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25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18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bl>
    <w:p>
      <w:pPr>
        <w:widowControl/>
        <w:spacing w:beforeLines="50"/>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表四：</w:t>
      </w:r>
    </w:p>
    <w:p>
      <w:pPr>
        <w:widowControl/>
        <w:spacing w:beforeLines="50"/>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spacing w:beforeLines="50"/>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财政拨款收支预算总体情况表</w:t>
      </w:r>
    </w:p>
    <w:p>
      <w:pPr>
        <w:widowControl/>
        <w:spacing w:beforeLines="50"/>
        <w:outlineLvl w:val="1"/>
        <w:rPr>
          <w:rFonts w:ascii="仿宋_GB2312" w:hAnsi="宋体" w:eastAsia="仿宋_GB2312"/>
          <w:color w:val="000000" w:themeColor="text1"/>
          <w:kern w:val="0"/>
          <w:sz w:val="28"/>
          <w:szCs w:val="28"/>
          <w:highlight w:val="none"/>
          <w14:textFill>
            <w14:solidFill>
              <w14:schemeClr w14:val="tx1"/>
            </w14:solidFill>
          </w14:textFill>
        </w:rPr>
      </w:pPr>
      <w:r>
        <w:rPr>
          <w:rFonts w:hint="eastAsia" w:ascii="仿宋_GB2312" w:hAnsi="宋体" w:eastAsia="仿宋_GB2312"/>
          <w:color w:val="000000" w:themeColor="text1"/>
          <w:kern w:val="0"/>
          <w:sz w:val="28"/>
          <w:szCs w:val="28"/>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8"/>
          <w:szCs w:val="28"/>
          <w:highlight w:val="none"/>
          <w14:textFill>
            <w14:solidFill>
              <w14:schemeClr w14:val="tx1"/>
            </w14:solidFill>
          </w14:textFill>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588.84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588.84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110.94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110.94</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199.19</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199.19</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407.16</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407.16</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5"/>
                <w:szCs w:val="15"/>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223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233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14:textFill>
                  <w14:solidFill>
                    <w14:schemeClr w14:val="tx1"/>
                  </w14:solidFill>
                </w14:textFill>
              </w:rPr>
              <w:t xml:space="preserve">230 </w:t>
            </w:r>
            <w:r>
              <w:rPr>
                <w:rFonts w:hint="eastAsia" w:ascii="仿宋_GB2312" w:hAnsi="宋体" w:eastAsia="仿宋_GB2312" w:cs="宋体"/>
                <w:color w:val="000000" w:themeColor="text1"/>
                <w:kern w:val="0"/>
                <w:sz w:val="20"/>
                <w:szCs w:val="20"/>
                <w:highlight w:val="none"/>
                <w14:textFill>
                  <w14:solidFill>
                    <w14:schemeClr w14:val="tx1"/>
                  </w14:solidFill>
                </w14:textFill>
              </w:rPr>
              <w:t>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2"/>
                <w:szCs w:val="22"/>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22"/>
                <w:szCs w:val="22"/>
                <w:highlight w:val="none"/>
                <w14:textFill>
                  <w14:solidFill>
                    <w14:schemeClr w14:val="tx1"/>
                  </w14:solidFill>
                </w14:textFill>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14:textFill>
                  <w14:solidFill>
                    <w14:schemeClr w14:val="tx1"/>
                  </w14:solidFill>
                </w14:textFill>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宋体" w:hAnsi="宋体" w:cs="宋体"/>
                <w:color w:val="000000" w:themeColor="text1"/>
                <w:kern w:val="0"/>
                <w:sz w:val="22"/>
                <w:szCs w:val="22"/>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r>
              <w:rPr>
                <w:rFonts w:hint="eastAsia" w:ascii="宋体" w:hAnsi="宋体" w:cs="宋体"/>
                <w:color w:val="000000" w:themeColor="text1"/>
                <w:kern w:val="0"/>
                <w:sz w:val="22"/>
                <w:szCs w:val="22"/>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表五：</w:t>
      </w:r>
    </w:p>
    <w:tbl>
      <w:tblPr>
        <w:tblStyle w:val="7"/>
        <w:tblW w:w="9087" w:type="dxa"/>
        <w:tblInd w:w="93" w:type="dxa"/>
        <w:tblLayout w:type="fixed"/>
        <w:tblCellMar>
          <w:top w:w="0" w:type="dxa"/>
          <w:left w:w="108" w:type="dxa"/>
          <w:bottom w:w="0" w:type="dxa"/>
          <w:right w:w="108" w:type="dxa"/>
        </w:tblCellMar>
      </w:tblPr>
      <w:tblGrid>
        <w:gridCol w:w="441"/>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一般公共预算支出情况表</w:t>
            </w:r>
          </w:p>
        </w:tc>
      </w:tr>
      <w:tr>
        <w:tblPrEx>
          <w:tblLayout w:type="fixed"/>
          <w:tblCellMar>
            <w:top w:w="0" w:type="dxa"/>
            <w:left w:w="108" w:type="dxa"/>
            <w:bottom w:w="0" w:type="dxa"/>
            <w:right w:w="108" w:type="dxa"/>
          </w:tblCellMar>
        </w:tblPrEx>
        <w:trPr>
          <w:trHeight w:val="285" w:hRule="atLeast"/>
        </w:trPr>
        <w:tc>
          <w:tcPr>
            <w:tcW w:w="4520" w:type="dxa"/>
            <w:gridSpan w:val="5"/>
            <w:tcBorders>
              <w:top w:val="nil"/>
              <w:left w:val="nil"/>
              <w:bottom w:val="nil"/>
              <w:right w:val="nil"/>
            </w:tcBorders>
            <w:shd w:val="clear" w:color="auto" w:fill="auto"/>
            <w:vAlign w:val="top"/>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3327" w:type="dxa"/>
            <w:gridSpan w:val="2"/>
            <w:tcBorders>
              <w:top w:val="nil"/>
              <w:left w:val="nil"/>
              <w:bottom w:val="nil"/>
              <w:right w:val="nil"/>
            </w:tcBorders>
            <w:shd w:val="clear" w:color="auto" w:fill="auto"/>
            <w:vAlign w:val="center"/>
          </w:tcPr>
          <w:p>
            <w:pPr>
              <w:widowControl/>
              <w:jc w:val="both"/>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9.91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themeColor="text1"/>
                <w:kern w:val="0"/>
                <w:sz w:val="20"/>
                <w:szCs w:val="20"/>
                <w:highlight w:val="none"/>
                <w14:textFill>
                  <w14:solidFill>
                    <w14:schemeClr w14:val="tx1"/>
                  </w14:solidFill>
                </w14:textFill>
              </w:rPr>
            </w:pPr>
            <w:r>
              <w:rPr>
                <w:rFonts w:hint="eastAsia" w:ascii="仿宋_GB2312" w:hAnsi="宋体" w:eastAsia="仿宋_GB2312" w:cs="宋体"/>
                <w:b/>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08</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代表工作</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4.59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443.48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19.96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50.94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31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59.97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204</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06</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8.65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2.18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事业单位离退休</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2.75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208</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05</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106.01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07</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16</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计划生育机构</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105.53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24.02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41.05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210</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11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03</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28.59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04</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事业运行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339.32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213</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52</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对高校毕业生到基层任职补助</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67.84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221</w:t>
            </w: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02</w:t>
            </w: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01</w:t>
            </w: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5"/>
                <w:szCs w:val="15"/>
                <w:highlight w:val="none"/>
                <w:lang w:val="en-US" w:eastAsia="zh-CN"/>
                <w14:textFill>
                  <w14:solidFill>
                    <w14:schemeClr w14:val="tx1"/>
                  </w14:solidFill>
                </w14:textFill>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77.2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92"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4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251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1842"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cs="宋体"/>
                <w:color w:val="000000" w:themeColor="text1"/>
                <w:kern w:val="0"/>
                <w:sz w:val="20"/>
                <w:szCs w:val="20"/>
                <w:highlight w:val="none"/>
                <w:lang w:val="en-US"/>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1391.99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一般公共预算基本支出情况表</w:t>
            </w:r>
          </w:p>
        </w:tc>
      </w:tr>
      <w:tr>
        <w:tblPrEx>
          <w:tblLayout w:type="fixed"/>
          <w:tblCellMar>
            <w:top w:w="0" w:type="dxa"/>
            <w:left w:w="108" w:type="dxa"/>
            <w:bottom w:w="0" w:type="dxa"/>
            <w:right w:w="108" w:type="dxa"/>
          </w:tblCellMar>
        </w:tblPrEx>
        <w:trPr>
          <w:trHeight w:val="405" w:hRule="atLeast"/>
        </w:trPr>
        <w:tc>
          <w:tcPr>
            <w:tcW w:w="4979"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2426" w:type="dxa"/>
            <w:gridSpan w:val="2"/>
            <w:tcBorders>
              <w:top w:val="nil"/>
              <w:left w:val="nil"/>
              <w:bottom w:val="nil"/>
              <w:right w:val="nil"/>
            </w:tcBorders>
            <w:shd w:val="clear" w:color="auto" w:fill="auto"/>
            <w:vAlign w:val="center"/>
          </w:tcPr>
          <w:p>
            <w:pPr>
              <w:widowControl/>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Cs w:val="21"/>
                <w:highlight w:val="none"/>
                <w14:textFill>
                  <w14:solidFill>
                    <w14:schemeClr w14:val="tx1"/>
                  </w14:solidFill>
                </w14:textFill>
              </w:rPr>
            </w:pPr>
            <w:r>
              <w:rPr>
                <w:rFonts w:hint="eastAsia" w:ascii="仿宋_GB2312" w:hAnsi="宋体" w:eastAsia="仿宋_GB2312" w:cs="宋体"/>
                <w:b/>
                <w:bCs/>
                <w:color w:val="000000" w:themeColor="text1"/>
                <w:kern w:val="0"/>
                <w:szCs w:val="21"/>
                <w:highlight w:val="none"/>
                <w14:textFill>
                  <w14:solidFill>
                    <w14:schemeClr w14:val="tx1"/>
                  </w14:solidFill>
                </w14:textFill>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r>
              <w:rPr>
                <w:rFonts w:hint="eastAsia" w:ascii="仿宋_GB2312" w:hAnsi="宋体" w:eastAsia="仿宋_GB2312" w:cs="宋体"/>
                <w:b/>
                <w:bCs/>
                <w:color w:val="000000" w:themeColor="text1"/>
                <w:kern w:val="0"/>
                <w:sz w:val="20"/>
                <w:szCs w:val="20"/>
                <w:highlight w:val="none"/>
                <w14:textFill>
                  <w14:solidFill>
                    <w14:schemeClr w14:val="tx1"/>
                  </w14:solidFill>
                </w14:textFill>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0"/>
                <w:szCs w:val="20"/>
                <w:highlight w:val="none"/>
                <w14:textFill>
                  <w14:solidFill>
                    <w14:schemeClr w14:val="tx1"/>
                  </w14:solidFill>
                </w14:textFill>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01</w:t>
            </w:r>
          </w:p>
        </w:tc>
        <w:tc>
          <w:tcPr>
            <w:tcW w:w="28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511.84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511.84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02</w:t>
            </w:r>
          </w:p>
        </w:tc>
        <w:tc>
          <w:tcPr>
            <w:tcW w:w="28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7.83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7.83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33.39</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33.39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106.01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106.01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48.44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48.44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21.2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77.2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318.15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318.15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12.96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12.96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4.05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4.86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4.86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6.48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6.48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24.3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5.12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9.86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0.95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0.95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153.17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153.17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28.95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28.95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04</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0"/>
                <w:szCs w:val="20"/>
                <w:highlight w:val="none"/>
                <w:lang w:eastAsia="zh-CN"/>
                <w14:textFill>
                  <w14:solidFill>
                    <w14:schemeClr w14:val="tx1"/>
                  </w14:solidFill>
                </w14:textFill>
              </w:rPr>
            </w:pPr>
            <w:r>
              <w:rPr>
                <w:rFonts w:hint="eastAsia" w:ascii="宋体" w:hAnsi="宋体" w:cs="宋体"/>
                <w:color w:val="000000" w:themeColor="text1"/>
                <w:kern w:val="0"/>
                <w:sz w:val="20"/>
                <w:szCs w:val="20"/>
                <w:highlight w:val="none"/>
                <w:lang w:eastAsia="zh-CN"/>
                <w14:textFill>
                  <w14:solidFill>
                    <w14:schemeClr w14:val="tx1"/>
                  </w14:solidFill>
                </w14:textFill>
              </w:rPr>
              <w:t>抚恤金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3.88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highlight w:val="none"/>
                <w:lang w:eastAsia="zh-CN"/>
                <w14:textFill>
                  <w14:solidFill>
                    <w14:schemeClr w14:val="tx1"/>
                  </w14:solidFill>
                </w14:textFill>
              </w:rPr>
            </w:pPr>
            <w:r>
              <w:rPr>
                <w:rFonts w:hint="eastAsia" w:ascii="宋体" w:hAnsi="宋体" w:cs="宋体"/>
                <w:color w:val="000000" w:themeColor="text1"/>
                <w:kern w:val="0"/>
                <w:sz w:val="20"/>
                <w:szCs w:val="20"/>
                <w:highlight w:val="none"/>
                <w:lang w:eastAsia="zh-CN"/>
                <w14:textFill>
                  <w14:solidFill>
                    <w14:schemeClr w14:val="tx1"/>
                  </w14:solidFill>
                </w14:textFill>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3.11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themeColor="text1"/>
                <w:kern w:val="0"/>
                <w:sz w:val="20"/>
                <w:szCs w:val="20"/>
                <w:highlight w:val="none"/>
                <w:lang w:eastAsia="zh-CN"/>
                <w14:textFill>
                  <w14:solidFill>
                    <w14:schemeClr w14:val="tx1"/>
                  </w14:solidFill>
                </w14:textFill>
              </w:rPr>
            </w:pPr>
            <w:r>
              <w:rPr>
                <w:rFonts w:hint="eastAsia" w:ascii="宋体" w:hAnsi="宋体" w:cs="宋体"/>
                <w:color w:val="000000" w:themeColor="text1"/>
                <w:kern w:val="0"/>
                <w:sz w:val="20"/>
                <w:szCs w:val="20"/>
                <w:highlight w:val="none"/>
                <w:lang w:eastAsia="zh-CN"/>
                <w14:textFill>
                  <w14:solidFill>
                    <w14:schemeClr w14:val="tx1"/>
                  </w14:solidFill>
                </w14:textFill>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0.14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0.14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b/>
                <w:bCs/>
                <w:color w:val="000000" w:themeColor="text1"/>
                <w:kern w:val="0"/>
                <w:sz w:val="20"/>
                <w:szCs w:val="20"/>
                <w:highlight w:val="none"/>
                <w14:textFill>
                  <w14:solidFill>
                    <w14:schemeClr w14:val="tx1"/>
                  </w14:solidFill>
                </w14:textFill>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1391.99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lang w:val="en-US" w:eastAsia="zh-CN"/>
                <w14:textFill>
                  <w14:solidFill>
                    <w14:schemeClr w14:val="tx1"/>
                  </w14:solidFill>
                </w14:textFill>
              </w:rPr>
              <w:t>1165.25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cs="宋体"/>
                <w:color w:val="000000" w:themeColor="text1"/>
                <w:kern w:val="0"/>
                <w:sz w:val="20"/>
                <w:szCs w:val="20"/>
                <w:highlight w:val="none"/>
                <w14:textFill>
                  <w14:solidFill>
                    <w14:schemeClr w14:val="tx1"/>
                  </w14:solidFill>
                </w14:textFill>
              </w:rPr>
              <w:t>　</w:t>
            </w:r>
            <w:r>
              <w:rPr>
                <w:rFonts w:hint="eastAsia" w:ascii="宋体" w:hAnsi="宋体" w:cs="宋体"/>
                <w:color w:val="000000" w:themeColor="text1"/>
                <w:kern w:val="0"/>
                <w:sz w:val="20"/>
                <w:szCs w:val="20"/>
                <w:highlight w:val="none"/>
                <w:lang w:val="en-US" w:eastAsia="zh-CN"/>
                <w14:textFill>
                  <w14:solidFill>
                    <w14:schemeClr w14:val="tx1"/>
                  </w14:solidFill>
                </w14:textFill>
              </w:rPr>
              <w:t>226.74</w:t>
            </w:r>
          </w:p>
        </w:tc>
      </w:tr>
    </w:tbl>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编制部门：</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科目</w:t>
            </w:r>
          </w:p>
        </w:tc>
        <w:tc>
          <w:tcPr>
            <w:tcW w:w="1456" w:type="dxa"/>
            <w:vMerge w:val="restart"/>
            <w:shd w:val="clear" w:color="auto" w:fill="auto"/>
            <w:vAlign w:val="center"/>
          </w:tcPr>
          <w:p>
            <w:pPr>
              <w:jc w:val="center"/>
              <w:rPr>
                <w:rFonts w:ascii="Calibri" w:hAnsi="Calibri"/>
                <w:color w:val="000000" w:themeColor="text1"/>
                <w:sz w:val="24"/>
                <w:highlight w:val="none"/>
                <w14:textFill>
                  <w14:solidFill>
                    <w14:schemeClr w14:val="tx1"/>
                  </w14:solidFill>
                </w14:textFill>
              </w:rPr>
            </w:pPr>
            <w:r>
              <w:rPr>
                <w:rFonts w:hint="eastAsia" w:ascii="仿宋_GB2312" w:hAnsi="宋体" w:eastAsia="仿宋_GB2312"/>
                <w:b/>
                <w:color w:val="000000" w:themeColor="text1"/>
                <w:kern w:val="0"/>
                <w:sz w:val="24"/>
                <w:highlight w:val="none"/>
                <w14:textFill>
                  <w14:solidFill>
                    <w14:schemeClr w14:val="tx1"/>
                  </w14:solidFill>
                </w14:textFill>
              </w:rPr>
              <w:t>项目名称</w:t>
            </w:r>
          </w:p>
        </w:tc>
        <w:tc>
          <w:tcPr>
            <w:tcW w:w="750"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r>
              <w:rPr>
                <w:rFonts w:hint="eastAsia" w:ascii="仿宋_GB2312" w:hAnsi="宋体" w:eastAsia="仿宋_GB2312"/>
                <w:b/>
                <w:color w:val="000000" w:themeColor="text1"/>
                <w:kern w:val="0"/>
                <w:sz w:val="18"/>
                <w:szCs w:val="18"/>
                <w:highlight w:val="none"/>
                <w14:textFill>
                  <w14:solidFill>
                    <w14:schemeClr w14:val="tx1"/>
                  </w14:solidFill>
                </w14:textFill>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000000" w:themeColor="text1"/>
                <w:kern w:val="0"/>
                <w:sz w:val="18"/>
                <w:szCs w:val="1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75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851"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1456" w:type="dxa"/>
            <w:shd w:val="clear" w:color="auto" w:fill="auto"/>
            <w:vAlign w:val="center"/>
          </w:tcPr>
          <w:p>
            <w:pPr>
              <w:widowControl/>
              <w:jc w:val="center"/>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Cs w:val="21"/>
                <w:highlight w:val="none"/>
                <w14:textFill>
                  <w14:solidFill>
                    <w14:schemeClr w14:val="tx1"/>
                  </w14:solidFill>
                </w14:textFill>
              </w:rPr>
              <w:t>合计</w:t>
            </w:r>
          </w:p>
        </w:tc>
        <w:tc>
          <w:tcPr>
            <w:tcW w:w="750" w:type="dxa"/>
            <w:shd w:val="clear" w:color="auto" w:fill="auto"/>
            <w:vAlign w:val="center"/>
          </w:tcPr>
          <w:p>
            <w:pPr>
              <w:widowControl/>
              <w:jc w:val="center"/>
              <w:outlineLvl w:val="1"/>
              <w:rPr>
                <w:rFonts w:ascii="仿宋_GB2312" w:hAnsi="宋体" w:eastAsia="仿宋_GB2312"/>
                <w:color w:val="000000" w:themeColor="text1"/>
                <w:kern w:val="0"/>
                <w:szCs w:val="21"/>
                <w:highlight w:val="none"/>
                <w14:textFill>
                  <w14:solidFill>
                    <w14:schemeClr w14:val="tx1"/>
                  </w14:solidFill>
                </w14:textFill>
              </w:rPr>
            </w:pPr>
          </w:p>
        </w:tc>
        <w:tc>
          <w:tcPr>
            <w:tcW w:w="569"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36"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652"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19"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578"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420" w:type="dxa"/>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c>
          <w:tcPr>
            <w:tcW w:w="397" w:type="dxa"/>
            <w:gridSpan w:val="2"/>
            <w:shd w:val="clear" w:color="auto" w:fill="auto"/>
          </w:tcPr>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　</w:t>
            </w:r>
          </w:p>
        </w:tc>
      </w:tr>
    </w:tbl>
    <w:p>
      <w:pPr>
        <w:widowControl/>
        <w:ind w:firstLine="562" w:firstLineChars="200"/>
        <w:outlineLvl w:val="1"/>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r>
        <w:rPr>
          <w:rFonts w:hint="eastAsia" w:ascii="仿宋_GB2312" w:hAnsi="宋体" w:eastAsia="仿宋_GB2312"/>
          <w:b/>
          <w:color w:val="000000" w:themeColor="text1"/>
          <w:kern w:val="0"/>
          <w:sz w:val="28"/>
          <w:szCs w:val="32"/>
          <w:highlight w:val="none"/>
          <w:lang w:val="en-US" w:eastAsia="zh-CN"/>
          <w14:textFill>
            <w14:solidFill>
              <w14:schemeClr w14:val="tx1"/>
            </w14:solidFill>
          </w14:textFill>
        </w:rPr>
        <w:t>阜康市滋泥泉子镇人民政府2019年未安排项目支出，因此</w:t>
      </w:r>
      <w:r>
        <w:rPr>
          <w:rFonts w:hint="eastAsia" w:ascii="仿宋_GB2312" w:hAnsi="宋体" w:eastAsia="仿宋_GB2312"/>
          <w:b/>
          <w:color w:val="000000" w:themeColor="text1"/>
          <w:kern w:val="0"/>
          <w:sz w:val="28"/>
          <w:szCs w:val="32"/>
          <w:highlight w:val="none"/>
          <w:lang w:eastAsia="zh-CN"/>
          <w14:textFill>
            <w14:solidFill>
              <w14:schemeClr w14:val="tx1"/>
            </w14:solidFill>
          </w14:textFill>
        </w:rPr>
        <w:t>没有项目支出，项目支出情况表为空表。</w:t>
      </w:r>
    </w:p>
    <w:p>
      <w:pPr>
        <w:widowControl/>
        <w:ind w:firstLine="562" w:firstLineChars="200"/>
        <w:outlineLvl w:val="1"/>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p>
    <w:p>
      <w:pPr>
        <w:widowControl/>
        <w:jc w:val="left"/>
        <w:outlineLvl w:val="1"/>
        <w:rPr>
          <w:rFonts w:hint="eastAsia"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表八：</w:t>
      </w: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一般公共预算“三公”经费支出情况表</w:t>
      </w:r>
    </w:p>
    <w:p>
      <w:pPr>
        <w:widowControl/>
        <w:jc w:val="left"/>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编制单位：</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themeColor="text1"/>
                <w:kern w:val="0"/>
                <w:sz w:val="22"/>
                <w:szCs w:val="22"/>
                <w:highlight w:val="none"/>
                <w14:textFill>
                  <w14:solidFill>
                    <w14:schemeClr w14:val="tx1"/>
                  </w14:solidFill>
                </w14:textFill>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themeColor="text1"/>
                <w:kern w:val="0"/>
                <w:sz w:val="22"/>
                <w:szCs w:val="22"/>
                <w:highlight w:val="none"/>
                <w14:textFill>
                  <w14:solidFill>
                    <w14:schemeClr w14:val="tx1"/>
                  </w14:solidFill>
                </w14:textFill>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2"/>
                <w:szCs w:val="22"/>
                <w:highlight w:val="none"/>
                <w14:textFill>
                  <w14:solidFill>
                    <w14:schemeClr w14:val="tx1"/>
                  </w14:solidFill>
                </w14:textFill>
              </w:rPr>
            </w:pPr>
            <w:r>
              <w:rPr>
                <w:rFonts w:hint="eastAsia" w:ascii="仿宋_GB2312" w:hAnsi="宋体" w:eastAsia="仿宋_GB2312" w:cs="宋体"/>
                <w:b/>
                <w:bCs/>
                <w:color w:val="000000" w:themeColor="text1"/>
                <w:kern w:val="0"/>
                <w:sz w:val="22"/>
                <w:szCs w:val="22"/>
                <w:highlight w:val="none"/>
                <w14:textFill>
                  <w14:solidFill>
                    <w14:schemeClr w14:val="tx1"/>
                  </w14:solidFill>
                </w14:textFill>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themeColor="text1"/>
                <w:kern w:val="0"/>
                <w:sz w:val="22"/>
                <w:szCs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22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18</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18</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r>
              <w:rPr>
                <w:rFonts w:hint="eastAsia" w:ascii="宋体" w:hAnsi="宋体" w:cs="宋体"/>
                <w:color w:val="000000" w:themeColor="text1"/>
                <w:kern w:val="0"/>
                <w:sz w:val="24"/>
                <w:highlight w:val="none"/>
                <w:lang w:val="en-US" w:eastAsia="zh-CN"/>
                <w14:textFill>
                  <w14:solidFill>
                    <w14:schemeClr w14:val="tx1"/>
                  </w14:solidFill>
                </w14:textFill>
              </w:rPr>
              <w:t>4</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r>
    </w:tbl>
    <w:p>
      <w:pPr>
        <w:widowControl/>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outlineLvl w:val="1"/>
        <w:rPr>
          <w:rFonts w:ascii="仿宋_GB2312" w:hAnsi="宋体" w:eastAsia="仿宋_GB2312"/>
          <w:b/>
          <w:color w:val="000000" w:themeColor="text1"/>
          <w:kern w:val="0"/>
          <w:sz w:val="32"/>
          <w:szCs w:val="32"/>
          <w:highlight w:val="none"/>
          <w14:textFill>
            <w14:solidFill>
              <w14:schemeClr w14:val="tx1"/>
            </w14:solidFill>
          </w14:textFill>
        </w:rPr>
      </w:pPr>
    </w:p>
    <w:p>
      <w:pPr>
        <w:widowControl/>
        <w:jc w:val="left"/>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表九：</w:t>
      </w: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政府性基金预算支出情况表</w:t>
      </w:r>
    </w:p>
    <w:p>
      <w:pPr>
        <w:widowControl/>
        <w:outlineLvl w:val="1"/>
        <w:rPr>
          <w:rFonts w:ascii="仿宋_GB2312" w:hAnsi="宋体" w:eastAsia="仿宋_GB2312"/>
          <w:color w:val="000000" w:themeColor="text1"/>
          <w:kern w:val="0"/>
          <w:sz w:val="24"/>
          <w:highlight w:val="none"/>
          <w14:textFill>
            <w14:solidFill>
              <w14:schemeClr w14:val="tx1"/>
            </w14:solidFill>
          </w14:textFill>
        </w:rPr>
      </w:pPr>
      <w:r>
        <w:rPr>
          <w:rFonts w:hint="eastAsia" w:ascii="仿宋_GB2312" w:hAnsi="宋体" w:eastAsia="仿宋_GB2312"/>
          <w:color w:val="000000" w:themeColor="text1"/>
          <w:kern w:val="0"/>
          <w:sz w:val="24"/>
          <w:highlight w:val="none"/>
          <w14:textFill>
            <w14:solidFill>
              <w14:schemeClr w14:val="tx1"/>
            </w14:solidFill>
          </w14:textFill>
        </w:rPr>
        <w:t>编制单位：</w:t>
      </w:r>
      <w:r>
        <w:rPr>
          <w:rFonts w:hint="eastAsia" w:ascii="仿宋_GB2312" w:hAnsi="宋体" w:eastAsia="仿宋_GB2312"/>
          <w:color w:val="000000" w:themeColor="text1"/>
          <w:kern w:val="0"/>
          <w:sz w:val="24"/>
          <w:highlight w:val="none"/>
          <w:lang w:eastAsia="zh-CN"/>
          <w14:textFill>
            <w14:solidFill>
              <w14:schemeClr w14:val="tx1"/>
            </w14:solidFill>
          </w14:textFill>
        </w:rPr>
        <w:t>阜康市滋泥泉子镇人民政府</w:t>
      </w:r>
      <w:r>
        <w:rPr>
          <w:rFonts w:hint="eastAsia" w:ascii="仿宋_GB2312" w:hAnsi="宋体" w:eastAsia="仿宋_GB2312"/>
          <w:color w:val="000000" w:themeColor="text1"/>
          <w:kern w:val="0"/>
          <w:sz w:val="24"/>
          <w:highlight w:val="none"/>
          <w14:textFill>
            <w14:solidFill>
              <w14:schemeClr w14:val="tx1"/>
            </w14:solidFill>
          </w14:textFill>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18"/>
                <w:szCs w:val="18"/>
                <w:highlight w:val="none"/>
                <w14:textFill>
                  <w14:solidFill>
                    <w14:schemeClr w14:val="tx1"/>
                  </w14:solidFill>
                </w14:textFill>
              </w:rPr>
            </w:pPr>
            <w:r>
              <w:rPr>
                <w:rFonts w:hint="eastAsia" w:ascii="仿宋_GB2312" w:hAnsi="宋体" w:eastAsia="仿宋_GB2312" w:cs="宋体"/>
                <w:b/>
                <w:bCs/>
                <w:color w:val="000000" w:themeColor="text1"/>
                <w:kern w:val="0"/>
                <w:sz w:val="18"/>
                <w:szCs w:val="18"/>
                <w:highlight w:val="none"/>
                <w14:textFill>
                  <w14:solidFill>
                    <w14:schemeClr w14:val="tx1"/>
                  </w14:solidFill>
                </w14:textFill>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24"/>
                <w:highlight w:val="none"/>
                <w14:textFill>
                  <w14:solidFill>
                    <w14:schemeClr w14:val="tx1"/>
                  </w14:solidFill>
                </w14:textFill>
              </w:rPr>
            </w:pPr>
            <w:r>
              <w:rPr>
                <w:rFonts w:hint="eastAsia" w:ascii="仿宋_GB2312" w:hAnsi="宋体" w:eastAsia="仿宋_GB2312" w:cs="宋体"/>
                <w:b/>
                <w:bCs/>
                <w:color w:val="000000" w:themeColor="text1"/>
                <w:kern w:val="0"/>
                <w:sz w:val="24"/>
                <w:highlight w:val="none"/>
                <w14:textFill>
                  <w14:solidFill>
                    <w14:schemeClr w14:val="tx1"/>
                  </w14:solidFill>
                </w14:textFill>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themeColor="text1"/>
                <w:kern w:val="0"/>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cs="宋体"/>
                <w:b/>
                <w:bCs/>
                <w:color w:val="000000" w:themeColor="text1"/>
                <w:kern w:val="0"/>
                <w:sz w:val="32"/>
                <w:szCs w:val="32"/>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themeColor="text1"/>
                <w:kern w:val="0"/>
                <w:sz w:val="24"/>
                <w:highlight w:val="none"/>
                <w14:textFill>
                  <w14:solidFill>
                    <w14:schemeClr w14:val="tx1"/>
                  </w14:solidFill>
                </w14:textFill>
              </w:rPr>
            </w:pPr>
            <w:r>
              <w:rPr>
                <w:rFonts w:hint="eastAsia" w:ascii="仿宋_GB2312" w:hAnsi="宋体" w:eastAsia="仿宋_GB2312" w:cs="宋体"/>
                <w:color w:val="000000" w:themeColor="text1"/>
                <w:kern w:val="0"/>
                <w:sz w:val="24"/>
                <w:highlight w:val="none"/>
                <w14:textFill>
                  <w14:solidFill>
                    <w14:schemeClr w14:val="tx1"/>
                  </w14:solidFill>
                </w14:textFill>
              </w:rPr>
              <w:t>　</w:t>
            </w:r>
          </w:p>
        </w:tc>
      </w:tr>
    </w:tbl>
    <w:p>
      <w:pPr>
        <w:widowControl/>
        <w:spacing w:line="375" w:lineRule="atLeast"/>
        <w:ind w:firstLine="480"/>
        <w:jc w:val="left"/>
        <w:rPr>
          <w:rFonts w:hint="eastAsia" w:ascii="仿宋_GB2312" w:hAnsi="宋体" w:eastAsia="仿宋_GB2312"/>
          <w:b/>
          <w:color w:val="000000" w:themeColor="text1"/>
          <w:kern w:val="0"/>
          <w:sz w:val="28"/>
          <w:szCs w:val="32"/>
          <w:highlight w:val="none"/>
          <w:lang w:eastAsia="zh-CN"/>
          <w14:textFill>
            <w14:solidFill>
              <w14:schemeClr w14:val="tx1"/>
            </w14:solidFill>
          </w14:textFill>
        </w:rPr>
      </w:pPr>
      <w:r>
        <w:rPr>
          <w:rFonts w:hint="eastAsia" w:ascii="仿宋_GB2312" w:hAnsi="宋体" w:eastAsia="仿宋_GB2312"/>
          <w:b/>
          <w:color w:val="000000" w:themeColor="text1"/>
          <w:kern w:val="0"/>
          <w:sz w:val="28"/>
          <w:szCs w:val="32"/>
          <w:highlight w:val="none"/>
          <w:lang w:val="en-US" w:eastAsia="zh-CN"/>
          <w14:textFill>
            <w14:solidFill>
              <w14:schemeClr w14:val="tx1"/>
            </w14:solidFill>
          </w14:textFill>
        </w:rPr>
        <w:t>阜康市滋泥泉子镇2019年未安排政府性基金预算，因此</w:t>
      </w:r>
      <w:r>
        <w:rPr>
          <w:rFonts w:hint="eastAsia" w:ascii="仿宋_GB2312" w:hAnsi="宋体" w:eastAsia="仿宋_GB2312"/>
          <w:b/>
          <w:color w:val="000000" w:themeColor="text1"/>
          <w:kern w:val="0"/>
          <w:sz w:val="28"/>
          <w:szCs w:val="32"/>
          <w:highlight w:val="none"/>
          <w:lang w:eastAsia="zh-CN"/>
          <w14:textFill>
            <w14:solidFill>
              <w14:schemeClr w14:val="tx1"/>
            </w14:solidFill>
          </w14:textFill>
        </w:rPr>
        <w:t>没有使用政府性基金预算拨款安排的支出，政府性基金预算支出情况表为空表。</w:t>
      </w:r>
    </w:p>
    <w:p>
      <w:pPr>
        <w:widowControl/>
        <w:jc w:val="left"/>
        <w:outlineLvl w:val="1"/>
        <w:rPr>
          <w:rFonts w:ascii="仿宋_GB2312" w:hAnsi="宋体" w:eastAsia="仿宋_GB2312"/>
          <w:color w:val="000000" w:themeColor="text1"/>
          <w:kern w:val="0"/>
          <w:sz w:val="32"/>
          <w:szCs w:val="32"/>
          <w:highlight w:val="none"/>
          <w14:textFill>
            <w14:solidFill>
              <w14:schemeClr w14:val="tx1"/>
            </w14:solidFill>
          </w14:textFill>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 xml:space="preserve">第三部分  </w:t>
      </w:r>
      <w:r>
        <w:rPr>
          <w:rFonts w:hint="eastAsia" w:ascii="黑体" w:hAnsi="黑体" w:eastAsia="黑体"/>
          <w:color w:val="000000" w:themeColor="text1"/>
          <w:kern w:val="0"/>
          <w:sz w:val="32"/>
          <w:szCs w:val="32"/>
          <w:highlight w:val="none"/>
          <w:lang w:val="en-US" w:eastAsia="zh-CN"/>
          <w14:textFill>
            <w14:solidFill>
              <w14:schemeClr w14:val="tx1"/>
            </w14:solidFill>
          </w14:textFill>
        </w:rPr>
        <w:t>2019</w:t>
      </w:r>
      <w:r>
        <w:rPr>
          <w:rFonts w:hint="eastAsia" w:ascii="黑体" w:hAnsi="黑体" w:eastAsia="黑体"/>
          <w:color w:val="000000" w:themeColor="text1"/>
          <w:kern w:val="0"/>
          <w:sz w:val="32"/>
          <w:szCs w:val="32"/>
          <w:highlight w:val="none"/>
          <w14:textFill>
            <w14:solidFill>
              <w14:schemeClr w14:val="tx1"/>
            </w14:solidFill>
          </w14:textFill>
        </w:rPr>
        <w:t>年部门预算情况说明</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一、</w:t>
      </w:r>
      <w:r>
        <w:rPr>
          <w:rFonts w:hint="eastAsia" w:ascii="黑体" w:hAnsi="宋体" w:eastAsia="黑体" w:cs="宋体"/>
          <w:color w:val="000000" w:themeColor="text1"/>
          <w:kern w:val="0"/>
          <w:sz w:val="32"/>
          <w:szCs w:val="32"/>
          <w:highlight w:val="none"/>
          <w14:textFill>
            <w14:solidFill>
              <w14:schemeClr w14:val="tx1"/>
            </w14:solidFill>
          </w14:textFill>
        </w:rPr>
        <w:t>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收支预算情况的总体说明</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按照全口径预算的原则，</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2019年</w:t>
      </w:r>
      <w:r>
        <w:rPr>
          <w:rFonts w:hint="eastAsia" w:ascii="仿宋_GB2312" w:hAnsi="宋体" w:eastAsia="仿宋_GB2312" w:cs="宋体"/>
          <w:color w:val="000000" w:themeColor="text1"/>
          <w:kern w:val="0"/>
          <w:sz w:val="32"/>
          <w:szCs w:val="32"/>
          <w:highlight w:val="none"/>
          <w14:textFill>
            <w14:solidFill>
              <w14:schemeClr w14:val="tx1"/>
            </w14:solidFill>
          </w14:textFill>
        </w:rPr>
        <w:t>所有收入和支出均纳入部门预算管理。收支总预算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收入预算包括：一般公共预算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支出预算包括：一般公共服务支出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588.84万元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、公共安全支出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8.65万元</w:t>
      </w:r>
      <w:r>
        <w:rPr>
          <w:rFonts w:hint="eastAsia" w:ascii="仿宋_GB2312" w:hAnsi="宋体" w:eastAsia="仿宋_GB2312" w:cs="宋体"/>
          <w:color w:val="000000" w:themeColor="text1"/>
          <w:kern w:val="0"/>
          <w:sz w:val="32"/>
          <w:szCs w:val="32"/>
          <w:highlight w:val="none"/>
          <w14:textFill>
            <w14:solidFill>
              <w14:schemeClr w14:val="tx1"/>
            </w14:solidFill>
          </w14:textFill>
        </w:rPr>
        <w:t>、社会保障和就业支出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110.94万元、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医疗卫生与计划生育支出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199.19万元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、农林水支出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407.16万元</w:t>
      </w:r>
      <w:r>
        <w:rPr>
          <w:rFonts w:hint="eastAsia" w:ascii="仿宋_GB2312" w:hAnsi="宋体" w:eastAsia="仿宋_GB2312" w:cs="宋体"/>
          <w:color w:val="000000" w:themeColor="text1"/>
          <w:kern w:val="0"/>
          <w:sz w:val="32"/>
          <w:szCs w:val="32"/>
          <w:highlight w:val="none"/>
          <w14:textFill>
            <w14:solidFill>
              <w14:schemeClr w14:val="tx1"/>
            </w14:solidFill>
          </w14:textFill>
        </w:rPr>
        <w:t>、住房保障支出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77.2万元</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二、关于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收入预算情况说明</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收入预算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，其中：</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一般公共预算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131.58</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人员调资、公用经费预算下达</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政府性基金预算未安排。</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三、关于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w:t>
      </w:r>
      <w:r>
        <w:rPr>
          <w:rFonts w:hint="eastAsia" w:ascii="黑体" w:hAnsi="宋体" w:eastAsia="黑体" w:cs="宋体"/>
          <w:color w:val="000000" w:themeColor="text1"/>
          <w:kern w:val="0"/>
          <w:sz w:val="32"/>
          <w:szCs w:val="32"/>
          <w:highlight w:val="none"/>
          <w14:textFill>
            <w14:solidFill>
              <w14:schemeClr w14:val="tx1"/>
            </w14:solidFill>
          </w14:textFill>
        </w:rPr>
        <w:t>年支出预算情况说明</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2019年</w:t>
      </w:r>
      <w:r>
        <w:rPr>
          <w:rFonts w:hint="eastAsia" w:ascii="仿宋_GB2312" w:hAnsi="宋体" w:eastAsia="仿宋_GB2312" w:cs="宋体"/>
          <w:color w:val="000000" w:themeColor="text1"/>
          <w:kern w:val="0"/>
          <w:sz w:val="32"/>
          <w:szCs w:val="32"/>
          <w:highlight w:val="none"/>
          <w14:textFill>
            <w14:solidFill>
              <w14:schemeClr w14:val="tx1"/>
            </w14:solidFill>
          </w14:textFill>
        </w:rPr>
        <w:t>支出预算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1391.99万元</w:t>
      </w:r>
      <w:r>
        <w:rPr>
          <w:rFonts w:hint="eastAsia" w:ascii="仿宋_GB2312" w:hAnsi="宋体" w:eastAsia="仿宋_GB2312" w:cs="宋体"/>
          <w:color w:val="000000" w:themeColor="text1"/>
          <w:kern w:val="0"/>
          <w:sz w:val="32"/>
          <w:szCs w:val="32"/>
          <w:highlight w:val="none"/>
          <w14:textFill>
            <w14:solidFill>
              <w14:schemeClr w14:val="tx1"/>
            </w14:solidFill>
          </w14:textFill>
        </w:rPr>
        <w:t>，其中：</w:t>
      </w:r>
    </w:p>
    <w:p>
      <w:pPr>
        <w:widowControl/>
        <w:spacing w:line="580" w:lineRule="exact"/>
        <w:ind w:firstLine="640"/>
        <w:jc w:val="left"/>
        <w:rPr>
          <w:rFonts w:ascii="仿宋_GB2312" w:hAnsi="宋体" w:eastAsia="仿宋_GB2312" w:cs="宋体"/>
          <w:b/>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基本支出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%，比上年增加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131.58</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人员调资、公用经费预算下达</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项目支出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万元，占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%，比上年增加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没有安排预算</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line="580" w:lineRule="exact"/>
        <w:ind w:firstLine="640"/>
        <w:jc w:val="left"/>
        <w:rPr>
          <w:rFonts w:ascii="黑体" w:hAnsi="黑体" w:eastAsia="黑体" w:cs="宋体"/>
          <w:bCs/>
          <w:color w:val="000000" w:themeColor="text1"/>
          <w:kern w:val="0"/>
          <w:sz w:val="32"/>
          <w:szCs w:val="32"/>
          <w:highlight w:val="none"/>
          <w14:textFill>
            <w14:solidFill>
              <w14:schemeClr w14:val="tx1"/>
            </w14:solidFill>
          </w14:textFill>
        </w:rPr>
      </w:pPr>
      <w:r>
        <w:rPr>
          <w:rFonts w:hint="eastAsia" w:ascii="黑体" w:hAnsi="黑体" w:eastAsia="黑体" w:cs="宋体"/>
          <w:bCs/>
          <w:color w:val="000000" w:themeColor="text1"/>
          <w:kern w:val="0"/>
          <w:sz w:val="32"/>
          <w:szCs w:val="32"/>
          <w:highlight w:val="none"/>
          <w14:textFill>
            <w14:solidFill>
              <w14:schemeClr w14:val="tx1"/>
            </w14:solidFill>
          </w14:textFill>
        </w:rPr>
        <w:t>四、关于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黑体" w:eastAsia="黑体" w:cs="宋体"/>
          <w:bCs/>
          <w:color w:val="000000" w:themeColor="text1"/>
          <w:kern w:val="0"/>
          <w:sz w:val="32"/>
          <w:szCs w:val="32"/>
          <w:highlight w:val="none"/>
          <w14:textFill>
            <w14:solidFill>
              <w14:schemeClr w14:val="tx1"/>
            </w14:solidFill>
          </w14:textFill>
        </w:rPr>
        <w:t>财政拨款收支预算情况的总体说明</w:t>
      </w:r>
    </w:p>
    <w:p>
      <w:pPr>
        <w:spacing w:line="580" w:lineRule="exact"/>
        <w:ind w:firstLine="64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highlight w:val="none"/>
          <w14:textFill>
            <w14:solidFill>
              <w14:schemeClr w14:val="tx1"/>
            </w14:solidFill>
          </w14:textFill>
        </w:rPr>
        <w:t>01</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9</w:t>
      </w:r>
      <w:r>
        <w:rPr>
          <w:rFonts w:hint="eastAsia" w:ascii="仿宋_GB2312" w:hAnsi="宋体" w:eastAsia="仿宋_GB2312" w:cs="宋体"/>
          <w:color w:val="000000" w:themeColor="text1"/>
          <w:kern w:val="0"/>
          <w:sz w:val="32"/>
          <w:szCs w:val="32"/>
          <w:highlight w:val="none"/>
          <w14:textFill>
            <w14:solidFill>
              <w14:schemeClr w14:val="tx1"/>
            </w14:solidFill>
          </w14:textFill>
        </w:rPr>
        <w:t>年财政拨款收支总预算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p>
    <w:p>
      <w:pPr>
        <w:spacing w:line="580" w:lineRule="exact"/>
        <w:ind w:firstLine="64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收入全部为一般公共预算拨款</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万元，无政府性基金预算拨款。</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eastAsia="zh-CN"/>
          <w14:textFill>
            <w14:solidFill>
              <w14:schemeClr w14:val="tx1"/>
            </w14:solidFill>
          </w14:textFill>
        </w:rPr>
        <w:t>支出预算包括：</w:t>
      </w:r>
      <w:r>
        <w:rPr>
          <w:rFonts w:hint="eastAsia" w:ascii="仿宋_GB2312" w:hAnsi="宋体" w:eastAsia="仿宋_GB2312" w:cs="宋体"/>
          <w:b/>
          <w:bCs w:val="0"/>
          <w:color w:val="000000" w:themeColor="text1"/>
          <w:kern w:val="0"/>
          <w:sz w:val="32"/>
          <w:szCs w:val="32"/>
          <w:highlight w:val="none"/>
          <w:lang w:eastAsia="zh-CN"/>
          <w14:textFill>
            <w14:solidFill>
              <w14:schemeClr w14:val="tx1"/>
            </w14:solidFill>
          </w14:textFill>
        </w:rPr>
        <w:t>一般公共服务支出</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588.84万元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，主要用于基本工资、奖金、津贴补贴、办公费、水费、电费、邮电费、差旅费、工会经费、公务用车运行维护费、其他交通费用、其他商品和服务支出；</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公共安全支出8.65万元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，主要用于基本工资、奖金、津贴补贴、办公费、水费、电费、邮电费、差旅费、工会经费、公务用车运行维护费、其他交通费用、其他商品和服务支出；</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社会保障和就业支出110.94万元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，主要用于：基本工资、奖金、津贴补贴、办公费、其他社会保障缴费、其他工资福利支出、机关事业单位基本养老保险缴费、水费、电费、邮电费、差旅费、退休费；</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医疗卫生与计划生育支出199.19万元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，主要用于：基本工资、奖金、津贴补贴、办公费、水费、电费、邮电费、差旅费、工会经费、其他社会保障缴费、其他工资福利支出、公务员医疗补助缴费、职工基本医疗保险缴费、退休费；</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农林水支出407.16万元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，主要用于：基本工资、奖金、津贴补贴、办公费、水费、电费、邮电费、差旅费、工会经费、商品和服务支出、其他商品和服务支出、其他社会保障缴费、其他工资福利支出；</w:t>
      </w:r>
      <w:r>
        <w:rPr>
          <w:rFonts w:hint="eastAsia" w:ascii="仿宋_GB2312" w:hAnsi="宋体" w:eastAsia="仿宋_GB2312" w:cs="宋体"/>
          <w:b/>
          <w:bCs w:val="0"/>
          <w:color w:val="000000" w:themeColor="text1"/>
          <w:kern w:val="0"/>
          <w:sz w:val="32"/>
          <w:szCs w:val="32"/>
          <w:highlight w:val="none"/>
          <w:lang w:val="en-US" w:eastAsia="zh-CN"/>
          <w14:textFill>
            <w14:solidFill>
              <w14:schemeClr w14:val="tx1"/>
            </w14:solidFill>
          </w14:textFill>
        </w:rPr>
        <w:t>住房保障支出77.2万元</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，主要用于住房公积金。</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五、关于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一般公共预算当年拨款情况说明</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（一）一般公用预算当年拨款规模变化情况</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年一般公共预算拨款基本支出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189.16</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11.96</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变动</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（二）一般公共预算当年拨款结构情况</w:t>
      </w:r>
    </w:p>
    <w:p>
      <w:pPr>
        <w:spacing w:line="580" w:lineRule="exact"/>
        <w:ind w:firstLine="64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一般公共服务（类）</w:t>
      </w:r>
      <w:r>
        <w:rPr>
          <w:rFonts w:hint="eastAsia" w:ascii="仿宋_GB2312" w:eastAsia="仿宋_GB2312"/>
          <w:color w:val="000000" w:themeColor="text1"/>
          <w:sz w:val="32"/>
          <w:szCs w:val="32"/>
          <w:highlight w:val="none"/>
          <w:lang w:val="en-US" w:eastAsia="zh-CN"/>
          <w14:textFill>
            <w14:solidFill>
              <w14:schemeClr w14:val="tx1"/>
            </w14:solidFill>
          </w14:textFill>
        </w:rPr>
        <w:t>588.84</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42.3</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2</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公共安全支出</w:t>
      </w:r>
      <w:r>
        <w:rPr>
          <w:rFonts w:hint="eastAsia" w:ascii="仿宋_GB2312" w:eastAsia="仿宋_GB2312"/>
          <w:color w:val="000000" w:themeColor="text1"/>
          <w:sz w:val="32"/>
          <w:szCs w:val="32"/>
          <w:highlight w:val="none"/>
          <w14:textFill>
            <w14:solidFill>
              <w14:schemeClr w14:val="tx1"/>
            </w14:solidFill>
          </w14:textFill>
        </w:rPr>
        <w:t>（类）</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8.65万元，占0.62%</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3、社会保障和就业支出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110.94万元，占7.97%</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4、医疗卫生与计划生育支出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199.19万元，占14.31%</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5、农林水支出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407.16万元，占29.25%</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6、住房保障支出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77.2万元，占5.55%</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（三）一般公共预算当年拨款具体使用情况</w:t>
      </w:r>
    </w:p>
    <w:p>
      <w:pPr>
        <w:widowControl/>
        <w:spacing w:line="580" w:lineRule="exact"/>
        <w:ind w:firstLine="642"/>
        <w:jc w:val="left"/>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lang w:eastAsia="zh-CN"/>
        </w:rPr>
        <w:t>、</w:t>
      </w:r>
      <w:r>
        <w:rPr>
          <w:rFonts w:ascii="仿宋_GB2312" w:hAnsi="宋体" w:eastAsia="仿宋_GB2312" w:cs="宋体"/>
          <w:color w:val="auto"/>
          <w:kern w:val="0"/>
          <w:sz w:val="32"/>
          <w:szCs w:val="32"/>
          <w:highlight w:val="none"/>
        </w:rPr>
        <w:t>一般公共服务（类）</w:t>
      </w:r>
      <w:r>
        <w:rPr>
          <w:rFonts w:hint="eastAsia" w:ascii="仿宋_GB2312" w:hAnsi="宋体" w:eastAsia="仿宋_GB2312" w:cs="宋体"/>
          <w:color w:val="auto"/>
          <w:kern w:val="0"/>
          <w:sz w:val="32"/>
          <w:szCs w:val="32"/>
          <w:highlight w:val="none"/>
          <w:lang w:eastAsia="zh-CN"/>
        </w:rPr>
        <w:t>人大事务</w:t>
      </w:r>
      <w:r>
        <w:rPr>
          <w:rFonts w:ascii="仿宋_GB2312" w:hAnsi="宋体" w:eastAsia="仿宋_GB2312" w:cs="宋体"/>
          <w:color w:val="auto"/>
          <w:kern w:val="0"/>
          <w:sz w:val="32"/>
          <w:szCs w:val="32"/>
          <w:highlight w:val="none"/>
        </w:rPr>
        <w:t>（款）行政运行（项）:</w:t>
      </w:r>
      <w:r>
        <w:rPr>
          <w:rFonts w:hint="eastAsia" w:ascii="仿宋_GB2312" w:hAnsi="宋体" w:eastAsia="仿宋_GB2312" w:cs="宋体"/>
          <w:color w:val="auto"/>
          <w:kern w:val="0"/>
          <w:sz w:val="32"/>
          <w:szCs w:val="32"/>
          <w:highlight w:val="none"/>
          <w:lang w:val="en-US" w:eastAsia="zh-CN"/>
        </w:rPr>
        <w:t>2019</w:t>
      </w:r>
      <w:r>
        <w:rPr>
          <w:rFonts w:ascii="仿宋_GB2312" w:hAnsi="宋体" w:eastAsia="仿宋_GB2312" w:cs="宋体"/>
          <w:color w:val="auto"/>
          <w:kern w:val="0"/>
          <w:sz w:val="32"/>
          <w:szCs w:val="32"/>
          <w:highlight w:val="none"/>
        </w:rPr>
        <w:t>年预算数为</w:t>
      </w:r>
      <w:r>
        <w:rPr>
          <w:rFonts w:hint="eastAsia" w:ascii="仿宋_GB2312" w:hAnsi="宋体" w:eastAsia="仿宋_GB2312" w:cs="宋体"/>
          <w:color w:val="auto"/>
          <w:kern w:val="0"/>
          <w:sz w:val="32"/>
          <w:szCs w:val="32"/>
          <w:highlight w:val="none"/>
          <w:lang w:val="en-US" w:eastAsia="zh-CN"/>
        </w:rPr>
        <w:t>9.91</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比上年执行数</w:t>
      </w:r>
      <w:r>
        <w:rPr>
          <w:rFonts w:hint="eastAsia" w:ascii="仿宋_GB2312" w:hAnsi="宋体" w:eastAsia="仿宋_GB2312" w:cs="宋体"/>
          <w:color w:val="auto"/>
          <w:kern w:val="0"/>
          <w:sz w:val="32"/>
          <w:szCs w:val="32"/>
          <w:highlight w:val="none"/>
          <w:lang w:eastAsia="zh-CN"/>
        </w:rPr>
        <w:t>减少</w:t>
      </w:r>
      <w:r>
        <w:rPr>
          <w:rFonts w:hint="eastAsia" w:ascii="仿宋_GB2312" w:hAnsi="宋体" w:eastAsia="仿宋_GB2312" w:cs="宋体"/>
          <w:color w:val="auto"/>
          <w:kern w:val="0"/>
          <w:sz w:val="32"/>
          <w:szCs w:val="32"/>
          <w:highlight w:val="none"/>
          <w:lang w:val="en-US" w:eastAsia="zh-CN"/>
        </w:rPr>
        <w:t>2.6</w:t>
      </w:r>
      <w:r>
        <w:rPr>
          <w:rFonts w:hint="eastAsia" w:ascii="仿宋_GB2312" w:hAnsi="宋体" w:eastAsia="仿宋_GB2312" w:cs="宋体"/>
          <w:color w:val="auto"/>
          <w:kern w:val="0"/>
          <w:sz w:val="32"/>
          <w:szCs w:val="32"/>
          <w:highlight w:val="none"/>
        </w:rPr>
        <w:t>万元，下降</w:t>
      </w:r>
      <w:r>
        <w:rPr>
          <w:rFonts w:hint="eastAsia" w:ascii="仿宋_GB2312" w:hAnsi="宋体" w:eastAsia="仿宋_GB2312" w:cs="宋体"/>
          <w:color w:val="auto"/>
          <w:kern w:val="0"/>
          <w:sz w:val="32"/>
          <w:szCs w:val="32"/>
          <w:highlight w:val="none"/>
          <w:lang w:val="en-US" w:eastAsia="zh-CN"/>
        </w:rPr>
        <w:t>20.78</w:t>
      </w:r>
      <w:r>
        <w:rPr>
          <w:rFonts w:hint="eastAsia" w:ascii="仿宋_GB2312" w:hAnsi="宋体" w:eastAsia="仿宋_GB2312" w:cs="宋体"/>
          <w:color w:val="auto"/>
          <w:kern w:val="0"/>
          <w:sz w:val="32"/>
          <w:szCs w:val="32"/>
          <w:highlight w:val="none"/>
        </w:rPr>
        <w:t>%，主要原因是：</w:t>
      </w:r>
      <w:r>
        <w:rPr>
          <w:rFonts w:hint="eastAsia" w:ascii="仿宋_GB2312" w:hAnsi="宋体" w:eastAsia="仿宋_GB2312" w:cs="宋体"/>
          <w:color w:val="auto"/>
          <w:kern w:val="0"/>
          <w:sz w:val="32"/>
          <w:szCs w:val="32"/>
          <w:highlight w:val="none"/>
          <w:lang w:eastAsia="zh-CN"/>
        </w:rPr>
        <w:t>会议费未下达。</w:t>
      </w:r>
    </w:p>
    <w:p>
      <w:pPr>
        <w:widowControl/>
        <w:spacing w:line="580" w:lineRule="exact"/>
        <w:ind w:firstLine="640" w:firstLineChars="200"/>
        <w:jc w:val="left"/>
        <w:rPr>
          <w:rFonts w:hint="default"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w:t>
      </w:r>
      <w:r>
        <w:rPr>
          <w:rFonts w:ascii="仿宋_GB2312" w:hAnsi="宋体" w:eastAsia="仿宋_GB2312" w:cs="宋体"/>
          <w:color w:val="000000" w:themeColor="text1"/>
          <w:kern w:val="0"/>
          <w:sz w:val="32"/>
          <w:szCs w:val="32"/>
          <w:highlight w:val="none"/>
          <w14:textFill>
            <w14:solidFill>
              <w14:schemeClr w14:val="tx1"/>
            </w14:solidFill>
          </w14:textFill>
        </w:rPr>
        <w:t>一般公共服务（类）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人大事务</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代表工作</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4.59</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4.59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增长100</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本年预算安排经费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w:t>
      </w:r>
    </w:p>
    <w:p>
      <w:pPr>
        <w:widowControl/>
        <w:spacing w:line="580" w:lineRule="exact"/>
        <w:ind w:firstLine="642"/>
        <w:jc w:val="left"/>
        <w:rPr>
          <w:rFonts w:hint="default"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w:t>
      </w:r>
      <w:r>
        <w:rPr>
          <w:rFonts w:ascii="仿宋_GB2312" w:hAnsi="宋体" w:eastAsia="仿宋_GB2312" w:cs="宋体"/>
          <w:color w:val="000000" w:themeColor="text1"/>
          <w:kern w:val="0"/>
          <w:sz w:val="32"/>
          <w:szCs w:val="32"/>
          <w:highlight w:val="none"/>
          <w14:textFill>
            <w14:solidFill>
              <w14:schemeClr w14:val="tx1"/>
            </w14:solidFill>
          </w14:textFill>
        </w:rPr>
        <w:t>一般公共服务（类）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政府办公厅（室）及相关机构事务</w:t>
      </w:r>
      <w:r>
        <w:rPr>
          <w:rFonts w:ascii="仿宋_GB2312" w:hAnsi="宋体" w:eastAsia="仿宋_GB2312" w:cs="宋体"/>
          <w:color w:val="000000" w:themeColor="text1"/>
          <w:kern w:val="0"/>
          <w:sz w:val="32"/>
          <w:szCs w:val="32"/>
          <w:highlight w:val="none"/>
          <w14:textFill>
            <w14:solidFill>
              <w14:schemeClr w14:val="tx1"/>
            </w14:solidFill>
          </w14:textFill>
        </w:rPr>
        <w:t>（款）行政运行（项）: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443.48</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减少193.51</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30.37</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部分公用经费预算下达。</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w:t>
      </w:r>
      <w:r>
        <w:rPr>
          <w:rFonts w:ascii="仿宋_GB2312" w:hAnsi="宋体" w:eastAsia="仿宋_GB2312" w:cs="宋体"/>
          <w:color w:val="000000" w:themeColor="text1"/>
          <w:kern w:val="0"/>
          <w:sz w:val="32"/>
          <w:szCs w:val="32"/>
          <w:highlight w:val="none"/>
          <w14:textFill>
            <w14:solidFill>
              <w14:schemeClr w14:val="tx1"/>
            </w14:solidFill>
          </w14:textFill>
        </w:rPr>
        <w:t>一般公共服务（类）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财政事务</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行政运行</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19.96</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19.96</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本年预算安排经费。</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w:t>
      </w:r>
      <w:r>
        <w:rPr>
          <w:rFonts w:ascii="仿宋_GB2312" w:hAnsi="宋体" w:eastAsia="仿宋_GB2312" w:cs="宋体"/>
          <w:color w:val="000000" w:themeColor="text1"/>
          <w:kern w:val="0"/>
          <w:sz w:val="32"/>
          <w:szCs w:val="32"/>
          <w:highlight w:val="none"/>
          <w14:textFill>
            <w14:solidFill>
              <w14:schemeClr w14:val="tx1"/>
            </w14:solidFill>
          </w14:textFill>
        </w:rPr>
        <w:t>一般公共服务（类）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纪检监察事务</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行政运行</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50.94</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32.74</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179.89</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纪检人员增加、经费加大。</w:t>
      </w:r>
    </w:p>
    <w:p>
      <w:pPr>
        <w:widowControl/>
        <w:spacing w:line="580" w:lineRule="exact"/>
        <w:ind w:firstLine="642"/>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ascii="仿宋_GB2312" w:hAnsi="宋体" w:eastAsia="仿宋_GB2312" w:cs="宋体"/>
          <w:color w:val="000000" w:themeColor="text1"/>
          <w:kern w:val="0"/>
          <w:sz w:val="32"/>
          <w:szCs w:val="32"/>
          <w:highlight w:val="none"/>
          <w14:textFill>
            <w14:solidFill>
              <w14:schemeClr w14:val="tx1"/>
            </w14:solidFill>
          </w14:textFill>
        </w:rPr>
        <w:t>一般公共服务（类）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党委办公厅（室）及相关机构事务</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行政运行</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59.97</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47.87</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44.39</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党委</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预算减少</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numPr>
          <w:ilvl w:val="0"/>
          <w:numId w:val="0"/>
        </w:numPr>
        <w:spacing w:line="580" w:lineRule="exact"/>
        <w:ind w:firstLine="640" w:firstLineChars="20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公共安全支出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司法</w:t>
      </w:r>
      <w:r>
        <w:rPr>
          <w:rFonts w:ascii="仿宋_GB2312" w:hAnsi="宋体" w:eastAsia="仿宋_GB2312" w:cs="宋体"/>
          <w:color w:val="000000" w:themeColor="text1"/>
          <w:kern w:val="0"/>
          <w:sz w:val="32"/>
          <w:szCs w:val="32"/>
          <w:highlight w:val="none"/>
          <w14:textFill>
            <w14:solidFill>
              <w14:schemeClr w14:val="tx1"/>
            </w14:solidFill>
          </w14:textFill>
        </w:rPr>
        <w:t>（款）行政运行（项）: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8.65</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10.51</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54.85</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人员减少。</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numPr>
          <w:ilvl w:val="0"/>
          <w:numId w:val="0"/>
        </w:numPr>
        <w:spacing w:line="580" w:lineRule="exact"/>
        <w:ind w:firstLine="640" w:firstLineChars="20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8、社会保障和就业支出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归口管理的行政单位离退休</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归口管理的行政单位离退休</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2.18</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2.18</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由主款转入</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2080502款。</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numPr>
          <w:ilvl w:val="0"/>
          <w:numId w:val="0"/>
        </w:numPr>
        <w:spacing w:line="580" w:lineRule="exact"/>
        <w:ind w:firstLine="640" w:firstLineChars="200"/>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9、社会保障和就业支出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事业单位离退休</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归口管理的行政单位离退休</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2.75</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2.75</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由主款转入</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2080502款</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numPr>
          <w:ilvl w:val="0"/>
          <w:numId w:val="0"/>
        </w:numPr>
        <w:spacing w:line="580" w:lineRule="exact"/>
        <w:ind w:firstLine="640" w:firstLineChars="20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b w:val="0"/>
          <w:bCs/>
          <w:color w:val="000000" w:themeColor="text1"/>
          <w:kern w:val="0"/>
          <w:sz w:val="32"/>
          <w:szCs w:val="32"/>
          <w:highlight w:val="none"/>
          <w:lang w:val="en-US" w:eastAsia="zh-CN"/>
          <w14:textFill>
            <w14:solidFill>
              <w14:schemeClr w14:val="tx1"/>
            </w14:solidFill>
          </w14:textFill>
        </w:rPr>
        <w:t>10、社会保障和就业支出</w:t>
      </w:r>
      <w:r>
        <w:rPr>
          <w:rFonts w:ascii="仿宋_GB2312" w:hAnsi="宋体" w:eastAsia="仿宋_GB2312" w:cs="宋体"/>
          <w:color w:val="000000" w:themeColor="text1"/>
          <w:kern w:val="0"/>
          <w:sz w:val="32"/>
          <w:szCs w:val="32"/>
          <w:highlight w:val="none"/>
          <w14:textFill>
            <w14:solidFill>
              <w14:schemeClr w14:val="tx1"/>
            </w14:solidFill>
          </w14:textFill>
        </w:rPr>
        <w:t>（类）</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行政事业单位离退休</w:t>
      </w:r>
      <w:r>
        <w:rPr>
          <w:rFonts w:ascii="仿宋_GB2312" w:hAnsi="宋体" w:eastAsia="仿宋_GB2312" w:cs="宋体"/>
          <w:color w:val="000000" w:themeColor="text1"/>
          <w:kern w:val="0"/>
          <w:sz w:val="32"/>
          <w:szCs w:val="32"/>
          <w:highlight w:val="none"/>
          <w14:textFill>
            <w14:solidFill>
              <w14:schemeClr w14:val="tx1"/>
            </w14:solidFill>
          </w14:textFill>
        </w:rPr>
        <w:t>（款）</w:t>
      </w:r>
      <w:r>
        <w:rPr>
          <w:rFonts w:hint="eastAsia" w:ascii="仿宋_GB2312" w:hAnsi="宋体" w:eastAsia="仿宋_GB2312" w:cs="宋体"/>
          <w:color w:val="000000" w:themeColor="text1"/>
          <w:kern w:val="0"/>
          <w:sz w:val="32"/>
          <w:szCs w:val="32"/>
          <w:highlight w:val="none"/>
          <w14:textFill>
            <w14:solidFill>
              <w14:schemeClr w14:val="tx1"/>
            </w14:solidFill>
          </w14:textFill>
        </w:rPr>
        <w:t>机关事业单位基本养老保险缴费支出</w:t>
      </w:r>
      <w:r>
        <w:rPr>
          <w:rFonts w:ascii="仿宋_GB2312" w:hAnsi="宋体" w:eastAsia="仿宋_GB2312" w:cs="宋体"/>
          <w:color w:val="000000" w:themeColor="text1"/>
          <w:kern w:val="0"/>
          <w:sz w:val="32"/>
          <w:szCs w:val="32"/>
          <w:highlight w:val="none"/>
          <w14:textFill>
            <w14:solidFill>
              <w14:schemeClr w14:val="tx1"/>
            </w14:solidFill>
          </w14:textFill>
        </w:rPr>
        <w:t>（项）: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106.01万</w:t>
      </w:r>
      <w:r>
        <w:rPr>
          <w:rFonts w:ascii="仿宋_GB2312" w:hAnsi="宋体" w:eastAsia="仿宋_GB2312" w:cs="宋体"/>
          <w:color w:val="000000" w:themeColor="text1"/>
          <w:kern w:val="0"/>
          <w:sz w:val="32"/>
          <w:szCs w:val="32"/>
          <w:highlight w:val="none"/>
          <w14:textFill>
            <w14:solidFill>
              <w14:schemeClr w14:val="tx1"/>
            </w14:solidFill>
          </w14:textFill>
        </w:rPr>
        <w:t>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0.74</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下降0.69</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人员退休，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社保缴费支出减少</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numPr>
          <w:ilvl w:val="0"/>
          <w:numId w:val="0"/>
        </w:numPr>
        <w:spacing w:line="580" w:lineRule="exact"/>
        <w:ind w:firstLine="640" w:firstLineChars="20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11、医疗卫生与计划生育支出（类）计划生育事务（款）计划生育机构（项）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105.53</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85.75</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433.52</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人员由政府党校</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2050802款</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划转计划生育</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事务款2100716。</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numPr>
          <w:ilvl w:val="0"/>
          <w:numId w:val="0"/>
        </w:numPr>
        <w:spacing w:line="240" w:lineRule="auto"/>
        <w:ind w:left="0" w:leftChars="0"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12、医疗卫生与计划生育支出（类）行政事业单位医疗（款）行政单位医疗（项）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24.02</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0.19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0.8</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工资基数增加。</w:t>
      </w:r>
    </w:p>
    <w:p>
      <w:pPr>
        <w:numPr>
          <w:ilvl w:val="0"/>
          <w:numId w:val="0"/>
        </w:numPr>
        <w:spacing w:line="240" w:lineRule="auto"/>
        <w:ind w:left="0" w:leftChars="0" w:firstLine="640" w:firstLineChars="20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13、医疗卫生与计划生育支出（类）行政事业单位医疗（款）事业单位医疗（项）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41.05</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1.96</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5.01</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工资基数增加。</w:t>
      </w:r>
    </w:p>
    <w:p>
      <w:pPr>
        <w:numPr>
          <w:ilvl w:val="0"/>
          <w:numId w:val="0"/>
        </w:numPr>
        <w:spacing w:line="240" w:lineRule="auto"/>
        <w:ind w:left="0" w:leftChars="0" w:firstLine="640" w:firstLineChars="20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14、医疗卫生与计划生育支出（类）公务员医疗补助（项）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28.59</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0.62</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2.22</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工资基数增加。</w:t>
      </w:r>
    </w:p>
    <w:p>
      <w:pPr>
        <w:numPr>
          <w:ilvl w:val="0"/>
          <w:numId w:val="0"/>
        </w:numPr>
        <w:spacing w:line="580" w:lineRule="exact"/>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15、农林水支出（类）农业（款）事业运行（项）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339.32</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减少</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50.02</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12.85</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站所经费调整</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numPr>
          <w:ilvl w:val="0"/>
          <w:numId w:val="0"/>
        </w:numPr>
        <w:spacing w:line="580" w:lineRule="exact"/>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16、农林水支出（类）农业（款）对高校毕业生到基层任职补助（项）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67.84</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55.95</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470.56</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村派大学生人数增加。</w:t>
      </w:r>
    </w:p>
    <w:p>
      <w:pPr>
        <w:numPr>
          <w:ilvl w:val="0"/>
          <w:numId w:val="0"/>
        </w:numPr>
        <w:spacing w:line="240" w:lineRule="auto"/>
        <w:ind w:left="0" w:leftChars="0" w:firstLine="640" w:firstLineChars="200"/>
        <w:rPr>
          <w:rFonts w:hint="default"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17、住房保障支出（类）住房改革支出（款）住房公积金（项）</w:t>
      </w:r>
      <w:r>
        <w:rPr>
          <w:rFonts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77.2</w:t>
      </w:r>
      <w:r>
        <w:rPr>
          <w:rFonts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比上年执行数增加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77.2</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万元，增长</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%，主要原因是：</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住房公积金由主款改为功能科目</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2210201住房保障支出（类）住房改革支出（款）住房公积金（项）。</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六、关于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人民政府2019年</w:t>
      </w:r>
      <w:r>
        <w:rPr>
          <w:rFonts w:hint="eastAsia" w:ascii="黑体" w:hAnsi="宋体" w:eastAsia="黑体" w:cs="宋体"/>
          <w:color w:val="000000" w:themeColor="text1"/>
          <w:kern w:val="0"/>
          <w:sz w:val="32"/>
          <w:szCs w:val="32"/>
          <w:highlight w:val="none"/>
          <w14:textFill>
            <w14:solidFill>
              <w14:schemeClr w14:val="tx1"/>
            </w14:solidFill>
          </w14:textFill>
        </w:rPr>
        <w:t>一般公共预算基本支出情况说明</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2019年</w:t>
      </w:r>
      <w:r>
        <w:rPr>
          <w:rFonts w:hint="eastAsia" w:ascii="仿宋_GB2312" w:hAnsi="宋体" w:eastAsia="仿宋_GB2312" w:cs="宋体"/>
          <w:color w:val="000000" w:themeColor="text1"/>
          <w:kern w:val="0"/>
          <w:sz w:val="32"/>
          <w:szCs w:val="32"/>
          <w:highlight w:val="none"/>
          <w14:textFill>
            <w14:solidFill>
              <w14:schemeClr w14:val="tx1"/>
            </w14:solidFill>
          </w14:textFill>
        </w:rPr>
        <w:t>一般公共预算基本支出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1391.99</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万元，其中：</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人员经费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1165.25</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万元，主要包括：基本工资、津贴补贴、奖金、机关事业单位基本养老保险缴费、职工基本医疗保险缴费、公务员医疗补助缴费、其他社会保障缴费、住房公积金、其他工资福利支出、退休费</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、抚恤金、生活补助、其他对个人和家庭的补助支出</w:t>
      </w:r>
      <w:r>
        <w:rPr>
          <w:rFonts w:hint="eastAsia" w:ascii="仿宋_GB2312" w:hAnsi="宋体" w:eastAsia="仿宋_GB2312" w:cs="宋体"/>
          <w:color w:val="000000" w:themeColor="text1"/>
          <w:kern w:val="0"/>
          <w:sz w:val="32"/>
          <w:szCs w:val="32"/>
          <w:highlight w:val="none"/>
          <w14:textFill>
            <w14:solidFill>
              <w14:schemeClr w14:val="tx1"/>
            </w14:solidFill>
          </w14:textFill>
        </w:rPr>
        <w:t>等。</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公用经费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226.74</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万元，主要包括：办公费、水费、电费、邮电费、差旅费、工会经费、公务用车运行维护费、其他交通费用、其他商品和服务支出等。</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七、关于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项目支出情况说明</w:t>
      </w:r>
    </w:p>
    <w:p>
      <w:pPr>
        <w:widowControl/>
        <w:spacing w:line="580" w:lineRule="exact"/>
        <w:ind w:firstLine="642"/>
        <w:jc w:val="left"/>
        <w:rPr>
          <w:rFonts w:hint="eastAsia" w:ascii="仿宋_GB2312" w:hAnsi="宋体" w:eastAsia="仿宋_GB2312"/>
          <w:b w:val="0"/>
          <w:bCs/>
          <w:color w:val="000000" w:themeColor="text1"/>
          <w:kern w:val="0"/>
          <w:sz w:val="32"/>
          <w:szCs w:val="32"/>
          <w:highlight w:val="none"/>
          <w14:textFill>
            <w14:solidFill>
              <w14:schemeClr w14:val="tx1"/>
            </w14:solidFill>
          </w14:textFill>
        </w:rPr>
      </w:pPr>
      <w:r>
        <w:rPr>
          <w:rFonts w:hint="eastAsia" w:ascii="仿宋_GB2312" w:hAnsi="宋体" w:eastAsia="仿宋_GB2312"/>
          <w:b w:val="0"/>
          <w:bCs/>
          <w:color w:val="000000" w:themeColor="text1"/>
          <w:kern w:val="0"/>
          <w:sz w:val="32"/>
          <w:szCs w:val="32"/>
          <w:highlight w:val="none"/>
          <w:lang w:val="en-US" w:eastAsia="zh-CN"/>
          <w14:textFill>
            <w14:solidFill>
              <w14:schemeClr w14:val="tx1"/>
            </w14:solidFill>
          </w14:textFill>
        </w:rPr>
        <w:t>2019年本单位未安排项目支出预算</w:t>
      </w:r>
      <w:r>
        <w:rPr>
          <w:rFonts w:hint="eastAsia" w:ascii="仿宋_GB2312" w:hAnsi="宋体" w:eastAsia="仿宋_GB2312"/>
          <w:b w:val="0"/>
          <w:bCs/>
          <w:color w:val="000000" w:themeColor="text1"/>
          <w:kern w:val="0"/>
          <w:sz w:val="32"/>
          <w:szCs w:val="32"/>
          <w:highlight w:val="none"/>
          <w14:textFill>
            <w14:solidFill>
              <w14:schemeClr w14:val="tx1"/>
            </w14:solidFill>
          </w14:textFill>
        </w:rPr>
        <w:t>。</w:t>
      </w:r>
    </w:p>
    <w:p>
      <w:pPr>
        <w:widowControl/>
        <w:spacing w:line="580" w:lineRule="exact"/>
        <w:ind w:firstLine="642"/>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八、关于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一般公共预算“三公”经费预算情况说明</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年“三公”经费财政拨款预算数为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22</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万元，其中</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因公出国（境）费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万元，公务用车购置</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万元，公务用车运行费</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18</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万元，公务接待费</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控制数</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年“三公”经费财政拨款预算比上年增加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万元，其中：因公出国（境）费增加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，主要原因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是无因公出国事项</w:t>
      </w:r>
      <w:r>
        <w:rPr>
          <w:rFonts w:hint="eastAsia" w:ascii="仿宋_GB2312" w:hAnsi="宋体" w:eastAsia="仿宋_GB2312" w:cs="宋体"/>
          <w:color w:val="000000" w:themeColor="text1"/>
          <w:kern w:val="0"/>
          <w:sz w:val="32"/>
          <w:szCs w:val="32"/>
          <w:highlight w:val="none"/>
          <w14:textFill>
            <w14:solidFill>
              <w14:schemeClr w14:val="tx1"/>
            </w14:solidFill>
          </w14:textFill>
        </w:rPr>
        <w:t>；公务用车购置费为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0万元</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主要原因为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是</w:t>
      </w:r>
      <w:r>
        <w:rPr>
          <w:rFonts w:hint="eastAsia" w:ascii="仿宋_GB2312" w:hAnsi="宋体" w:eastAsia="仿宋_GB2312" w:cs="宋体"/>
          <w:color w:val="000000" w:themeColor="text1"/>
          <w:kern w:val="0"/>
          <w:sz w:val="32"/>
          <w:szCs w:val="32"/>
          <w:highlight w:val="none"/>
          <w14:textFill>
            <w14:solidFill>
              <w14:schemeClr w14:val="tx1"/>
            </w14:solidFill>
          </w14:textFill>
        </w:rPr>
        <w:t>未安排预算。公务用车运行费增加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主要原因为</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是与上年持平；</w:t>
      </w:r>
      <w:r>
        <w:rPr>
          <w:rFonts w:hint="eastAsia" w:ascii="仿宋_GB2312" w:hAnsi="宋体" w:eastAsia="仿宋_GB2312" w:cs="宋体"/>
          <w:color w:val="000000" w:themeColor="text1"/>
          <w:kern w:val="0"/>
          <w:sz w:val="32"/>
          <w:szCs w:val="32"/>
          <w:highlight w:val="none"/>
          <w14:textFill>
            <w14:solidFill>
              <w14:schemeClr w14:val="tx1"/>
            </w14:solidFill>
          </w14:textFill>
        </w:rPr>
        <w:t>公务接待费增加</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万元，主要原因是</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严格控制公务接待</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p>
    <w:p>
      <w:pPr>
        <w:widowControl/>
        <w:spacing w:line="580" w:lineRule="exact"/>
        <w:ind w:firstLine="642"/>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九、关于</w:t>
      </w:r>
      <w:r>
        <w:rPr>
          <w:rFonts w:hint="eastAsia" w:ascii="黑体" w:hAnsi="宋体" w:eastAsia="黑体" w:cs="宋体"/>
          <w:color w:val="000000" w:themeColor="text1"/>
          <w:kern w:val="0"/>
          <w:sz w:val="32"/>
          <w:szCs w:val="32"/>
          <w:highlight w:val="none"/>
          <w:lang w:eastAsia="zh-CN"/>
          <w14:textFill>
            <w14:solidFill>
              <w14:schemeClr w14:val="tx1"/>
            </w14:solidFill>
          </w14:textFill>
        </w:rPr>
        <w:t>滋泥泉子镇人民政府</w:t>
      </w:r>
      <w:r>
        <w:rPr>
          <w:rFonts w:hint="eastAsia" w:ascii="黑体" w:hAnsi="宋体" w:eastAsia="黑体" w:cs="宋体"/>
          <w:color w:val="000000" w:themeColor="text1"/>
          <w:kern w:val="0"/>
          <w:sz w:val="32"/>
          <w:szCs w:val="32"/>
          <w:highlight w:val="none"/>
          <w:lang w:val="en-US" w:eastAsia="zh-CN"/>
          <w14:textFill>
            <w14:solidFill>
              <w14:schemeClr w14:val="tx1"/>
            </w14:solidFill>
          </w14:textFill>
        </w:rPr>
        <w:t>2019年</w:t>
      </w:r>
      <w:r>
        <w:rPr>
          <w:rFonts w:hint="eastAsia" w:ascii="黑体" w:hAnsi="宋体" w:eastAsia="黑体" w:cs="宋体"/>
          <w:color w:val="000000" w:themeColor="text1"/>
          <w:kern w:val="0"/>
          <w:sz w:val="32"/>
          <w:szCs w:val="32"/>
          <w:highlight w:val="none"/>
          <w14:textFill>
            <w14:solidFill>
              <w14:schemeClr w14:val="tx1"/>
            </w14:solidFill>
          </w14:textFill>
        </w:rPr>
        <w:t>政府性基金预算拨款情况说明</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年没有使用政府性基金预算拨款安排的支出，政府性基金预算支出情况表为空表。</w:t>
      </w:r>
    </w:p>
    <w:p>
      <w:pPr>
        <w:widowControl/>
        <w:spacing w:line="58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十、其他重要事项的情况说明</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（一）机关运行经费情况</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滋泥泉子镇</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人民政府</w:t>
      </w:r>
      <w:r>
        <w:rPr>
          <w:rFonts w:hint="eastAsia" w:ascii="仿宋_GB2312" w:hAnsi="宋体" w:eastAsia="仿宋_GB2312" w:cs="宋体"/>
          <w:color w:val="000000" w:themeColor="text1"/>
          <w:kern w:val="0"/>
          <w:sz w:val="32"/>
          <w:szCs w:val="32"/>
          <w:highlight w:val="none"/>
          <w14:textFill>
            <w14:solidFill>
              <w14:schemeClr w14:val="tx1"/>
            </w14:solidFill>
          </w14:textFill>
        </w:rPr>
        <w:t>本级及下属</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家行政单位、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家参公管理事业单位和</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家事业单位的机关运行经费财政拨款预算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226.74</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w:t>
      </w:r>
      <w:r>
        <w:rPr>
          <w:rFonts w:hint="eastAsia" w:ascii="仿宋_GB2312" w:hAnsi="宋体" w:eastAsia="仿宋_GB2312" w:cs="宋体"/>
          <w:color w:val="auto"/>
          <w:kern w:val="0"/>
          <w:sz w:val="32"/>
          <w:szCs w:val="32"/>
          <w:highlight w:val="none"/>
        </w:rPr>
        <w:t>比上年预算减少</w:t>
      </w:r>
      <w:r>
        <w:rPr>
          <w:rFonts w:hint="eastAsia" w:ascii="仿宋_GB2312" w:hAnsi="宋体" w:eastAsia="仿宋_GB2312" w:cs="宋体"/>
          <w:color w:val="auto"/>
          <w:kern w:val="0"/>
          <w:sz w:val="32"/>
          <w:szCs w:val="32"/>
          <w:highlight w:val="none"/>
          <w:lang w:val="en-US" w:eastAsia="zh-CN"/>
        </w:rPr>
        <w:t>33.1</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000000" w:themeColor="text1"/>
          <w:kern w:val="0"/>
          <w:sz w:val="32"/>
          <w:szCs w:val="32"/>
          <w:highlight w:val="none"/>
          <w14:textFill>
            <w14:solidFill>
              <w14:schemeClr w14:val="tx1"/>
            </w14:solidFill>
          </w14:textFill>
        </w:rPr>
        <w:t>下降</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12.74</w:t>
      </w:r>
      <w:r>
        <w:rPr>
          <w:rFonts w:hint="eastAsia" w:ascii="仿宋_GB2312" w:hAnsi="宋体" w:eastAsia="仿宋_GB2312" w:cs="宋体"/>
          <w:color w:val="000000" w:themeColor="text1"/>
          <w:kern w:val="0"/>
          <w:sz w:val="32"/>
          <w:szCs w:val="32"/>
          <w:highlight w:val="none"/>
          <w14:textFill>
            <w14:solidFill>
              <w14:schemeClr w14:val="tx1"/>
            </w14:solidFill>
          </w14:textFill>
        </w:rPr>
        <w:t>%。主要原因是</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2019年业务费只拨付一部分</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（二）政府采购情况</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及下属单位政府采购预算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万元，其中：政府采购货物预算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万元，政府采购工程预算</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万元，政府采购服务预算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仿宋_GB2312" w:eastAsia="仿宋_GB2312"/>
          <w:color w:val="000000" w:themeColor="text1"/>
          <w:sz w:val="32"/>
          <w:highlight w:val="none"/>
          <w:lang w:val="en-US" w:eastAsia="zh-CN"/>
          <w14:textFill>
            <w14:solidFill>
              <w14:schemeClr w14:val="tx1"/>
            </w14:solidFill>
          </w14:textFill>
        </w:rPr>
        <w:t>2019</w:t>
      </w:r>
      <w:r>
        <w:rPr>
          <w:rFonts w:hint="eastAsia" w:ascii="仿宋_GB2312" w:hAnsi="仿宋_GB2312" w:eastAsia="仿宋_GB2312"/>
          <w:color w:val="000000" w:themeColor="text1"/>
          <w:sz w:val="32"/>
          <w:highlight w:val="none"/>
          <w14:textFill>
            <w14:solidFill>
              <w14:schemeClr w14:val="tx1"/>
            </w14:solidFill>
          </w14:textFill>
        </w:rPr>
        <w:t xml:space="preserve">年度本部门面向中小企业预留政府采购项目预算金额 </w:t>
      </w:r>
      <w:r>
        <w:rPr>
          <w:rFonts w:hint="eastAsia" w:ascii="仿宋_GB2312" w:hAnsi="仿宋_GB2312" w:eastAsia="仿宋_GB2312"/>
          <w:color w:val="000000" w:themeColor="text1"/>
          <w:sz w:val="32"/>
          <w:highlight w:val="none"/>
          <w:lang w:val="en-US" w:eastAsia="zh-CN"/>
          <w14:textFill>
            <w14:solidFill>
              <w14:schemeClr w14:val="tx1"/>
            </w14:solidFill>
          </w14:textFill>
        </w:rPr>
        <w:t>0</w:t>
      </w:r>
      <w:r>
        <w:rPr>
          <w:rFonts w:hint="eastAsia" w:ascii="仿宋_GB2312" w:hAnsi="仿宋_GB2312" w:eastAsia="仿宋_GB2312"/>
          <w:color w:val="000000" w:themeColor="text1"/>
          <w:sz w:val="32"/>
          <w:highlight w:val="none"/>
          <w14:textFill>
            <w14:solidFill>
              <w14:schemeClr w14:val="tx1"/>
            </w14:solidFill>
          </w14:textFill>
        </w:rPr>
        <w:t xml:space="preserve">万元，其中：面向小微企业预留政府采购项目预算金额 </w:t>
      </w:r>
      <w:r>
        <w:rPr>
          <w:rFonts w:hint="eastAsia" w:ascii="仿宋_GB2312" w:hAnsi="仿宋_GB2312" w:eastAsia="仿宋_GB2312"/>
          <w:color w:val="000000" w:themeColor="text1"/>
          <w:sz w:val="32"/>
          <w:highlight w:val="none"/>
          <w:lang w:val="en-US" w:eastAsia="zh-CN"/>
          <w14:textFill>
            <w14:solidFill>
              <w14:schemeClr w14:val="tx1"/>
            </w14:solidFill>
          </w14:textFill>
        </w:rPr>
        <w:t>0</w:t>
      </w:r>
      <w:r>
        <w:rPr>
          <w:rFonts w:hint="eastAsia" w:ascii="仿宋_GB2312" w:hAnsi="仿宋_GB2312" w:eastAsia="仿宋_GB2312"/>
          <w:color w:val="000000" w:themeColor="text1"/>
          <w:sz w:val="32"/>
          <w:highlight w:val="none"/>
          <w14:textFill>
            <w14:solidFill>
              <w14:schemeClr w14:val="tx1"/>
            </w14:solidFill>
          </w14:textFill>
        </w:rPr>
        <w:t xml:space="preserve"> 万元。</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（三）国有资产占用使用情况</w:t>
      </w:r>
    </w:p>
    <w:p>
      <w:pPr>
        <w:widowControl/>
        <w:spacing w:line="580" w:lineRule="exact"/>
        <w:ind w:firstLine="640"/>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截至</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2018</w:t>
      </w:r>
      <w:r>
        <w:rPr>
          <w:rFonts w:hint="eastAsia" w:ascii="仿宋_GB2312" w:hAnsi="宋体" w:eastAsia="仿宋_GB2312" w:cs="宋体"/>
          <w:color w:val="000000" w:themeColor="text1"/>
          <w:kern w:val="0"/>
          <w:sz w:val="32"/>
          <w:szCs w:val="32"/>
          <w:highlight w:val="none"/>
          <w14:textFill>
            <w14:solidFill>
              <w14:schemeClr w14:val="tx1"/>
            </w14:solidFill>
          </w14:textFill>
        </w:rPr>
        <w:t>年底，</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滋泥泉子镇人民政府</w:t>
      </w:r>
      <w:r>
        <w:rPr>
          <w:rFonts w:hint="eastAsia" w:ascii="仿宋_GB2312" w:hAnsi="宋体" w:eastAsia="仿宋_GB2312" w:cs="宋体"/>
          <w:color w:val="000000" w:themeColor="text1"/>
          <w:kern w:val="0"/>
          <w:sz w:val="32"/>
          <w:szCs w:val="32"/>
          <w:highlight w:val="none"/>
          <w14:textFill>
            <w14:solidFill>
              <w14:schemeClr w14:val="tx1"/>
            </w14:solidFill>
          </w14:textFill>
        </w:rPr>
        <w:t>及下属各预算单位占用使用国有资产总体情况为</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1.房屋</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21075</w:t>
      </w:r>
      <w:r>
        <w:rPr>
          <w:rFonts w:hint="eastAsia" w:ascii="仿宋_GB2312" w:hAnsi="宋体" w:eastAsia="仿宋_GB2312" w:cs="宋体"/>
          <w:color w:val="000000" w:themeColor="text1"/>
          <w:kern w:val="0"/>
          <w:sz w:val="32"/>
          <w:szCs w:val="32"/>
          <w:highlight w:val="none"/>
          <w14:textFill>
            <w14:solidFill>
              <w14:schemeClr w14:val="tx1"/>
            </w14:solidFill>
          </w14:textFill>
        </w:rPr>
        <w:t>平方米，价值</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2838.35</w:t>
      </w:r>
      <w:r>
        <w:rPr>
          <w:rFonts w:hint="eastAsia" w:ascii="仿宋_GB2312" w:hAnsi="宋体" w:eastAsia="仿宋_GB2312" w:cs="宋体"/>
          <w:color w:val="000000" w:themeColor="text1"/>
          <w:kern w:val="0"/>
          <w:sz w:val="32"/>
          <w:szCs w:val="32"/>
          <w:highlight w:val="none"/>
          <w14:textFill>
            <w14:solidFill>
              <w14:schemeClr w14:val="tx1"/>
            </w14:solidFill>
          </w14:textFill>
        </w:rPr>
        <w:t>万元。</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2.车辆</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14</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辆，价值</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151.05</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万元；其中：一般公务用车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辆，价值</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79.57</w:t>
      </w:r>
      <w:r>
        <w:rPr>
          <w:rFonts w:hint="eastAsia" w:ascii="仿宋_GB2312" w:hAnsi="宋体" w:eastAsia="仿宋_GB2312" w:cs="宋体"/>
          <w:color w:val="000000" w:themeColor="text1"/>
          <w:kern w:val="0"/>
          <w:sz w:val="32"/>
          <w:szCs w:val="32"/>
          <w:highlight w:val="none"/>
          <w14:textFill>
            <w14:solidFill>
              <w14:schemeClr w14:val="tx1"/>
            </w14:solidFill>
          </w14:textFill>
        </w:rPr>
        <w:t>万元；执法执勤用车</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辆，价值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万元；其他车辆</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8</w:t>
      </w:r>
      <w:r>
        <w:rPr>
          <w:rFonts w:hint="eastAsia" w:ascii="仿宋_GB2312" w:hAnsi="宋体" w:eastAsia="仿宋_GB2312" w:cs="宋体"/>
          <w:color w:val="000000" w:themeColor="text1"/>
          <w:kern w:val="0"/>
          <w:sz w:val="32"/>
          <w:szCs w:val="32"/>
          <w:highlight w:val="none"/>
          <w14:textFill>
            <w14:solidFill>
              <w14:schemeClr w14:val="tx1"/>
            </w14:solidFill>
          </w14:textFill>
        </w:rPr>
        <w:t>辆，价值</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71.48</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3.办公家具价值 </w:t>
      </w:r>
      <w:r>
        <w:rPr>
          <w:rFonts w:hint="eastAsia" w:ascii="仿宋_GB2312" w:hAnsi="宋体" w:eastAsia="仿宋_GB2312" w:cs="宋体"/>
          <w:color w:val="auto"/>
          <w:kern w:val="0"/>
          <w:sz w:val="32"/>
          <w:szCs w:val="32"/>
          <w:highlight w:val="none"/>
          <w:lang w:val="en-US" w:eastAsia="zh-CN"/>
        </w:rPr>
        <w:t>94.24</w:t>
      </w:r>
      <w:r>
        <w:rPr>
          <w:rFonts w:hint="eastAsia" w:ascii="仿宋_GB2312" w:hAnsi="宋体" w:eastAsia="仿宋_GB2312" w:cs="宋体"/>
          <w:color w:val="auto"/>
          <w:kern w:val="0"/>
          <w:sz w:val="32"/>
          <w:szCs w:val="32"/>
          <w:highlight w:val="none"/>
        </w:rPr>
        <w:t xml:space="preserve"> 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4.其他资产价值 </w:t>
      </w:r>
      <w:r>
        <w:rPr>
          <w:rFonts w:hint="eastAsia" w:ascii="仿宋_GB2312" w:hAnsi="宋体" w:eastAsia="仿宋_GB2312" w:cs="宋体"/>
          <w:color w:val="auto"/>
          <w:kern w:val="0"/>
          <w:sz w:val="32"/>
          <w:szCs w:val="32"/>
          <w:highlight w:val="none"/>
          <w:lang w:val="en-US" w:eastAsia="zh-CN"/>
        </w:rPr>
        <w:t>5227.68</w:t>
      </w:r>
      <w:r>
        <w:rPr>
          <w:rFonts w:hint="eastAsia" w:ascii="仿宋_GB2312" w:hAnsi="宋体" w:eastAsia="仿宋_GB2312" w:cs="宋体"/>
          <w:color w:val="auto"/>
          <w:kern w:val="0"/>
          <w:sz w:val="32"/>
          <w:szCs w:val="32"/>
          <w:highlight w:val="none"/>
        </w:rPr>
        <w:t xml:space="preserve">  万元。</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单位价值50万元以上大型设备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台（套），单位价值100万元以上大型设备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台（套）。</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年</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滋泥泉子镇</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预算未安排购置车辆经费，安排购置50万元以上大型设备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台（套），单位价值100万元以上大型设备</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台（套）。</w:t>
      </w:r>
    </w:p>
    <w:p>
      <w:pPr>
        <w:widowControl/>
        <w:spacing w:line="580" w:lineRule="exact"/>
        <w:ind w:firstLine="642"/>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（四）预算绩效情况</w:t>
      </w:r>
    </w:p>
    <w:p>
      <w:pPr>
        <w:widowControl/>
        <w:spacing w:line="580" w:lineRule="exact"/>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年度，本年度实行绩效管理的项目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个，涉及预算金额</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万元。具体情况见下表（按项目分别填报）：</w:t>
      </w: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spacing w:line="500" w:lineRule="exac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600" w:lineRule="exact"/>
        <w:rPr>
          <w:rFonts w:ascii="仿宋_GB2312" w:hAnsi="宋体" w:eastAsia="仿宋_GB2312" w:cs="宋体"/>
          <w:color w:val="000000" w:themeColor="text1"/>
          <w:kern w:val="0"/>
          <w:sz w:val="32"/>
          <w:szCs w:val="32"/>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themeColor="text1"/>
                <w:kern w:val="0"/>
                <w:sz w:val="22"/>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阜康市滋泥泉子镇人民政府</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000000" w:themeColor="text1"/>
                <w:kern w:val="0"/>
                <w:sz w:val="18"/>
                <w:szCs w:val="18"/>
                <w:highlight w:val="none"/>
                <w14:textFill>
                  <w14:solidFill>
                    <w14:schemeClr w14:val="tx1"/>
                  </w14:solidFill>
                </w14:textFill>
              </w:rPr>
            </w:pPr>
            <w:r>
              <w:rPr>
                <w:rFonts w:hint="eastAsia" w:ascii="宋体" w:hAnsi="宋体" w:cs="宋体"/>
                <w:b/>
                <w:bCs/>
                <w:color w:val="000000" w:themeColor="text1"/>
                <w:kern w:val="0"/>
                <w:sz w:val="18"/>
                <w:szCs w:val="18"/>
                <w:highlight w:val="none"/>
                <w14:textFill>
                  <w14:solidFill>
                    <w14:schemeClr w14:val="tx1"/>
                  </w14:solidFill>
                </w14:textFill>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000000" w:themeColor="text1"/>
                <w:kern w:val="0"/>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14:textFill>
                  <w14:solidFill>
                    <w14:schemeClr w14:val="tx1"/>
                  </w14:solidFill>
                </w14:textFill>
              </w:rPr>
              <w:t>　</w:t>
            </w:r>
          </w:p>
        </w:tc>
      </w:tr>
    </w:tbl>
    <w:p>
      <w:pPr>
        <w:widowControl/>
        <w:spacing w:line="560" w:lineRule="exact"/>
        <w:ind w:firstLine="630" w:firstLineChars="196"/>
        <w:jc w:val="left"/>
        <w:rPr>
          <w:rFonts w:ascii="楷体_GB2312" w:hAnsi="宋体" w:eastAsia="楷体_GB2312" w:cs="宋体"/>
          <w:b/>
          <w:color w:val="000000" w:themeColor="text1"/>
          <w:kern w:val="0"/>
          <w:sz w:val="32"/>
          <w:szCs w:val="32"/>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color w:val="000000" w:themeColor="text1"/>
          <w:kern w:val="0"/>
          <w:sz w:val="32"/>
          <w:szCs w:val="32"/>
          <w:highlight w:val="none"/>
          <w14:textFill>
            <w14:solidFill>
              <w14:schemeClr w14:val="tx1"/>
            </w14:solidFill>
          </w14:textFill>
        </w:rPr>
      </w:pPr>
      <w:r>
        <w:rPr>
          <w:rFonts w:hint="eastAsia" w:ascii="楷体_GB2312" w:hAnsi="宋体" w:eastAsia="楷体_GB2312" w:cs="宋体"/>
          <w:b/>
          <w:color w:val="000000" w:themeColor="text1"/>
          <w:kern w:val="0"/>
          <w:sz w:val="32"/>
          <w:szCs w:val="32"/>
          <w:highlight w:val="none"/>
          <w14:textFill>
            <w14:solidFill>
              <w14:schemeClr w14:val="tx1"/>
            </w14:solidFill>
          </w14:textFill>
        </w:rPr>
        <w:t>（五）其他需说明的事项</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没有其他需要说明的事项。</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p>
    <w:p>
      <w:pPr>
        <w:widowControl/>
        <w:spacing w:beforeLines="50"/>
        <w:jc w:val="center"/>
        <w:outlineLvl w:val="1"/>
        <w:rPr>
          <w:rFonts w:ascii="黑体" w:hAnsi="黑体" w:eastAsia="黑体"/>
          <w:color w:val="000000" w:themeColor="text1"/>
          <w:kern w:val="0"/>
          <w:sz w:val="32"/>
          <w:szCs w:val="32"/>
          <w:highlight w:val="none"/>
          <w14:textFill>
            <w14:solidFill>
              <w14:schemeClr w14:val="tx1"/>
            </w14:solidFill>
          </w14:textFill>
        </w:rPr>
      </w:pPr>
      <w:r>
        <w:rPr>
          <w:rFonts w:hint="eastAsia" w:ascii="黑体" w:hAnsi="黑体" w:eastAsia="黑体"/>
          <w:color w:val="000000" w:themeColor="text1"/>
          <w:kern w:val="0"/>
          <w:sz w:val="32"/>
          <w:szCs w:val="32"/>
          <w:highlight w:val="none"/>
          <w14:textFill>
            <w14:solidFill>
              <w14:schemeClr w14:val="tx1"/>
            </w14:solidFill>
          </w14:textFill>
        </w:rPr>
        <w:t>第四部分  名词解释</w:t>
      </w:r>
    </w:p>
    <w:p>
      <w:pPr>
        <w:widowControl/>
        <w:spacing w:line="560" w:lineRule="exact"/>
        <w:ind w:firstLine="640"/>
        <w:jc w:val="left"/>
        <w:rPr>
          <w:rFonts w:ascii="黑体" w:hAnsi="宋体" w:eastAsia="黑体" w:cs="宋体"/>
          <w:color w:val="000000" w:themeColor="text1"/>
          <w:kern w:val="0"/>
          <w:sz w:val="32"/>
          <w:szCs w:val="32"/>
          <w:highlight w:val="none"/>
          <w14:textFill>
            <w14:solidFill>
              <w14:schemeClr w14:val="tx1"/>
            </w14:solidFill>
          </w14:textFill>
        </w:rPr>
      </w:pPr>
      <w:r>
        <w:rPr>
          <w:rFonts w:hint="eastAsia" w:ascii="黑体" w:hAnsi="宋体" w:eastAsia="黑体" w:cs="宋体"/>
          <w:color w:val="000000" w:themeColor="text1"/>
          <w:kern w:val="0"/>
          <w:sz w:val="32"/>
          <w:szCs w:val="32"/>
          <w:highlight w:val="none"/>
          <w14:textFill>
            <w14:solidFill>
              <w14:schemeClr w14:val="tx1"/>
            </w14:solidFill>
          </w14:textFill>
        </w:rPr>
        <w:t>名词解释：</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一、财政拨款：</w:t>
      </w:r>
      <w:r>
        <w:rPr>
          <w:rFonts w:hint="eastAsia" w:ascii="仿宋_GB2312" w:eastAsia="仿宋_GB2312"/>
          <w:color w:val="000000" w:themeColor="text1"/>
          <w:sz w:val="32"/>
          <w:szCs w:val="32"/>
          <w:highlight w:val="none"/>
          <w14:textFill>
            <w14:solidFill>
              <w14:schemeClr w14:val="tx1"/>
            </w14:solidFill>
          </w14:textFill>
        </w:rPr>
        <w:t>指由一般公共预算、政府性基金预算安排的财政拨款数。</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二、一般公共预算：</w:t>
      </w:r>
      <w:r>
        <w:rPr>
          <w:rFonts w:hint="eastAsia" w:ascii="仿宋_GB2312" w:eastAsia="仿宋_GB2312"/>
          <w:color w:val="000000" w:themeColor="text1"/>
          <w:sz w:val="32"/>
          <w:szCs w:val="32"/>
          <w:highlight w:val="none"/>
          <w14:textFill>
            <w14:solidFill>
              <w14:schemeClr w14:val="tx1"/>
            </w14:solidFill>
          </w14:textFill>
        </w:rPr>
        <w:t>包括公共财政拨款（补助）资金、专项收入。</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三、基本支出：</w:t>
      </w:r>
      <w:r>
        <w:rPr>
          <w:rFonts w:hint="eastAsia" w:ascii="仿宋_GB2312" w:eastAsia="仿宋_GB2312"/>
          <w:color w:val="000000" w:themeColor="text1"/>
          <w:sz w:val="32"/>
          <w:szCs w:val="32"/>
          <w:highlight w:val="none"/>
          <w14:textFill>
            <w14:solidFill>
              <w14:schemeClr w14:val="tx1"/>
            </w14:solidFill>
          </w14:textFill>
        </w:rPr>
        <w:t>包括人员经费、商品和服务支出（定额）。其中，人员经费包括工资福利支出、对个人和家庭的补助。</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四、项目支出：</w:t>
      </w:r>
      <w:r>
        <w:rPr>
          <w:rFonts w:hint="eastAsia" w:ascii="仿宋_GB2312" w:eastAsia="仿宋_GB2312"/>
          <w:color w:val="000000" w:themeColor="text1"/>
          <w:sz w:val="32"/>
          <w:szCs w:val="32"/>
          <w:highlight w:val="none"/>
          <w14:textFill>
            <w14:solidFill>
              <w14:schemeClr w14:val="tx1"/>
            </w14:solidFill>
          </w14:textFill>
        </w:rPr>
        <w:t>部门支出预算的组成部分，是</w:t>
      </w:r>
      <w:r>
        <w:rPr>
          <w:rFonts w:hint="eastAsia" w:ascii="仿宋_GB2312" w:eastAsia="仿宋_GB2312"/>
          <w:color w:val="000000" w:themeColor="text1"/>
          <w:sz w:val="32"/>
          <w:szCs w:val="32"/>
          <w:highlight w:val="none"/>
          <w:lang w:eastAsia="zh-CN"/>
          <w14:textFill>
            <w14:solidFill>
              <w14:schemeClr w14:val="tx1"/>
            </w14:solidFill>
          </w14:textFill>
        </w:rPr>
        <w:t>市</w:t>
      </w:r>
      <w:r>
        <w:rPr>
          <w:rFonts w:hint="eastAsia" w:ascii="仿宋_GB2312" w:eastAsia="仿宋_GB2312"/>
          <w:color w:val="000000" w:themeColor="text1"/>
          <w:sz w:val="32"/>
          <w:szCs w:val="32"/>
          <w:highlight w:val="none"/>
          <w14:textFill>
            <w14:solidFill>
              <w14:schemeClr w14:val="tx1"/>
            </w14:solidFill>
          </w14:textFill>
        </w:rPr>
        <w:t>本级部门为完成其特定的行政任务或事业发展目标，在基本支出预算之外编制的年度项目支出计划。</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五、“三公”经费：</w:t>
      </w:r>
      <w:r>
        <w:rPr>
          <w:rFonts w:hint="eastAsia" w:ascii="仿宋_GB2312" w:eastAsia="仿宋_GB2312"/>
          <w:color w:val="000000" w:themeColor="text1"/>
          <w:sz w:val="32"/>
          <w:szCs w:val="32"/>
          <w:highlight w:val="none"/>
          <w14:textFill>
            <w14:solidFill>
              <w14:schemeClr w14:val="tx1"/>
            </w14:solidFill>
          </w14:textFill>
        </w:rPr>
        <w:t>指</w:t>
      </w:r>
      <w:r>
        <w:rPr>
          <w:rFonts w:hint="eastAsia" w:ascii="仿宋_GB2312" w:eastAsia="仿宋_GB2312"/>
          <w:color w:val="000000" w:themeColor="text1"/>
          <w:sz w:val="32"/>
          <w:szCs w:val="32"/>
          <w:highlight w:val="none"/>
          <w:lang w:eastAsia="zh-CN"/>
          <w14:textFill>
            <w14:solidFill>
              <w14:schemeClr w14:val="tx1"/>
            </w14:solidFill>
          </w14:textFill>
        </w:rPr>
        <w:t>市</w:t>
      </w:r>
      <w:r>
        <w:rPr>
          <w:rFonts w:hint="eastAsia" w:ascii="仿宋_GB2312" w:eastAsia="仿宋_GB2312"/>
          <w:color w:val="000000" w:themeColor="text1"/>
          <w:sz w:val="32"/>
          <w:szCs w:val="32"/>
          <w:highlight w:val="none"/>
          <w14:textFill>
            <w14:solidFill>
              <w14:schemeClr w14:val="tx1"/>
            </w14:solidFill>
          </w14:textFill>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六、机关运行经费：</w:t>
      </w:r>
      <w:r>
        <w:rPr>
          <w:rFonts w:hint="eastAsia" w:ascii="仿宋_GB2312" w:eastAsia="仿宋_GB2312"/>
          <w:color w:val="000000" w:themeColor="text1"/>
          <w:sz w:val="32"/>
          <w:szCs w:val="32"/>
          <w:highlight w:val="none"/>
          <w14:textFill>
            <w14:solidFill>
              <w14:schemeClr w14:val="tx1"/>
            </w14:solidFill>
          </w14:textFill>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2"/>
        <w:rPr>
          <w:rFonts w:ascii="仿宋_GB2312" w:eastAsia="仿宋_GB2312"/>
          <w:color w:val="000000" w:themeColor="text1"/>
          <w:sz w:val="32"/>
          <w:szCs w:val="32"/>
          <w:highlight w:val="none"/>
          <w14:textFill>
            <w14:solidFill>
              <w14:schemeClr w14:val="tx1"/>
            </w14:solidFill>
          </w14:textFill>
        </w:rPr>
      </w:pPr>
      <w:bookmarkStart w:id="0" w:name="_GoBack"/>
      <w:bookmarkEnd w:id="0"/>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jc w:val="left"/>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p>
    <w:p>
      <w:pPr>
        <w:widowControl/>
        <w:spacing w:line="560" w:lineRule="exact"/>
        <w:jc w:val="left"/>
        <w:rPr>
          <w:rFonts w:ascii="仿宋_GB2312" w:hAnsi="宋体" w:eastAsia="仿宋_GB2312" w:cs="宋体"/>
          <w:color w:val="000000" w:themeColor="text1"/>
          <w:kern w:val="0"/>
          <w:sz w:val="32"/>
          <w:szCs w:val="32"/>
          <w:highlight w:val="none"/>
          <w14:textFill>
            <w14:solidFill>
              <w14:schemeClr w14:val="tx1"/>
            </w14:solidFill>
          </w14:textFill>
        </w:rPr>
      </w:pPr>
    </w:p>
    <w:p>
      <w:pPr>
        <w:widowControl/>
        <w:spacing w:line="560" w:lineRule="exact"/>
        <w:ind w:left="5440" w:hanging="5440" w:hangingChars="1700"/>
        <w:jc w:val="left"/>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阜康市滋泥泉子镇人民政府</w:t>
      </w:r>
    </w:p>
    <w:p>
      <w:pPr>
        <w:widowControl/>
        <w:spacing w:line="560" w:lineRule="exact"/>
        <w:ind w:left="5429" w:leftChars="2128" w:hanging="960" w:hangingChars="30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2019</w:t>
      </w:r>
      <w:r>
        <w:rPr>
          <w:rFonts w:ascii="仿宋_GB2312" w:hAnsi="宋体" w:eastAsia="仿宋_GB2312" w:cs="宋体"/>
          <w:color w:val="000000" w:themeColor="text1"/>
          <w:kern w:val="0"/>
          <w:sz w:val="32"/>
          <w:szCs w:val="32"/>
          <w:highlight w:val="none"/>
          <w14:textFill>
            <w14:solidFill>
              <w14:schemeClr w14:val="tx1"/>
            </w14:solidFill>
          </w14:textFill>
        </w:rPr>
        <w:t>年</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w:t>
      </w:r>
      <w:r>
        <w:rPr>
          <w:rFonts w:ascii="仿宋_GB2312" w:hAnsi="宋体" w:eastAsia="仿宋_GB2312" w:cs="宋体"/>
          <w:color w:val="000000" w:themeColor="text1"/>
          <w:kern w:val="0"/>
          <w:sz w:val="32"/>
          <w:szCs w:val="32"/>
          <w:highlight w:val="none"/>
          <w14:textFill>
            <w14:solidFill>
              <w14:schemeClr w14:val="tx1"/>
            </w14:solidFill>
          </w14:textFill>
        </w:rPr>
        <w:t>月</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10</w:t>
      </w:r>
      <w:r>
        <w:rPr>
          <w:rFonts w:ascii="仿宋_GB2312" w:hAnsi="宋体" w:eastAsia="仿宋_GB2312" w:cs="宋体"/>
          <w:color w:val="000000" w:themeColor="text1"/>
          <w:kern w:val="0"/>
          <w:sz w:val="32"/>
          <w:szCs w:val="32"/>
          <w:highlight w:val="none"/>
          <w14:textFill>
            <w14:solidFill>
              <w14:schemeClr w14:val="tx1"/>
            </w14:solidFill>
          </w14:textFill>
        </w:rPr>
        <w:t>日</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C96E"/>
    <w:multiLevelType w:val="singleLevel"/>
    <w:tmpl w:val="12B8C96E"/>
    <w:lvl w:ilvl="0" w:tentative="0">
      <w:start w:val="2"/>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2B5144"/>
    <w:rsid w:val="00325B17"/>
    <w:rsid w:val="00C81F19"/>
    <w:rsid w:val="00FC6ABD"/>
    <w:rsid w:val="02497146"/>
    <w:rsid w:val="030665A4"/>
    <w:rsid w:val="04E2450D"/>
    <w:rsid w:val="067723CE"/>
    <w:rsid w:val="07071B69"/>
    <w:rsid w:val="077F4FCB"/>
    <w:rsid w:val="07F02E6F"/>
    <w:rsid w:val="0815419B"/>
    <w:rsid w:val="083752BA"/>
    <w:rsid w:val="09AA1C42"/>
    <w:rsid w:val="09D51BF2"/>
    <w:rsid w:val="0D085DDD"/>
    <w:rsid w:val="1194799B"/>
    <w:rsid w:val="11E9034A"/>
    <w:rsid w:val="12255B70"/>
    <w:rsid w:val="15BB3326"/>
    <w:rsid w:val="15E46EF4"/>
    <w:rsid w:val="178E7876"/>
    <w:rsid w:val="1860608E"/>
    <w:rsid w:val="187953CF"/>
    <w:rsid w:val="1B403B6D"/>
    <w:rsid w:val="1C3A45DA"/>
    <w:rsid w:val="1C69571B"/>
    <w:rsid w:val="1D833AD5"/>
    <w:rsid w:val="1E20703A"/>
    <w:rsid w:val="1E320865"/>
    <w:rsid w:val="1E871B83"/>
    <w:rsid w:val="1EAD63F8"/>
    <w:rsid w:val="1F1D5AD0"/>
    <w:rsid w:val="1FA534CD"/>
    <w:rsid w:val="1FB23E48"/>
    <w:rsid w:val="20EB112F"/>
    <w:rsid w:val="237818A0"/>
    <w:rsid w:val="23A820CE"/>
    <w:rsid w:val="251B0481"/>
    <w:rsid w:val="26E14B26"/>
    <w:rsid w:val="27704324"/>
    <w:rsid w:val="28D60EEA"/>
    <w:rsid w:val="28D85180"/>
    <w:rsid w:val="2C0F1F67"/>
    <w:rsid w:val="2C2707B7"/>
    <w:rsid w:val="2DC25901"/>
    <w:rsid w:val="2FE06CF5"/>
    <w:rsid w:val="30A45DE9"/>
    <w:rsid w:val="312965F3"/>
    <w:rsid w:val="316317F0"/>
    <w:rsid w:val="335D2D7A"/>
    <w:rsid w:val="34850347"/>
    <w:rsid w:val="368958A4"/>
    <w:rsid w:val="36952A12"/>
    <w:rsid w:val="36C26A43"/>
    <w:rsid w:val="3752515B"/>
    <w:rsid w:val="3964313F"/>
    <w:rsid w:val="3B383C3B"/>
    <w:rsid w:val="3D287A67"/>
    <w:rsid w:val="3DF23AC0"/>
    <w:rsid w:val="3E397B09"/>
    <w:rsid w:val="401B0829"/>
    <w:rsid w:val="412661DD"/>
    <w:rsid w:val="42C95898"/>
    <w:rsid w:val="431935FC"/>
    <w:rsid w:val="46DC79EA"/>
    <w:rsid w:val="47024622"/>
    <w:rsid w:val="480D4E41"/>
    <w:rsid w:val="485D19B1"/>
    <w:rsid w:val="49EA5762"/>
    <w:rsid w:val="4A3832E3"/>
    <w:rsid w:val="4BC12056"/>
    <w:rsid w:val="4C2D13B7"/>
    <w:rsid w:val="4CB23D94"/>
    <w:rsid w:val="4DD33024"/>
    <w:rsid w:val="4F217CCC"/>
    <w:rsid w:val="4F69085C"/>
    <w:rsid w:val="4F8E0E30"/>
    <w:rsid w:val="516E762D"/>
    <w:rsid w:val="521F78FF"/>
    <w:rsid w:val="52B63E0E"/>
    <w:rsid w:val="53C07A9B"/>
    <w:rsid w:val="541E3911"/>
    <w:rsid w:val="543F46DA"/>
    <w:rsid w:val="545538B1"/>
    <w:rsid w:val="560D3522"/>
    <w:rsid w:val="56983952"/>
    <w:rsid w:val="56AB4CFC"/>
    <w:rsid w:val="56F546C4"/>
    <w:rsid w:val="570E0EA8"/>
    <w:rsid w:val="57245020"/>
    <w:rsid w:val="572F1225"/>
    <w:rsid w:val="57FF0564"/>
    <w:rsid w:val="589C31BC"/>
    <w:rsid w:val="59821DAB"/>
    <w:rsid w:val="59AF7B54"/>
    <w:rsid w:val="5A595617"/>
    <w:rsid w:val="5AF6750B"/>
    <w:rsid w:val="5C8546ED"/>
    <w:rsid w:val="5EB339CC"/>
    <w:rsid w:val="5EB95B69"/>
    <w:rsid w:val="5ED127B0"/>
    <w:rsid w:val="5FDC1779"/>
    <w:rsid w:val="606D64AC"/>
    <w:rsid w:val="60D81833"/>
    <w:rsid w:val="63AD6F16"/>
    <w:rsid w:val="66FA5594"/>
    <w:rsid w:val="671F527E"/>
    <w:rsid w:val="68737BE6"/>
    <w:rsid w:val="69E65916"/>
    <w:rsid w:val="6A06582F"/>
    <w:rsid w:val="6A630D9A"/>
    <w:rsid w:val="6D082F8C"/>
    <w:rsid w:val="6D66286D"/>
    <w:rsid w:val="6E07398D"/>
    <w:rsid w:val="6E114CA0"/>
    <w:rsid w:val="6F935FE7"/>
    <w:rsid w:val="6FD877A5"/>
    <w:rsid w:val="700D19B7"/>
    <w:rsid w:val="711A1B0A"/>
    <w:rsid w:val="73FA7A18"/>
    <w:rsid w:val="74262A0F"/>
    <w:rsid w:val="746E5A4E"/>
    <w:rsid w:val="74866117"/>
    <w:rsid w:val="75885B9B"/>
    <w:rsid w:val="759F5E54"/>
    <w:rsid w:val="785132AD"/>
    <w:rsid w:val="78CE53E5"/>
    <w:rsid w:val="79441DE0"/>
    <w:rsid w:val="7C547683"/>
    <w:rsid w:val="7D3742FF"/>
    <w:rsid w:val="7E546149"/>
    <w:rsid w:val="7FC66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0</TotalTime>
  <ScaleCrop>false</ScaleCrop>
  <LinksUpToDate>false</LinksUpToDate>
  <CharactersWithSpaces>10532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pc</cp:lastModifiedBy>
  <cp:lastPrinted>2019-04-24T14:03:00Z</cp:lastPrinted>
  <dcterms:modified xsi:type="dcterms:W3CDTF">2021-07-08T09:32:06Z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82E308BA40AE434E8092F0900B2D19AB</vt:lpwstr>
  </property>
</Properties>
</file>