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widowControl/>
        <w:spacing w:before="100" w:beforeAutospacing="1" w:after="100" w:afterAutospacing="1"/>
        <w:outlineLvl w:val="1"/>
        <w:rPr>
          <w:rFonts w:ascii="黑体" w:hAnsi="黑体" w:eastAsia="黑体" w:cs="宋体"/>
          <w:color w:val="000000" w:themeColor="text1"/>
          <w:kern w:val="0"/>
          <w:sz w:val="32"/>
          <w:szCs w:val="32"/>
          <w:highlight w:val="none"/>
          <w14:textFill>
            <w14:solidFill>
              <w14:schemeClr w14:val="tx1"/>
            </w14:solidFill>
          </w14:textFill>
        </w:rPr>
      </w:pPr>
    </w:p>
    <w:p>
      <w:pPr>
        <w:widowControl/>
        <w:spacing w:before="100" w:beforeAutospacing="1" w:after="100" w:afterAutospacing="1"/>
        <w:outlineLvl w:val="1"/>
        <w:rPr>
          <w:rFonts w:ascii="黑体" w:hAnsi="黑体" w:eastAsia="黑体" w:cs="宋体"/>
          <w:color w:val="000000" w:themeColor="text1"/>
          <w:kern w:val="0"/>
          <w:sz w:val="32"/>
          <w:szCs w:val="32"/>
          <w:highlight w:val="none"/>
          <w14:textFill>
            <w14:solidFill>
              <w14:schemeClr w14:val="tx1"/>
            </w14:solidFill>
          </w14:textFill>
        </w:rPr>
      </w:pPr>
    </w:p>
    <w:p>
      <w:pPr>
        <w:widowControl/>
        <w:spacing w:before="100" w:beforeAutospacing="1" w:after="100" w:afterAutospacing="1"/>
        <w:outlineLvl w:val="1"/>
        <w:rPr>
          <w:rFonts w:ascii="宋体" w:hAnsi="宋体" w:cs="宋体"/>
          <w:b/>
          <w:bCs/>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hint="eastAsia" w:ascii="方正小标宋_GBK" w:hAnsi="宋体" w:eastAsia="方正小标宋_GBK"/>
          <w:color w:val="000000" w:themeColor="text1"/>
          <w:kern w:val="0"/>
          <w:sz w:val="44"/>
          <w:szCs w:val="44"/>
          <w:highlight w:val="none"/>
          <w:lang w:eastAsia="zh-CN"/>
          <w14:textFill>
            <w14:solidFill>
              <w14:schemeClr w14:val="tx1"/>
            </w14:solidFill>
          </w14:textFill>
        </w:rPr>
      </w:pPr>
      <w:r>
        <w:rPr>
          <w:rFonts w:hint="eastAsia" w:ascii="方正小标宋_GBK" w:hAnsi="宋体" w:eastAsia="方正小标宋_GBK"/>
          <w:color w:val="000000" w:themeColor="text1"/>
          <w:kern w:val="0"/>
          <w:sz w:val="44"/>
          <w:szCs w:val="44"/>
          <w:highlight w:val="none"/>
          <w14:textFill>
            <w14:solidFill>
              <w14:schemeClr w14:val="tx1"/>
            </w14:solidFill>
          </w14:textFill>
        </w:rPr>
        <w:t>昌吉州</w:t>
      </w:r>
      <w:r>
        <w:rPr>
          <w:rFonts w:hint="eastAsia" w:ascii="方正小标宋_GBK" w:hAnsi="宋体" w:eastAsia="方正小标宋_GBK"/>
          <w:color w:val="000000" w:themeColor="text1"/>
          <w:kern w:val="0"/>
          <w:sz w:val="44"/>
          <w:szCs w:val="44"/>
          <w:highlight w:val="none"/>
          <w:lang w:eastAsia="zh-CN"/>
          <w14:textFill>
            <w14:solidFill>
              <w14:schemeClr w14:val="tx1"/>
            </w14:solidFill>
          </w14:textFill>
        </w:rPr>
        <w:t>阜康市水磨沟乡人民政府</w:t>
      </w:r>
    </w:p>
    <w:p>
      <w:pPr>
        <w:widowControl/>
        <w:spacing w:before="100" w:beforeAutospacing="1" w:after="100" w:afterAutospacing="1"/>
        <w:jc w:val="center"/>
        <w:outlineLvl w:val="1"/>
        <w:rPr>
          <w:rFonts w:ascii="方正小标宋_GBK" w:hAnsi="宋体" w:eastAsia="方正小标宋_GBK"/>
          <w:color w:val="000000" w:themeColor="text1"/>
          <w:kern w:val="0"/>
          <w:sz w:val="44"/>
          <w:szCs w:val="44"/>
          <w:highlight w:val="none"/>
          <w14:textFill>
            <w14:solidFill>
              <w14:schemeClr w14:val="tx1"/>
            </w14:solidFill>
          </w14:textFill>
        </w:rPr>
      </w:pPr>
      <w:r>
        <w:rPr>
          <w:rFonts w:hint="eastAsia" w:ascii="方正小标宋_GBK" w:hAnsi="宋体" w:eastAsia="方正小标宋_GBK"/>
          <w:color w:val="000000" w:themeColor="text1"/>
          <w:kern w:val="0"/>
          <w:sz w:val="44"/>
          <w:szCs w:val="44"/>
          <w:highlight w:val="none"/>
          <w:lang w:val="en-US" w:eastAsia="zh-CN"/>
          <w14:textFill>
            <w14:solidFill>
              <w14:schemeClr w14:val="tx1"/>
            </w14:solidFill>
          </w14:textFill>
        </w:rPr>
        <w:t>2019</w:t>
      </w:r>
      <w:r>
        <w:rPr>
          <w:rFonts w:hint="eastAsia" w:ascii="方正小标宋_GBK" w:hAnsi="宋体" w:eastAsia="方正小标宋_GBK"/>
          <w:color w:val="000000" w:themeColor="text1"/>
          <w:kern w:val="0"/>
          <w:sz w:val="44"/>
          <w:szCs w:val="44"/>
          <w:highlight w:val="none"/>
          <w14:textFill>
            <w14:solidFill>
              <w14:schemeClr w14:val="tx1"/>
            </w14:solidFill>
          </w14:textFill>
        </w:rPr>
        <w:t>年部门预算公开</w:t>
      </w: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both"/>
        <w:outlineLvl w:val="1"/>
        <w:rPr>
          <w:rFonts w:ascii="宋体" w:hAnsi="宋体"/>
          <w:b/>
          <w:color w:val="000000" w:themeColor="text1"/>
          <w:kern w:val="0"/>
          <w:sz w:val="44"/>
          <w:szCs w:val="44"/>
          <w:highlight w:val="none"/>
          <w14:textFill>
            <w14:solidFill>
              <w14:schemeClr w14:val="tx1"/>
            </w14:solidFill>
          </w14:textFill>
        </w:rPr>
      </w:pPr>
    </w:p>
    <w:p>
      <w:pPr>
        <w:widowControl/>
        <w:spacing w:line="500" w:lineRule="exact"/>
        <w:jc w:val="center"/>
        <w:outlineLvl w:val="1"/>
        <w:rPr>
          <w:rFonts w:ascii="黑体" w:hAnsi="黑体" w:eastAsia="黑体"/>
          <w:color w:val="000000" w:themeColor="text1"/>
          <w:kern w:val="0"/>
          <w:sz w:val="44"/>
          <w:szCs w:val="44"/>
          <w:highlight w:val="none"/>
          <w14:textFill>
            <w14:solidFill>
              <w14:schemeClr w14:val="tx1"/>
            </w14:solidFill>
          </w14:textFill>
        </w:rPr>
      </w:pPr>
      <w:r>
        <w:rPr>
          <w:rFonts w:hint="eastAsia" w:ascii="黑体" w:hAnsi="黑体" w:eastAsia="黑体"/>
          <w:color w:val="000000" w:themeColor="text1"/>
          <w:kern w:val="0"/>
          <w:sz w:val="44"/>
          <w:szCs w:val="44"/>
          <w:highlight w:val="none"/>
          <w14:textFill>
            <w14:solidFill>
              <w14:schemeClr w14:val="tx1"/>
            </w14:solidFill>
          </w14:textFill>
        </w:rPr>
        <w:t>目录</w:t>
      </w:r>
    </w:p>
    <w:p>
      <w:pPr>
        <w:widowControl/>
        <w:spacing w:line="500" w:lineRule="exact"/>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第一部分  </w:t>
      </w:r>
      <w:r>
        <w:rPr>
          <w:rFonts w:hint="eastAsia" w:ascii="黑体" w:hAnsi="黑体" w:eastAsia="黑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黑体" w:eastAsia="黑体"/>
          <w:color w:val="000000" w:themeColor="text1"/>
          <w:kern w:val="0"/>
          <w:sz w:val="32"/>
          <w:szCs w:val="32"/>
          <w:highlight w:val="none"/>
          <w14:textFill>
            <w14:solidFill>
              <w14:schemeClr w14:val="tx1"/>
            </w14:solidFill>
          </w14:textFill>
        </w:rPr>
        <w:t>单位概况</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一、主要职能</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二、机构设置及人员情况</w:t>
      </w: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第二部分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年部门预算公开表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一、部门收支总体情况表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二、部门收入总体情况表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三、部门支出总体情况表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四、财政拨款收支总体情况表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五、一般公共预算支出情况表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六、一般公共预算基本支出情况表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七、项目支出情况表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八、一般公共预算“三公”经费支出情况表</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九、政府性基金预算支出情况表</w:t>
      </w: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第三部分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年收支预算情况的总体说明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年收入预算情况说明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三、关于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年支出预算情况说明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四、关于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年财政拨款收支预算情况的总体说明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五、关于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年一般公共预算当年拨款情况说明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六、关于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年一般公共预算基本支出情况说明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七、关于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年项目支出情况说明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八、关于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年一般公共预算“三公”经费预算情况说明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九、关于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阜康市水磨沟乡人民政府2019</w:t>
      </w:r>
      <w:r>
        <w:rPr>
          <w:rFonts w:hint="eastAsia" w:ascii="仿宋_GB2312" w:hAnsi="宋体" w:eastAsia="仿宋_GB2312"/>
          <w:color w:val="000000" w:themeColor="text1"/>
          <w:kern w:val="0"/>
          <w:sz w:val="32"/>
          <w:szCs w:val="32"/>
          <w:highlight w:val="none"/>
          <w14:textFill>
            <w14:solidFill>
              <w14:schemeClr w14:val="tx1"/>
            </w14:solidFill>
          </w14:textFill>
        </w:rPr>
        <w:t>年政府性基金预算拨款情况说明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十、其他重要事项的情况说明</w:t>
      </w: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第四部分  名词解释</w:t>
      </w:r>
    </w:p>
    <w:p>
      <w:pPr>
        <w:widowControl/>
        <w:spacing w:line="460" w:lineRule="exac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line="360" w:lineRule="auto"/>
        <w:ind w:firstLine="640" w:firstLineChars="200"/>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第一部分  </w:t>
      </w:r>
      <w:r>
        <w:rPr>
          <w:rFonts w:hint="eastAsia" w:ascii="黑体" w:hAnsi="黑体" w:eastAsia="黑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黑体" w:eastAsia="黑体"/>
          <w:color w:val="000000" w:themeColor="text1"/>
          <w:kern w:val="0"/>
          <w:sz w:val="32"/>
          <w:szCs w:val="32"/>
          <w:highlight w:val="none"/>
          <w14:textFill>
            <w14:solidFill>
              <w14:schemeClr w14:val="tx1"/>
            </w14:solidFill>
          </w14:textFill>
        </w:rPr>
        <w:t>单位概况</w:t>
      </w:r>
    </w:p>
    <w:p>
      <w:pPr>
        <w:widowControl/>
        <w:jc w:val="center"/>
        <w:outlineLvl w:val="1"/>
        <w:rPr>
          <w:rFonts w:ascii="宋体" w:hAnsi="宋体"/>
          <w:b/>
          <w:color w:val="000000" w:themeColor="text1"/>
          <w:kern w:val="0"/>
          <w:sz w:val="32"/>
          <w:szCs w:val="32"/>
          <w:highlight w:val="none"/>
          <w14:textFill>
            <w14:solidFill>
              <w14:schemeClr w14:val="tx1"/>
            </w14:solidFill>
          </w14:textFill>
        </w:rPr>
      </w:pPr>
    </w:p>
    <w:p>
      <w:pPr>
        <w:widowControl/>
        <w:spacing w:line="560" w:lineRule="exact"/>
        <w:jc w:val="left"/>
        <w:rPr>
          <w:rFonts w:ascii="黑体" w:hAnsi="黑体" w:eastAsia="黑体" w:cs="宋体"/>
          <w:bCs/>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黑体" w:hAnsi="黑体" w:eastAsia="黑体" w:cs="宋体"/>
          <w:bCs/>
          <w:color w:val="000000" w:themeColor="text1"/>
          <w:kern w:val="0"/>
          <w:sz w:val="32"/>
          <w:szCs w:val="32"/>
          <w:highlight w:val="none"/>
          <w14:textFill>
            <w14:solidFill>
              <w14:schemeClr w14:val="tx1"/>
            </w14:solidFill>
          </w14:textFill>
        </w:rPr>
        <w:t>一、主要职能</w:t>
      </w:r>
    </w:p>
    <w:p>
      <w:pPr>
        <w:widowControl/>
        <w:spacing w:line="560" w:lineRule="exact"/>
        <w:jc w:val="left"/>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 xml:space="preserve">   </w:t>
      </w:r>
      <w:r>
        <w:rPr>
          <w:rFonts w:hint="eastAsia" w:ascii="仿宋_GB2312" w:hAnsi="黑体" w:eastAsia="仿宋_GB2312" w:cs="宋体"/>
          <w:bCs/>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阜康市水磨沟乡人民政府主要职能</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：贯彻执行党的路线、方针、</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政</w:t>
      </w:r>
      <w:r>
        <w:rPr>
          <w:rFonts w:hint="eastAsia" w:ascii="仿宋_GB2312" w:hAnsi="宋体" w:eastAsia="仿宋_GB2312"/>
          <w:color w:val="000000" w:themeColor="text1"/>
          <w:kern w:val="0"/>
          <w:sz w:val="32"/>
          <w:szCs w:val="32"/>
          <w:highlight w:val="none"/>
          <w14:textFill>
            <w14:solidFill>
              <w14:schemeClr w14:val="tx1"/>
            </w14:solidFill>
          </w14:textFill>
        </w:rPr>
        <w:t>策和国家法律法规，贯彻执行上级行政机关决定、命令及本级党委的决定，执行水磨沟乡人民代表大会的决议</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对水磨沟乡人民代表大会及其主席团和上级行政机关负责并报告工作</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编制和执行水磨沟乡的经济和社会发展规划、计划并执行财政预算；负责本行政区域经济和各项社会事业的行政工作；负责维护社会秩序，营造良好的发展环境，保护公民和各种经济组织的合法权益</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指导、支持和帮助村民委员会工作</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协调派驻水磨沟乡政府部门的相应事务；法律规定的其它职责</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w:t>
      </w:r>
    </w:p>
    <w:p>
      <w:pPr>
        <w:widowControl/>
        <w:spacing w:line="560" w:lineRule="exact"/>
        <w:jc w:val="left"/>
        <w:rPr>
          <w:rFonts w:ascii="黑体" w:hAnsi="黑体" w:eastAsia="黑体" w:cs="宋体"/>
          <w:bCs/>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黑体" w:hAnsi="黑体" w:eastAsia="黑体" w:cs="宋体"/>
          <w:bCs/>
          <w:color w:val="000000" w:themeColor="text1"/>
          <w:kern w:val="0"/>
          <w:sz w:val="32"/>
          <w:szCs w:val="32"/>
          <w:highlight w:val="none"/>
          <w14:textFill>
            <w14:solidFill>
              <w14:schemeClr w14:val="tx1"/>
            </w14:solidFill>
          </w14:textFill>
        </w:rPr>
        <w:t>二、机构设置及人员情况</w:t>
      </w:r>
    </w:p>
    <w:p>
      <w:pPr>
        <w:widowControl/>
        <w:spacing w:line="560" w:lineRule="exact"/>
        <w:ind w:firstLine="640" w:firstLineChars="200"/>
        <w:jc w:val="left"/>
        <w:rPr>
          <w:rFonts w:hint="eastAsia" w:ascii="仿宋_GB2312" w:hAnsi="宋体" w:eastAsia="仿宋_GB2312"/>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eastAsia="zh-CN"/>
          <w14:textFill>
            <w14:solidFill>
              <w14:schemeClr w14:val="tx1"/>
            </w14:solidFill>
          </w14:textFill>
        </w:rPr>
        <w:t>阜康市水磨沟乡人民政府无下属预算单位，下设</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9个科室，分别是：</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政府行政、</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水磨沟乡司法所、</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政府事业（水磨河社区）、</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水磨沟乡农业（畜牧业）发展服务中心、水磨沟乡文体广电服务中心、水磨沟乡财政所（农村合作经济经营管理服务站）、水磨沟乡社会保障（民政）服务中心、水磨沟乡村镇规划建设发展中心（环境保护工作站）、水磨沟乡食品药品监督管理站</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水磨沟乡人民政府</w:t>
      </w:r>
      <w:r>
        <w:rPr>
          <w:rFonts w:hint="eastAsia" w:ascii="仿宋_GB2312" w:hAnsi="宋体" w:eastAsia="仿宋_GB2312"/>
          <w:color w:val="000000" w:themeColor="text1"/>
          <w:kern w:val="0"/>
          <w:sz w:val="32"/>
          <w:szCs w:val="32"/>
          <w:highlight w:val="none"/>
          <w14:textFill>
            <w14:solidFill>
              <w14:schemeClr w14:val="tx1"/>
            </w14:solidFill>
          </w14:textFill>
        </w:rPr>
        <w:t>编制</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人</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数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62</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，实有人数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52</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人，其中：在职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52</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人，增加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 退休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14</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人，增加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人；离休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人，增加 </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人。</w:t>
      </w:r>
    </w:p>
    <w:p>
      <w:pPr>
        <w:widowControl/>
        <w:spacing w:beforeLines="50"/>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beforeLines="50"/>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第二部分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年部门预算公开表</w:t>
      </w: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表一：</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部门收支总体情况表</w:t>
      </w:r>
    </w:p>
    <w:p>
      <w:pPr>
        <w:widowControl/>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10"/>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847.84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417.67</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847.84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8.95</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90.37</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100.08</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33.08</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150.43</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47.26</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both"/>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230 转移性支出</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both"/>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847.84</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p>
        </w:tc>
        <w:tc>
          <w:tcPr>
            <w:tcW w:w="2693" w:type="dxa"/>
            <w:tcBorders>
              <w:top w:val="nil"/>
              <w:left w:val="nil"/>
              <w:bottom w:val="single" w:color="auto" w:sz="4" w:space="0"/>
              <w:right w:val="nil"/>
            </w:tcBorders>
            <w:shd w:val="clear" w:color="auto" w:fill="auto"/>
            <w:vAlign w:val="center"/>
          </w:tcPr>
          <w:p>
            <w:pPr>
              <w:widowControl/>
              <w:spacing w:line="300" w:lineRule="exact"/>
              <w:jc w:val="both"/>
              <w:rPr>
                <w:rFonts w:ascii="仿宋_GB2312" w:hAnsi="宋体" w:eastAsia="仿宋_GB2312" w:cs="宋体"/>
                <w:color w:val="000000" w:themeColor="text1"/>
                <w:kern w:val="0"/>
                <w:sz w:val="20"/>
                <w:szCs w:val="20"/>
                <w:highlight w:val="none"/>
                <w14:textFill>
                  <w14:solidFill>
                    <w14:schemeClr w14:val="tx1"/>
                  </w14:solidFill>
                </w14:textFill>
              </w:rPr>
            </w:pP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847.84</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847.84</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bookmarkStart w:id="0" w:name="_GoBack"/>
      <w:bookmarkEnd w:id="0"/>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表二：</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部门收入总体情况表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填报部门：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10"/>
        <w:tblW w:w="9654" w:type="dxa"/>
        <w:tblInd w:w="93" w:type="dxa"/>
        <w:tblLayout w:type="fixed"/>
        <w:tblCellMar>
          <w:top w:w="0" w:type="dxa"/>
          <w:left w:w="108" w:type="dxa"/>
          <w:bottom w:w="0" w:type="dxa"/>
          <w:right w:w="108" w:type="dxa"/>
        </w:tblCellMar>
      </w:tblPr>
      <w:tblGrid>
        <w:gridCol w:w="417"/>
        <w:gridCol w:w="417"/>
        <w:gridCol w:w="417"/>
        <w:gridCol w:w="2145"/>
        <w:gridCol w:w="820"/>
        <w:gridCol w:w="680"/>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2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总  计</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18"/>
                <w:szCs w:val="18"/>
                <w:highlight w:val="none"/>
                <w14:textFill>
                  <w14:solidFill>
                    <w14:schemeClr w14:val="tx1"/>
                  </w14:solidFill>
                </w14:textFill>
              </w:rPr>
            </w:pPr>
            <w:r>
              <w:rPr>
                <w:rFonts w:hint="eastAsia" w:ascii="仿宋_GB2312" w:eastAsia="仿宋_GB2312"/>
                <w:b/>
                <w:color w:val="000000" w:themeColor="text1"/>
                <w:sz w:val="18"/>
                <w:szCs w:val="18"/>
                <w:highlight w:val="none"/>
                <w14:textFill>
                  <w14:solidFill>
                    <w14:schemeClr w14:val="tx1"/>
                  </w14:solidFill>
                </w14:textFill>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000000"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08</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代表工作</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3.78</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3.78</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31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204</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208</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208</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14:textFill>
                  <w14:solidFill>
                    <w14:schemeClr w14:val="tx1"/>
                  </w14:solidFill>
                </w14:textFill>
              </w:rPr>
              <w:t>归口管理的行政单位离退休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208</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14:textFill>
                  <w14:solidFill>
                    <w14:schemeClr w14:val="tx1"/>
                  </w14:solidFill>
                </w14:textFill>
              </w:rPr>
              <w:t>机关事业单位基本养老保险缴费支出</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210</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07</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16</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计划生育机构</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210</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210</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210</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公务员医疗补助</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212</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城乡社区规划与管理</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6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213</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04</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133.44</w:t>
            </w:r>
          </w:p>
        </w:tc>
        <w:tc>
          <w:tcPr>
            <w:tcW w:w="680"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宋体" w:eastAsia="仿宋_GB2312" w:cs="宋体"/>
                <w:color w:val="000000" w:themeColor="text1"/>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133.44</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213</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13"/>
                <w:szCs w:val="13"/>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52</w:t>
            </w:r>
            <w:r>
              <w:rPr>
                <w:rFonts w:hint="eastAsia" w:ascii="仿宋_GB2312" w:eastAsia="仿宋_GB2312"/>
                <w:color w:val="000000" w:themeColor="text1"/>
                <w:sz w:val="13"/>
                <w:szCs w:val="13"/>
                <w:highlight w:val="none"/>
                <w14:textFill>
                  <w14:solidFill>
                    <w14:schemeClr w14:val="tx1"/>
                  </w14:solidFill>
                </w14:textFill>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3"/>
                <w:szCs w:val="13"/>
                <w:highlight w:val="none"/>
                <w14:textFill>
                  <w14:solidFill>
                    <w14:schemeClr w14:val="tx1"/>
                  </w14:solidFill>
                </w14:textFill>
              </w:rPr>
              <w:t>对高校毕业生到基层任职补助</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sz w:val="15"/>
                <w:szCs w:val="15"/>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16.99</w:t>
            </w:r>
          </w:p>
        </w:tc>
        <w:tc>
          <w:tcPr>
            <w:tcW w:w="680"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宋体" w:eastAsia="仿宋_GB2312" w:cs="宋体"/>
                <w:color w:val="000000" w:themeColor="text1"/>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16.99</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20"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hint="default" w:ascii="仿宋_GB2312" w:eastAsia="仿宋_GB2312"/>
                <w:color w:val="000000" w:themeColor="text1"/>
                <w:sz w:val="13"/>
                <w:szCs w:val="13"/>
                <w:highlight w:val="none"/>
                <w:lang w:val="en-US" w:eastAsia="zh-CN"/>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221</w:t>
            </w:r>
          </w:p>
        </w:tc>
        <w:tc>
          <w:tcPr>
            <w:tcW w:w="417" w:type="dxa"/>
            <w:tcBorders>
              <w:top w:val="nil"/>
              <w:left w:val="nil"/>
              <w:bottom w:val="single" w:color="auto" w:sz="4" w:space="0"/>
              <w:right w:val="single" w:color="auto" w:sz="4" w:space="0"/>
            </w:tcBorders>
            <w:shd w:val="clear" w:color="auto" w:fill="auto"/>
            <w:vAlign w:val="center"/>
          </w:tcPr>
          <w:p>
            <w:pPr>
              <w:jc w:val="right"/>
              <w:rPr>
                <w:rFonts w:hint="default" w:ascii="仿宋_GB2312" w:eastAsia="仿宋_GB2312"/>
                <w:color w:val="000000" w:themeColor="text1"/>
                <w:sz w:val="13"/>
                <w:szCs w:val="13"/>
                <w:highlight w:val="none"/>
                <w:lang w:val="en-US" w:eastAsia="zh-CN"/>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p>
        </w:tc>
        <w:tc>
          <w:tcPr>
            <w:tcW w:w="417" w:type="dxa"/>
            <w:tcBorders>
              <w:top w:val="nil"/>
              <w:left w:val="nil"/>
              <w:bottom w:val="single" w:color="auto" w:sz="4" w:space="0"/>
              <w:right w:val="single" w:color="auto" w:sz="4" w:space="0"/>
            </w:tcBorders>
            <w:shd w:val="clear" w:color="auto" w:fill="auto"/>
            <w:vAlign w:val="center"/>
          </w:tcPr>
          <w:p>
            <w:pPr>
              <w:jc w:val="right"/>
              <w:rPr>
                <w:rFonts w:hint="default" w:ascii="仿宋_GB2312" w:eastAsia="仿宋_GB2312"/>
                <w:color w:val="000000" w:themeColor="text1"/>
                <w:sz w:val="13"/>
                <w:szCs w:val="13"/>
                <w:highlight w:val="none"/>
                <w:lang w:val="en-US" w:eastAsia="zh-CN"/>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8"/>
                <w:szCs w:val="18"/>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hint="default"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680" w:type="dxa"/>
            <w:tcBorders>
              <w:top w:val="nil"/>
              <w:left w:val="nil"/>
              <w:bottom w:val="single" w:color="auto" w:sz="4" w:space="0"/>
              <w:right w:val="single" w:color="auto" w:sz="4" w:space="0"/>
            </w:tcBorders>
            <w:shd w:val="clear" w:color="auto" w:fill="auto"/>
            <w:vAlign w:val="center"/>
          </w:tcPr>
          <w:p>
            <w:pPr>
              <w:jc w:val="center"/>
              <w:rPr>
                <w:rFonts w:hint="default"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c>
          <w:tcPr>
            <w:tcW w:w="678" w:type="dxa"/>
            <w:tcBorders>
              <w:top w:val="nil"/>
              <w:left w:val="nil"/>
              <w:bottom w:val="single" w:color="auto" w:sz="4" w:space="0"/>
              <w:right w:val="single" w:color="auto" w:sz="4" w:space="0"/>
            </w:tcBorders>
            <w:shd w:val="clear" w:color="auto" w:fill="auto"/>
            <w:vAlign w:val="center"/>
          </w:tcPr>
          <w:p>
            <w:pPr>
              <w:jc w:val="right"/>
              <w:rPr>
                <w:rFonts w:hint="eastAsia" w:ascii="仿宋_GB2312" w:eastAsia="仿宋_GB2312"/>
                <w:color w:val="000000" w:themeColor="text1"/>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45" w:hRule="atLeast"/>
        </w:trPr>
        <w:tc>
          <w:tcPr>
            <w:tcW w:w="417" w:type="dxa"/>
            <w:tcBorders>
              <w:top w:val="nil"/>
              <w:left w:val="single" w:color="auto" w:sz="4" w:space="0"/>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417"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417"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2145" w:type="dxa"/>
            <w:tcBorders>
              <w:top w:val="nil"/>
              <w:left w:val="nil"/>
              <w:bottom w:val="nil"/>
              <w:right w:val="single" w:color="auto" w:sz="4" w:space="0"/>
            </w:tcBorders>
            <w:shd w:val="clear" w:color="auto" w:fill="auto"/>
            <w:vAlign w:val="center"/>
          </w:tcPr>
          <w:p>
            <w:pPr>
              <w:jc w:val="center"/>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合计</w:t>
            </w:r>
          </w:p>
        </w:tc>
        <w:tc>
          <w:tcPr>
            <w:tcW w:w="820" w:type="dxa"/>
            <w:tcBorders>
              <w:top w:val="nil"/>
              <w:left w:val="nil"/>
              <w:bottom w:val="nil"/>
              <w:right w:val="single" w:color="auto" w:sz="4" w:space="0"/>
            </w:tcBorders>
            <w:shd w:val="clear" w:color="auto" w:fill="auto"/>
            <w:vAlign w:val="center"/>
          </w:tcPr>
          <w:p>
            <w:pPr>
              <w:jc w:val="center"/>
              <w:rPr>
                <w:rFonts w:hint="default" w:ascii="仿宋_GB2312" w:hAnsi="宋体" w:eastAsia="仿宋_GB2312" w:cs="宋体"/>
                <w:color w:val="000000" w:themeColor="text1"/>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847.84</w:t>
            </w:r>
          </w:p>
        </w:tc>
        <w:tc>
          <w:tcPr>
            <w:tcW w:w="680" w:type="dxa"/>
            <w:tcBorders>
              <w:top w:val="nil"/>
              <w:left w:val="nil"/>
              <w:bottom w:val="nil"/>
              <w:right w:val="single" w:color="auto" w:sz="4" w:space="0"/>
            </w:tcBorders>
            <w:shd w:val="clear" w:color="auto" w:fill="auto"/>
            <w:vAlign w:val="center"/>
          </w:tcPr>
          <w:p>
            <w:pPr>
              <w:jc w:val="center"/>
              <w:rPr>
                <w:rFonts w:hint="default" w:ascii="仿宋_GB2312" w:hAnsi="宋体" w:eastAsia="仿宋_GB2312" w:cs="宋体"/>
                <w:color w:val="000000" w:themeColor="text1"/>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847.84</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80"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c>
          <w:tcPr>
            <w:tcW w:w="678" w:type="dxa"/>
            <w:tcBorders>
              <w:top w:val="nil"/>
              <w:left w:val="nil"/>
              <w:bottom w:val="nil"/>
              <w:right w:val="single" w:color="auto" w:sz="4" w:space="0"/>
            </w:tcBorders>
            <w:shd w:val="clear" w:color="auto" w:fill="auto"/>
            <w:vAlign w:val="center"/>
          </w:tcPr>
          <w:p>
            <w:pPr>
              <w:jc w:val="right"/>
              <w:rPr>
                <w:rFonts w:ascii="仿宋_GB2312" w:hAnsi="宋体" w:eastAsia="仿宋_GB2312" w:cs="宋体"/>
                <w:color w:val="000000" w:themeColor="text1"/>
                <w:sz w:val="20"/>
                <w:szCs w:val="20"/>
                <w:highlight w:val="none"/>
                <w14:textFill>
                  <w14:solidFill>
                    <w14:schemeClr w14:val="tx1"/>
                  </w14:solidFill>
                </w14:textFill>
              </w:rPr>
            </w:pPr>
            <w:r>
              <w:rPr>
                <w:rFonts w:hint="eastAsia" w:ascii="仿宋_GB2312" w:eastAsia="仿宋_GB2312"/>
                <w:color w:val="000000" w:themeColor="text1"/>
                <w:sz w:val="20"/>
                <w:szCs w:val="20"/>
                <w:highlight w:val="none"/>
                <w14:textFill>
                  <w14:solidFill>
                    <w14:schemeClr w14:val="tx1"/>
                  </w14:solidFill>
                </w14:textFill>
              </w:rPr>
              <w:t>　</w:t>
            </w:r>
          </w:p>
        </w:tc>
      </w:tr>
    </w:tbl>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表三：</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部门支出总体情况表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10"/>
        <w:tblW w:w="9229" w:type="dxa"/>
        <w:tblInd w:w="93" w:type="dxa"/>
        <w:tblLayout w:type="fixed"/>
        <w:tblCellMar>
          <w:top w:w="0" w:type="dxa"/>
          <w:left w:w="108" w:type="dxa"/>
          <w:bottom w:w="0" w:type="dxa"/>
          <w:right w:w="108" w:type="dxa"/>
        </w:tblCellMar>
      </w:tblPr>
      <w:tblGrid>
        <w:gridCol w:w="401"/>
        <w:gridCol w:w="400"/>
        <w:gridCol w:w="400"/>
        <w:gridCol w:w="2604"/>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支出预算</w:t>
            </w:r>
          </w:p>
        </w:tc>
      </w:tr>
      <w:tr>
        <w:tblPrEx>
          <w:tblLayout w:type="fixed"/>
          <w:tblCellMar>
            <w:top w:w="0" w:type="dxa"/>
            <w:left w:w="108" w:type="dxa"/>
            <w:bottom w:w="0" w:type="dxa"/>
            <w:right w:w="108" w:type="dxa"/>
          </w:tblCellMar>
        </w:tblPrEx>
        <w:trPr>
          <w:trHeight w:val="480" w:hRule="atLeast"/>
        </w:trPr>
        <w:tc>
          <w:tcPr>
            <w:tcW w:w="12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功能分类科目编码</w:t>
            </w:r>
          </w:p>
        </w:tc>
        <w:tc>
          <w:tcPr>
            <w:tcW w:w="26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270"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类</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款</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项</w:t>
            </w:r>
          </w:p>
        </w:tc>
        <w:tc>
          <w:tcPr>
            <w:tcW w:w="26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08</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代表工作</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3.78</w:t>
            </w:r>
          </w:p>
        </w:tc>
        <w:tc>
          <w:tcPr>
            <w:tcW w:w="1856" w:type="dxa"/>
            <w:tcBorders>
              <w:top w:val="nil"/>
              <w:left w:val="nil"/>
              <w:bottom w:val="single" w:color="auto" w:sz="4" w:space="0"/>
              <w:right w:val="single" w:color="auto" w:sz="4" w:space="0"/>
            </w:tcBorders>
            <w:shd w:val="clear" w:color="auto" w:fill="auto"/>
            <w:vAlign w:val="center"/>
          </w:tcPr>
          <w:p>
            <w:pPr>
              <w:jc w:val="both"/>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cs="宋体"/>
                <w:b/>
                <w:bCs/>
                <w:color w:val="000000" w:themeColor="text1"/>
                <w:kern w:val="0"/>
                <w:sz w:val="22"/>
                <w:szCs w:val="22"/>
                <w:highlight w:val="none"/>
                <w:lang w:val="en-US" w:eastAsia="zh-CN"/>
                <w14:textFill>
                  <w14:solidFill>
                    <w14:schemeClr w14:val="tx1"/>
                  </w14:solidFill>
                </w14:textFill>
              </w:rPr>
              <w:t xml:space="preserve">     </w:t>
            </w:r>
            <w:r>
              <w:rPr>
                <w:rFonts w:hint="eastAsia" w:ascii="仿宋_GB2312" w:eastAsia="仿宋_GB2312"/>
                <w:color w:val="000000" w:themeColor="text1"/>
                <w:sz w:val="15"/>
                <w:szCs w:val="15"/>
                <w:highlight w:val="none"/>
                <w:lang w:val="en-US" w:eastAsia="zh-CN"/>
                <w14:textFill>
                  <w14:solidFill>
                    <w14:schemeClr w14:val="tx1"/>
                  </w14:solidFill>
                </w14:textFill>
              </w:rPr>
              <w:t xml:space="preserve">  3.78</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31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204</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14:textFill>
                  <w14:solidFill>
                    <w14:schemeClr w14:val="tx1"/>
                  </w14:solidFill>
                </w14:textFill>
              </w:rPr>
              <w:t>归口管理的行政单位离退休</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1"/>
                <w:szCs w:val="11"/>
                <w:highlight w:val="none"/>
                <w14:textFill>
                  <w14:solidFill>
                    <w14:schemeClr w14:val="tx1"/>
                  </w14:solidFill>
                </w14:textFill>
              </w:rPr>
              <w:t>机关事业单位基本养老保险缴费支出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07</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16</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计划生育机构</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公务员医疗补助</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171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000000" w:themeColor="text1"/>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212</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城乡社区规划与管理</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213</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04</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事业运行</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133.44</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val="0"/>
                <w:bCs w:val="0"/>
                <w:color w:val="000000" w:themeColor="text1"/>
                <w:kern w:val="0"/>
                <w:sz w:val="15"/>
                <w:szCs w:val="15"/>
                <w:highlight w:val="none"/>
                <w:lang w:val="en-US" w:eastAsia="zh-CN"/>
                <w14:textFill>
                  <w14:solidFill>
                    <w14:schemeClr w14:val="tx1"/>
                  </w14:solidFill>
                </w14:textFill>
              </w:rPr>
            </w:pPr>
            <w:r>
              <w:rPr>
                <w:rFonts w:hint="eastAsia" w:ascii="宋体" w:hAnsi="宋体" w:cs="宋体"/>
                <w:b w:val="0"/>
                <w:bCs w:val="0"/>
                <w:color w:val="000000" w:themeColor="text1"/>
                <w:kern w:val="0"/>
                <w:sz w:val="15"/>
                <w:szCs w:val="15"/>
                <w:highlight w:val="none"/>
                <w:lang w:val="en-US" w:eastAsia="zh-CN"/>
                <w14:textFill>
                  <w14:solidFill>
                    <w14:schemeClr w14:val="tx1"/>
                  </w14:solidFill>
                </w14:textFill>
              </w:rPr>
              <w:t>133.44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color w:val="000000" w:themeColor="text1"/>
                <w:kern w:val="0"/>
                <w:sz w:val="15"/>
                <w:szCs w:val="15"/>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213</w:t>
            </w:r>
            <w:r>
              <w:rPr>
                <w:rFonts w:hint="eastAsia" w:ascii="仿宋_GB2312" w:eastAsia="仿宋_GB2312"/>
                <w:color w:val="000000" w:themeColor="text1"/>
                <w:sz w:val="11"/>
                <w:szCs w:val="11"/>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52</w:t>
            </w:r>
            <w:r>
              <w:rPr>
                <w:rFonts w:hint="eastAsia" w:ascii="仿宋_GB2312" w:eastAsia="仿宋_GB2312"/>
                <w:color w:val="000000" w:themeColor="text1"/>
                <w:sz w:val="13"/>
                <w:szCs w:val="13"/>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3"/>
                <w:szCs w:val="13"/>
                <w:highlight w:val="none"/>
                <w14:textFill>
                  <w14:solidFill>
                    <w14:schemeClr w14:val="tx1"/>
                  </w14:solidFill>
                </w14:textFill>
              </w:rPr>
              <w:t>对高校毕业生到基层任职补助</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16.99</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16.99</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1"/>
                <w:szCs w:val="11"/>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221</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p>
        </w:tc>
        <w:tc>
          <w:tcPr>
            <w:tcW w:w="40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p>
        </w:tc>
        <w:tc>
          <w:tcPr>
            <w:tcW w:w="26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住房公积金</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847.84</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r>
              <w:rPr>
                <w:rFonts w:hint="eastAsia" w:ascii="宋体" w:hAnsi="宋体" w:cs="宋体"/>
                <w:color w:val="000000" w:themeColor="text1"/>
                <w:kern w:val="0"/>
                <w:sz w:val="21"/>
                <w:szCs w:val="21"/>
                <w:highlight w:val="none"/>
                <w:lang w:val="en-US" w:eastAsia="zh-CN"/>
                <w14:textFill>
                  <w14:solidFill>
                    <w14:schemeClr w14:val="tx1"/>
                  </w14:solidFill>
                </w14:textFill>
              </w:rPr>
              <w:t>847.84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1"/>
                <w:szCs w:val="21"/>
                <w:highlight w:val="none"/>
                <w:lang w:val="en-US" w:eastAsia="zh-CN"/>
                <w14:textFill>
                  <w14:solidFill>
                    <w14:schemeClr w14:val="tx1"/>
                  </w14:solidFill>
                </w14:textFill>
              </w:rPr>
            </w:pPr>
          </w:p>
        </w:tc>
      </w:tr>
    </w:tbl>
    <w:p>
      <w:pPr>
        <w:widowControl/>
        <w:spacing w:beforeLines="50"/>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表四：</w:t>
      </w: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spacing w:beforeLines="50"/>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财政拨款收支预算总体情况表</w:t>
      </w:r>
    </w:p>
    <w:p>
      <w:pPr>
        <w:widowControl/>
        <w:spacing w:beforeLines="50"/>
        <w:outlineLvl w:val="1"/>
        <w:rPr>
          <w:rFonts w:ascii="仿宋_GB2312" w:hAnsi="宋体" w:eastAsia="仿宋_GB2312"/>
          <w:color w:val="000000" w:themeColor="text1"/>
          <w:kern w:val="0"/>
          <w:sz w:val="28"/>
          <w:szCs w:val="28"/>
          <w:highlight w:val="none"/>
          <w14:textFill>
            <w14:solidFill>
              <w14:schemeClr w14:val="tx1"/>
            </w14:solidFill>
          </w14:textFill>
        </w:rPr>
      </w:pPr>
      <w:r>
        <w:rPr>
          <w:rFonts w:hint="eastAsia" w:ascii="仿宋_GB2312" w:hAnsi="宋体" w:eastAsia="仿宋_GB2312"/>
          <w:color w:val="000000" w:themeColor="text1"/>
          <w:kern w:val="0"/>
          <w:sz w:val="28"/>
          <w:szCs w:val="28"/>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8"/>
          <w:szCs w:val="28"/>
          <w:highlight w:val="none"/>
          <w14:textFill>
            <w14:solidFill>
              <w14:schemeClr w14:val="tx1"/>
            </w14:solidFill>
          </w14:textFill>
        </w:rPr>
        <w:t xml:space="preserve">                      单位：万元</w:t>
      </w:r>
    </w:p>
    <w:tbl>
      <w:tblPr>
        <w:tblStyle w:val="10"/>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lang w:val="en-US" w:eastAsia="zh-CN"/>
                <w14:textFill>
                  <w14:solidFill>
                    <w14:schemeClr w14:val="tx1"/>
                  </w14:solidFill>
                </w14:textFill>
              </w:rPr>
              <w:t>847.84</w:t>
            </w:r>
            <w:r>
              <w:rPr>
                <w:rFonts w:hint="eastAsia" w:ascii="宋体" w:hAnsi="宋体" w:eastAsia="宋体" w:cs="宋体"/>
                <w:color w:val="000000" w:themeColor="text1"/>
                <w:kern w:val="0"/>
                <w:sz w:val="18"/>
                <w:szCs w:val="18"/>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417.67</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417.7</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lang w:val="en-US" w:eastAsia="zh-CN"/>
                <w14:textFill>
                  <w14:solidFill>
                    <w14:schemeClr w14:val="tx1"/>
                  </w14:solidFill>
                </w14:textFill>
              </w:rPr>
              <w:t>847.84</w:t>
            </w:r>
            <w:r>
              <w:rPr>
                <w:rFonts w:hint="eastAsia" w:ascii="宋体" w:hAnsi="宋体" w:eastAsia="宋体" w:cs="宋体"/>
                <w:color w:val="000000" w:themeColor="text1"/>
                <w:kern w:val="0"/>
                <w:sz w:val="18"/>
                <w:szCs w:val="18"/>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8.95</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8.95</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90.37</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90.37</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100.08</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100.08</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33.08</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33.08</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150.43</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150.43</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47.26</w:t>
            </w: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val="en-US" w:eastAsia="zh-CN"/>
                <w14:textFill>
                  <w14:solidFill>
                    <w14:schemeClr w14:val="tx1"/>
                  </w14:solidFill>
                </w14:textFill>
              </w:rPr>
              <w:t>47.26</w:t>
            </w: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223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233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lang w:val="en-US" w:eastAsia="zh-CN"/>
                <w14:textFill>
                  <w14:solidFill>
                    <w14:schemeClr w14:val="tx1"/>
                  </w14:solidFill>
                </w14:textFill>
              </w:rPr>
              <w:t>847.84</w:t>
            </w: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22"/>
                <w:szCs w:val="22"/>
                <w:highlight w:val="none"/>
                <w:lang w:val="en-US" w:eastAsia="zh-CN"/>
                <w14:textFill>
                  <w14:solidFill>
                    <w14:schemeClr w14:val="tx1"/>
                  </w14:solidFill>
                </w14:textFill>
              </w:rPr>
              <w:t>847.84</w:t>
            </w: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22"/>
                <w:szCs w:val="22"/>
                <w:highlight w:val="none"/>
                <w:lang w:val="en-US" w:eastAsia="zh-CN"/>
                <w14:textFill>
                  <w14:solidFill>
                    <w14:schemeClr w14:val="tx1"/>
                  </w14:solidFill>
                </w14:textFill>
              </w:rPr>
              <w:t>847.84</w:t>
            </w: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表五：</w:t>
      </w:r>
    </w:p>
    <w:tbl>
      <w:tblPr>
        <w:tblStyle w:val="10"/>
        <w:tblW w:w="9087" w:type="dxa"/>
        <w:tblInd w:w="93" w:type="dxa"/>
        <w:tblLayout w:type="fixed"/>
        <w:tblCellMar>
          <w:top w:w="0" w:type="dxa"/>
          <w:left w:w="108" w:type="dxa"/>
          <w:bottom w:w="0" w:type="dxa"/>
          <w:right w:w="108" w:type="dxa"/>
        </w:tblCellMar>
      </w:tblPr>
      <w:tblGrid>
        <w:gridCol w:w="441"/>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s="宋体"/>
                <w:color w:val="000000" w:themeColor="text1"/>
                <w:kern w:val="0"/>
                <w:sz w:val="24"/>
                <w:highlight w:val="none"/>
                <w:lang w:eastAsia="zh-CN"/>
                <w14:textFill>
                  <w14:solidFill>
                    <w14:schemeClr w14:val="tx1"/>
                  </w14:solidFill>
                </w14:textFill>
              </w:rPr>
              <w:t>：</w:t>
            </w:r>
            <w:r>
              <w:rPr>
                <w:rFonts w:hint="eastAsia" w:ascii="仿宋_GB2312" w:hAnsi="宋体" w:eastAsia="仿宋_GB2312"/>
                <w:color w:val="000000" w:themeColor="text1"/>
                <w:kern w:val="0"/>
                <w:sz w:val="21"/>
                <w:szCs w:val="21"/>
                <w:highlight w:val="none"/>
                <w:lang w:eastAsia="zh-CN"/>
                <w14:textFill>
                  <w14:solidFill>
                    <w14:schemeClr w14:val="tx1"/>
                  </w14:solidFill>
                </w14:textFill>
              </w:rPr>
              <w:t>阜康市水磨沟乡人民政府</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3327" w:type="dxa"/>
            <w:gridSpan w:val="2"/>
            <w:tcBorders>
              <w:top w:val="nil"/>
              <w:left w:val="nil"/>
              <w:bottom w:val="nil"/>
              <w:right w:val="nil"/>
            </w:tcBorders>
            <w:shd w:val="clear" w:color="auto" w:fill="auto"/>
            <w:vAlign w:val="center"/>
          </w:tcPr>
          <w:p>
            <w:pPr>
              <w:widowControl/>
              <w:jc w:val="center"/>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10.93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08</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代表工作</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3.78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3.78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310.64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19.51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41.79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201</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31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31.01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204</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06</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8.95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23.05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14:textFill>
                  <w14:solidFill>
                    <w14:schemeClr w14:val="tx1"/>
                  </w14:solidFill>
                </w14:textFill>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2.35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208</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05</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14:textFill>
                  <w14:solidFill>
                    <w14:schemeClr w14:val="tx1"/>
                  </w14:solidFill>
                </w14:textFill>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64.97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07</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16</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计划生育机构</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47.42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18.80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17.78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210</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11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03</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16.09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212</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城乡社区规划与管理</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33.08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213</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04</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事业运行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133.44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133.44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213</w:t>
            </w:r>
            <w:r>
              <w:rPr>
                <w:rFonts w:hint="eastAsia" w:ascii="仿宋_GB2312" w:eastAsia="仿宋_GB2312"/>
                <w:color w:val="000000" w:themeColor="text1"/>
                <w:sz w:val="11"/>
                <w:szCs w:val="11"/>
                <w:highlight w:val="none"/>
                <w14:textFill>
                  <w14:solidFill>
                    <w14:schemeClr w14:val="tx1"/>
                  </w14:solidFill>
                </w14:textFill>
              </w:rPr>
              <w:t>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r>
              <w:rPr>
                <w:rFonts w:hint="eastAsia" w:ascii="仿宋_GB2312" w:eastAsia="仿宋_GB2312"/>
                <w:color w:val="000000" w:themeColor="text1"/>
                <w:sz w:val="13"/>
                <w:szCs w:val="13"/>
                <w:highlight w:val="none"/>
                <w14:textFill>
                  <w14:solidFill>
                    <w14:schemeClr w14:val="tx1"/>
                  </w14:solidFill>
                </w14:textFill>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52</w:t>
            </w:r>
            <w:r>
              <w:rPr>
                <w:rFonts w:hint="eastAsia" w:ascii="仿宋_GB2312" w:eastAsia="仿宋_GB2312"/>
                <w:color w:val="000000" w:themeColor="text1"/>
                <w:sz w:val="13"/>
                <w:szCs w:val="13"/>
                <w:highlight w:val="none"/>
                <w14:textFill>
                  <w14:solidFill>
                    <w14:schemeClr w14:val="tx1"/>
                  </w14:solidFill>
                </w14:textFill>
              </w:rPr>
              <w:t>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14:textFill>
                  <w14:solidFill>
                    <w14:schemeClr w14:val="tx1"/>
                  </w14:solidFill>
                </w14:textFill>
              </w:rPr>
              <w:t>对高校毕业生到基层任职补助</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sz w:val="15"/>
                <w:szCs w:val="15"/>
                <w:highlight w:val="none"/>
                <w:lang w:val="en-US" w:eastAsia="zh-CN"/>
                <w14:textFill>
                  <w14:solidFill>
                    <w14:schemeClr w14:val="tx1"/>
                  </w14:solidFill>
                </w14:textFill>
              </w:rPr>
              <w:t>16.99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16.99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1"/>
                <w:szCs w:val="11"/>
                <w:highlight w:val="none"/>
                <w:lang w:val="en-US" w:eastAsia="zh-CN"/>
                <w14:textFill>
                  <w14:solidFill>
                    <w14:schemeClr w14:val="tx1"/>
                  </w14:solidFill>
                </w14:textFill>
              </w:rPr>
              <w:t>221</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02</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3"/>
                <w:szCs w:val="13"/>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8"/>
                <w:szCs w:val="18"/>
                <w:highlight w:val="none"/>
                <w14:textFill>
                  <w14:solidFill>
                    <w14:schemeClr w14:val="tx1"/>
                  </w14:solidFill>
                </w14:textFill>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47.26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847.84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eastAsia="仿宋_GB2312"/>
                <w:color w:val="000000" w:themeColor="text1"/>
                <w:sz w:val="15"/>
                <w:szCs w:val="15"/>
                <w:highlight w:val="none"/>
                <w:lang w:val="en-US" w:eastAsia="zh-CN"/>
                <w14:textFill>
                  <w14:solidFill>
                    <w14:schemeClr w14:val="tx1"/>
                  </w14:solidFill>
                </w14:textFill>
              </w:rPr>
            </w:pPr>
            <w:r>
              <w:rPr>
                <w:rFonts w:hint="eastAsia" w:ascii="仿宋_GB2312" w:eastAsia="仿宋_GB2312"/>
                <w:color w:val="000000" w:themeColor="text1"/>
                <w:sz w:val="15"/>
                <w:szCs w:val="15"/>
                <w:highlight w:val="none"/>
                <w:lang w:val="en-US" w:eastAsia="zh-CN"/>
                <w14:textFill>
                  <w14:solidFill>
                    <w14:schemeClr w14:val="tx1"/>
                  </w14:solidFill>
                </w14:textFill>
              </w:rPr>
              <w:t>847.84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eastAsia="仿宋_GB2312"/>
                <w:color w:val="000000" w:themeColor="text1"/>
                <w:sz w:val="15"/>
                <w:szCs w:val="15"/>
                <w:highlight w:val="none"/>
                <w:lang w:val="en-US" w:eastAsia="zh-CN"/>
                <w14:textFill>
                  <w14:solidFill>
                    <w14:schemeClr w14:val="tx1"/>
                  </w14:solidFill>
                </w14:textFill>
              </w:rPr>
            </w:pPr>
          </w:p>
        </w:tc>
      </w:tr>
    </w:tbl>
    <w:p>
      <w:pPr>
        <w:widowControl/>
        <w:outlineLvl w:val="1"/>
        <w:rPr>
          <w:rFonts w:hint="eastAsia" w:ascii="仿宋_GB2312" w:hAnsi="宋体" w:eastAsia="仿宋_GB2312"/>
          <w:b/>
          <w:color w:val="000000" w:themeColor="text1"/>
          <w:kern w:val="0"/>
          <w:sz w:val="28"/>
          <w:szCs w:val="32"/>
          <w:highlight w:val="none"/>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表六：</w:t>
      </w:r>
    </w:p>
    <w:tbl>
      <w:tblPr>
        <w:tblStyle w:val="10"/>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themeColor="text1"/>
                <w:kern w:val="0"/>
                <w:sz w:val="20"/>
                <w:szCs w:val="20"/>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themeColor="text1"/>
                <w:kern w:val="0"/>
                <w:sz w:val="20"/>
                <w:szCs w:val="20"/>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01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316.94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316.94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themeColor="text1"/>
                <w:kern w:val="0"/>
                <w:sz w:val="20"/>
                <w:szCs w:val="20"/>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themeColor="text1"/>
                <w:kern w:val="0"/>
                <w:sz w:val="20"/>
                <w:szCs w:val="20"/>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02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3.24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20.42</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20.42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64.97</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64.97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29.62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29.62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12.99</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12.99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47.26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47.26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132.52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132.52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both"/>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7.52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3.76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13.80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13.80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6.57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6.57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0.63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158.91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158.91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12.41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12.41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847.84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643.37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204.47</w:t>
            </w:r>
          </w:p>
        </w:tc>
      </w:tr>
    </w:tbl>
    <w:p>
      <w:pPr>
        <w:widowControl/>
        <w:outlineLvl w:val="1"/>
        <w:rPr>
          <w:rFonts w:hint="eastAsia" w:ascii="仿宋_GB2312" w:hAnsi="宋体" w:eastAsia="仿宋_GB2312"/>
          <w:b/>
          <w:color w:val="000000" w:themeColor="text1"/>
          <w:kern w:val="0"/>
          <w:sz w:val="28"/>
          <w:szCs w:val="32"/>
          <w:highlight w:val="none"/>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表七：</w:t>
      </w:r>
    </w:p>
    <w:tbl>
      <w:tblPr>
        <w:tblStyle w:val="10"/>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683"/>
        <w:gridCol w:w="177"/>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科目</w:t>
            </w:r>
          </w:p>
        </w:tc>
        <w:tc>
          <w:tcPr>
            <w:tcW w:w="1456" w:type="dxa"/>
            <w:vMerge w:val="restart"/>
            <w:shd w:val="clear" w:color="auto" w:fill="auto"/>
            <w:vAlign w:val="center"/>
          </w:tcPr>
          <w:p>
            <w:pPr>
              <w:jc w:val="center"/>
              <w:rPr>
                <w:rFonts w:ascii="Calibri" w:hAnsi="Calibri"/>
                <w:color w:val="000000" w:themeColor="text1"/>
                <w:sz w:val="24"/>
                <w:highlight w:val="none"/>
                <w14:textFill>
                  <w14:solidFill>
                    <w14:schemeClr w14:val="tx1"/>
                  </w14:solidFill>
                </w14:textFill>
              </w:rPr>
            </w:pPr>
            <w:r>
              <w:rPr>
                <w:rFonts w:hint="eastAsia" w:ascii="仿宋_GB2312" w:hAnsi="宋体" w:eastAsia="仿宋_GB2312"/>
                <w:b/>
                <w:color w:val="000000" w:themeColor="text1"/>
                <w:kern w:val="0"/>
                <w:sz w:val="24"/>
                <w:highlight w:val="none"/>
                <w14:textFill>
                  <w14:solidFill>
                    <w14:schemeClr w14:val="tx1"/>
                  </w14:solidFill>
                </w14:textFill>
              </w:rPr>
              <w:t>项目名称</w:t>
            </w:r>
          </w:p>
        </w:tc>
        <w:tc>
          <w:tcPr>
            <w:tcW w:w="683"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项目支出合计</w:t>
            </w:r>
          </w:p>
        </w:tc>
        <w:tc>
          <w:tcPr>
            <w:tcW w:w="636"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83"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36"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宋体" w:hAnsi="宋体" w:eastAsia="宋体" w:cs="宋体"/>
                <w:color w:val="000000" w:themeColor="text1"/>
                <w:kern w:val="0"/>
                <w:sz w:val="18"/>
                <w:szCs w:val="18"/>
                <w:highlight w:val="none"/>
                <w14:textFill>
                  <w14:solidFill>
                    <w14:schemeClr w14:val="tx1"/>
                  </w14:solidFill>
                </w14:textFill>
              </w:rPr>
            </w:pPr>
          </w:p>
        </w:tc>
        <w:tc>
          <w:tcPr>
            <w:tcW w:w="397" w:type="dxa"/>
            <w:shd w:val="clear" w:color="auto" w:fill="auto"/>
          </w:tcPr>
          <w:p>
            <w:pPr>
              <w:widowControl/>
              <w:jc w:val="left"/>
              <w:outlineLvl w:val="1"/>
              <w:rPr>
                <w:rFonts w:hint="eastAsia" w:ascii="宋体" w:hAnsi="宋体" w:eastAsia="宋体" w:cs="宋体"/>
                <w:color w:val="000000" w:themeColor="text1"/>
                <w:kern w:val="0"/>
                <w:sz w:val="18"/>
                <w:szCs w:val="18"/>
                <w:highlight w:val="none"/>
                <w14:textFill>
                  <w14:solidFill>
                    <w14:schemeClr w14:val="tx1"/>
                  </w14:solidFill>
                </w14:textFill>
              </w:rPr>
            </w:pPr>
          </w:p>
        </w:tc>
        <w:tc>
          <w:tcPr>
            <w:tcW w:w="397" w:type="dxa"/>
            <w:shd w:val="clear" w:color="auto" w:fill="auto"/>
          </w:tcPr>
          <w:p>
            <w:pPr>
              <w:widowControl/>
              <w:jc w:val="left"/>
              <w:outlineLvl w:val="1"/>
              <w:rPr>
                <w:rFonts w:hint="eastAsia" w:ascii="宋体" w:hAnsi="宋体" w:eastAsia="宋体" w:cs="宋体"/>
                <w:color w:val="000000" w:themeColor="text1"/>
                <w:kern w:val="0"/>
                <w:sz w:val="18"/>
                <w:szCs w:val="18"/>
                <w:highlight w:val="none"/>
                <w14:textFill>
                  <w14:solidFill>
                    <w14:schemeClr w14:val="tx1"/>
                  </w14:solidFill>
                </w14:textFill>
              </w:rPr>
            </w:pPr>
          </w:p>
        </w:tc>
        <w:tc>
          <w:tcPr>
            <w:tcW w:w="851" w:type="dxa"/>
            <w:shd w:val="clear" w:color="auto" w:fill="auto"/>
            <w:vAlign w:val="center"/>
          </w:tcPr>
          <w:p>
            <w:pPr>
              <w:widowControl/>
              <w:jc w:val="center"/>
              <w:outlineLvl w:val="1"/>
              <w:rPr>
                <w:rFonts w:ascii="仿宋_GB2312" w:hAnsi="宋体" w:eastAsia="仿宋_GB2312"/>
                <w:color w:val="000000" w:themeColor="text1"/>
                <w:kern w:val="0"/>
                <w:sz w:val="18"/>
                <w:szCs w:val="18"/>
                <w:highlight w:val="none"/>
                <w14:textFill>
                  <w14:solidFill>
                    <w14:schemeClr w14:val="tx1"/>
                  </w14:solidFill>
                </w14:textFill>
              </w:rPr>
            </w:pPr>
          </w:p>
        </w:tc>
        <w:tc>
          <w:tcPr>
            <w:tcW w:w="1456" w:type="dxa"/>
            <w:shd w:val="clear" w:color="auto" w:fill="auto"/>
            <w:vAlign w:val="center"/>
          </w:tcPr>
          <w:p>
            <w:pPr>
              <w:widowControl/>
              <w:jc w:val="center"/>
              <w:outlineLvl w:val="1"/>
              <w:rPr>
                <w:rFonts w:ascii="仿宋_GB2312" w:hAnsi="宋体" w:eastAsia="仿宋_GB2312"/>
                <w:color w:val="000000" w:themeColor="text1"/>
                <w:kern w:val="0"/>
                <w:sz w:val="18"/>
                <w:szCs w:val="18"/>
                <w:highlight w:val="none"/>
                <w14:textFill>
                  <w14:solidFill>
                    <w14:schemeClr w14:val="tx1"/>
                  </w14:solidFill>
                </w14:textFill>
              </w:rPr>
            </w:pPr>
          </w:p>
        </w:tc>
        <w:tc>
          <w:tcPr>
            <w:tcW w:w="683" w:type="dxa"/>
            <w:shd w:val="clear" w:color="auto" w:fill="auto"/>
            <w:vAlign w:val="center"/>
          </w:tcPr>
          <w:p>
            <w:pPr>
              <w:widowControl/>
              <w:jc w:val="center"/>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636" w:type="dxa"/>
            <w:gridSpan w:val="2"/>
            <w:shd w:val="clear" w:color="auto" w:fill="auto"/>
            <w:vAlign w:val="center"/>
          </w:tcPr>
          <w:p>
            <w:pPr>
              <w:widowControl/>
              <w:jc w:val="center"/>
              <w:outlineLvl w:val="1"/>
              <w:rPr>
                <w:rFonts w:hint="eastAsia" w:ascii="仿宋_GB2312" w:hAnsi="宋体" w:eastAsia="仿宋_GB2312"/>
                <w:color w:val="000000" w:themeColor="text1"/>
                <w:kern w:val="0"/>
                <w:sz w:val="18"/>
                <w:szCs w:val="18"/>
                <w:highlight w:val="none"/>
                <w:lang w:val="en-US" w:eastAsia="zh-CN"/>
                <w14:textFill>
                  <w14:solidFill>
                    <w14:schemeClr w14:val="tx1"/>
                  </w14:solidFill>
                </w14:textFill>
              </w:rPr>
            </w:pPr>
          </w:p>
        </w:tc>
        <w:tc>
          <w:tcPr>
            <w:tcW w:w="536" w:type="dxa"/>
            <w:shd w:val="clear" w:color="auto" w:fill="auto"/>
            <w:vAlign w:val="center"/>
          </w:tcPr>
          <w:p>
            <w:pPr>
              <w:widowControl/>
              <w:jc w:val="both"/>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652" w:type="dxa"/>
            <w:shd w:val="clear" w:color="auto" w:fill="auto"/>
          </w:tcPr>
          <w:p>
            <w:pPr>
              <w:widowControl/>
              <w:jc w:val="left"/>
              <w:outlineLvl w:val="1"/>
              <w:rPr>
                <w:rFonts w:hint="eastAsia" w:ascii="仿宋_GB2312" w:hAnsi="宋体" w:eastAsia="仿宋_GB2312"/>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olor w:val="000000" w:themeColor="text1"/>
                <w:kern w:val="0"/>
                <w:sz w:val="21"/>
                <w:szCs w:val="21"/>
                <w:highlight w:val="none"/>
                <w:lang w:val="en-US" w:eastAsia="zh-CN"/>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宋体" w:hAnsi="宋体" w:eastAsia="宋体" w:cs="宋体"/>
                <w:color w:val="000000" w:themeColor="text1"/>
                <w:kern w:val="0"/>
                <w:sz w:val="18"/>
                <w:szCs w:val="18"/>
                <w:highlight w:val="none"/>
                <w:lang w:val="en-US" w:eastAsia="zh-CN"/>
                <w14:textFill>
                  <w14:solidFill>
                    <w14:schemeClr w14:val="tx1"/>
                  </w14:solidFill>
                </w14:textFill>
              </w:rPr>
            </w:pPr>
          </w:p>
        </w:tc>
        <w:tc>
          <w:tcPr>
            <w:tcW w:w="397" w:type="dxa"/>
            <w:shd w:val="clear" w:color="auto" w:fill="auto"/>
          </w:tcPr>
          <w:p>
            <w:pPr>
              <w:widowControl/>
              <w:jc w:val="left"/>
              <w:outlineLvl w:val="1"/>
              <w:rPr>
                <w:rFonts w:hint="eastAsia" w:ascii="宋体" w:hAnsi="宋体" w:eastAsia="宋体" w:cs="宋体"/>
                <w:color w:val="000000" w:themeColor="text1"/>
                <w:kern w:val="0"/>
                <w:sz w:val="18"/>
                <w:szCs w:val="18"/>
                <w:highlight w:val="none"/>
                <w:lang w:val="en-US" w:eastAsia="zh-CN"/>
                <w14:textFill>
                  <w14:solidFill>
                    <w14:schemeClr w14:val="tx1"/>
                  </w14:solidFill>
                </w14:textFill>
              </w:rPr>
            </w:pPr>
          </w:p>
        </w:tc>
        <w:tc>
          <w:tcPr>
            <w:tcW w:w="397" w:type="dxa"/>
            <w:shd w:val="clear" w:color="auto" w:fill="auto"/>
          </w:tcPr>
          <w:p>
            <w:pPr>
              <w:widowControl/>
              <w:jc w:val="left"/>
              <w:outlineLvl w:val="1"/>
              <w:rPr>
                <w:rFonts w:hint="eastAsia" w:ascii="宋体" w:hAnsi="宋体" w:eastAsia="宋体" w:cs="宋体"/>
                <w:color w:val="000000" w:themeColor="text1"/>
                <w:kern w:val="0"/>
                <w:sz w:val="18"/>
                <w:szCs w:val="18"/>
                <w:highlight w:val="none"/>
                <w:lang w:val="en-US" w:eastAsia="zh-CN"/>
                <w14:textFill>
                  <w14:solidFill>
                    <w14:schemeClr w14:val="tx1"/>
                  </w14:solidFill>
                </w14:textFill>
              </w:rPr>
            </w:pPr>
          </w:p>
        </w:tc>
        <w:tc>
          <w:tcPr>
            <w:tcW w:w="851" w:type="dxa"/>
            <w:shd w:val="clear" w:color="auto" w:fill="auto"/>
          </w:tcPr>
          <w:p>
            <w:pPr>
              <w:widowControl/>
              <w:jc w:val="center"/>
              <w:outlineLvl w:val="1"/>
              <w:rPr>
                <w:rFonts w:ascii="仿宋_GB2312" w:hAnsi="宋体" w:eastAsia="仿宋_GB2312"/>
                <w:color w:val="000000" w:themeColor="text1"/>
                <w:kern w:val="0"/>
                <w:sz w:val="32"/>
                <w:szCs w:val="32"/>
                <w:highlight w:val="none"/>
                <w14:textFill>
                  <w14:solidFill>
                    <w14:schemeClr w14:val="tx1"/>
                  </w14:solidFill>
                </w14:textFill>
              </w:rPr>
            </w:pPr>
          </w:p>
        </w:tc>
        <w:tc>
          <w:tcPr>
            <w:tcW w:w="1456" w:type="dxa"/>
            <w:shd w:val="clear" w:color="auto" w:fill="auto"/>
            <w:vAlign w:val="center"/>
          </w:tcPr>
          <w:p>
            <w:pPr>
              <w:widowControl/>
              <w:jc w:val="center"/>
              <w:outlineLvl w:val="1"/>
              <w:rPr>
                <w:rFonts w:ascii="仿宋_GB2312" w:hAnsi="宋体" w:eastAsia="仿宋_GB2312"/>
                <w:color w:val="000000" w:themeColor="text1"/>
                <w:kern w:val="0"/>
                <w:sz w:val="32"/>
                <w:szCs w:val="32"/>
                <w:highlight w:val="none"/>
                <w14:textFill>
                  <w14:solidFill>
                    <w14:schemeClr w14:val="tx1"/>
                  </w14:solidFill>
                </w14:textFill>
              </w:rPr>
            </w:pPr>
          </w:p>
        </w:tc>
        <w:tc>
          <w:tcPr>
            <w:tcW w:w="683" w:type="dxa"/>
            <w:shd w:val="clear" w:color="auto" w:fill="auto"/>
            <w:vAlign w:val="center"/>
          </w:tcPr>
          <w:p>
            <w:pPr>
              <w:widowControl/>
              <w:jc w:val="center"/>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636" w:type="dxa"/>
            <w:gridSpan w:val="2"/>
            <w:shd w:val="clear" w:color="auto" w:fill="auto"/>
            <w:vAlign w:val="center"/>
          </w:tcPr>
          <w:p>
            <w:pPr>
              <w:widowControl/>
              <w:jc w:val="both"/>
              <w:outlineLvl w:val="1"/>
              <w:rPr>
                <w:rFonts w:hint="eastAsia"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536" w:type="dxa"/>
            <w:shd w:val="clear" w:color="auto" w:fill="auto"/>
            <w:vAlign w:val="center"/>
          </w:tcPr>
          <w:p>
            <w:pPr>
              <w:widowControl/>
              <w:jc w:val="center"/>
              <w:outlineLvl w:val="1"/>
              <w:rPr>
                <w:rFonts w:hint="eastAsia" w:ascii="仿宋_GB2312" w:hAnsi="宋体" w:eastAsia="仿宋_GB2312"/>
                <w:color w:val="000000" w:themeColor="text1"/>
                <w:kern w:val="0"/>
                <w:sz w:val="18"/>
                <w:szCs w:val="18"/>
                <w:highlight w:val="none"/>
                <w:lang w:val="en-US" w:eastAsia="zh-CN"/>
                <w14:textFill>
                  <w14:solidFill>
                    <w14:schemeClr w14:val="tx1"/>
                  </w14:solidFill>
                </w14:textFill>
              </w:rPr>
            </w:pPr>
          </w:p>
        </w:tc>
        <w:tc>
          <w:tcPr>
            <w:tcW w:w="652" w:type="dxa"/>
            <w:shd w:val="clear" w:color="auto" w:fill="auto"/>
          </w:tcPr>
          <w:p>
            <w:pPr>
              <w:widowControl/>
              <w:jc w:val="left"/>
              <w:outlineLvl w:val="1"/>
              <w:rPr>
                <w:rFonts w:hint="eastAsia" w:ascii="仿宋_GB2312" w:hAnsi="宋体" w:eastAsia="仿宋_GB2312"/>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olor w:val="000000" w:themeColor="text1"/>
                <w:kern w:val="0"/>
                <w:sz w:val="21"/>
                <w:szCs w:val="21"/>
                <w:highlight w:val="none"/>
                <w:lang w:val="en-US" w:eastAsia="zh-CN"/>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83"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36"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vAlign w:val="center"/>
          </w:tcPr>
          <w:p>
            <w:pPr>
              <w:widowControl/>
              <w:jc w:val="center"/>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Cs w:val="21"/>
                <w:highlight w:val="none"/>
                <w14:textFill>
                  <w14:solidFill>
                    <w14:schemeClr w14:val="tx1"/>
                  </w14:solidFill>
                </w14:textFill>
              </w:rPr>
              <w:t>合计</w:t>
            </w:r>
          </w:p>
        </w:tc>
        <w:tc>
          <w:tcPr>
            <w:tcW w:w="683" w:type="dxa"/>
            <w:shd w:val="clear" w:color="auto" w:fill="auto"/>
            <w:vAlign w:val="center"/>
          </w:tcPr>
          <w:p>
            <w:pPr>
              <w:widowControl/>
              <w:jc w:val="center"/>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636" w:type="dxa"/>
            <w:gridSpan w:val="2"/>
            <w:shd w:val="clear" w:color="auto" w:fill="auto"/>
            <w:vAlign w:val="center"/>
          </w:tcPr>
          <w:p>
            <w:pPr>
              <w:widowControl/>
              <w:jc w:val="center"/>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536" w:type="dxa"/>
            <w:shd w:val="clear" w:color="auto" w:fill="auto"/>
          </w:tcPr>
          <w:p>
            <w:pPr>
              <w:widowControl/>
              <w:jc w:val="left"/>
              <w:outlineLvl w:val="1"/>
              <w:rPr>
                <w:rFonts w:hint="default" w:ascii="仿宋_GB2312" w:hAnsi="宋体" w:eastAsia="仿宋_GB2312"/>
                <w:color w:val="000000" w:themeColor="text1"/>
                <w:kern w:val="0"/>
                <w:sz w:val="15"/>
                <w:szCs w:val="15"/>
                <w:highlight w:val="none"/>
                <w:lang w:val="en-US" w:eastAsia="zh-CN"/>
                <w14:textFill>
                  <w14:solidFill>
                    <w14:schemeClr w14:val="tx1"/>
                  </w14:solidFill>
                </w14:textFill>
              </w:rPr>
            </w:pP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bl>
    <w:p>
      <w:pPr>
        <w:widowControl/>
        <w:outlineLvl w:val="1"/>
        <w:rPr>
          <w:rFonts w:hint="eastAsia" w:ascii="仿宋_GB2312" w:hAnsi="宋体" w:eastAsia="仿宋_GB2312"/>
          <w:b/>
          <w:color w:val="000000" w:themeColor="text1"/>
          <w:kern w:val="0"/>
          <w:sz w:val="28"/>
          <w:szCs w:val="32"/>
          <w:highlight w:val="none"/>
          <w14:textFill>
            <w14:solidFill>
              <w14:schemeClr w14:val="tx1"/>
            </w14:solidFill>
          </w14:textFill>
        </w:rPr>
      </w:pPr>
    </w:p>
    <w:p>
      <w:pPr>
        <w:widowControl/>
        <w:ind w:firstLine="562" w:firstLineChars="200"/>
        <w:outlineLvl w:val="1"/>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r>
        <w:rPr>
          <w:rFonts w:hint="eastAsia" w:ascii="仿宋_GB2312" w:hAnsi="宋体" w:eastAsia="仿宋_GB2312"/>
          <w:b/>
          <w:color w:val="000000" w:themeColor="text1"/>
          <w:kern w:val="0"/>
          <w:sz w:val="28"/>
          <w:szCs w:val="32"/>
          <w:highlight w:val="none"/>
          <w:lang w:val="en-US" w:eastAsia="zh-CN"/>
          <w14:textFill>
            <w14:solidFill>
              <w14:schemeClr w14:val="tx1"/>
            </w14:solidFill>
          </w14:textFill>
        </w:rPr>
        <w:t>阜康市水磨沟乡人民政府2019年未安排项目支出，因此</w:t>
      </w:r>
      <w:r>
        <w:rPr>
          <w:rFonts w:hint="eastAsia" w:ascii="仿宋_GB2312" w:hAnsi="宋体" w:eastAsia="仿宋_GB2312"/>
          <w:b/>
          <w:color w:val="000000" w:themeColor="text1"/>
          <w:kern w:val="0"/>
          <w:sz w:val="28"/>
          <w:szCs w:val="32"/>
          <w:highlight w:val="none"/>
          <w:lang w:eastAsia="zh-CN"/>
          <w14:textFill>
            <w14:solidFill>
              <w14:schemeClr w14:val="tx1"/>
            </w14:solidFill>
          </w14:textFill>
        </w:rPr>
        <w:t>没有项目支出，项目支出情况表为空表。</w:t>
      </w:r>
    </w:p>
    <w:p>
      <w:pPr>
        <w:widowControl/>
        <w:ind w:firstLine="562" w:firstLineChars="200"/>
        <w:outlineLvl w:val="1"/>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表八：</w:t>
      </w: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一般公共预算“三公”经费支出情况表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编制单位：</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10"/>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themeColor="text1"/>
                <w:kern w:val="0"/>
                <w:sz w:val="22"/>
                <w:szCs w:val="22"/>
                <w:highlight w:val="none"/>
                <w14:textFill>
                  <w14:solidFill>
                    <w14:schemeClr w14:val="tx1"/>
                  </w14:solidFill>
                </w14:textFill>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themeColor="text1"/>
                <w:kern w:val="0"/>
                <w:sz w:val="22"/>
                <w:szCs w:val="22"/>
                <w:highlight w:val="none"/>
                <w14:textFill>
                  <w14:solidFill>
                    <w14:schemeClr w14:val="tx1"/>
                  </w14:solidFill>
                </w14:textFill>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13.80</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0</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10.80</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0</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10.80</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3</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bl>
    <w:p>
      <w:pPr>
        <w:widowControl/>
        <w:outlineLvl w:val="1"/>
        <w:rPr>
          <w:rFonts w:ascii="仿宋_GB2312" w:hAnsi="宋体" w:eastAsia="仿宋_GB2312"/>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表九：</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政府性基金预算支出情况表</w:t>
      </w:r>
    </w:p>
    <w:p>
      <w:pPr>
        <w:widowControl/>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编制单位：</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阜康市水磨沟乡人民政府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10"/>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18"/>
                <w:szCs w:val="18"/>
                <w:highlight w:val="none"/>
                <w14:textFill>
                  <w14:solidFill>
                    <w14:schemeClr w14:val="tx1"/>
                  </w14:solidFill>
                </w14:textFill>
              </w:rPr>
            </w:pPr>
            <w:r>
              <w:rPr>
                <w:rFonts w:hint="eastAsia" w:ascii="仿宋_GB2312" w:hAnsi="宋体" w:eastAsia="仿宋_GB2312" w:cs="宋体"/>
                <w:b/>
                <w:bCs/>
                <w:color w:val="000000" w:themeColor="text1"/>
                <w:kern w:val="0"/>
                <w:sz w:val="18"/>
                <w:szCs w:val="18"/>
                <w:highlight w:val="none"/>
                <w14:textFill>
                  <w14:solidFill>
                    <w14:schemeClr w14:val="tx1"/>
                  </w14:solidFill>
                </w14:textFill>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bl>
    <w:p>
      <w:pPr>
        <w:widowControl/>
        <w:spacing w:line="375" w:lineRule="atLeast"/>
        <w:jc w:val="left"/>
        <w:rPr>
          <w:rFonts w:hint="eastAsia" w:ascii="仿宋_GB2312" w:hAnsi="宋体" w:eastAsia="仿宋_GB2312"/>
          <w:b/>
          <w:color w:val="000000" w:themeColor="text1"/>
          <w:kern w:val="0"/>
          <w:sz w:val="28"/>
          <w:szCs w:val="32"/>
          <w:highlight w:val="none"/>
          <w:lang w:val="en-US" w:eastAsia="zh-CN"/>
          <w14:textFill>
            <w14:solidFill>
              <w14:schemeClr w14:val="tx1"/>
            </w14:solidFill>
          </w14:textFill>
        </w:rPr>
      </w:pPr>
    </w:p>
    <w:p>
      <w:pPr>
        <w:widowControl/>
        <w:spacing w:line="375" w:lineRule="atLeast"/>
        <w:ind w:firstLine="562" w:firstLineChars="200"/>
        <w:jc w:val="left"/>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r>
        <w:rPr>
          <w:rFonts w:hint="eastAsia" w:ascii="仿宋_GB2312" w:hAnsi="宋体" w:eastAsia="仿宋_GB2312"/>
          <w:b/>
          <w:color w:val="000000" w:themeColor="text1"/>
          <w:kern w:val="0"/>
          <w:sz w:val="28"/>
          <w:szCs w:val="32"/>
          <w:highlight w:val="none"/>
          <w:lang w:val="en-US" w:eastAsia="zh-CN"/>
          <w14:textFill>
            <w14:solidFill>
              <w14:schemeClr w14:val="tx1"/>
            </w14:solidFill>
          </w14:textFill>
        </w:rPr>
        <w:t>阜康市水磨沟乡人民政府2019年未安排政府性基金预算，因此</w:t>
      </w:r>
      <w:r>
        <w:rPr>
          <w:rFonts w:hint="eastAsia" w:ascii="仿宋_GB2312" w:hAnsi="宋体" w:eastAsia="仿宋_GB2312"/>
          <w:b/>
          <w:color w:val="000000" w:themeColor="text1"/>
          <w:kern w:val="0"/>
          <w:sz w:val="28"/>
          <w:szCs w:val="32"/>
          <w:highlight w:val="none"/>
          <w:lang w:eastAsia="zh-CN"/>
          <w14:textFill>
            <w14:solidFill>
              <w14:schemeClr w14:val="tx1"/>
            </w14:solidFill>
          </w14:textFill>
        </w:rPr>
        <w:t>没有使用政府性基金预算拨款安排的支出，政府性基金预算支出情况表为空表。</w:t>
      </w:r>
    </w:p>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sectPr>
          <w:footerReference r:id="rId3" w:type="default"/>
          <w:footerReference r:id="rId4" w:type="even"/>
          <w:pgSz w:w="11906" w:h="16838"/>
          <w:pgMar w:top="2098" w:right="1418" w:bottom="1846" w:left="1588" w:header="851" w:footer="992" w:gutter="0"/>
          <w:pgNumType w:fmt="numberInDash"/>
          <w:cols w:space="720" w:num="1"/>
          <w:docGrid w:linePitch="312" w:charSpace="0"/>
        </w:sectPr>
      </w:pPr>
    </w:p>
    <w:p>
      <w:pPr>
        <w:widowControl/>
        <w:spacing w:beforeLines="50" w:line="240" w:lineRule="auto"/>
        <w:ind w:firstLine="640" w:firstLineChars="200"/>
        <w:jc w:val="center"/>
        <w:outlineLvl w:val="1"/>
        <w:rPr>
          <w:rFonts w:hint="eastAsia"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第三部分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年部门预算情况说明</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一、</w:t>
      </w:r>
      <w:r>
        <w:rPr>
          <w:rFonts w:hint="eastAsia" w:ascii="黑体" w:hAnsi="宋体" w:eastAsia="黑体" w:cs="宋体"/>
          <w:color w:val="000000" w:themeColor="text1"/>
          <w:kern w:val="0"/>
          <w:sz w:val="32"/>
          <w:szCs w:val="32"/>
          <w:highlight w:val="none"/>
          <w14:textFill>
            <w14:solidFill>
              <w14:schemeClr w14:val="tx1"/>
            </w14:solidFill>
          </w14:textFill>
        </w:rPr>
        <w:t>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年收支预算情况的总体说明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按照全口径预算的原则，阜康市水磨沟乡人民政府2019年所有收入和支出均纳入部门预算管理。收支总预算847.84万元。</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收入预算包括：一般公共预算847.84万元。</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支出预算包括：一般公共服务支出417.67万元、公共安全支出8.95万元、社会保障和就业支出90.37万元、医疗卫生与计划生育支出100.08万元、城乡社区支出33.08万元、农林水支出150.43万元、住房保障支出47.26万元等。</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二、关于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年收入预算情况说明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阜康市水磨沟乡人民政府收入预算847.84万元，其中：一般公共预算847.84万元，占100%，比上年增加112.19万元，主要原因是预算公用经费下达。</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 政府性基金预算未安排。</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三、关于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年支出预算情况说明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阜康市水磨沟乡人民政府2019年支出预算847.84万元，其中：</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基本支出847.84万元，占100%，比上年增加112.19万元，主要原因是人员调资、公用经费预算下达。</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项目支出0万元，占0%，比上年增加0万元，主要原因是未下达项目支出预算。</w:t>
      </w:r>
    </w:p>
    <w:p>
      <w:pPr>
        <w:widowControl/>
        <w:spacing w:line="240" w:lineRule="auto"/>
        <w:ind w:firstLine="640" w:firstLineChars="200"/>
        <w:jc w:val="left"/>
        <w:rPr>
          <w:rFonts w:hint="eastAsia" w:ascii="黑体" w:hAnsi="黑体" w:eastAsia="黑体" w:cs="宋体"/>
          <w:bCs/>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四、关于</w:t>
      </w:r>
      <w:r>
        <w:rPr>
          <w:rFonts w:hint="eastAsia" w:ascii="黑体" w:hAnsi="黑体" w:eastAsia="黑体" w:cs="宋体"/>
          <w:bCs/>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黑体" w:eastAsia="黑体" w:cs="宋体"/>
          <w:bCs/>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s="宋体"/>
          <w:bCs/>
          <w:color w:val="000000" w:themeColor="text1"/>
          <w:kern w:val="0"/>
          <w:sz w:val="32"/>
          <w:szCs w:val="32"/>
          <w:highlight w:val="none"/>
          <w14:textFill>
            <w14:solidFill>
              <w14:schemeClr w14:val="tx1"/>
            </w14:solidFill>
          </w14:textFill>
        </w:rPr>
        <w:t>年</w:t>
      </w:r>
      <w:r>
        <w:rPr>
          <w:rFonts w:hint="eastAsia" w:ascii="黑体" w:hAnsi="黑体" w:eastAsia="黑体" w:cs="宋体"/>
          <w:bCs/>
          <w:color w:val="000000" w:themeColor="text1"/>
          <w:kern w:val="0"/>
          <w:sz w:val="32"/>
          <w:szCs w:val="32"/>
          <w:highlight w:val="none"/>
          <w14:textFill>
            <w14:solidFill>
              <w14:schemeClr w14:val="tx1"/>
            </w14:solidFill>
          </w14:textFill>
        </w:rPr>
        <w:t>财政拨款收支预算情况的总体说明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2019年财政拨款收支总预算847.84万元。</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收入全部为一般公共预算拨款，无政府性基金预算拨款。</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支出预算包括：一般公共服务支出417.67万元，主要用于基本工资、奖金、津贴补贴、办公费、水费、电费、邮电费、差旅费、工会经费、公务用车运行维护费、其他交通费用、其他商品和服务支出；公共安全支出8.95万元，主要用于：基本工资、奖金、津贴补贴、其他商品和服务支出、其他社会保障缴费、其他工资福利支出；社会保障和就业支出90.37万元，主要用于：基本工资、奖金、津贴补贴、办公费、其他社会保障缴费、其他工资福利支出、机关事业单位基本养老保险缴费、水费、电费、邮电费、差旅费、退休费；医疗卫生与计划生育支出100.08万元，主要用于：基本工资、奖金、津贴补贴、办公费、水费、电费、邮电费、差旅费、工会经费、其他社会保障缴费、其他工资福利支出、公务员医疗补助缴费、职工基本医疗保险缴费、退休费；城乡社区支出33.08万元，主要用于：基本工资、奖金、津贴补贴、办公费、水费、电费、邮电费、差旅费、工会经费、其他商品和服务支出、其他社会保障缴费、其他工资福利支出；农林水支出150.43万元，主要用于：基本工资、奖金、津贴补贴、办公费、水费、电费、邮电费、差旅费、工会经费、商品和服务支出、其他商品和服务支出、其他社会保障缴费、其他工资福利支出；住房保障支出47.26万元，主要用于：住房公积金。</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五、关于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年一般公共预算当年拨款情况说明</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（一）一般公用预算当年拨款规模变化情况</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阜康市水磨沟乡人民政府2019年一般公共预算拨款基本支出847.84万元，比上年执行数增加112.19万元，增长15.25 %。主要原因是人员调整。</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（二）一般公共预算当年拨款结构情况</w:t>
      </w:r>
    </w:p>
    <w:p>
      <w:pPr>
        <w:widowControl/>
        <w:spacing w:line="580" w:lineRule="exact"/>
        <w:ind w:firstLine="640"/>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1、一般公共服务（类）417.67万元，占49.26%。</w:t>
      </w:r>
    </w:p>
    <w:p>
      <w:pPr>
        <w:widowControl/>
        <w:spacing w:line="580" w:lineRule="exact"/>
        <w:ind w:firstLine="640"/>
        <w:jc w:val="left"/>
        <w:rPr>
          <w:rFonts w:hint="default"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2、公共安全支出（类）8.95万元，占1% </w:t>
      </w:r>
    </w:p>
    <w:p>
      <w:pPr>
        <w:widowControl/>
        <w:spacing w:line="580" w:lineRule="exact"/>
        <w:ind w:firstLine="640"/>
        <w:jc w:val="left"/>
        <w:rPr>
          <w:rFonts w:hint="default"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3、社会保障和就业支出（类）90.37万元，占11%</w:t>
      </w:r>
    </w:p>
    <w:p>
      <w:pPr>
        <w:widowControl/>
        <w:spacing w:line="580" w:lineRule="exact"/>
        <w:ind w:firstLine="640"/>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4、医疗卫生与计划生育支出（类）100.08万元，占11.8%</w:t>
      </w:r>
    </w:p>
    <w:p>
      <w:pPr>
        <w:widowControl/>
        <w:spacing w:line="580" w:lineRule="exact"/>
        <w:ind w:firstLine="640"/>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5、城乡社区支出（类）33.08万元，占4%</w:t>
      </w:r>
    </w:p>
    <w:p>
      <w:pPr>
        <w:widowControl/>
        <w:spacing w:line="580" w:lineRule="exact"/>
        <w:ind w:firstLine="640"/>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6、农林水支出（类）150.43万元，占17.74%</w:t>
      </w:r>
    </w:p>
    <w:p>
      <w:pPr>
        <w:widowControl/>
        <w:spacing w:line="580" w:lineRule="exact"/>
        <w:ind w:firstLine="640"/>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7、住房保障支出（类）47.26万元，占5%  </w:t>
      </w:r>
    </w:p>
    <w:p>
      <w:pPr>
        <w:widowControl/>
        <w:spacing w:line="580" w:lineRule="exact"/>
        <w:ind w:firstLine="642"/>
        <w:jc w:val="left"/>
        <w:rPr>
          <w:rFonts w:hint="eastAsia"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（三）一般公共预算当年拨款具体使用情况</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1.一般公共服务（类）人大事务（款）行政运行（项）:2019年预算数为10.93万元，比上年执行数减少15.32万元，下降58.36%，主要原因是：政府事业医疗错录入到此款项。</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 2、一般公共服务（类）人大事务（款）代表工作（项）:2019年预算数为3.78万元，比上年执行数减少1.07万元，下降22.06%，主要原因是：会议费未下达只下达代表活动费。</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default"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 3、一般公共服务（类）政府办公厅（室）及相关机构事务（款）行政运行（项）:2019年预算数为310.64万元，比上年执行数增加8.36万元，增长2.77%，主要原因是：人员调资、公用经费预算下达。</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19.514、一般公共服务（类）财政事务（款）行政运行（项）:2019年预算数为19.51万元，比上年执行数增加19.5万元，增长100%，主要原因是：农经站合并，招录增人。</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5、一般公共服务（类）纪检监察事务（款）行政运行（项）:2019年预算数为41.79万元，比上年执行数增加23.21万元，增长124.92%，主要原因是：纪检人员增加、经费加大。</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6、一般公共服务（类）党委办公厅（室）及相关机构事务（款）行政运行（项）:2019年预算数为31.01万元，比上年执行数减少11.15万元，下降26.44%，主要原因是：人员减少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7、公共安全支出（类）司法（款）行政运行（项）:2019年预算数为8.95万元，比上年执行数减少1.05万元，下降10.50%，主要原因是：司法津贴暂停，预算未做。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8、社会保障和就业支出（类）民政管理事务（款）行政运行（项）:2019年预算数为23.05万元，比上年执行数增加23.05万元，增长100%，主要原因是：人员由政府事业2010301划转民政管理事务（款）行政运行（项）2080201、新增招录1人。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9、社会保障和就业支出（类）行政事业单位离退休（款）归口管理的行政单位离退休（项）:2019年预算数为2.35万元，比上年执行数增加2.35万元，增长100%，主要原因是：退休增资。</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10、社会保障和就业支出（类）行政事业单位离退休（款）机关事业单位基本养老保险缴费支出（项）:2019年预算数为64.97万元，比上年执行数增加4.42万元，增长7.30%，主要原因是：退休增资。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11、医疗卫生与计划生育支出（类）计划生育事务（款）计划生育机构（项）:2019年预算数为47.42万元，比上年执行数增加47.42万元，增长100%，主要原因是：人员由政府事业2010301款划转计划生育事务款2100716。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12、医疗卫生与计划生育支出（类）行政事业单位医疗（款）行政单位医疗（项）:2019年预算数为18.80万元，比上年执行数增加3.32万元，增长21.45 %，主要原因是：工资基数增加。</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13、医疗卫生与计划生育支出（类）行政事业单位医疗（款）事业单位医疗（项）:2019年预算数为17.78万元，比上年执行数减少1.01万元，下降5.38%，主要原因是：主要下达在2101103款项。</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14、医疗卫生与计划生育支出（类）行政事业单位医疗（款）公务员医疗补助（项）:2019年预算数为16.09万元，比上年执行数增加1.02万元，增长6.77 %，主要原因是：主要原因是：工资基数增加。</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15、城乡社区支出（类）城乡社区规划与管理（款）城乡社区规划与管理（项）:2019年预算数为33.08万元，比上年执行数增加33.08万元，增长100%，主要原因是：人员由政府事业划出、增录1人。  </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16、农林水支出（类）农业（款）事业运行（项）:2019年预算数为133.44万元，比上年执行数减少36.95万元，下降21.69%，主要原因是：因维稳费漏做预算。</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17、农林水支出（类）农业（款）对高校毕业生到基层任职补助（项）:2019年预算数为16.99万元，比上年执行数增加16.99万元，增长100%，主要原因是：上年预算未下达。</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18、住房保障支出（类）住房改革支出（款）住房公积金（项）:2019年预算数为47.26万元，比上年执行数增加47.26万元，增长100 %，主要原因是：住房公积金由主款改为功能科目2210201住房保障支出（类）住房改革支出（款）住房公积金（项）</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六、关于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年一般公共预算基本支出情况说明</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阜康市水磨沟乡人民政府2019年一般公共预算基本支出847.84万元，其中：</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人员经费643.37万元，主要包括：基本工资、津贴补贴、奖金、机关事业单位基本养老保险缴费、职工基本医疗保险缴费、公务员医疗补助缴费、其他社会保障缴费、住房公积金、其他工资福利支出、退休费等。</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公用经费204.47万元，主要包括：商品和服务支出、办公费、水费、电费、邮电费、差旅费、工会经费、公务用车运行维护费、其他交通费用、其他商品和服务支出等。</w:t>
      </w:r>
    </w:p>
    <w:p>
      <w:pPr>
        <w:widowControl/>
        <w:numPr>
          <w:ilvl w:val="0"/>
          <w:numId w:val="1"/>
        </w:numPr>
        <w:spacing w:line="580" w:lineRule="exact"/>
        <w:ind w:firstLine="640"/>
        <w:jc w:val="left"/>
        <w:rPr>
          <w:rFonts w:hint="eastAsia"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年项目支出情况说明</w:t>
      </w:r>
    </w:p>
    <w:p>
      <w:pPr>
        <w:widowControl/>
        <w:spacing w:line="580" w:lineRule="exact"/>
        <w:ind w:firstLine="642"/>
        <w:jc w:val="left"/>
        <w:rPr>
          <w:rFonts w:hint="eastAsia" w:ascii="仿宋_GB2312" w:hAnsi="宋体" w:eastAsia="仿宋_GB2312"/>
          <w:b w:val="0"/>
          <w:bCs/>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 2019年本单位无项目未安排支出预算</w:t>
      </w:r>
    </w:p>
    <w:p>
      <w:pPr>
        <w:widowControl/>
        <w:spacing w:line="580" w:lineRule="exact"/>
        <w:ind w:firstLine="642"/>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八、关于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年一般公共预算“三公”经费预算情况说明</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阜康市水磨沟乡人民政府2019年“三公”经费财政拨款预算数为13.8万元，其中：因公出国（境）费0万元，公务用车购置0万元，公务用车运行费10.8万元，公务接待费3万元。</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textAlignment w:val="auto"/>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三公”经费财政拨款预算比上年减少0万元，其中：因公出国（境）费增加0万元，主要原因是无因公出国（境）事项；公务用车购置费增加0万元，主要原因是未安排预算；公务用车运行费增加0万元，主要原因是与上年持平；公务接待费减少0万元，主要原因是控制三公经费，减少接待。</w:t>
      </w:r>
    </w:p>
    <w:p>
      <w:pPr>
        <w:widowControl/>
        <w:spacing w:line="580" w:lineRule="exact"/>
        <w:ind w:firstLine="642"/>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九、关于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阜康市水磨沟乡人民政府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年政府性基金预算拨款情况说明</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阜康市水磨沟乡人民政府2019年没有使用政府性基金预算拨款安排的支出，政府性基金预算支出情况表为空表。</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p>
    <w:p>
      <w:pPr>
        <w:numPr>
          <w:ilvl w:val="0"/>
          <w:numId w:val="0"/>
        </w:numPr>
        <w:spacing w:line="580" w:lineRule="exact"/>
        <w:ind w:firstLine="643" w:firstLineChars="200"/>
        <w:rPr>
          <w:rFonts w:hint="eastAsia" w:ascii="黑体" w:hAnsi="宋体" w:eastAsia="黑体"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b/>
          <w:color w:val="000000" w:themeColor="text1"/>
          <w:kern w:val="0"/>
          <w:sz w:val="32"/>
          <w:szCs w:val="32"/>
          <w:highlight w:val="none"/>
          <w:lang w:val="en-US" w:eastAsia="zh-CN"/>
          <w14:textFill>
            <w14:solidFill>
              <w14:schemeClr w14:val="tx1"/>
            </w14:solidFill>
          </w14:textFill>
        </w:rPr>
        <w:t xml:space="preserve">  </w:t>
      </w:r>
      <w:r>
        <w:rPr>
          <w:rFonts w:hint="eastAsia" w:ascii="黑体" w:hAnsi="宋体" w:eastAsia="黑体" w:cs="宋体"/>
          <w:color w:val="000000" w:themeColor="text1"/>
          <w:kern w:val="0"/>
          <w:sz w:val="32"/>
          <w:szCs w:val="32"/>
          <w:highlight w:val="none"/>
          <w14:textFill>
            <w14:solidFill>
              <w14:schemeClr w14:val="tx1"/>
            </w14:solidFill>
          </w14:textFill>
        </w:rPr>
        <w:t>十、其他重要事项的情况说明</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（一）机关运行经费情况</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2019年，阜康市水磨沟乡人民政府本级及下属0家行政单位、0家参公管理事业单位和0家事业单位的机关运行经费财政拨款预算204.47万元，比上年预算增加31.65万元，增长18.31%。主要原因是人员增加。   </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w:t>
      </w:r>
      <w:r>
        <w:rPr>
          <w:rFonts w:hint="eastAsia" w:ascii="楷体_GB2312" w:hAnsi="宋体" w:eastAsia="楷体_GB2312" w:cs="宋体"/>
          <w:b/>
          <w:color w:val="000000" w:themeColor="text1"/>
          <w:kern w:val="0"/>
          <w:sz w:val="32"/>
          <w:szCs w:val="32"/>
          <w:highlight w:val="none"/>
          <w:lang w:eastAsia="zh-CN"/>
          <w14:textFill>
            <w14:solidFill>
              <w14:schemeClr w14:val="tx1"/>
            </w14:solidFill>
          </w14:textFill>
        </w:rPr>
        <w:t>二</w:t>
      </w:r>
      <w:r>
        <w:rPr>
          <w:rFonts w:hint="eastAsia" w:ascii="楷体_GB2312" w:hAnsi="宋体" w:eastAsia="楷体_GB2312" w:cs="宋体"/>
          <w:b/>
          <w:color w:val="000000" w:themeColor="text1"/>
          <w:kern w:val="0"/>
          <w:sz w:val="32"/>
          <w:szCs w:val="32"/>
          <w:highlight w:val="none"/>
          <w14:textFill>
            <w14:solidFill>
              <w14:schemeClr w14:val="tx1"/>
            </w14:solidFill>
          </w14:textFill>
        </w:rPr>
        <w:t>）政府采购情况</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2019年，阜康市水磨沟乡人民政府及下属单位政府采购预算0万元，其中：政府采购货物预算0万元，政府采购工程预算0万元，政府采购服务预算 0万元。</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w:t>
      </w:r>
      <w:r>
        <w:rPr>
          <w:rFonts w:hint="eastAsia" w:ascii="楷体_GB2312" w:hAnsi="宋体" w:eastAsia="楷体_GB2312" w:cs="宋体"/>
          <w:b/>
          <w:color w:val="000000" w:themeColor="text1"/>
          <w:kern w:val="0"/>
          <w:sz w:val="32"/>
          <w:szCs w:val="32"/>
          <w:highlight w:val="none"/>
          <w:lang w:eastAsia="zh-CN"/>
          <w14:textFill>
            <w14:solidFill>
              <w14:schemeClr w14:val="tx1"/>
            </w14:solidFill>
          </w14:textFill>
        </w:rPr>
        <w:t>三</w:t>
      </w:r>
      <w:r>
        <w:rPr>
          <w:rFonts w:hint="eastAsia" w:ascii="楷体_GB2312" w:hAnsi="宋体" w:eastAsia="楷体_GB2312" w:cs="宋体"/>
          <w:b/>
          <w:color w:val="000000" w:themeColor="text1"/>
          <w:kern w:val="0"/>
          <w:sz w:val="32"/>
          <w:szCs w:val="32"/>
          <w:highlight w:val="none"/>
          <w14:textFill>
            <w14:solidFill>
              <w14:schemeClr w14:val="tx1"/>
            </w14:solidFill>
          </w14:textFill>
        </w:rPr>
        <w:t>）国有资产占用使用情况</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截至2018年底，阜康市水磨沟乡人民政府及下属各预算单位占用使用国有资产总体情况为</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1.房屋8481.79平方米，价值1573.41万元.</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2.车辆16辆，价值102.43万元；其中：一般公务用车  0辆，价值0万元；执法执勤用车0辆，价值0万元；其他车辆16辆，价值102.43万元。</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3.办公家具价值29.02万元。</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4.其他资产价值16.23万元。</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单位价值50万元以上大型设备0台（套），单位价值100万元以上大型设备0台（套）。</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w:t>
      </w:r>
      <w:r>
        <w:rPr>
          <w:rFonts w:hint="eastAsia" w:ascii="楷体_GB2312" w:hAnsi="宋体" w:eastAsia="楷体_GB2312" w:cs="宋体"/>
          <w:b/>
          <w:color w:val="000000" w:themeColor="text1"/>
          <w:kern w:val="0"/>
          <w:sz w:val="32"/>
          <w:szCs w:val="32"/>
          <w:highlight w:val="none"/>
          <w:lang w:eastAsia="zh-CN"/>
          <w14:textFill>
            <w14:solidFill>
              <w14:schemeClr w14:val="tx1"/>
            </w14:solidFill>
          </w14:textFill>
        </w:rPr>
        <w:t>四</w:t>
      </w:r>
      <w:r>
        <w:rPr>
          <w:rFonts w:hint="eastAsia" w:ascii="楷体_GB2312" w:hAnsi="宋体" w:eastAsia="楷体_GB2312" w:cs="宋体"/>
          <w:b/>
          <w:color w:val="000000" w:themeColor="text1"/>
          <w:kern w:val="0"/>
          <w:sz w:val="32"/>
          <w:szCs w:val="32"/>
          <w:highlight w:val="none"/>
          <w14:textFill>
            <w14:solidFill>
              <w14:schemeClr w14:val="tx1"/>
            </w14:solidFill>
          </w14:textFill>
        </w:rPr>
        <w:t>）预算绩效情况</w:t>
      </w:r>
    </w:p>
    <w:p>
      <w:pPr>
        <w:widowControl/>
        <w:spacing w:line="580" w:lineRule="exact"/>
        <w:ind w:firstLine="642"/>
        <w:jc w:val="left"/>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2019年度，本年度实行绩效管理的项目 0个，涉及预算金额0万元。具体情况见下表（按项目分别填报）：</w:t>
      </w: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600" w:lineRule="exact"/>
        <w:rPr>
          <w:rFonts w:ascii="仿宋_GB2312" w:hAnsi="宋体" w:eastAsia="仿宋_GB2312" w:cs="宋体"/>
          <w:color w:val="000000" w:themeColor="text1"/>
          <w:kern w:val="0"/>
          <w:sz w:val="32"/>
          <w:szCs w:val="32"/>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tbl>
      <w:tblPr>
        <w:tblStyle w:val="10"/>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lang w:eastAsia="zh-CN"/>
                <w14:textFill>
                  <w14:solidFill>
                    <w14:schemeClr w14:val="tx1"/>
                  </w14:solidFill>
                </w14:textFill>
              </w:rPr>
            </w:pPr>
            <w:r>
              <w:rPr>
                <w:rFonts w:hint="eastAsia" w:ascii="宋体" w:hAnsi="宋体" w:eastAsia="宋体" w:cs="宋体"/>
                <w:color w:val="000000" w:themeColor="text1"/>
                <w:kern w:val="0"/>
                <w:sz w:val="18"/>
                <w:szCs w:val="18"/>
                <w:highlight w:val="none"/>
                <w:lang w:eastAsia="zh-CN"/>
                <w14:textFill>
                  <w14:solidFill>
                    <w14:schemeClr w14:val="tx1"/>
                  </w14:solidFill>
                </w14:textFill>
              </w:rPr>
              <w:t>阜康市水磨沟乡人民政府</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18"/>
                <w:szCs w:val="18"/>
                <w:highlight w:val="none"/>
                <w:lang w:eastAsia="zh-CN"/>
                <w14:textFill>
                  <w14:solidFill>
                    <w14:schemeClr w14:val="tx1"/>
                  </w14:solidFill>
                </w14:textFill>
              </w:rPr>
            </w:pPr>
            <w:r>
              <w:rPr>
                <w:rFonts w:hint="eastAsia" w:ascii="宋体" w:hAnsi="宋体" w:cs="宋体"/>
                <w:color w:val="000000" w:themeColor="text1"/>
                <w:kern w:val="0"/>
                <w:sz w:val="18"/>
                <w:szCs w:val="18"/>
                <w:highlight w:val="none"/>
                <w:lang w:eastAsia="zh-CN"/>
                <w14:textFill>
                  <w14:solidFill>
                    <w14:schemeClr w14:val="tx1"/>
                  </w14:solidFill>
                </w14:textFill>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both"/>
              <w:rPr>
                <w:rFonts w:hint="default" w:ascii="宋体" w:hAnsi="宋体" w:eastAsia="宋体" w:cs="宋体"/>
                <w:color w:val="000000" w:themeColor="text1"/>
                <w:kern w:val="0"/>
                <w:sz w:val="18"/>
                <w:szCs w:val="18"/>
                <w:highlight w:val="none"/>
                <w:lang w:val="en-US"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cs="宋体"/>
                <w:color w:val="000000" w:themeColor="text1"/>
                <w:kern w:val="0"/>
                <w:sz w:val="18"/>
                <w:szCs w:val="18"/>
                <w:highlight w:val="none"/>
                <w:lang w:val="en-US"/>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000000" w:themeColor="text1"/>
                <w:kern w:val="0"/>
                <w:sz w:val="18"/>
                <w:szCs w:val="18"/>
                <w:highlight w:val="none"/>
                <w:lang w:eastAsia="zh-CN"/>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nil"/>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nil"/>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p>
        </w:tc>
      </w:tr>
    </w:tbl>
    <w:p>
      <w:pPr>
        <w:widowControl/>
        <w:spacing w:line="560" w:lineRule="exact"/>
        <w:ind w:firstLine="630" w:firstLineChars="196"/>
        <w:jc w:val="left"/>
        <w:rPr>
          <w:rFonts w:ascii="楷体_GB2312" w:hAnsi="宋体" w:eastAsia="楷体_GB2312" w:cs="宋体"/>
          <w:b/>
          <w:color w:val="000000" w:themeColor="text1"/>
          <w:kern w:val="0"/>
          <w:sz w:val="32"/>
          <w:szCs w:val="32"/>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pPr>
        <w:widowControl/>
        <w:numPr>
          <w:ilvl w:val="0"/>
          <w:numId w:val="2"/>
        </w:numPr>
        <w:spacing w:line="560" w:lineRule="exact"/>
        <w:ind w:firstLine="630" w:firstLineChars="196"/>
        <w:jc w:val="left"/>
        <w:rPr>
          <w:rFonts w:hint="eastAsia"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其他需说明的事项</w:t>
      </w:r>
    </w:p>
    <w:p>
      <w:pPr>
        <w:widowControl/>
        <w:numPr>
          <w:ilvl w:val="0"/>
          <w:numId w:val="0"/>
        </w:numPr>
        <w:spacing w:line="560" w:lineRule="exact"/>
        <w:ind w:firstLine="960" w:firstLineChars="30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 xml:space="preserve">没有其他需要说明的事项。 </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beforeLines="50"/>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第四部分  名词解释</w:t>
      </w:r>
    </w:p>
    <w:p>
      <w:pPr>
        <w:widowControl/>
        <w:spacing w:line="56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名词解释：</w:t>
      </w:r>
    </w:p>
    <w:p>
      <w:pPr>
        <w:spacing w:line="550" w:lineRule="exact"/>
        <w:ind w:firstLine="642"/>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一、财政拨款：</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指由一般公共预算、政府性基金预算安排的财政拨款数。</w:t>
      </w:r>
    </w:p>
    <w:p>
      <w:pPr>
        <w:spacing w:line="550" w:lineRule="exact"/>
        <w:ind w:firstLine="642"/>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二、一般公共预算：</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包括公共财政拨款（补助）资金、专项收入。</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三、基本支出：</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包括人员经费、商品和服务支出（定额）。其中，人员经费包括工资福利支出、对个人和家庭的补助。</w:t>
      </w:r>
    </w:p>
    <w:p>
      <w:pPr>
        <w:numPr>
          <w:ilvl w:val="0"/>
          <w:numId w:val="0"/>
        </w:numPr>
        <w:spacing w:line="550" w:lineRule="exact"/>
        <w:ind w:firstLine="640" w:firstLineChars="200"/>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lang w:eastAsia="zh-CN"/>
          <w14:textFill>
            <w14:solidFill>
              <w14:schemeClr w14:val="tx1"/>
            </w14:solidFill>
          </w14:textFill>
        </w:rPr>
        <w:t>四、</w:t>
      </w:r>
      <w:r>
        <w:rPr>
          <w:rFonts w:hint="eastAsia" w:ascii="黑体" w:hAnsi="黑体" w:eastAsia="黑体"/>
          <w:color w:val="000000" w:themeColor="text1"/>
          <w:sz w:val="32"/>
          <w:szCs w:val="32"/>
          <w:highlight w:val="none"/>
          <w14:textFill>
            <w14:solidFill>
              <w14:schemeClr w14:val="tx1"/>
            </w14:solidFill>
          </w14:textFill>
        </w:rPr>
        <w:t>项目支出：</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部门支出预算的组成部分，是市本级部门为完成其特定的行政任务或事业发展目标，在基本支出预算之外编制的年度项目支出计划。</w:t>
      </w:r>
    </w:p>
    <w:p>
      <w:pPr>
        <w:spacing w:line="550" w:lineRule="exact"/>
        <w:ind w:firstLine="640" w:firstLineChars="200"/>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lang w:eastAsia="zh-CN"/>
          <w14:textFill>
            <w14:solidFill>
              <w14:schemeClr w14:val="tx1"/>
            </w14:solidFill>
          </w14:textFill>
        </w:rPr>
        <w:t>五、</w:t>
      </w:r>
      <w:r>
        <w:rPr>
          <w:rFonts w:hint="eastAsia" w:ascii="黑体" w:hAnsi="黑体" w:eastAsia="黑体"/>
          <w:color w:val="000000" w:themeColor="text1"/>
          <w:sz w:val="32"/>
          <w:szCs w:val="32"/>
          <w:highlight w:val="none"/>
          <w14:textFill>
            <w14:solidFill>
              <w14:schemeClr w14:val="tx1"/>
            </w14:solidFill>
          </w14:textFill>
        </w:rPr>
        <w:t>“三公”经费：</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lang w:eastAsia="zh-CN"/>
          <w14:textFill>
            <w14:solidFill>
              <w14:schemeClr w14:val="tx1"/>
            </w14:solidFill>
          </w14:textFill>
        </w:rPr>
        <w:t>六</w:t>
      </w:r>
      <w:r>
        <w:rPr>
          <w:rFonts w:hint="eastAsia" w:ascii="黑体" w:hAnsi="黑体" w:eastAsia="黑体"/>
          <w:color w:val="000000" w:themeColor="text1"/>
          <w:sz w:val="32"/>
          <w:szCs w:val="32"/>
          <w:highlight w:val="none"/>
          <w14:textFill>
            <w14:solidFill>
              <w14:schemeClr w14:val="tx1"/>
            </w14:solidFill>
          </w14:textFill>
        </w:rPr>
        <w:t>、机关运行经费：</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jc w:val="left"/>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阜康市水磨沟乡人民政府</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2019</w:t>
      </w:r>
      <w:r>
        <w:rPr>
          <w:rFonts w:ascii="仿宋_GB2312" w:hAnsi="宋体" w:eastAsia="仿宋_GB2312" w:cs="宋体"/>
          <w:color w:val="000000" w:themeColor="text1"/>
          <w:kern w:val="0"/>
          <w:sz w:val="32"/>
          <w:szCs w:val="32"/>
          <w:highlight w:val="none"/>
          <w14:textFill>
            <w14:solidFill>
              <w14:schemeClr w14:val="tx1"/>
            </w14:solidFill>
          </w14:textFill>
        </w:rPr>
        <w:t>年</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2</w:t>
      </w:r>
      <w:r>
        <w:rPr>
          <w:rFonts w:ascii="仿宋_GB2312" w:hAnsi="宋体" w:eastAsia="仿宋_GB2312" w:cs="宋体"/>
          <w:color w:val="000000" w:themeColor="text1"/>
          <w:kern w:val="0"/>
          <w:sz w:val="32"/>
          <w:szCs w:val="32"/>
          <w:highlight w:val="none"/>
          <w14:textFill>
            <w14:solidFill>
              <w14:schemeClr w14:val="tx1"/>
            </w14:solidFill>
          </w14:textFill>
        </w:rPr>
        <w:t>月</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10 </w:t>
      </w:r>
      <w:r>
        <w:rPr>
          <w:rFonts w:ascii="仿宋_GB2312" w:hAnsi="宋体" w:eastAsia="仿宋_GB2312" w:cs="宋体"/>
          <w:color w:val="000000" w:themeColor="text1"/>
          <w:kern w:val="0"/>
          <w:sz w:val="32"/>
          <w:szCs w:val="32"/>
          <w:highlight w:val="none"/>
          <w14:textFill>
            <w14:solidFill>
              <w14:schemeClr w14:val="tx1"/>
            </w14:solidFill>
          </w14:textFill>
        </w:rPr>
        <w:t>日</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84E"/>
    <w:multiLevelType w:val="singleLevel"/>
    <w:tmpl w:val="02F7684E"/>
    <w:lvl w:ilvl="0" w:tentative="0">
      <w:start w:val="5"/>
      <w:numFmt w:val="chineseCounting"/>
      <w:suff w:val="nothing"/>
      <w:lvlText w:val="（%1）"/>
      <w:lvlJc w:val="left"/>
      <w:rPr>
        <w:rFonts w:hint="eastAsia"/>
      </w:rPr>
    </w:lvl>
  </w:abstractNum>
  <w:abstractNum w:abstractNumId="1">
    <w:nsid w:val="78447AC2"/>
    <w:multiLevelType w:val="singleLevel"/>
    <w:tmpl w:val="78447AC2"/>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2B5144"/>
    <w:rsid w:val="00325B17"/>
    <w:rsid w:val="005B481E"/>
    <w:rsid w:val="0094659D"/>
    <w:rsid w:val="00FC6ABD"/>
    <w:rsid w:val="013E4EE5"/>
    <w:rsid w:val="015F0F14"/>
    <w:rsid w:val="026F1E7B"/>
    <w:rsid w:val="054D188E"/>
    <w:rsid w:val="05F146FB"/>
    <w:rsid w:val="07167282"/>
    <w:rsid w:val="075C4783"/>
    <w:rsid w:val="0777251F"/>
    <w:rsid w:val="08146AA0"/>
    <w:rsid w:val="082A5DEB"/>
    <w:rsid w:val="09CD03B8"/>
    <w:rsid w:val="09CE424E"/>
    <w:rsid w:val="0A6657C5"/>
    <w:rsid w:val="0B3463F8"/>
    <w:rsid w:val="0C42004E"/>
    <w:rsid w:val="0C551E88"/>
    <w:rsid w:val="0CB25BA2"/>
    <w:rsid w:val="0CBF351A"/>
    <w:rsid w:val="0CE26AB8"/>
    <w:rsid w:val="0DDD2DFA"/>
    <w:rsid w:val="0FB301B3"/>
    <w:rsid w:val="115B22CA"/>
    <w:rsid w:val="123B60CA"/>
    <w:rsid w:val="132B3D4A"/>
    <w:rsid w:val="13DD3EF9"/>
    <w:rsid w:val="14383630"/>
    <w:rsid w:val="162734A4"/>
    <w:rsid w:val="16DF6B87"/>
    <w:rsid w:val="16EA2480"/>
    <w:rsid w:val="190E1505"/>
    <w:rsid w:val="1ADD6958"/>
    <w:rsid w:val="1AEC04F0"/>
    <w:rsid w:val="1BA60D19"/>
    <w:rsid w:val="1C0A3D94"/>
    <w:rsid w:val="1C560830"/>
    <w:rsid w:val="1D4C46A7"/>
    <w:rsid w:val="1D80635F"/>
    <w:rsid w:val="1D9F1A4E"/>
    <w:rsid w:val="1DD82785"/>
    <w:rsid w:val="203A29AB"/>
    <w:rsid w:val="208D4DC6"/>
    <w:rsid w:val="212D2721"/>
    <w:rsid w:val="219A3152"/>
    <w:rsid w:val="21A841B7"/>
    <w:rsid w:val="21CB5FFF"/>
    <w:rsid w:val="21FD70FE"/>
    <w:rsid w:val="225221E7"/>
    <w:rsid w:val="226B2FE8"/>
    <w:rsid w:val="229E1273"/>
    <w:rsid w:val="24537957"/>
    <w:rsid w:val="248E6B29"/>
    <w:rsid w:val="25012A1A"/>
    <w:rsid w:val="250E3F03"/>
    <w:rsid w:val="253339E0"/>
    <w:rsid w:val="292900CE"/>
    <w:rsid w:val="2C7D56A4"/>
    <w:rsid w:val="2D1A1994"/>
    <w:rsid w:val="2D7C6A82"/>
    <w:rsid w:val="2E6B6E88"/>
    <w:rsid w:val="2E7523D4"/>
    <w:rsid w:val="2F59101D"/>
    <w:rsid w:val="305C318F"/>
    <w:rsid w:val="32421158"/>
    <w:rsid w:val="33347879"/>
    <w:rsid w:val="33B24318"/>
    <w:rsid w:val="33DF07DF"/>
    <w:rsid w:val="33E05582"/>
    <w:rsid w:val="34D51CEF"/>
    <w:rsid w:val="35E81063"/>
    <w:rsid w:val="363B0057"/>
    <w:rsid w:val="36F509FE"/>
    <w:rsid w:val="37F508D0"/>
    <w:rsid w:val="38F051C2"/>
    <w:rsid w:val="3AC56914"/>
    <w:rsid w:val="3BA0764B"/>
    <w:rsid w:val="3BB67092"/>
    <w:rsid w:val="3C872B55"/>
    <w:rsid w:val="3CD203DB"/>
    <w:rsid w:val="3E117363"/>
    <w:rsid w:val="3E1E5A13"/>
    <w:rsid w:val="3E864169"/>
    <w:rsid w:val="3E992AF8"/>
    <w:rsid w:val="40606D86"/>
    <w:rsid w:val="40EB31EC"/>
    <w:rsid w:val="419D7EAC"/>
    <w:rsid w:val="425171D2"/>
    <w:rsid w:val="42914330"/>
    <w:rsid w:val="433E5D0B"/>
    <w:rsid w:val="435D192F"/>
    <w:rsid w:val="444A0F08"/>
    <w:rsid w:val="445F34E6"/>
    <w:rsid w:val="44991AE2"/>
    <w:rsid w:val="453A7E51"/>
    <w:rsid w:val="454D35AC"/>
    <w:rsid w:val="458946C5"/>
    <w:rsid w:val="45C407DA"/>
    <w:rsid w:val="46BF00E0"/>
    <w:rsid w:val="49870BE6"/>
    <w:rsid w:val="49EA7653"/>
    <w:rsid w:val="4A124330"/>
    <w:rsid w:val="4AA13E23"/>
    <w:rsid w:val="4D8F3A15"/>
    <w:rsid w:val="4E867E06"/>
    <w:rsid w:val="4EBE1A76"/>
    <w:rsid w:val="4F7A56F9"/>
    <w:rsid w:val="520C2095"/>
    <w:rsid w:val="531E2785"/>
    <w:rsid w:val="55B235A3"/>
    <w:rsid w:val="56925192"/>
    <w:rsid w:val="57013BDE"/>
    <w:rsid w:val="58560F8D"/>
    <w:rsid w:val="588E5895"/>
    <w:rsid w:val="59146C72"/>
    <w:rsid w:val="59BE2146"/>
    <w:rsid w:val="5A33276D"/>
    <w:rsid w:val="5A515BF3"/>
    <w:rsid w:val="5B016581"/>
    <w:rsid w:val="5B064461"/>
    <w:rsid w:val="5B362057"/>
    <w:rsid w:val="5CC56EE2"/>
    <w:rsid w:val="5E5B375B"/>
    <w:rsid w:val="5F4924C7"/>
    <w:rsid w:val="5F640923"/>
    <w:rsid w:val="60346BA2"/>
    <w:rsid w:val="60C15378"/>
    <w:rsid w:val="61217D8B"/>
    <w:rsid w:val="62160EC0"/>
    <w:rsid w:val="62FD57DD"/>
    <w:rsid w:val="659C1784"/>
    <w:rsid w:val="660C018B"/>
    <w:rsid w:val="6730124E"/>
    <w:rsid w:val="685F6F60"/>
    <w:rsid w:val="6A2374F1"/>
    <w:rsid w:val="6A257E00"/>
    <w:rsid w:val="6B463499"/>
    <w:rsid w:val="6C37719A"/>
    <w:rsid w:val="6DFE1070"/>
    <w:rsid w:val="6E987AA4"/>
    <w:rsid w:val="700A3EDF"/>
    <w:rsid w:val="702C2424"/>
    <w:rsid w:val="70C05D57"/>
    <w:rsid w:val="71983943"/>
    <w:rsid w:val="71E63CC6"/>
    <w:rsid w:val="71E9047B"/>
    <w:rsid w:val="723848A6"/>
    <w:rsid w:val="78301E20"/>
    <w:rsid w:val="790D5AE3"/>
    <w:rsid w:val="7B7B1ADC"/>
    <w:rsid w:val="7C101061"/>
    <w:rsid w:val="7D3742FF"/>
    <w:rsid w:val="7DFB69F5"/>
    <w:rsid w:val="7EE33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basedOn w:val="7"/>
    <w:qFormat/>
    <w:uiPriority w:val="0"/>
  </w:style>
  <w:style w:type="table" w:styleId="11">
    <w:name w:val="Table Grid"/>
    <w:basedOn w:val="10"/>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7"/>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7"/>
    <w:link w:val="2"/>
    <w:semiHidden/>
    <w:qFormat/>
    <w:uiPriority w:val="0"/>
    <w:rPr>
      <w:rFonts w:ascii="Times New Roman" w:hAnsi="Times New Roman" w:eastAsia="宋体" w:cs="Times New Roman"/>
      <w:sz w:val="18"/>
      <w:szCs w:val="18"/>
    </w:rPr>
  </w:style>
  <w:style w:type="character" w:customStyle="1" w:styleId="15">
    <w:name w:val="页眉 Char"/>
    <w:basedOn w:val="7"/>
    <w:link w:val="4"/>
    <w:qFormat/>
    <w:uiPriority w:val="0"/>
    <w:rPr>
      <w:rFonts w:ascii="Times New Roman" w:hAnsi="Times New Roman" w:eastAsia="宋体" w:cs="Times New Roman"/>
      <w:sz w:val="18"/>
      <w:szCs w:val="18"/>
    </w:rPr>
  </w:style>
  <w:style w:type="character" w:customStyle="1" w:styleId="16">
    <w:name w:val="正文文本缩进 3 Char"/>
    <w:basedOn w:val="7"/>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4</TotalTime>
  <ScaleCrop>false</ScaleCrop>
  <LinksUpToDate>false</LinksUpToDate>
  <CharactersWithSpaces>10532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「Game Over」</cp:lastModifiedBy>
  <dcterms:modified xsi:type="dcterms:W3CDTF">2021-07-08T05:28:18Z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AEF18CD5C4C2489886CB931EEA362622</vt:lpwstr>
  </property>
</Properties>
</file>